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10, 2005</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COSTAR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4560" w:type="dxa"/>
            <w:vAlign w:val="bottom"/>
            <w:gridSpan w:val="6"/>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420" w:type="dxa"/>
            <w:vAlign w:val="bottom"/>
          </w:tcPr>
          <w:p>
            <w:pPr>
              <w:spacing w:after="0"/>
              <w:rPr>
                <w:sz w:val="20"/>
                <w:szCs w:val="20"/>
                <w:color w:val="auto"/>
              </w:rPr>
            </w:pPr>
          </w:p>
        </w:tc>
      </w:tr>
      <w:tr>
        <w:trPr>
          <w:trHeight w:val="432"/>
        </w:trPr>
        <w:tc>
          <w:tcPr>
            <w:tcW w:w="4820" w:type="dxa"/>
            <w:vAlign w:val="bottom"/>
            <w:gridSpan w:val="3"/>
          </w:tcPr>
          <w:p>
            <w:pPr>
              <w:jc w:val="center"/>
              <w:ind w:right="1380"/>
              <w:spacing w:after="0"/>
              <w:rPr>
                <w:sz w:val="20"/>
                <w:szCs w:val="20"/>
                <w:color w:val="auto"/>
              </w:rPr>
            </w:pPr>
            <w:r>
              <w:rPr>
                <w:rFonts w:ascii="Arial" w:cs="Arial" w:eastAsia="Arial" w:hAnsi="Arial"/>
                <w:sz w:val="18"/>
                <w:szCs w:val="18"/>
                <w:color w:val="auto"/>
                <w:w w:val="89"/>
              </w:rPr>
              <w:t>Delaware</w:t>
            </w:r>
          </w:p>
        </w:tc>
        <w:tc>
          <w:tcPr>
            <w:tcW w:w="262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0-24531</w:t>
            </w:r>
          </w:p>
        </w:tc>
        <w:tc>
          <w:tcPr>
            <w:tcW w:w="5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52-2091509</w:t>
            </w:r>
          </w:p>
        </w:tc>
      </w:tr>
      <w:tr>
        <w:trPr>
          <w:trHeight w:val="209"/>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5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gridSpan w:val="3"/>
          </w:tcPr>
          <w:p>
            <w:pPr>
              <w:jc w:val="center"/>
              <w:ind w:right="800"/>
              <w:spacing w:after="0"/>
              <w:rPr>
                <w:sz w:val="20"/>
                <w:szCs w:val="20"/>
                <w:color w:val="auto"/>
              </w:rPr>
            </w:pPr>
            <w:r>
              <w:rPr>
                <w:rFonts w:ascii="Arial" w:cs="Arial" w:eastAsia="Arial" w:hAnsi="Arial"/>
                <w:sz w:val="18"/>
                <w:szCs w:val="18"/>
                <w:color w:val="auto"/>
                <w:w w:val="93"/>
              </w:rPr>
              <w:t>(Commission</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820" w:type="dxa"/>
            <w:vAlign w:val="bottom"/>
            <w:gridSpan w:val="3"/>
          </w:tcPr>
          <w:p>
            <w:pPr>
              <w:jc w:val="center"/>
              <w:ind w:right="1360"/>
              <w:spacing w:after="0"/>
              <w:rPr>
                <w:sz w:val="20"/>
                <w:szCs w:val="20"/>
                <w:color w:val="auto"/>
              </w:rPr>
            </w:pPr>
            <w:r>
              <w:rPr>
                <w:rFonts w:ascii="Arial" w:cs="Arial" w:eastAsia="Arial" w:hAnsi="Arial"/>
                <w:sz w:val="18"/>
                <w:szCs w:val="18"/>
                <w:color w:val="auto"/>
                <w:w w:val="93"/>
              </w:rPr>
              <w:t>of incorporation)</w:t>
            </w:r>
          </w:p>
        </w:tc>
        <w:tc>
          <w:tcPr>
            <w:tcW w:w="3180" w:type="dxa"/>
            <w:vAlign w:val="bottom"/>
            <w:gridSpan w:val="4"/>
          </w:tcPr>
          <w:p>
            <w:pPr>
              <w:jc w:val="center"/>
              <w:ind w:right="1360"/>
              <w:spacing w:after="0"/>
              <w:rPr>
                <w:sz w:val="20"/>
                <w:szCs w:val="20"/>
                <w:color w:val="auto"/>
              </w:rPr>
            </w:pPr>
            <w:r>
              <w:rPr>
                <w:rFonts w:ascii="Arial" w:cs="Arial" w:eastAsia="Arial" w:hAnsi="Arial"/>
                <w:sz w:val="18"/>
                <w:szCs w:val="18"/>
                <w:color w:val="auto"/>
                <w:w w:val="94"/>
              </w:rPr>
              <w:t>File 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482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89"/>
              </w:rPr>
              <w:t>2 Bethesda Metro Center, Bethesda, Maryland</w:t>
            </w:r>
          </w:p>
        </w:tc>
        <w:tc>
          <w:tcPr>
            <w:tcW w:w="6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right"/>
              <w:ind w:right="2390"/>
              <w:spacing w:after="0"/>
              <w:rPr>
                <w:sz w:val="20"/>
                <w:szCs w:val="20"/>
                <w:color w:val="auto"/>
              </w:rPr>
            </w:pPr>
            <w:r>
              <w:rPr>
                <w:rFonts w:ascii="Arial" w:cs="Arial" w:eastAsia="Arial" w:hAnsi="Arial"/>
                <w:sz w:val="18"/>
                <w:szCs w:val="18"/>
                <w:color w:val="auto"/>
              </w:rPr>
              <w:t>20814</w:t>
            </w:r>
          </w:p>
        </w:tc>
      </w:tr>
      <w:tr>
        <w:trPr>
          <w:trHeight w:val="224"/>
        </w:trPr>
        <w:tc>
          <w:tcPr>
            <w:tcW w:w="4820" w:type="dxa"/>
            <w:vAlign w:val="bottom"/>
            <w:gridSpan w:val="3"/>
          </w:tcPr>
          <w:p>
            <w:pPr>
              <w:jc w:val="center"/>
              <w:ind w:left="510"/>
              <w:spacing w:after="0"/>
              <w:rPr>
                <w:sz w:val="20"/>
                <w:szCs w:val="20"/>
                <w:color w:val="auto"/>
              </w:rPr>
            </w:pPr>
            <w:r>
              <w:rPr>
                <w:rFonts w:ascii="Arial" w:cs="Arial" w:eastAsia="Arial" w:hAnsi="Arial"/>
                <w:sz w:val="18"/>
                <w:szCs w:val="18"/>
                <w:color w:val="auto"/>
                <w:w w:val="92"/>
              </w:rPr>
              <w:t>(Address of principal executive offices)</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(301) 215-8300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46"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Definitive Material Agreement</w:t>
      </w:r>
    </w:p>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March 10, 2005, the Compensation Committee (the “Committee”) of the Board of Directors of CoStar Group, Inc. (the “Company”) approved the following actions with respect to the compensation of the Company’s current executive officers:</w:t>
      </w:r>
    </w:p>
    <w:p>
      <w:pPr>
        <w:spacing w:after="0" w:line="354"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100" w:type="dxa"/>
            <w:vAlign w:val="bottom"/>
            <w:tcBorders>
              <w:top w:val="single" w:sz="8" w:color="auto"/>
              <w:left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0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180" w:type="dxa"/>
            <w:vAlign w:val="bottom"/>
            <w:tcBorders>
              <w:top w:val="single" w:sz="8" w:color="auto"/>
            </w:tcBorders>
          </w:tcPr>
          <w:p>
            <w:pPr>
              <w:spacing w:after="0"/>
              <w:rPr>
                <w:sz w:val="15"/>
                <w:szCs w:val="15"/>
                <w:color w:val="auto"/>
              </w:rPr>
            </w:pPr>
          </w:p>
        </w:tc>
        <w:tc>
          <w:tcPr>
            <w:tcW w:w="10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0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2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20" w:type="dxa"/>
            <w:vAlign w:val="bottom"/>
            <w:tcBorders>
              <w:top w:val="single" w:sz="8" w:color="auto"/>
              <w:right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2005 Bonus Criteria (4)</w:t>
            </w:r>
          </w:p>
        </w:tc>
        <w:tc>
          <w:tcPr>
            <w:tcW w:w="0" w:type="dxa"/>
            <w:vAlign w:val="bottom"/>
          </w:tcPr>
          <w:p>
            <w:pPr>
              <w:spacing w:after="0"/>
              <w:rPr>
                <w:sz w:val="1"/>
                <w:szCs w:val="1"/>
                <w:color w:val="auto"/>
              </w:rPr>
            </w:pPr>
          </w:p>
        </w:tc>
      </w:tr>
      <w:tr>
        <w:trPr>
          <w:trHeight w:val="119"/>
        </w:trPr>
        <w:tc>
          <w:tcPr>
            <w:tcW w:w="100" w:type="dxa"/>
            <w:vAlign w:val="bottom"/>
            <w:tcBorders>
              <w:left w:val="single" w:sz="8" w:color="auto"/>
            </w:tcBorders>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Borders>
              <w:right w:val="single" w:sz="8" w:color="auto"/>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Shares of</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top w:val="single" w:sz="8" w:color="auto"/>
              <w:right w:val="single" w:sz="8" w:color="auto"/>
            </w:tcBorders>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Individual/</w:t>
            </w:r>
          </w:p>
        </w:tc>
        <w:tc>
          <w:tcPr>
            <w:tcW w:w="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Borders>
              <w:left w:val="single" w:sz="8" w:color="auto"/>
            </w:tcBorders>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0"/>
              </w:rPr>
              <w:t>2005 Base</w:t>
            </w: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2004</w:t>
            </w:r>
          </w:p>
        </w:tc>
        <w:tc>
          <w:tcPr>
            <w:tcW w:w="3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Bonus</w:t>
            </w:r>
          </w:p>
        </w:tc>
        <w:tc>
          <w:tcPr>
            <w:tcW w:w="100" w:type="dxa"/>
            <w:vAlign w:val="bottom"/>
          </w:tcPr>
          <w:p>
            <w:pPr>
              <w:spacing w:after="0"/>
              <w:rPr>
                <w:sz w:val="12"/>
                <w:szCs w:val="12"/>
                <w:color w:val="auto"/>
              </w:rPr>
            </w:pPr>
          </w:p>
        </w:tc>
        <w:tc>
          <w:tcPr>
            <w:tcW w:w="116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Team</w:t>
            </w:r>
          </w:p>
        </w:tc>
        <w:tc>
          <w:tcPr>
            <w:tcW w:w="0" w:type="dxa"/>
            <w:vAlign w:val="bottom"/>
          </w:tcPr>
          <w:p>
            <w:pPr>
              <w:spacing w:after="0"/>
              <w:rPr>
                <w:sz w:val="1"/>
                <w:szCs w:val="1"/>
                <w:color w:val="auto"/>
              </w:rPr>
            </w:pPr>
          </w:p>
        </w:tc>
      </w:tr>
      <w:tr>
        <w:trPr>
          <w:trHeight w:val="149"/>
        </w:trPr>
        <w:tc>
          <w:tcPr>
            <w:tcW w:w="100" w:type="dxa"/>
            <w:vAlign w:val="bottom"/>
            <w:tcBorders>
              <w:left w:val="single" w:sz="8" w:color="auto"/>
            </w:tcBorders>
          </w:tcPr>
          <w:p>
            <w:pPr>
              <w:spacing w:after="0"/>
              <w:rPr>
                <w:sz w:val="12"/>
                <w:szCs w:val="12"/>
                <w:color w:val="auto"/>
              </w:rPr>
            </w:pPr>
          </w:p>
        </w:tc>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Title</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2"/>
                <w:szCs w:val="12"/>
                <w:color w:val="auto"/>
              </w:rPr>
            </w:pPr>
          </w:p>
        </w:tc>
        <w:tc>
          <w:tcPr>
            <w:tcW w:w="86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right w:val="single" w:sz="8" w:color="auto"/>
            </w:tcBorders>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Financial</w:t>
            </w:r>
          </w:p>
        </w:tc>
        <w:tc>
          <w:tcPr>
            <w:tcW w:w="8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91"/>
        </w:trPr>
        <w:tc>
          <w:tcPr>
            <w:tcW w:w="100" w:type="dxa"/>
            <w:vAlign w:val="bottom"/>
            <w:tcBorders>
              <w:left w:val="single" w:sz="8" w:color="auto"/>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8"/>
              </w:rPr>
              <w:t>Salary (1)</w:t>
            </w:r>
          </w:p>
        </w:tc>
        <w:tc>
          <w:tcPr>
            <w:tcW w:w="20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right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93"/>
              </w:rPr>
              <w:t>Bonus Amount</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Stock (2)</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Range (3)</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Goals</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7"/>
              </w:rPr>
              <w:t>Goals</w:t>
            </w:r>
          </w:p>
        </w:tc>
        <w:tc>
          <w:tcPr>
            <w:tcW w:w="0" w:type="dxa"/>
            <w:vAlign w:val="bottom"/>
          </w:tcPr>
          <w:p>
            <w:pPr>
              <w:spacing w:after="0"/>
              <w:rPr>
                <w:sz w:val="1"/>
                <w:szCs w:val="1"/>
                <w:color w:val="auto"/>
              </w:rPr>
            </w:pPr>
          </w:p>
        </w:tc>
      </w:tr>
      <w:tr>
        <w:trPr>
          <w:trHeight w:val="185"/>
        </w:trPr>
        <w:tc>
          <w:tcPr>
            <w:tcW w:w="100" w:type="dxa"/>
            <w:vAlign w:val="bottom"/>
            <w:tcBorders>
              <w:left w:val="single" w:sz="8" w:color="auto"/>
            </w:tcBorders>
          </w:tcPr>
          <w:p>
            <w:pPr>
              <w:spacing w:after="0"/>
              <w:rPr>
                <w:sz w:val="16"/>
                <w:szCs w:val="16"/>
                <w:color w:val="auto"/>
              </w:rPr>
            </w:pPr>
          </w:p>
        </w:tc>
        <w:tc>
          <w:tcPr>
            <w:tcW w:w="1520" w:type="dxa"/>
            <w:vAlign w:val="bottom"/>
          </w:tcPr>
          <w:p>
            <w:pPr>
              <w:spacing w:after="0" w:line="185" w:lineRule="exact"/>
              <w:rPr>
                <w:sz w:val="20"/>
                <w:szCs w:val="20"/>
                <w:color w:val="auto"/>
              </w:rPr>
            </w:pPr>
            <w:r>
              <w:rPr>
                <w:rFonts w:ascii="Arial" w:cs="Arial" w:eastAsia="Arial" w:hAnsi="Arial"/>
                <w:sz w:val="18"/>
                <w:szCs w:val="18"/>
                <w:b w:val="1"/>
                <w:bCs w:val="1"/>
                <w:color w:val="auto"/>
              </w:rPr>
              <w:t>Andrew C.</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line="185" w:lineRule="exact"/>
              <w:rPr>
                <w:sz w:val="20"/>
                <w:szCs w:val="20"/>
                <w:color w:val="auto"/>
              </w:rPr>
            </w:pPr>
            <w:r>
              <w:rPr>
                <w:rFonts w:ascii="Arial" w:cs="Arial" w:eastAsia="Arial" w:hAnsi="Arial"/>
                <w:sz w:val="18"/>
                <w:szCs w:val="18"/>
                <w:color w:val="auto"/>
                <w:w w:val="96"/>
              </w:rPr>
              <w:t>President &amp; Chief Executive</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85" w:lineRule="exact"/>
              <w:rPr>
                <w:sz w:val="20"/>
                <w:szCs w:val="20"/>
                <w:color w:val="auto"/>
              </w:rPr>
            </w:pPr>
            <w:r>
              <w:rPr>
                <w:rFonts w:ascii="Arial" w:cs="Arial" w:eastAsia="Arial" w:hAnsi="Arial"/>
                <w:sz w:val="18"/>
                <w:szCs w:val="18"/>
                <w:color w:val="auto"/>
              </w:rPr>
              <w:t>382,418</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line="185"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85" w:lineRule="exact"/>
              <w:rPr>
                <w:sz w:val="20"/>
                <w:szCs w:val="20"/>
                <w:color w:val="auto"/>
              </w:rPr>
            </w:pPr>
            <w:r>
              <w:rPr>
                <w:rFonts w:ascii="Arial" w:cs="Arial" w:eastAsia="Arial" w:hAnsi="Arial"/>
                <w:sz w:val="18"/>
                <w:szCs w:val="18"/>
                <w:color w:val="auto"/>
              </w:rPr>
              <w:t>302,310</w:t>
            </w:r>
          </w:p>
        </w:tc>
        <w:tc>
          <w:tcPr>
            <w:tcW w:w="3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5" w:lineRule="exact"/>
              <w:rPr>
                <w:sz w:val="20"/>
                <w:szCs w:val="20"/>
                <w:color w:val="auto"/>
              </w:rPr>
            </w:pPr>
            <w:r>
              <w:rPr>
                <w:rFonts w:ascii="Arial" w:cs="Arial" w:eastAsia="Arial" w:hAnsi="Arial"/>
                <w:sz w:val="18"/>
                <w:szCs w:val="18"/>
                <w:color w:val="auto"/>
              </w:rPr>
              <w:t>15,920</w:t>
            </w:r>
          </w:p>
        </w:tc>
        <w:tc>
          <w:tcPr>
            <w:tcW w:w="3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spacing w:after="0" w:line="185" w:lineRule="exact"/>
              <w:rPr>
                <w:sz w:val="20"/>
                <w:szCs w:val="20"/>
                <w:color w:val="auto"/>
              </w:rPr>
            </w:pPr>
            <w:r>
              <w:rPr>
                <w:rFonts w:ascii="Arial" w:cs="Arial" w:eastAsia="Arial" w:hAnsi="Arial"/>
                <w:sz w:val="18"/>
                <w:szCs w:val="18"/>
                <w:color w:val="auto"/>
                <w:w w:val="90"/>
              </w:rPr>
              <w:t>0-100%</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85" w:lineRule="exact"/>
              <w:rPr>
                <w:sz w:val="20"/>
                <w:szCs w:val="20"/>
                <w:color w:val="auto"/>
              </w:rPr>
            </w:pPr>
            <w:r>
              <w:rPr>
                <w:rFonts w:ascii="Arial" w:cs="Arial" w:eastAsia="Arial" w:hAnsi="Arial"/>
                <w:sz w:val="18"/>
                <w:szCs w:val="18"/>
                <w:color w:val="auto"/>
              </w:rPr>
              <w:t>75%</w:t>
            </w:r>
          </w:p>
        </w:tc>
        <w:tc>
          <w:tcPr>
            <w:tcW w:w="4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line="185" w:lineRule="exact"/>
              <w:rPr>
                <w:sz w:val="20"/>
                <w:szCs w:val="20"/>
                <w:color w:val="auto"/>
              </w:rPr>
            </w:pPr>
            <w:r>
              <w:rPr>
                <w:rFonts w:ascii="Arial" w:cs="Arial" w:eastAsia="Arial" w:hAnsi="Arial"/>
                <w:sz w:val="18"/>
                <w:szCs w:val="18"/>
                <w:color w:val="auto"/>
              </w:rPr>
              <w:t>25%</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0" w:type="dxa"/>
            <w:vAlign w:val="bottom"/>
            <w:tcBorders>
              <w:left w:val="single" w:sz="8" w:color="auto"/>
              <w:bottom w:val="single" w:sz="8" w:color="auto"/>
            </w:tcBorders>
          </w:tcPr>
          <w:p>
            <w:pPr>
              <w:spacing w:after="0"/>
              <w:rPr>
                <w:sz w:val="20"/>
                <w:szCs w:val="20"/>
                <w:color w:val="auto"/>
              </w:rPr>
            </w:pPr>
          </w:p>
        </w:tc>
        <w:tc>
          <w:tcPr>
            <w:tcW w:w="15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Florance</w:t>
            </w:r>
          </w:p>
        </w:tc>
        <w:tc>
          <w:tcPr>
            <w:tcW w:w="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Officer</w:t>
            </w:r>
          </w:p>
        </w:tc>
        <w:tc>
          <w:tcPr>
            <w:tcW w:w="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0" w:type="dxa"/>
            <w:vAlign w:val="bottom"/>
            <w:tcBorders>
              <w:left w:val="single" w:sz="8" w:color="auto"/>
            </w:tcBorders>
          </w:tcPr>
          <w:p>
            <w:pPr>
              <w:spacing w:after="0"/>
              <w:rPr>
                <w:sz w:val="16"/>
                <w:szCs w:val="16"/>
                <w:color w:val="auto"/>
              </w:rPr>
            </w:pPr>
          </w:p>
        </w:tc>
        <w:tc>
          <w:tcPr>
            <w:tcW w:w="1520" w:type="dxa"/>
            <w:vAlign w:val="bottom"/>
          </w:tcPr>
          <w:p>
            <w:pPr>
              <w:spacing w:after="0" w:line="195" w:lineRule="exact"/>
              <w:rPr>
                <w:sz w:val="20"/>
                <w:szCs w:val="20"/>
                <w:color w:val="auto"/>
              </w:rPr>
            </w:pPr>
            <w:r>
              <w:rPr>
                <w:rFonts w:ascii="Arial" w:cs="Arial" w:eastAsia="Arial" w:hAnsi="Arial"/>
                <w:sz w:val="18"/>
                <w:szCs w:val="18"/>
                <w:b w:val="1"/>
                <w:bCs w:val="1"/>
                <w:color w:val="auto"/>
                <w:w w:val="97"/>
              </w:rPr>
              <w:t>Frank A. Carchedi</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line="195" w:lineRule="exact"/>
              <w:rPr>
                <w:sz w:val="20"/>
                <w:szCs w:val="20"/>
                <w:color w:val="auto"/>
              </w:rPr>
            </w:pPr>
            <w:r>
              <w:rPr>
                <w:rFonts w:ascii="Arial" w:cs="Arial" w:eastAsia="Arial" w:hAnsi="Arial"/>
                <w:sz w:val="18"/>
                <w:szCs w:val="18"/>
                <w:color w:val="auto"/>
              </w:rPr>
              <w:t>Chief Financial Officer &amp;</w:t>
            </w:r>
          </w:p>
        </w:tc>
        <w:tc>
          <w:tcPr>
            <w:tcW w:w="100" w:type="dxa"/>
            <w:vAlign w:val="bottom"/>
            <w:tcBorders>
              <w:right w:val="single" w:sz="8" w:color="auto"/>
            </w:tcBorders>
          </w:tcPr>
          <w:p>
            <w:pPr>
              <w:spacing w:after="0"/>
              <w:rPr>
                <w:sz w:val="16"/>
                <w:szCs w:val="16"/>
                <w:color w:val="auto"/>
              </w:rPr>
            </w:pPr>
          </w:p>
        </w:tc>
        <w:tc>
          <w:tcPr>
            <w:tcW w:w="2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213,637</w:t>
            </w:r>
          </w:p>
        </w:tc>
        <w:tc>
          <w:tcPr>
            <w:tcW w:w="200" w:type="dxa"/>
            <w:vAlign w:val="bottom"/>
            <w:tcBorders>
              <w:right w:val="single" w:sz="8" w:color="auto"/>
            </w:tcBorders>
          </w:tcPr>
          <w:p>
            <w:pPr>
              <w:spacing w:after="0"/>
              <w:rPr>
                <w:sz w:val="16"/>
                <w:szCs w:val="16"/>
                <w:color w:val="auto"/>
              </w:rPr>
            </w:pPr>
          </w:p>
        </w:tc>
        <w:tc>
          <w:tcPr>
            <w:tcW w:w="2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gridSpan w:val="2"/>
          </w:tcPr>
          <w:p>
            <w:pPr>
              <w:jc w:val="right"/>
              <w:ind w:right="300"/>
              <w:spacing w:after="0" w:line="195" w:lineRule="exact"/>
              <w:rPr>
                <w:sz w:val="20"/>
                <w:szCs w:val="20"/>
                <w:color w:val="auto"/>
              </w:rPr>
            </w:pPr>
            <w:r>
              <w:rPr>
                <w:rFonts w:ascii="Arial" w:cs="Arial" w:eastAsia="Arial" w:hAnsi="Arial"/>
                <w:sz w:val="18"/>
                <w:szCs w:val="18"/>
                <w:color w:val="auto"/>
              </w:rPr>
              <w:t>142,150</w:t>
            </w:r>
          </w:p>
        </w:tc>
        <w:tc>
          <w:tcPr>
            <w:tcW w:w="10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320"/>
              <w:spacing w:after="0" w:line="195" w:lineRule="exact"/>
              <w:rPr>
                <w:sz w:val="20"/>
                <w:szCs w:val="20"/>
                <w:color w:val="auto"/>
              </w:rPr>
            </w:pPr>
            <w:r>
              <w:rPr>
                <w:rFonts w:ascii="Arial" w:cs="Arial" w:eastAsia="Arial" w:hAnsi="Arial"/>
                <w:sz w:val="18"/>
                <w:szCs w:val="18"/>
                <w:color w:val="auto"/>
              </w:rPr>
              <w:t>4,342</w:t>
            </w:r>
          </w:p>
        </w:tc>
        <w:tc>
          <w:tcPr>
            <w:tcW w:w="860" w:type="dxa"/>
            <w:vAlign w:val="bottom"/>
            <w:gridSpan w:val="2"/>
          </w:tcPr>
          <w:p>
            <w:pPr>
              <w:jc w:val="center"/>
              <w:ind w:left="10"/>
              <w:spacing w:after="0" w:line="195" w:lineRule="exact"/>
              <w:rPr>
                <w:sz w:val="20"/>
                <w:szCs w:val="20"/>
                <w:color w:val="auto"/>
              </w:rPr>
            </w:pPr>
            <w:r>
              <w:rPr>
                <w:rFonts w:ascii="Arial" w:cs="Arial" w:eastAsia="Arial" w:hAnsi="Arial"/>
                <w:sz w:val="18"/>
                <w:szCs w:val="18"/>
                <w:color w:val="auto"/>
                <w:w w:val="90"/>
              </w:rPr>
              <w:t>50-80%</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400"/>
              <w:spacing w:after="0" w:line="195" w:lineRule="exact"/>
              <w:rPr>
                <w:sz w:val="20"/>
                <w:szCs w:val="20"/>
                <w:color w:val="auto"/>
              </w:rPr>
            </w:pPr>
            <w:r>
              <w:rPr>
                <w:rFonts w:ascii="Arial" w:cs="Arial" w:eastAsia="Arial" w:hAnsi="Arial"/>
                <w:sz w:val="18"/>
                <w:szCs w:val="18"/>
                <w:color w:val="auto"/>
              </w:rPr>
              <w:t>60%</w:t>
            </w:r>
          </w:p>
        </w:tc>
        <w:tc>
          <w:tcPr>
            <w:tcW w:w="8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40"/>
              <w:spacing w:after="0" w:line="195"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Treasurer</w:t>
            </w:r>
          </w:p>
        </w:tc>
        <w:tc>
          <w:tcPr>
            <w:tcW w:w="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00" w:type="dxa"/>
            <w:vAlign w:val="bottom"/>
            <w:tcBorders>
              <w:left w:val="single" w:sz="8" w:color="auto"/>
            </w:tcBorders>
          </w:tcPr>
          <w:p>
            <w:pPr>
              <w:spacing w:after="0"/>
              <w:rPr>
                <w:sz w:val="16"/>
                <w:szCs w:val="16"/>
                <w:color w:val="auto"/>
              </w:rPr>
            </w:pPr>
          </w:p>
        </w:tc>
        <w:tc>
          <w:tcPr>
            <w:tcW w:w="1520" w:type="dxa"/>
            <w:vAlign w:val="bottom"/>
          </w:tcPr>
          <w:p>
            <w:pPr>
              <w:spacing w:after="0" w:line="191" w:lineRule="exact"/>
              <w:rPr>
                <w:sz w:val="20"/>
                <w:szCs w:val="20"/>
                <w:color w:val="auto"/>
              </w:rPr>
            </w:pPr>
            <w:r>
              <w:rPr>
                <w:rFonts w:ascii="Arial" w:cs="Arial" w:eastAsia="Arial" w:hAnsi="Arial"/>
                <w:sz w:val="18"/>
                <w:szCs w:val="18"/>
                <w:b w:val="1"/>
                <w:bCs w:val="1"/>
                <w:color w:val="auto"/>
              </w:rPr>
              <w:t>Christopher Tully</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line="191" w:lineRule="exact"/>
              <w:rPr>
                <w:sz w:val="20"/>
                <w:szCs w:val="20"/>
                <w:color w:val="auto"/>
              </w:rPr>
            </w:pPr>
            <w:r>
              <w:rPr>
                <w:rFonts w:ascii="Arial" w:cs="Arial" w:eastAsia="Arial" w:hAnsi="Arial"/>
                <w:sz w:val="18"/>
                <w:szCs w:val="18"/>
                <w:color w:val="auto"/>
              </w:rPr>
              <w:t>Sr. Vice President Sales &amp;</w:t>
            </w:r>
          </w:p>
        </w:tc>
        <w:tc>
          <w:tcPr>
            <w:tcW w:w="100" w:type="dxa"/>
            <w:vAlign w:val="bottom"/>
            <w:tcBorders>
              <w:right w:val="single" w:sz="8" w:color="auto"/>
            </w:tcBorders>
          </w:tcPr>
          <w:p>
            <w:pPr>
              <w:spacing w:after="0"/>
              <w:rPr>
                <w:sz w:val="16"/>
                <w:szCs w:val="16"/>
                <w:color w:val="auto"/>
              </w:rPr>
            </w:pPr>
          </w:p>
        </w:tc>
        <w:tc>
          <w:tcPr>
            <w:tcW w:w="20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1" w:lineRule="exact"/>
              <w:rPr>
                <w:sz w:val="20"/>
                <w:szCs w:val="20"/>
                <w:color w:val="auto"/>
              </w:rPr>
            </w:pPr>
            <w:r>
              <w:rPr>
                <w:rFonts w:ascii="Arial" w:cs="Arial" w:eastAsia="Arial" w:hAnsi="Arial"/>
                <w:sz w:val="18"/>
                <w:szCs w:val="18"/>
                <w:color w:val="auto"/>
              </w:rPr>
              <w:t>229,500</w:t>
            </w:r>
          </w:p>
        </w:tc>
        <w:tc>
          <w:tcPr>
            <w:tcW w:w="200" w:type="dxa"/>
            <w:vAlign w:val="bottom"/>
            <w:tcBorders>
              <w:right w:val="single" w:sz="8" w:color="auto"/>
            </w:tcBorders>
          </w:tcPr>
          <w:p>
            <w:pPr>
              <w:spacing w:after="0"/>
              <w:rPr>
                <w:sz w:val="16"/>
                <w:szCs w:val="16"/>
                <w:color w:val="auto"/>
              </w:rPr>
            </w:pPr>
          </w:p>
        </w:tc>
        <w:tc>
          <w:tcPr>
            <w:tcW w:w="22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gridSpan w:val="2"/>
          </w:tcPr>
          <w:p>
            <w:pPr>
              <w:jc w:val="right"/>
              <w:ind w:right="100"/>
              <w:spacing w:after="0" w:line="191" w:lineRule="exact"/>
              <w:rPr>
                <w:sz w:val="20"/>
                <w:szCs w:val="20"/>
                <w:color w:val="auto"/>
              </w:rPr>
            </w:pPr>
            <w:r>
              <w:rPr>
                <w:rFonts w:ascii="Arial" w:cs="Arial" w:eastAsia="Arial" w:hAnsi="Arial"/>
                <w:sz w:val="18"/>
                <w:szCs w:val="18"/>
                <w:color w:val="auto"/>
              </w:rPr>
              <w:t>6,563(6)</w:t>
            </w:r>
          </w:p>
        </w:tc>
        <w:tc>
          <w:tcPr>
            <w:tcW w:w="10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100"/>
              <w:spacing w:after="0" w:line="191" w:lineRule="exact"/>
              <w:rPr>
                <w:sz w:val="20"/>
                <w:szCs w:val="20"/>
                <w:color w:val="auto"/>
              </w:rPr>
            </w:pPr>
            <w:r>
              <w:rPr>
                <w:rFonts w:ascii="Arial" w:cs="Arial" w:eastAsia="Arial" w:hAnsi="Arial"/>
                <w:sz w:val="18"/>
                <w:szCs w:val="18"/>
                <w:color w:val="auto"/>
              </w:rPr>
              <w:t>172(6)</w:t>
            </w:r>
          </w:p>
        </w:tc>
        <w:tc>
          <w:tcPr>
            <w:tcW w:w="860" w:type="dxa"/>
            <w:vAlign w:val="bottom"/>
            <w:gridSpan w:val="2"/>
          </w:tcPr>
          <w:p>
            <w:pPr>
              <w:jc w:val="center"/>
              <w:ind w:left="10"/>
              <w:spacing w:after="0" w:line="191" w:lineRule="exact"/>
              <w:rPr>
                <w:sz w:val="20"/>
                <w:szCs w:val="20"/>
                <w:color w:val="auto"/>
              </w:rPr>
            </w:pPr>
            <w:r>
              <w:rPr>
                <w:rFonts w:ascii="Arial" w:cs="Arial" w:eastAsia="Arial" w:hAnsi="Arial"/>
                <w:sz w:val="18"/>
                <w:szCs w:val="18"/>
                <w:color w:val="auto"/>
                <w:w w:val="92"/>
              </w:rPr>
              <w:t>0-35%</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80"/>
              <w:spacing w:after="0" w:line="191" w:lineRule="exact"/>
              <w:rPr>
                <w:sz w:val="20"/>
                <w:szCs w:val="20"/>
                <w:color w:val="auto"/>
              </w:rPr>
            </w:pPr>
            <w:r>
              <w:rPr>
                <w:rFonts w:ascii="Arial" w:cs="Arial" w:eastAsia="Arial" w:hAnsi="Arial"/>
                <w:sz w:val="18"/>
                <w:szCs w:val="18"/>
                <w:color w:val="auto"/>
              </w:rPr>
              <w:t>0%(5)</w:t>
            </w:r>
          </w:p>
        </w:tc>
        <w:tc>
          <w:tcPr>
            <w:tcW w:w="8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40"/>
              <w:spacing w:after="0" w:line="19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4"/>
        </w:trPr>
        <w:tc>
          <w:tcPr>
            <w:tcW w:w="1620" w:type="dxa"/>
            <w:vAlign w:val="bottom"/>
            <w:tcBorders>
              <w:left w:val="single" w:sz="8" w:color="auto"/>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Customer Service</w:t>
            </w:r>
          </w:p>
        </w:tc>
        <w:tc>
          <w:tcPr>
            <w:tcW w:w="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David Schaffel</w:t>
            </w:r>
          </w:p>
        </w:tc>
        <w:tc>
          <w:tcPr>
            <w:tcW w:w="1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Information Officer</w:t>
            </w:r>
          </w:p>
        </w:tc>
        <w:tc>
          <w:tcPr>
            <w:tcW w:w="10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182,946</w:t>
            </w:r>
          </w:p>
        </w:tc>
        <w:tc>
          <w:tcPr>
            <w:tcW w:w="2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89,714</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3,308</w:t>
            </w:r>
          </w:p>
        </w:tc>
        <w:tc>
          <w:tcPr>
            <w:tcW w:w="86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92"/>
              </w:rPr>
              <w:t>0-75%</w:t>
            </w:r>
          </w:p>
        </w:tc>
        <w:tc>
          <w:tcPr>
            <w:tcW w:w="1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7"/>
        </w:trPr>
        <w:tc>
          <w:tcPr>
            <w:tcW w:w="10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Craig Farrington</w:t>
            </w:r>
          </w:p>
        </w:tc>
        <w:tc>
          <w:tcPr>
            <w:tcW w:w="1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Research</w:t>
            </w:r>
          </w:p>
        </w:tc>
        <w:tc>
          <w:tcPr>
            <w:tcW w:w="10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171,569</w:t>
            </w:r>
          </w:p>
        </w:tc>
        <w:tc>
          <w:tcPr>
            <w:tcW w:w="2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93,724</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2,068</w:t>
            </w:r>
          </w:p>
        </w:tc>
        <w:tc>
          <w:tcPr>
            <w:tcW w:w="86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92"/>
              </w:rPr>
              <w:t>0-75%</w:t>
            </w:r>
          </w:p>
        </w:tc>
        <w:tc>
          <w:tcPr>
            <w:tcW w:w="1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800" w:hanging="454"/>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salary increases will be effective as of April 1, 2005.</w:t>
      </w:r>
    </w:p>
    <w:p>
      <w:pPr>
        <w:spacing w:after="0" w:line="225" w:lineRule="exact"/>
        <w:rPr>
          <w:rFonts w:ascii="Arial" w:cs="Arial" w:eastAsia="Arial" w:hAnsi="Arial"/>
          <w:sz w:val="18"/>
          <w:szCs w:val="18"/>
          <w:color w:val="auto"/>
        </w:rPr>
      </w:pPr>
    </w:p>
    <w:p>
      <w:pPr>
        <w:ind w:left="800" w:right="140" w:hanging="454"/>
        <w:spacing w:after="0" w:line="259"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shares of restricted stock were granted to the executives under the Company’s 1998 Stock Incentive Plan, as amended. The shares vest over a four-year period, where one quarter of the shares vest on each of March 10, 2006, 2007, 2008 and 2009. A form of restricted stock agreement has been filed as an exhibit to the Company’s Annual Report of Form 10-K for the year ended December 31, 2004 and is incorporated by reference herein.</w:t>
      </w:r>
    </w:p>
    <w:p>
      <w:pPr>
        <w:spacing w:after="0" w:line="186" w:lineRule="exact"/>
        <w:rPr>
          <w:rFonts w:ascii="Arial" w:cs="Arial" w:eastAsia="Arial" w:hAnsi="Arial"/>
          <w:sz w:val="18"/>
          <w:szCs w:val="18"/>
          <w:color w:val="auto"/>
        </w:rPr>
      </w:pPr>
    </w:p>
    <w:p>
      <w:pPr>
        <w:ind w:left="800" w:hanging="454"/>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bonus range represents a percentage of the executive’s base salary.</w:t>
      </w:r>
    </w:p>
    <w:p>
      <w:pPr>
        <w:spacing w:after="0" w:line="225" w:lineRule="exact"/>
        <w:rPr>
          <w:rFonts w:ascii="Arial" w:cs="Arial" w:eastAsia="Arial" w:hAnsi="Arial"/>
          <w:sz w:val="18"/>
          <w:szCs w:val="18"/>
          <w:color w:val="auto"/>
        </w:rPr>
      </w:pPr>
    </w:p>
    <w:p>
      <w:pPr>
        <w:ind w:left="800" w:right="40" w:hanging="454"/>
        <w:spacing w:after="0" w:line="297"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table sets forth the break down for each executive officer of the percentage of such officer’s bonus that is based on achievement of corporate/financial goals and the percentage of such officer’s bonus that is based on achievement of individual/team performance goals. The criteria that the Committee uses to determine bonuses include, without limitation, the level of achievement of goals based on the following criteria: Company revenues, Company earnings, research, data quality, new and enhanced products, software development, management, customer service, accounts receivable, human resources, investor relations, financial reporting and sales. The criteria differ for each of the executive officers.</w:t>
      </w:r>
    </w:p>
    <w:p>
      <w:pPr>
        <w:spacing w:after="0" w:line="158" w:lineRule="exact"/>
        <w:rPr>
          <w:rFonts w:ascii="Arial" w:cs="Arial" w:eastAsia="Arial" w:hAnsi="Arial"/>
          <w:sz w:val="16"/>
          <w:szCs w:val="16"/>
          <w:color w:val="auto"/>
        </w:rPr>
      </w:pPr>
    </w:p>
    <w:p>
      <w:pPr>
        <w:ind w:left="800" w:hanging="454"/>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Tully also has the ability to earn monthly commissions based on the Company’s monthly net new revenue amounts.</w:t>
      </w:r>
    </w:p>
    <w:p>
      <w:pPr>
        <w:spacing w:after="0" w:line="225" w:lineRule="exact"/>
        <w:rPr>
          <w:rFonts w:ascii="Arial" w:cs="Arial" w:eastAsia="Arial" w:hAnsi="Arial"/>
          <w:sz w:val="18"/>
          <w:szCs w:val="18"/>
          <w:color w:val="auto"/>
        </w:rPr>
      </w:pPr>
    </w:p>
    <w:p>
      <w:pPr>
        <w:ind w:left="800" w:right="200" w:hanging="454"/>
        <w:spacing w:after="0" w:line="277"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Tully joined the Company in December 2004. His 2004 bonus amount and his restricted stock grant have been pro rated to reflect one month of employment with the Company.</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intends to provide additional information regarding executive compensation in its proxy statement for the Company’s 2005 Annual Meeting of Stockholders.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860" w:type="dxa"/>
            <w:vAlign w:val="bottom"/>
          </w:tcPr>
          <w:p>
            <w:pPr>
              <w:ind w:left="1940"/>
              <w:spacing w:after="0"/>
              <w:rPr>
                <w:sz w:val="20"/>
                <w:szCs w:val="20"/>
                <w:color w:val="auto"/>
              </w:rPr>
            </w:pPr>
            <w:r>
              <w:rPr>
                <w:rFonts w:ascii="Arial" w:cs="Arial" w:eastAsia="Arial" w:hAnsi="Arial"/>
                <w:sz w:val="18"/>
                <w:szCs w:val="18"/>
                <w:color w:val="auto"/>
              </w:rPr>
              <w:t>COSTAR</w:t>
            </w:r>
          </w:p>
        </w:tc>
        <w:tc>
          <w:tcPr>
            <w:tcW w:w="5040" w:type="dxa"/>
            <w:vAlign w:val="bottom"/>
          </w:tcPr>
          <w:p>
            <w:pPr>
              <w:spacing w:after="0"/>
              <w:rPr>
                <w:sz w:val="20"/>
                <w:szCs w:val="20"/>
                <w:color w:val="auto"/>
              </w:rPr>
            </w:pPr>
            <w:r>
              <w:rPr>
                <w:rFonts w:ascii="Arial" w:cs="Arial" w:eastAsia="Arial" w:hAnsi="Arial"/>
                <w:sz w:val="18"/>
                <w:szCs w:val="18"/>
                <w:color w:val="auto"/>
              </w:rPr>
              <w:t>GROUP, INC.</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March 16, 2005</w:t>
            </w:r>
          </w:p>
        </w:tc>
        <w:tc>
          <w:tcPr>
            <w:tcW w:w="286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Frank A. Carchedi</w:t>
            </w:r>
          </w:p>
        </w:tc>
      </w:tr>
      <w:tr>
        <w:trPr>
          <w:trHeight w:val="209"/>
        </w:trPr>
        <w:tc>
          <w:tcPr>
            <w:tcW w:w="35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Name: Frank A. Carchedi</w:t>
            </w:r>
          </w:p>
        </w:tc>
      </w:tr>
      <w:tr>
        <w:trPr>
          <w:trHeight w:val="230"/>
        </w:trPr>
        <w:tc>
          <w:tcPr>
            <w:tcW w:w="35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392"/>
        </w:trPr>
        <w:tc>
          <w:tcPr>
            <w:tcW w:w="3520" w:type="dxa"/>
            <w:vAlign w:val="bottom"/>
          </w:tcPr>
          <w:p>
            <w:pPr>
              <w:spacing w:after="0"/>
              <w:rPr>
                <w:sz w:val="24"/>
                <w:szCs w:val="24"/>
                <w:color w:val="auto"/>
              </w:rPr>
            </w:pPr>
          </w:p>
        </w:tc>
        <w:tc>
          <w:tcPr>
            <w:tcW w:w="2860" w:type="dxa"/>
            <w:vAlign w:val="bottom"/>
          </w:tcPr>
          <w:p>
            <w:pPr>
              <w:jc w:val="right"/>
              <w:ind w:right="530"/>
              <w:spacing w:after="0"/>
              <w:rPr>
                <w:sz w:val="20"/>
                <w:szCs w:val="20"/>
                <w:color w:val="auto"/>
              </w:rPr>
            </w:pPr>
            <w:r>
              <w:rPr>
                <w:rFonts w:ascii="Arial" w:cs="Arial" w:eastAsia="Arial" w:hAnsi="Arial"/>
                <w:sz w:val="18"/>
                <w:szCs w:val="18"/>
                <w:color w:val="auto"/>
              </w:rPr>
              <w:t>3</w:t>
            </w:r>
          </w:p>
        </w:tc>
        <w:tc>
          <w:tcPr>
            <w:tcW w:w="5040" w:type="dxa"/>
            <w:vAlign w:val="bottom"/>
          </w:tcPr>
          <w:p>
            <w:pPr>
              <w:spacing w:after="0"/>
              <w:rPr>
                <w:sz w:val="24"/>
                <w:szCs w:val="24"/>
                <w:color w:val="auto"/>
              </w:rPr>
            </w:pPr>
          </w:p>
        </w:tc>
      </w:tr>
      <w:tr>
        <w:trPr>
          <w:trHeight w:val="226"/>
        </w:trPr>
        <w:tc>
          <w:tcPr>
            <w:tcW w:w="352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5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Exhibit Index</w:t>
      </w:r>
    </w:p>
    <w:p>
      <w:pPr>
        <w:spacing w:after="0" w:line="200" w:lineRule="exact"/>
        <w:rPr>
          <w:sz w:val="20"/>
          <w:szCs w:val="20"/>
          <w:color w:val="auto"/>
        </w:rPr>
      </w:pPr>
    </w:p>
    <w:p>
      <w:pPr>
        <w:spacing w:after="0" w:line="21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6"/>
          <w:szCs w:val="16"/>
          <w:color w:val="auto"/>
        </w:rPr>
        <w:t>2005 Summary Sheet regarding Compensation for Executive Officers (filed herewith).</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935" w:right="1440" w:bottom="1440" w:gutter="0" w:footer="0" w:header="0"/>
        </w:sectPr>
      </w:pPr>
    </w:p>
    <w:bookmarkStart w:id="5" w:name="page6"/>
    <w:bookmarkEnd w:id="5"/>
    <w:p>
      <w:pPr>
        <w:ind w:left="10480"/>
        <w:spacing w:after="0"/>
        <w:rPr>
          <w:sz w:val="20"/>
          <w:szCs w:val="20"/>
          <w:color w:val="auto"/>
        </w:rPr>
      </w:pPr>
      <w:r>
        <w:rPr>
          <w:rFonts w:ascii="Arial" w:cs="Arial" w:eastAsia="Arial" w:hAnsi="Arial"/>
          <w:sz w:val="16"/>
          <w:szCs w:val="16"/>
          <w:b w:val="1"/>
          <w:bCs w:val="1"/>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Summary Sheet regarding Compensation for Executive Officers</w:t>
      </w: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100" w:type="dxa"/>
            <w:vAlign w:val="bottom"/>
            <w:tcBorders>
              <w:top w:val="single" w:sz="8" w:color="auto"/>
              <w:left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0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180" w:type="dxa"/>
            <w:vAlign w:val="bottom"/>
            <w:tcBorders>
              <w:top w:val="single" w:sz="8" w:color="auto"/>
            </w:tcBorders>
          </w:tcPr>
          <w:p>
            <w:pPr>
              <w:spacing w:after="0"/>
              <w:rPr>
                <w:sz w:val="15"/>
                <w:szCs w:val="15"/>
                <w:color w:val="auto"/>
              </w:rPr>
            </w:pPr>
          </w:p>
        </w:tc>
        <w:tc>
          <w:tcPr>
            <w:tcW w:w="10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0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2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20" w:type="dxa"/>
            <w:vAlign w:val="bottom"/>
            <w:tcBorders>
              <w:top w:val="single" w:sz="8" w:color="auto"/>
              <w:right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2005 Bonus Criteria (4)</w:t>
            </w:r>
          </w:p>
        </w:tc>
        <w:tc>
          <w:tcPr>
            <w:tcW w:w="0" w:type="dxa"/>
            <w:vAlign w:val="bottom"/>
          </w:tcPr>
          <w:p>
            <w:pPr>
              <w:spacing w:after="0"/>
              <w:rPr>
                <w:sz w:val="1"/>
                <w:szCs w:val="1"/>
                <w:color w:val="auto"/>
              </w:rPr>
            </w:pPr>
          </w:p>
        </w:tc>
      </w:tr>
      <w:tr>
        <w:trPr>
          <w:trHeight w:val="119"/>
        </w:trPr>
        <w:tc>
          <w:tcPr>
            <w:tcW w:w="100" w:type="dxa"/>
            <w:vAlign w:val="bottom"/>
            <w:tcBorders>
              <w:left w:val="single" w:sz="8" w:color="auto"/>
            </w:tcBorders>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Borders>
              <w:right w:val="single" w:sz="8" w:color="auto"/>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Shares of</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top w:val="single" w:sz="8" w:color="auto"/>
              <w:right w:val="single" w:sz="8" w:color="auto"/>
            </w:tcBorders>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Individual/</w:t>
            </w:r>
          </w:p>
        </w:tc>
        <w:tc>
          <w:tcPr>
            <w:tcW w:w="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Borders>
              <w:left w:val="single" w:sz="8" w:color="auto"/>
            </w:tcBorders>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0"/>
              </w:rPr>
              <w:t>2005 Base</w:t>
            </w: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2004</w:t>
            </w:r>
          </w:p>
        </w:tc>
        <w:tc>
          <w:tcPr>
            <w:tcW w:w="3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Bonus</w:t>
            </w:r>
          </w:p>
        </w:tc>
        <w:tc>
          <w:tcPr>
            <w:tcW w:w="100" w:type="dxa"/>
            <w:vAlign w:val="bottom"/>
          </w:tcPr>
          <w:p>
            <w:pPr>
              <w:spacing w:after="0"/>
              <w:rPr>
                <w:sz w:val="12"/>
                <w:szCs w:val="12"/>
                <w:color w:val="auto"/>
              </w:rPr>
            </w:pPr>
          </w:p>
        </w:tc>
        <w:tc>
          <w:tcPr>
            <w:tcW w:w="116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Team</w:t>
            </w:r>
          </w:p>
        </w:tc>
        <w:tc>
          <w:tcPr>
            <w:tcW w:w="0" w:type="dxa"/>
            <w:vAlign w:val="bottom"/>
          </w:tcPr>
          <w:p>
            <w:pPr>
              <w:spacing w:after="0"/>
              <w:rPr>
                <w:sz w:val="1"/>
                <w:szCs w:val="1"/>
                <w:color w:val="auto"/>
              </w:rPr>
            </w:pPr>
          </w:p>
        </w:tc>
      </w:tr>
      <w:tr>
        <w:trPr>
          <w:trHeight w:val="149"/>
        </w:trPr>
        <w:tc>
          <w:tcPr>
            <w:tcW w:w="100" w:type="dxa"/>
            <w:vAlign w:val="bottom"/>
            <w:tcBorders>
              <w:left w:val="single" w:sz="8" w:color="auto"/>
            </w:tcBorders>
          </w:tcPr>
          <w:p>
            <w:pPr>
              <w:spacing w:after="0"/>
              <w:rPr>
                <w:sz w:val="12"/>
                <w:szCs w:val="12"/>
                <w:color w:val="auto"/>
              </w:rPr>
            </w:pPr>
          </w:p>
        </w:tc>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Title</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2"/>
                <w:szCs w:val="12"/>
                <w:color w:val="auto"/>
              </w:rPr>
            </w:pPr>
          </w:p>
        </w:tc>
        <w:tc>
          <w:tcPr>
            <w:tcW w:w="86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right w:val="single" w:sz="8" w:color="auto"/>
            </w:tcBorders>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Financial</w:t>
            </w:r>
          </w:p>
        </w:tc>
        <w:tc>
          <w:tcPr>
            <w:tcW w:w="8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91"/>
        </w:trPr>
        <w:tc>
          <w:tcPr>
            <w:tcW w:w="100" w:type="dxa"/>
            <w:vAlign w:val="bottom"/>
            <w:tcBorders>
              <w:left w:val="single" w:sz="8" w:color="auto"/>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8"/>
              </w:rPr>
              <w:t>Salary (1)</w:t>
            </w:r>
          </w:p>
        </w:tc>
        <w:tc>
          <w:tcPr>
            <w:tcW w:w="20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right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93"/>
              </w:rPr>
              <w:t>Bonus Amount</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Stock (2)</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Range (3)</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Goals</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7"/>
              </w:rPr>
              <w:t>Goals</w:t>
            </w:r>
          </w:p>
        </w:tc>
        <w:tc>
          <w:tcPr>
            <w:tcW w:w="0" w:type="dxa"/>
            <w:vAlign w:val="bottom"/>
          </w:tcPr>
          <w:p>
            <w:pPr>
              <w:spacing w:after="0"/>
              <w:rPr>
                <w:sz w:val="1"/>
                <w:szCs w:val="1"/>
                <w:color w:val="auto"/>
              </w:rPr>
            </w:pPr>
          </w:p>
        </w:tc>
      </w:tr>
      <w:tr>
        <w:trPr>
          <w:trHeight w:val="185"/>
        </w:trPr>
        <w:tc>
          <w:tcPr>
            <w:tcW w:w="100" w:type="dxa"/>
            <w:vAlign w:val="bottom"/>
            <w:tcBorders>
              <w:left w:val="single" w:sz="8" w:color="auto"/>
            </w:tcBorders>
          </w:tcPr>
          <w:p>
            <w:pPr>
              <w:spacing w:after="0"/>
              <w:rPr>
                <w:sz w:val="16"/>
                <w:szCs w:val="16"/>
                <w:color w:val="auto"/>
              </w:rPr>
            </w:pPr>
          </w:p>
        </w:tc>
        <w:tc>
          <w:tcPr>
            <w:tcW w:w="1520" w:type="dxa"/>
            <w:vAlign w:val="bottom"/>
          </w:tcPr>
          <w:p>
            <w:pPr>
              <w:spacing w:after="0" w:line="185" w:lineRule="exact"/>
              <w:rPr>
                <w:sz w:val="20"/>
                <w:szCs w:val="20"/>
                <w:color w:val="auto"/>
              </w:rPr>
            </w:pPr>
            <w:r>
              <w:rPr>
                <w:rFonts w:ascii="Arial" w:cs="Arial" w:eastAsia="Arial" w:hAnsi="Arial"/>
                <w:sz w:val="18"/>
                <w:szCs w:val="18"/>
                <w:b w:val="1"/>
                <w:bCs w:val="1"/>
                <w:color w:val="auto"/>
              </w:rPr>
              <w:t>Andrew C.</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line="185" w:lineRule="exact"/>
              <w:rPr>
                <w:sz w:val="20"/>
                <w:szCs w:val="20"/>
                <w:color w:val="auto"/>
              </w:rPr>
            </w:pPr>
            <w:r>
              <w:rPr>
                <w:rFonts w:ascii="Arial" w:cs="Arial" w:eastAsia="Arial" w:hAnsi="Arial"/>
                <w:sz w:val="18"/>
                <w:szCs w:val="18"/>
                <w:color w:val="auto"/>
                <w:w w:val="96"/>
              </w:rPr>
              <w:t>President &amp; Chief Executive</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85" w:lineRule="exact"/>
              <w:rPr>
                <w:sz w:val="20"/>
                <w:szCs w:val="20"/>
                <w:color w:val="auto"/>
              </w:rPr>
            </w:pPr>
            <w:r>
              <w:rPr>
                <w:rFonts w:ascii="Arial" w:cs="Arial" w:eastAsia="Arial" w:hAnsi="Arial"/>
                <w:sz w:val="18"/>
                <w:szCs w:val="18"/>
                <w:color w:val="auto"/>
              </w:rPr>
              <w:t>382,418</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line="185"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85" w:lineRule="exact"/>
              <w:rPr>
                <w:sz w:val="20"/>
                <w:szCs w:val="20"/>
                <w:color w:val="auto"/>
              </w:rPr>
            </w:pPr>
            <w:r>
              <w:rPr>
                <w:rFonts w:ascii="Arial" w:cs="Arial" w:eastAsia="Arial" w:hAnsi="Arial"/>
                <w:sz w:val="18"/>
                <w:szCs w:val="18"/>
                <w:color w:val="auto"/>
              </w:rPr>
              <w:t>302,310</w:t>
            </w:r>
          </w:p>
        </w:tc>
        <w:tc>
          <w:tcPr>
            <w:tcW w:w="3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5" w:lineRule="exact"/>
              <w:rPr>
                <w:sz w:val="20"/>
                <w:szCs w:val="20"/>
                <w:color w:val="auto"/>
              </w:rPr>
            </w:pPr>
            <w:r>
              <w:rPr>
                <w:rFonts w:ascii="Arial" w:cs="Arial" w:eastAsia="Arial" w:hAnsi="Arial"/>
                <w:sz w:val="18"/>
                <w:szCs w:val="18"/>
                <w:color w:val="auto"/>
              </w:rPr>
              <w:t>15,920</w:t>
            </w:r>
          </w:p>
        </w:tc>
        <w:tc>
          <w:tcPr>
            <w:tcW w:w="3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spacing w:after="0" w:line="185" w:lineRule="exact"/>
              <w:rPr>
                <w:sz w:val="20"/>
                <w:szCs w:val="20"/>
                <w:color w:val="auto"/>
              </w:rPr>
            </w:pPr>
            <w:r>
              <w:rPr>
                <w:rFonts w:ascii="Arial" w:cs="Arial" w:eastAsia="Arial" w:hAnsi="Arial"/>
                <w:sz w:val="18"/>
                <w:szCs w:val="18"/>
                <w:color w:val="auto"/>
                <w:w w:val="90"/>
              </w:rPr>
              <w:t>0-100%</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85" w:lineRule="exact"/>
              <w:rPr>
                <w:sz w:val="20"/>
                <w:szCs w:val="20"/>
                <w:color w:val="auto"/>
              </w:rPr>
            </w:pPr>
            <w:r>
              <w:rPr>
                <w:rFonts w:ascii="Arial" w:cs="Arial" w:eastAsia="Arial" w:hAnsi="Arial"/>
                <w:sz w:val="18"/>
                <w:szCs w:val="18"/>
                <w:color w:val="auto"/>
              </w:rPr>
              <w:t>75%</w:t>
            </w:r>
          </w:p>
        </w:tc>
        <w:tc>
          <w:tcPr>
            <w:tcW w:w="4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line="185" w:lineRule="exact"/>
              <w:rPr>
                <w:sz w:val="20"/>
                <w:szCs w:val="20"/>
                <w:color w:val="auto"/>
              </w:rPr>
            </w:pPr>
            <w:r>
              <w:rPr>
                <w:rFonts w:ascii="Arial" w:cs="Arial" w:eastAsia="Arial" w:hAnsi="Arial"/>
                <w:sz w:val="18"/>
                <w:szCs w:val="18"/>
                <w:color w:val="auto"/>
              </w:rPr>
              <w:t>25%</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0" w:type="dxa"/>
            <w:vAlign w:val="bottom"/>
            <w:tcBorders>
              <w:left w:val="single" w:sz="8" w:color="auto"/>
              <w:bottom w:val="single" w:sz="8" w:color="auto"/>
            </w:tcBorders>
          </w:tcPr>
          <w:p>
            <w:pPr>
              <w:spacing w:after="0"/>
              <w:rPr>
                <w:sz w:val="20"/>
                <w:szCs w:val="20"/>
                <w:color w:val="auto"/>
              </w:rPr>
            </w:pPr>
          </w:p>
        </w:tc>
        <w:tc>
          <w:tcPr>
            <w:tcW w:w="15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Florance</w:t>
            </w:r>
          </w:p>
        </w:tc>
        <w:tc>
          <w:tcPr>
            <w:tcW w:w="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Officer</w:t>
            </w:r>
          </w:p>
        </w:tc>
        <w:tc>
          <w:tcPr>
            <w:tcW w:w="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0" w:type="dxa"/>
            <w:vAlign w:val="bottom"/>
            <w:tcBorders>
              <w:left w:val="single" w:sz="8" w:color="auto"/>
            </w:tcBorders>
          </w:tcPr>
          <w:p>
            <w:pPr>
              <w:spacing w:after="0"/>
              <w:rPr>
                <w:sz w:val="16"/>
                <w:szCs w:val="16"/>
                <w:color w:val="auto"/>
              </w:rPr>
            </w:pPr>
          </w:p>
        </w:tc>
        <w:tc>
          <w:tcPr>
            <w:tcW w:w="1520" w:type="dxa"/>
            <w:vAlign w:val="bottom"/>
            <w:vMerge w:val="restart"/>
          </w:tcPr>
          <w:p>
            <w:pPr>
              <w:spacing w:after="0"/>
              <w:rPr>
                <w:sz w:val="20"/>
                <w:szCs w:val="20"/>
                <w:color w:val="auto"/>
              </w:rPr>
            </w:pPr>
            <w:r>
              <w:rPr>
                <w:rFonts w:ascii="Arial" w:cs="Arial" w:eastAsia="Arial" w:hAnsi="Arial"/>
                <w:sz w:val="18"/>
                <w:szCs w:val="18"/>
                <w:b w:val="1"/>
                <w:bCs w:val="1"/>
                <w:color w:val="auto"/>
                <w:w w:val="97"/>
              </w:rPr>
              <w:t>Frank A. Carchedi</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line="195" w:lineRule="exact"/>
              <w:rPr>
                <w:sz w:val="20"/>
                <w:szCs w:val="20"/>
                <w:color w:val="auto"/>
              </w:rPr>
            </w:pPr>
            <w:r>
              <w:rPr>
                <w:rFonts w:ascii="Arial" w:cs="Arial" w:eastAsia="Arial" w:hAnsi="Arial"/>
                <w:sz w:val="18"/>
                <w:szCs w:val="18"/>
                <w:color w:val="auto"/>
              </w:rPr>
              <w:t>Chief Financial Officer &amp;</w:t>
            </w:r>
          </w:p>
        </w:tc>
        <w:tc>
          <w:tcPr>
            <w:tcW w:w="100" w:type="dxa"/>
            <w:vAlign w:val="bottom"/>
            <w:tcBorders>
              <w:right w:val="single" w:sz="8" w:color="auto"/>
            </w:tcBorders>
          </w:tcPr>
          <w:p>
            <w:pPr>
              <w:spacing w:after="0"/>
              <w:rPr>
                <w:sz w:val="16"/>
                <w:szCs w:val="16"/>
                <w:color w:val="auto"/>
              </w:rPr>
            </w:pPr>
          </w:p>
        </w:tc>
        <w:tc>
          <w:tcPr>
            <w:tcW w:w="2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213,637</w:t>
            </w:r>
          </w:p>
        </w:tc>
        <w:tc>
          <w:tcPr>
            <w:tcW w:w="200" w:type="dxa"/>
            <w:vAlign w:val="bottom"/>
            <w:tcBorders>
              <w:right w:val="single" w:sz="8" w:color="auto"/>
            </w:tcBorders>
          </w:tcPr>
          <w:p>
            <w:pPr>
              <w:spacing w:after="0"/>
              <w:rPr>
                <w:sz w:val="16"/>
                <w:szCs w:val="16"/>
                <w:color w:val="auto"/>
              </w:rPr>
            </w:pPr>
          </w:p>
        </w:tc>
        <w:tc>
          <w:tcPr>
            <w:tcW w:w="2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gridSpan w:val="2"/>
          </w:tcPr>
          <w:p>
            <w:pPr>
              <w:jc w:val="right"/>
              <w:ind w:right="300"/>
              <w:spacing w:after="0" w:line="195" w:lineRule="exact"/>
              <w:rPr>
                <w:sz w:val="20"/>
                <w:szCs w:val="20"/>
                <w:color w:val="auto"/>
              </w:rPr>
            </w:pPr>
            <w:r>
              <w:rPr>
                <w:rFonts w:ascii="Arial" w:cs="Arial" w:eastAsia="Arial" w:hAnsi="Arial"/>
                <w:sz w:val="18"/>
                <w:szCs w:val="18"/>
                <w:color w:val="auto"/>
              </w:rPr>
              <w:t>142,150</w:t>
            </w:r>
          </w:p>
        </w:tc>
        <w:tc>
          <w:tcPr>
            <w:tcW w:w="10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320"/>
              <w:spacing w:after="0" w:line="195" w:lineRule="exact"/>
              <w:rPr>
                <w:sz w:val="20"/>
                <w:szCs w:val="20"/>
                <w:color w:val="auto"/>
              </w:rPr>
            </w:pPr>
            <w:r>
              <w:rPr>
                <w:rFonts w:ascii="Arial" w:cs="Arial" w:eastAsia="Arial" w:hAnsi="Arial"/>
                <w:sz w:val="18"/>
                <w:szCs w:val="18"/>
                <w:color w:val="auto"/>
              </w:rPr>
              <w:t>4,342</w:t>
            </w:r>
          </w:p>
        </w:tc>
        <w:tc>
          <w:tcPr>
            <w:tcW w:w="860" w:type="dxa"/>
            <w:vAlign w:val="bottom"/>
            <w:gridSpan w:val="2"/>
          </w:tcPr>
          <w:p>
            <w:pPr>
              <w:jc w:val="center"/>
              <w:ind w:left="10"/>
              <w:spacing w:after="0" w:line="195" w:lineRule="exact"/>
              <w:rPr>
                <w:sz w:val="20"/>
                <w:szCs w:val="20"/>
                <w:color w:val="auto"/>
              </w:rPr>
            </w:pPr>
            <w:r>
              <w:rPr>
                <w:rFonts w:ascii="Arial" w:cs="Arial" w:eastAsia="Arial" w:hAnsi="Arial"/>
                <w:sz w:val="18"/>
                <w:szCs w:val="18"/>
                <w:color w:val="auto"/>
                <w:w w:val="90"/>
              </w:rPr>
              <w:t>50-80%</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400"/>
              <w:spacing w:after="0" w:line="195" w:lineRule="exact"/>
              <w:rPr>
                <w:sz w:val="20"/>
                <w:szCs w:val="20"/>
                <w:color w:val="auto"/>
              </w:rPr>
            </w:pPr>
            <w:r>
              <w:rPr>
                <w:rFonts w:ascii="Arial" w:cs="Arial" w:eastAsia="Arial" w:hAnsi="Arial"/>
                <w:sz w:val="18"/>
                <w:szCs w:val="18"/>
                <w:color w:val="auto"/>
              </w:rPr>
              <w:t>60%</w:t>
            </w:r>
          </w:p>
        </w:tc>
        <w:tc>
          <w:tcPr>
            <w:tcW w:w="8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40"/>
              <w:spacing w:after="0" w:line="195"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auto"/>
            </w:tcBorders>
          </w:tcPr>
          <w:p>
            <w:pPr>
              <w:spacing w:after="0"/>
              <w:rPr>
                <w:sz w:val="20"/>
                <w:szCs w:val="20"/>
                <w:color w:val="auto"/>
              </w:rPr>
            </w:pPr>
          </w:p>
        </w:tc>
        <w:tc>
          <w:tcPr>
            <w:tcW w:w="15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Treasurer</w:t>
            </w:r>
          </w:p>
        </w:tc>
        <w:tc>
          <w:tcPr>
            <w:tcW w:w="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00" w:type="dxa"/>
            <w:vAlign w:val="bottom"/>
            <w:tcBorders>
              <w:left w:val="single" w:sz="8" w:color="auto"/>
            </w:tcBorders>
          </w:tcPr>
          <w:p>
            <w:pPr>
              <w:spacing w:after="0"/>
              <w:rPr>
                <w:sz w:val="16"/>
                <w:szCs w:val="16"/>
                <w:color w:val="auto"/>
              </w:rPr>
            </w:pPr>
          </w:p>
        </w:tc>
        <w:tc>
          <w:tcPr>
            <w:tcW w:w="1520" w:type="dxa"/>
            <w:vAlign w:val="bottom"/>
          </w:tcPr>
          <w:p>
            <w:pPr>
              <w:spacing w:after="0" w:line="191" w:lineRule="exact"/>
              <w:rPr>
                <w:sz w:val="20"/>
                <w:szCs w:val="20"/>
                <w:color w:val="auto"/>
              </w:rPr>
            </w:pPr>
            <w:r>
              <w:rPr>
                <w:rFonts w:ascii="Arial" w:cs="Arial" w:eastAsia="Arial" w:hAnsi="Arial"/>
                <w:sz w:val="18"/>
                <w:szCs w:val="18"/>
                <w:b w:val="1"/>
                <w:bCs w:val="1"/>
                <w:color w:val="auto"/>
              </w:rPr>
              <w:t>Christopher Tully</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line="191" w:lineRule="exact"/>
              <w:rPr>
                <w:sz w:val="20"/>
                <w:szCs w:val="20"/>
                <w:color w:val="auto"/>
              </w:rPr>
            </w:pPr>
            <w:r>
              <w:rPr>
                <w:rFonts w:ascii="Arial" w:cs="Arial" w:eastAsia="Arial" w:hAnsi="Arial"/>
                <w:sz w:val="18"/>
                <w:szCs w:val="18"/>
                <w:color w:val="auto"/>
              </w:rPr>
              <w:t>Sr. Vice President Sales &amp;</w:t>
            </w:r>
          </w:p>
        </w:tc>
        <w:tc>
          <w:tcPr>
            <w:tcW w:w="100" w:type="dxa"/>
            <w:vAlign w:val="bottom"/>
            <w:tcBorders>
              <w:right w:val="single" w:sz="8" w:color="auto"/>
            </w:tcBorders>
          </w:tcPr>
          <w:p>
            <w:pPr>
              <w:spacing w:after="0"/>
              <w:rPr>
                <w:sz w:val="16"/>
                <w:szCs w:val="16"/>
                <w:color w:val="auto"/>
              </w:rPr>
            </w:pPr>
          </w:p>
        </w:tc>
        <w:tc>
          <w:tcPr>
            <w:tcW w:w="20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1" w:lineRule="exact"/>
              <w:rPr>
                <w:sz w:val="20"/>
                <w:szCs w:val="20"/>
                <w:color w:val="auto"/>
              </w:rPr>
            </w:pPr>
            <w:r>
              <w:rPr>
                <w:rFonts w:ascii="Arial" w:cs="Arial" w:eastAsia="Arial" w:hAnsi="Arial"/>
                <w:sz w:val="18"/>
                <w:szCs w:val="18"/>
                <w:color w:val="auto"/>
              </w:rPr>
              <w:t>229,500</w:t>
            </w:r>
          </w:p>
        </w:tc>
        <w:tc>
          <w:tcPr>
            <w:tcW w:w="200" w:type="dxa"/>
            <w:vAlign w:val="bottom"/>
            <w:tcBorders>
              <w:right w:val="single" w:sz="8" w:color="auto"/>
            </w:tcBorders>
          </w:tcPr>
          <w:p>
            <w:pPr>
              <w:spacing w:after="0"/>
              <w:rPr>
                <w:sz w:val="16"/>
                <w:szCs w:val="16"/>
                <w:color w:val="auto"/>
              </w:rPr>
            </w:pPr>
          </w:p>
        </w:tc>
        <w:tc>
          <w:tcPr>
            <w:tcW w:w="22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gridSpan w:val="2"/>
          </w:tcPr>
          <w:p>
            <w:pPr>
              <w:jc w:val="right"/>
              <w:ind w:right="100"/>
              <w:spacing w:after="0" w:line="191" w:lineRule="exact"/>
              <w:rPr>
                <w:sz w:val="20"/>
                <w:szCs w:val="20"/>
                <w:color w:val="auto"/>
              </w:rPr>
            </w:pPr>
            <w:r>
              <w:rPr>
                <w:rFonts w:ascii="Arial" w:cs="Arial" w:eastAsia="Arial" w:hAnsi="Arial"/>
                <w:sz w:val="18"/>
                <w:szCs w:val="18"/>
                <w:color w:val="auto"/>
              </w:rPr>
              <w:t>6,563(6)</w:t>
            </w:r>
          </w:p>
        </w:tc>
        <w:tc>
          <w:tcPr>
            <w:tcW w:w="10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100"/>
              <w:spacing w:after="0" w:line="191" w:lineRule="exact"/>
              <w:rPr>
                <w:sz w:val="20"/>
                <w:szCs w:val="20"/>
                <w:color w:val="auto"/>
              </w:rPr>
            </w:pPr>
            <w:r>
              <w:rPr>
                <w:rFonts w:ascii="Arial" w:cs="Arial" w:eastAsia="Arial" w:hAnsi="Arial"/>
                <w:sz w:val="18"/>
                <w:szCs w:val="18"/>
                <w:color w:val="auto"/>
              </w:rPr>
              <w:t>172(6)</w:t>
            </w:r>
          </w:p>
        </w:tc>
        <w:tc>
          <w:tcPr>
            <w:tcW w:w="860" w:type="dxa"/>
            <w:vAlign w:val="bottom"/>
            <w:gridSpan w:val="2"/>
          </w:tcPr>
          <w:p>
            <w:pPr>
              <w:jc w:val="center"/>
              <w:ind w:left="10"/>
              <w:spacing w:after="0" w:line="191" w:lineRule="exact"/>
              <w:rPr>
                <w:sz w:val="20"/>
                <w:szCs w:val="20"/>
                <w:color w:val="auto"/>
              </w:rPr>
            </w:pPr>
            <w:r>
              <w:rPr>
                <w:rFonts w:ascii="Arial" w:cs="Arial" w:eastAsia="Arial" w:hAnsi="Arial"/>
                <w:sz w:val="18"/>
                <w:szCs w:val="18"/>
                <w:color w:val="auto"/>
                <w:w w:val="92"/>
              </w:rPr>
              <w:t>0-35%</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80"/>
              <w:spacing w:after="0" w:line="191" w:lineRule="exact"/>
              <w:rPr>
                <w:sz w:val="20"/>
                <w:szCs w:val="20"/>
                <w:color w:val="auto"/>
              </w:rPr>
            </w:pPr>
            <w:r>
              <w:rPr>
                <w:rFonts w:ascii="Arial" w:cs="Arial" w:eastAsia="Arial" w:hAnsi="Arial"/>
                <w:sz w:val="18"/>
                <w:szCs w:val="18"/>
                <w:color w:val="auto"/>
              </w:rPr>
              <w:t>0%(5)</w:t>
            </w:r>
          </w:p>
        </w:tc>
        <w:tc>
          <w:tcPr>
            <w:tcW w:w="8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40"/>
              <w:spacing w:after="0" w:line="19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4"/>
        </w:trPr>
        <w:tc>
          <w:tcPr>
            <w:tcW w:w="1620" w:type="dxa"/>
            <w:vAlign w:val="bottom"/>
            <w:tcBorders>
              <w:left w:val="single" w:sz="8" w:color="auto"/>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Customer Service</w:t>
            </w:r>
          </w:p>
        </w:tc>
        <w:tc>
          <w:tcPr>
            <w:tcW w:w="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David Schaffel</w:t>
            </w:r>
          </w:p>
        </w:tc>
        <w:tc>
          <w:tcPr>
            <w:tcW w:w="1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Information Officer</w:t>
            </w:r>
          </w:p>
        </w:tc>
        <w:tc>
          <w:tcPr>
            <w:tcW w:w="10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182,946</w:t>
            </w:r>
          </w:p>
        </w:tc>
        <w:tc>
          <w:tcPr>
            <w:tcW w:w="2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89,714</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3,308</w:t>
            </w:r>
          </w:p>
        </w:tc>
        <w:tc>
          <w:tcPr>
            <w:tcW w:w="86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92"/>
              </w:rPr>
              <w:t>0-75%</w:t>
            </w:r>
          </w:p>
        </w:tc>
        <w:tc>
          <w:tcPr>
            <w:tcW w:w="1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7"/>
        </w:trPr>
        <w:tc>
          <w:tcPr>
            <w:tcW w:w="10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Craig Farrington</w:t>
            </w:r>
          </w:p>
        </w:tc>
        <w:tc>
          <w:tcPr>
            <w:tcW w:w="1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Research</w:t>
            </w:r>
          </w:p>
        </w:tc>
        <w:tc>
          <w:tcPr>
            <w:tcW w:w="10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171,569</w:t>
            </w:r>
          </w:p>
        </w:tc>
        <w:tc>
          <w:tcPr>
            <w:tcW w:w="2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93,724</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2,068</w:t>
            </w:r>
          </w:p>
        </w:tc>
        <w:tc>
          <w:tcPr>
            <w:tcW w:w="86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92"/>
              </w:rPr>
              <w:t>0-75%</w:t>
            </w:r>
          </w:p>
        </w:tc>
        <w:tc>
          <w:tcPr>
            <w:tcW w:w="1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salary increases will be effective as of April 1, 2005.</w:t>
      </w:r>
    </w:p>
    <w:p>
      <w:pPr>
        <w:spacing w:after="0" w:line="225" w:lineRule="exact"/>
        <w:rPr>
          <w:rFonts w:ascii="Arial" w:cs="Arial" w:eastAsia="Arial" w:hAnsi="Arial"/>
          <w:sz w:val="18"/>
          <w:szCs w:val="18"/>
          <w:color w:val="auto"/>
        </w:rPr>
      </w:pPr>
    </w:p>
    <w:p>
      <w:pPr>
        <w:ind w:left="800" w:right="140" w:hanging="454"/>
        <w:spacing w:after="0" w:line="25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shares of restricted stock were granted to the executives under the Company’s 1998 Stock Incentive Plan, as amended. The shares vest over a four-year period, where one quarter of the shares vest on each of March 10, 2006, 2007, 2008 and 2009. A form of restricted stock agreement has been filed as an exhibit to the Company’s Annual Report of Form 10-K for the year ended December 31, 2004 and is incorporated by reference herein.</w:t>
      </w:r>
    </w:p>
    <w:p>
      <w:pPr>
        <w:spacing w:after="0" w:line="186"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bonus range represents a percentage of the executive’s base salary.</w:t>
      </w:r>
    </w:p>
    <w:p>
      <w:pPr>
        <w:spacing w:after="0" w:line="225" w:lineRule="exact"/>
        <w:rPr>
          <w:rFonts w:ascii="Arial" w:cs="Arial" w:eastAsia="Arial" w:hAnsi="Arial"/>
          <w:sz w:val="18"/>
          <w:szCs w:val="18"/>
          <w:color w:val="auto"/>
        </w:rPr>
      </w:pPr>
    </w:p>
    <w:p>
      <w:pPr>
        <w:ind w:left="800" w:right="40" w:hanging="454"/>
        <w:spacing w:after="0" w:line="297"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table sets forth the break down for each executive officer of the percentage of such officer’s bonus that is based on achievement of corporate/financial goals and the percentage of such officer’s bonus that is based on achievement of individual/team performance goals. The criteria that the Committee uses to determine bonuses include, without limitation, the level of achievement of goals based on the following criteria: Company revenues, Company earnings, research, data quality, new and enhanced products, software development, management, customer service, accounts receivable, human resources, investor relations, financial reporting and sales. The criteria differ for each of the executive officers.</w:t>
      </w:r>
    </w:p>
    <w:p>
      <w:pPr>
        <w:spacing w:after="0" w:line="158" w:lineRule="exact"/>
        <w:rPr>
          <w:rFonts w:ascii="Arial" w:cs="Arial" w:eastAsia="Arial" w:hAnsi="Arial"/>
          <w:sz w:val="16"/>
          <w:szCs w:val="16"/>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Mr. Tully also has the ability to earn monthly commissions based on the Company’s monthly net new revenue amounts.</w:t>
      </w:r>
    </w:p>
    <w:p>
      <w:pPr>
        <w:spacing w:after="0" w:line="225" w:lineRule="exact"/>
        <w:rPr>
          <w:rFonts w:ascii="Arial" w:cs="Arial" w:eastAsia="Arial" w:hAnsi="Arial"/>
          <w:sz w:val="18"/>
          <w:szCs w:val="18"/>
          <w:color w:val="auto"/>
        </w:rPr>
      </w:pPr>
    </w:p>
    <w:p>
      <w:pPr>
        <w:ind w:left="800" w:right="200" w:hanging="454"/>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Mr. Tully joined the Company in December 2004. His 2004 bonus amount and his restricted stock grant have been pro rated to reflect one month of employment with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2019-12-14T19:19:58Z</dcterms:created>
  <dcterms:modified xsi:type="dcterms:W3CDTF">2019-12-14T19:19:58Z</dcterms:modified>
</cp:coreProperties>
</file>