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REPORT PURSUANT TO SECTION 13 OR 15(d)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00" w:type="dxa"/>
            <w:vAlign w:val="bottom"/>
            <w:gridSpan w:val="5"/>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2005</w:t>
            </w:r>
          </w:p>
        </w:tc>
      </w:tr>
      <w:tr>
        <w:trPr>
          <w:trHeight w:val="432"/>
        </w:trPr>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00" w:type="dxa"/>
            <w:vAlign w:val="bottom"/>
            <w:gridSpan w:val="5"/>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rPr>
              <w:t>Commission file number 0-24531</w:t>
            </w:r>
          </w:p>
        </w:tc>
      </w:tr>
      <w:tr>
        <w:trPr>
          <w:trHeight w:val="702"/>
        </w:trPr>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00" w:type="dxa"/>
            <w:vAlign w:val="bottom"/>
            <w:gridSpan w:val="5"/>
          </w:tcPr>
          <w:p>
            <w:pPr>
              <w:jc w:val="center"/>
              <w:ind w:right="3920"/>
              <w:spacing w:after="0"/>
              <w:rPr>
                <w:sz w:val="20"/>
                <w:szCs w:val="20"/>
                <w:color w:val="auto"/>
              </w:rPr>
            </w:pPr>
            <w:r>
              <w:rPr>
                <w:rFonts w:ascii="Times New Roman" w:cs="Times New Roman" w:eastAsia="Times New Roman" w:hAnsi="Times New Roman"/>
                <w:sz w:val="43"/>
                <w:szCs w:val="43"/>
                <w:b w:val="1"/>
                <w:bCs w:val="1"/>
                <w:color w:val="auto"/>
              </w:rPr>
              <w:t>CoStar Group, Inc.</w:t>
            </w:r>
          </w:p>
        </w:tc>
      </w:tr>
      <w:tr>
        <w:trPr>
          <w:trHeight w:val="228"/>
        </w:trPr>
        <w:tc>
          <w:tcPr>
            <w:tcW w:w="17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(Exact name of registrant as specified in its charter)</w:t>
            </w:r>
          </w:p>
        </w:tc>
        <w:tc>
          <w:tcPr>
            <w:tcW w:w="3920" w:type="dxa"/>
            <w:vAlign w:val="bottom"/>
            <w:gridSpan w:val="2"/>
          </w:tcPr>
          <w:p>
            <w:pPr>
              <w:spacing w:after="0"/>
              <w:rPr>
                <w:sz w:val="19"/>
                <w:szCs w:val="19"/>
                <w:color w:val="auto"/>
              </w:rPr>
            </w:pPr>
          </w:p>
        </w:tc>
      </w:tr>
      <w:tr>
        <w:trPr>
          <w:trHeight w:val="414"/>
        </w:trPr>
        <w:tc>
          <w:tcPr>
            <w:tcW w:w="1720" w:type="dxa"/>
            <w:vAlign w:val="bottom"/>
          </w:tcPr>
          <w:p>
            <w:pPr>
              <w:spacing w:after="0"/>
              <w:rPr>
                <w:sz w:val="24"/>
                <w:szCs w:val="24"/>
                <w:color w:val="auto"/>
              </w:rPr>
            </w:pPr>
          </w:p>
        </w:tc>
        <w:tc>
          <w:tcPr>
            <w:tcW w:w="2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80" w:type="dxa"/>
            <w:vAlign w:val="bottom"/>
            <w:gridSpan w:val="5"/>
          </w:tcPr>
          <w:p>
            <w:pPr>
              <w:jc w:val="center"/>
              <w:ind w:left="3810"/>
              <w:spacing w:after="0"/>
              <w:rPr>
                <w:sz w:val="20"/>
                <w:szCs w:val="20"/>
                <w:color w:val="auto"/>
              </w:rPr>
            </w:pPr>
            <w:r>
              <w:rPr>
                <w:rFonts w:ascii="Times New Roman" w:cs="Times New Roman" w:eastAsia="Times New Roman" w:hAnsi="Times New Roman"/>
                <w:sz w:val="18"/>
                <w:szCs w:val="18"/>
                <w:b w:val="1"/>
                <w:bCs w:val="1"/>
                <w:color w:val="auto"/>
                <w:w w:val="98"/>
              </w:rPr>
              <w:t>52-2091509</w:t>
            </w:r>
          </w:p>
        </w:tc>
        <w:tc>
          <w:tcPr>
            <w:tcW w:w="1720" w:type="dxa"/>
            <w:vAlign w:val="bottom"/>
          </w:tcPr>
          <w:p>
            <w:pPr>
              <w:spacing w:after="0"/>
              <w:rPr>
                <w:sz w:val="24"/>
                <w:szCs w:val="24"/>
                <w:color w:val="auto"/>
              </w:rPr>
            </w:pPr>
          </w:p>
        </w:tc>
      </w:tr>
      <w:tr>
        <w:trPr>
          <w:trHeight w:val="205"/>
        </w:trPr>
        <w:tc>
          <w:tcPr>
            <w:tcW w:w="3820" w:type="dxa"/>
            <w:vAlign w:val="bottom"/>
            <w:tcBorders>
              <w:top w:val="single" w:sz="8" w:color="auto"/>
            </w:tcBorders>
            <w:gridSpan w:val="2"/>
          </w:tcPr>
          <w:p>
            <w:pPr>
              <w:jc w:val="center"/>
              <w:ind w:left="1530"/>
              <w:spacing w:after="0" w:line="205"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gridSpan w:val="2"/>
          </w:tcPr>
          <w:p>
            <w:pPr>
              <w:jc w:val="center"/>
              <w:ind w:right="1500"/>
              <w:spacing w:after="0" w:line="205"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2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92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00" w:type="dxa"/>
            <w:vAlign w:val="bottom"/>
            <w:gridSpan w:val="5"/>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9"/>
              </w:rPr>
              <w:t>2 Bethesda Metro Center, 10th Floor</w:t>
            </w:r>
          </w:p>
        </w:tc>
      </w:tr>
      <w:tr>
        <w:trPr>
          <w:trHeight w:val="245"/>
        </w:trPr>
        <w:tc>
          <w:tcPr>
            <w:tcW w:w="1720" w:type="dxa"/>
            <w:vAlign w:val="bottom"/>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780" w:type="dxa"/>
            <w:vAlign w:val="bottom"/>
            <w:tcBorders>
              <w:bottom w:val="single" w:sz="8" w:color="auto"/>
            </w:tcBorders>
            <w:gridSpan w:val="4"/>
          </w:tcPr>
          <w:p>
            <w:pPr>
              <w:jc w:val="center"/>
              <w:ind w:right="2110"/>
              <w:spacing w:after="0"/>
              <w:rPr>
                <w:sz w:val="20"/>
                <w:szCs w:val="20"/>
                <w:color w:val="auto"/>
              </w:rPr>
            </w:pPr>
            <w:r>
              <w:rPr>
                <w:rFonts w:ascii="Times New Roman" w:cs="Times New Roman" w:eastAsia="Times New Roman" w:hAnsi="Times New Roman"/>
                <w:sz w:val="18"/>
                <w:szCs w:val="18"/>
                <w:b w:val="1"/>
                <w:bCs w:val="1"/>
                <w:color w:val="auto"/>
              </w:rPr>
              <w:t>Bethesda, Maryland 20814</w:t>
            </w:r>
          </w:p>
        </w:tc>
        <w:tc>
          <w:tcPr>
            <w:tcW w:w="1720" w:type="dxa"/>
            <w:vAlign w:val="bottom"/>
          </w:tcPr>
          <w:p>
            <w:pPr>
              <w:spacing w:after="0"/>
              <w:rPr>
                <w:sz w:val="21"/>
                <w:szCs w:val="21"/>
                <w:color w:val="auto"/>
              </w:rPr>
            </w:pPr>
          </w:p>
        </w:tc>
      </w:tr>
      <w:tr>
        <w:trPr>
          <w:trHeight w:val="284"/>
        </w:trPr>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600" w:type="dxa"/>
            <w:vAlign w:val="bottom"/>
            <w:gridSpan w:val="6"/>
          </w:tcPr>
          <w:p>
            <w:pPr>
              <w:jc w:val="center"/>
              <w:ind w:right="382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r>
      <w:tr>
        <w:trPr>
          <w:trHeight w:val="432"/>
        </w:trPr>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8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(301) 215-8300</w:t>
            </w:r>
          </w:p>
        </w:tc>
        <w:tc>
          <w:tcPr>
            <w:tcW w:w="2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
        </w:trPr>
        <w:tc>
          <w:tcPr>
            <w:tcW w:w="17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3"/>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277"/>
        </w:trPr>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600" w:type="dxa"/>
            <w:vAlign w:val="bottom"/>
            <w:gridSpan w:val="6"/>
          </w:tcPr>
          <w:p>
            <w:pPr>
              <w:jc w:val="center"/>
              <w:ind w:right="38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Common Stock ($.01 par value)</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46" w:lineRule="exact"/>
        <w:rPr>
          <w:sz w:val="20"/>
          <w:szCs w:val="20"/>
          <w:color w:val="auto"/>
        </w:rPr>
      </w:pPr>
    </w:p>
    <w:p>
      <w:pPr>
        <w:jc w:val="both"/>
        <w:ind w:right="20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o No </w:t>
      </w:r>
      <w:r>
        <w:rPr>
          <w:rFonts w:ascii="MS PGothic" w:cs="MS PGothic" w:eastAsia="MS PGothic" w:hAnsi="MS PGothic"/>
          <w:sz w:val="18"/>
          <w:szCs w:val="18"/>
          <w:color w:val="auto"/>
        </w:rPr>
        <w:t>☑</w:t>
      </w:r>
    </w:p>
    <w:p>
      <w:pPr>
        <w:spacing w:after="0" w:line="71" w:lineRule="exact"/>
        <w:rPr>
          <w:sz w:val="20"/>
          <w:szCs w:val="20"/>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of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0"/>
          <w:szCs w:val="20"/>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Securities Exchange Act of 1934).</w:t>
      </w:r>
    </w:p>
    <w:p>
      <w:pPr>
        <w:ind w:right="880" w:firstLine="804"/>
        <w:spacing w:after="0" w:line="283"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o Non-accelerated filer o 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the closing price of the common stock on June 30, 2005 on the Nasdaq Stock Market®, the aggregate market value of registrant’s common stock held by non-affiliates of the registrant was approximately $732.8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21, 2006, there were 18,676,814 shares of the registrant’s common stock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which is expected to be filed with the Securities and Exchange Commission within 120 days after the end of the registrant’s fiscal year ended December 31, 2005,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84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60" w:type="dxa"/>
            <w:vAlign w:val="bottom"/>
          </w:tcPr>
          <w:p>
            <w:pPr>
              <w:spacing w:after="0"/>
              <w:rPr>
                <w:sz w:val="20"/>
                <w:szCs w:val="20"/>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Business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Risk Factors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1B.</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Properties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Proceedings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Submission of Matters to a Vote of Security Holders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Market for the Registrant’s Common Stock, Related Stockholder Matters and Issuer Purchases of</w:t>
            </w:r>
          </w:p>
        </w:tc>
        <w:tc>
          <w:tcPr>
            <w:tcW w:w="18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Equity Securities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Selected Consolidated Financial and Operating Data</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7.</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7A.</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8.</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9A.</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9B.</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Information</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10.</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Directors and Executive Officers of the Registrant</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11.</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Compensation</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12.</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13.</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14.</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6"/>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15.</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40" w:type="dxa"/>
            <w:vAlign w:val="bottom"/>
          </w:tcPr>
          <w:p>
            <w:pPr>
              <w:spacing w:after="0"/>
              <w:rPr>
                <w:sz w:val="18"/>
                <w:szCs w:val="18"/>
                <w:color w:val="auto"/>
              </w:rPr>
            </w:pP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Signatures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140" w:type="dxa"/>
            <w:vAlign w:val="bottom"/>
          </w:tcPr>
          <w:p>
            <w:pPr>
              <w:spacing w:after="0"/>
              <w:rPr>
                <w:sz w:val="18"/>
                <w:szCs w:val="18"/>
                <w:color w:val="auto"/>
              </w:rPr>
            </w:pP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Index to Exhibits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140" w:type="dxa"/>
            <w:vAlign w:val="bottom"/>
          </w:tcPr>
          <w:p>
            <w:pPr>
              <w:spacing w:after="0"/>
              <w:rPr>
                <w:sz w:val="20"/>
                <w:szCs w:val="20"/>
                <w:color w:val="auto"/>
              </w:rPr>
            </w:pP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18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F-1</w:t>
            </w:r>
          </w:p>
        </w:tc>
      </w:tr>
      <w:tr>
        <w:trPr>
          <w:trHeight w:val="632"/>
        </w:trPr>
        <w:tc>
          <w:tcPr>
            <w:tcW w:w="1140" w:type="dxa"/>
            <w:vAlign w:val="bottom"/>
            <w:tcBorders>
              <w:bottom w:val="single" w:sz="8" w:color="808080"/>
            </w:tcBorders>
          </w:tcPr>
          <w:p>
            <w:pPr>
              <w:spacing w:after="0"/>
              <w:rPr>
                <w:sz w:val="24"/>
                <w:szCs w:val="24"/>
                <w:color w:val="auto"/>
              </w:rPr>
            </w:pPr>
          </w:p>
        </w:tc>
        <w:tc>
          <w:tcPr>
            <w:tcW w:w="842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21"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(In this report, the words “we,” “our,” “us,” “CoStar” or the “Company” refer to CoStar Group, Inc. and its direct and indirect subsidiaries. This report also refers to our web sites, but information contained on those sites is not part of this report.)</w:t>
      </w:r>
    </w:p>
    <w:p>
      <w:pPr>
        <w:spacing w:after="0" w:line="54" w:lineRule="exact"/>
        <w:rPr>
          <w:sz w:val="20"/>
          <w:szCs w:val="20"/>
          <w:color w:val="auto"/>
        </w:rPr>
      </w:pPr>
    </w:p>
    <w:p>
      <w:pPr>
        <w:ind w:right="100" w:firstLine="225"/>
        <w:spacing w:after="0" w:line="256" w:lineRule="auto"/>
        <w:rPr>
          <w:sz w:val="20"/>
          <w:szCs w:val="20"/>
          <w:color w:val="auto"/>
        </w:rPr>
      </w:pPr>
      <w:r>
        <w:rPr>
          <w:rFonts w:ascii="Times New Roman" w:cs="Times New Roman" w:eastAsia="Times New Roman" w:hAnsi="Times New Roman"/>
          <w:sz w:val="18"/>
          <w:szCs w:val="18"/>
          <w:color w:val="auto"/>
        </w:rPr>
        <w:t>CoStar Group, Inc., a Delaware corporation, is the leading provider of information services to the commercial real estate industry in the United States and United Kingdom based on the fact that we offer the most comprehensive commercial real estate database available, have the largest research department in the industry, provide more information services than any of our competitors and believe we generate more revenues than any of our competitors. CoStar’s integrated suite of services offers customers online access to the most comprehensive database of commercial real estate information, which has been researched and verified by our team of researchers, currently covering 66 U.S. markets as well as London and other parts of the United Kingdom. CoStar operates within one business segment.</w:t>
      </w:r>
    </w:p>
    <w:p>
      <w:pPr>
        <w:spacing w:after="0" w:line="80" w:lineRule="exact"/>
        <w:rPr>
          <w:sz w:val="20"/>
          <w:szCs w:val="20"/>
          <w:color w:val="auto"/>
        </w:rPr>
      </w:pPr>
    </w:p>
    <w:p>
      <w:pPr>
        <w:ind w:right="80" w:firstLine="225"/>
        <w:spacing w:after="0" w:line="256" w:lineRule="auto"/>
        <w:rPr>
          <w:sz w:val="20"/>
          <w:szCs w:val="20"/>
          <w:color w:val="auto"/>
        </w:rPr>
      </w:pPr>
      <w:r>
        <w:rPr>
          <w:rFonts w:ascii="Times New Roman" w:cs="Times New Roman" w:eastAsia="Times New Roman" w:hAnsi="Times New Roman"/>
          <w:sz w:val="18"/>
          <w:szCs w:val="18"/>
          <w:color w:val="auto"/>
        </w:rPr>
        <w:t>Since its founding in 1987, CoStar’s strategy has been to provide commercial real estate professionals with critical knowledge to explore and complete transactions, by offering the most comprehensive, timely and standardized information on commercial real estate. As a result of our January 2003 acquisition of Property Intelligence plc and June 2004 acquisition of Scottish Property Network, we have extended our offering of comprehensive commercial real estate information to include London, Scotland and other U.K. markets. Information about CoStar’s revenues from, and long-lived assets located in, foreign countries is included in Note 3 to the notes to our consolidated financial statements. Information about risks attendant to our foreign operations is included in “Item 7A. Quantitative and Qualitative Disclosures about Market Risk.”</w:t>
      </w:r>
    </w:p>
    <w:p>
      <w:pPr>
        <w:spacing w:after="0" w:line="80" w:lineRule="exact"/>
        <w:rPr>
          <w:sz w:val="20"/>
          <w:szCs w:val="20"/>
          <w:color w:val="auto"/>
        </w:rPr>
      </w:pPr>
    </w:p>
    <w:p>
      <w:pPr>
        <w:ind w:right="80" w:firstLine="222"/>
        <w:spacing w:after="0" w:line="258" w:lineRule="auto"/>
        <w:rPr>
          <w:sz w:val="20"/>
          <w:szCs w:val="20"/>
          <w:color w:val="auto"/>
        </w:rPr>
      </w:pPr>
      <w:r>
        <w:rPr>
          <w:rFonts w:ascii="Times New Roman" w:cs="Times New Roman" w:eastAsia="Times New Roman" w:hAnsi="Times New Roman"/>
          <w:sz w:val="18"/>
          <w:szCs w:val="18"/>
          <w:color w:val="auto"/>
        </w:rPr>
        <w:t>We deliver our content to customers via an integrated suite of online service offerings that includes information about space available for lease, comparable sales information, tenant information, information about properties for sale, property information for clients’ web sites, information about industry professionals and their business relationships, analytic information, data integration, property marketing and industry news. We have created and are continuing to improve a standardized information platform where the commercial real estate industry and related businesses can continuously interact and easily facilitate transactions due to the efficient exchange of accurate information supplied by CoStar.</w:t>
      </w:r>
    </w:p>
    <w:p>
      <w:pPr>
        <w:spacing w:after="0" w:line="76" w:lineRule="exact"/>
        <w:rPr>
          <w:sz w:val="20"/>
          <w:szCs w:val="20"/>
          <w:color w:val="auto"/>
        </w:rPr>
      </w:pPr>
    </w:p>
    <w:p>
      <w:pPr>
        <w:ind w:right="60" w:firstLine="222"/>
        <w:spacing w:after="0" w:line="258" w:lineRule="auto"/>
        <w:rPr>
          <w:sz w:val="20"/>
          <w:szCs w:val="20"/>
          <w:color w:val="auto"/>
        </w:rPr>
      </w:pPr>
      <w:r>
        <w:rPr>
          <w:rFonts w:ascii="Times New Roman" w:cs="Times New Roman" w:eastAsia="Times New Roman" w:hAnsi="Times New Roman"/>
          <w:sz w:val="18"/>
          <w:szCs w:val="18"/>
          <w:color w:val="auto"/>
        </w:rPr>
        <w:t>We have a number of assets that provide a unique foundation for our multinational platform, including the most comprehensive proprietary database in the industry; the largest research department in the industry; proprietary data collection, information management and quality control systems; a large in-house product development team; a broad suite of web-based information services; and a large base of clients. Our database has been developed and enhanced for more than 18 years by a research department that makes thousands of daily updates to our database. In addition to our internal efforts to grow the database, we have obtained and assimilated over 50 proprietary databases.</w:t>
      </w:r>
    </w:p>
    <w:p>
      <w:pPr>
        <w:spacing w:after="0" w:line="76" w:lineRule="exact"/>
        <w:rPr>
          <w:sz w:val="20"/>
          <w:szCs w:val="20"/>
          <w:color w:val="auto"/>
        </w:rPr>
      </w:pPr>
    </w:p>
    <w:p>
      <w:pPr>
        <w:ind w:right="120" w:firstLine="225"/>
        <w:spacing w:after="0" w:line="261" w:lineRule="auto"/>
        <w:rPr>
          <w:sz w:val="20"/>
          <w:szCs w:val="20"/>
          <w:color w:val="auto"/>
        </w:rPr>
      </w:pPr>
      <w:r>
        <w:rPr>
          <w:rFonts w:ascii="Times New Roman" w:cs="Times New Roman" w:eastAsia="Times New Roman" w:hAnsi="Times New Roman"/>
          <w:sz w:val="18"/>
          <w:szCs w:val="18"/>
          <w:color w:val="auto"/>
        </w:rPr>
        <w:t>CoStar intends to continue to grow its standardized platform of commercial real estate information. In 2004, CoStar began research for a 21-market U.S. expansion effort. As of February 21, 2006, CoStar had successfully launched service in each of those 21 markets. In addition, following our acquisition of National Research Bureau in January 2005, we launched various research initiatives as part of our expansion into real estate information for retail properties. CoStar intends to continue to expand its coverage of retail properties over the next several years.</w:t>
      </w:r>
    </w:p>
    <w:p>
      <w:pPr>
        <w:spacing w:after="0" w:line="72"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Our subscription-based information services, consisting primarily of CoStar Property Professional, CoStar Tenant, CoStar COMPS Professional and FOCUS services, currently generate approximately 95% of our total revenues. Our contracts for our subscription-based information services typically have a minimum term of one year and renew automatically. Upon renewal, many of the subscription contract rates may increase in accordance with contract provisions or as a result of contract renegotiations. To encourage clients to use our services regularly, we generally charge a fixed monthly amount for our subscription-based services rather than fees based on actual system usage. Contract rates are based on the number of sites, number of users, organization size, the client’s business focus and the number of services to which a client subscribes. Our subscription clients generally pay contract fees on a monthly basis, but in some cases may pay us on a quarterly or annual basis.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ind w:right="140" w:firstLine="222"/>
        <w:spacing w:after="0" w:line="256" w:lineRule="auto"/>
        <w:rPr>
          <w:sz w:val="20"/>
          <w:szCs w:val="20"/>
          <w:color w:val="auto"/>
        </w:rPr>
      </w:pPr>
      <w:r>
        <w:rPr>
          <w:rFonts w:ascii="Times New Roman" w:cs="Times New Roman" w:eastAsia="Times New Roman" w:hAnsi="Times New Roman"/>
          <w:sz w:val="18"/>
          <w:szCs w:val="18"/>
          <w:color w:val="auto"/>
        </w:rPr>
        <w:t>The market for commercial real estate information is vast based on the variety, volume and value of transactions related to commercial real estate. Each transaction has multiple participants and multiple information requirements, and in order to facilitate transactions, industry participants must have extensive, accurate and current information. Members of the commercial real estate and related business community require daily access to current data such as space availability, rental rates, vacancy rates, tenant movements, sales comparables, supply, new construction, absorption rates and other important market developments to carry out their businesses effectively. There is a strong need for an efficient marketplace, where commercial real estate professionals can exchange information, evaluate opportunities using standardized data and interact with each other on a continuous basis.</w:t>
      </w:r>
    </w:p>
    <w:p>
      <w:pPr>
        <w:spacing w:after="0" w:line="80" w:lineRule="exact"/>
        <w:rPr>
          <w:sz w:val="20"/>
          <w:szCs w:val="20"/>
          <w:color w:val="auto"/>
        </w:rPr>
      </w:pPr>
    </w:p>
    <w:p>
      <w:pPr>
        <w:ind w:right="260" w:firstLine="215"/>
        <w:spacing w:after="0" w:line="282" w:lineRule="auto"/>
        <w:rPr>
          <w:sz w:val="20"/>
          <w:szCs w:val="20"/>
          <w:color w:val="auto"/>
        </w:rPr>
      </w:pPr>
      <w:r>
        <w:rPr>
          <w:rFonts w:ascii="Times New Roman" w:cs="Times New Roman" w:eastAsia="Times New Roman" w:hAnsi="Times New Roman"/>
          <w:sz w:val="18"/>
          <w:szCs w:val="18"/>
          <w:color w:val="auto"/>
        </w:rPr>
        <w:t>A large number of parties involved in the commercial real estate and related business community make use of the services we provide in order to obtain information they need to conduct their businesses, including:</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leasing brokers</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Government agencies’ staff members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owners</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security issuers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managers</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Appraisers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 and construction professionals</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fund managers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developers</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Reporters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investment trust managers</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Tenant vendors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bankers</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Building services vendors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bankers</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Communications providers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bankers</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companies’ managers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brokers</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Institutional advisors</w:t>
            </w:r>
          </w:p>
        </w:tc>
      </w:t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Retailers</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Investors and asset managers</w:t>
            </w:r>
          </w:p>
        </w:tc>
      </w:tr>
    </w:tbl>
    <w:p>
      <w:pPr>
        <w:spacing w:after="0" w:line="90" w:lineRule="exact"/>
        <w:rPr>
          <w:sz w:val="20"/>
          <w:szCs w:val="20"/>
          <w:color w:val="auto"/>
        </w:rPr>
      </w:pPr>
    </w:p>
    <w:p>
      <w:pPr>
        <w:ind w:right="220" w:firstLine="222"/>
        <w:spacing w:after="0" w:line="258" w:lineRule="auto"/>
        <w:rPr>
          <w:sz w:val="20"/>
          <w:szCs w:val="20"/>
          <w:color w:val="auto"/>
        </w:rPr>
      </w:pPr>
      <w:r>
        <w:rPr>
          <w:rFonts w:ascii="Times New Roman" w:cs="Times New Roman" w:eastAsia="Times New Roman" w:hAnsi="Times New Roman"/>
          <w:sz w:val="18"/>
          <w:szCs w:val="18"/>
          <w:color w:val="auto"/>
        </w:rPr>
        <w:t>The commercial real estate and related business community generally has operated in an inefficient marketplace because of the fragmented approach to gathering and exchanging information within the marketplace. Various organizations, including hundreds of brokerage firms, directory publishers and local research companies, collect data on specific markets and develop software to analyze the information they have independently gathered. This highly fragmented methodology has resulted in duplication of effort in the collection and analysis of information, excessive internal cost and the creation of non-standardized data containing varying degrees of accuracy and comprehensiveness, resulting in a formidable information gap.</w:t>
      </w:r>
    </w:p>
    <w:p>
      <w:pPr>
        <w:spacing w:after="0" w:line="76" w:lineRule="exact"/>
        <w:rPr>
          <w:sz w:val="20"/>
          <w:szCs w:val="20"/>
          <w:color w:val="auto"/>
        </w:rPr>
      </w:pPr>
    </w:p>
    <w:p>
      <w:pPr>
        <w:jc w:val="both"/>
        <w:ind w:right="220" w:firstLine="222"/>
        <w:spacing w:after="0" w:line="266" w:lineRule="auto"/>
        <w:rPr>
          <w:sz w:val="20"/>
          <w:szCs w:val="20"/>
          <w:color w:val="auto"/>
        </w:rPr>
      </w:pPr>
      <w:r>
        <w:rPr>
          <w:rFonts w:ascii="Times New Roman" w:cs="Times New Roman" w:eastAsia="Times New Roman" w:hAnsi="Times New Roman"/>
          <w:sz w:val="18"/>
          <w:szCs w:val="18"/>
          <w:color w:val="auto"/>
        </w:rPr>
        <w:t>The creation of a standardized information platform for commercial real estate requires an infrastructure including a standardized database, accurate and comprehensive research capabilities, easy to use technology and intensive participant interaction. By combining its extensive database, approximately 713 researchers, technological expertise and broad customer base, CoStar believes that it has created such a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CoStar’s Comprehensive Database</w:t>
      </w:r>
    </w:p>
    <w:p>
      <w:pPr>
        <w:spacing w:after="0" w:line="121"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CoStar has spent more than 18 years building and acquiring a database of commercial real estate information, which includes information on leasing, sales, comparable sales, tenants, and demand statistics, as well as digital images.</w:t>
      </w:r>
    </w:p>
    <w:p>
      <w:pPr>
        <w:spacing w:after="0" w:line="54" w:lineRule="exact"/>
        <w:rPr>
          <w:sz w:val="20"/>
          <w:szCs w:val="20"/>
          <w:color w:val="auto"/>
        </w:rPr>
      </w:pPr>
    </w:p>
    <w:p>
      <w:pPr>
        <w:ind w:right="700" w:firstLine="215"/>
        <w:spacing w:after="0" w:line="282" w:lineRule="auto"/>
        <w:rPr>
          <w:sz w:val="20"/>
          <w:szCs w:val="20"/>
          <w:color w:val="auto"/>
        </w:rPr>
      </w:pPr>
      <w:r>
        <w:rPr>
          <w:rFonts w:ascii="Times New Roman" w:cs="Times New Roman" w:eastAsia="Times New Roman" w:hAnsi="Times New Roman"/>
          <w:sz w:val="18"/>
          <w:szCs w:val="18"/>
          <w:color w:val="auto"/>
        </w:rPr>
        <w:t>As of January 30, 2006, our database of real estate information covered 65 U.S. markets as well as London, England and other parts of the United Kingdom, and contained:</w:t>
      </w:r>
    </w:p>
    <w:p>
      <w:pPr>
        <w:spacing w:after="0" w:line="54" w:lineRule="exact"/>
        <w:rPr>
          <w:sz w:val="20"/>
          <w:szCs w:val="20"/>
          <w:color w:val="auto"/>
        </w:rPr>
      </w:pPr>
    </w:p>
    <w:p>
      <w:pPr>
        <w:ind w:left="1120" w:hanging="437"/>
        <w:spacing w:after="0"/>
        <w:tabs>
          <w:tab w:leader="none" w:pos="11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More than 35.8 billion square feet of U.S. commercial real estate;</w:t>
      </w:r>
    </w:p>
    <w:p>
      <w:pPr>
        <w:spacing w:after="0" w:line="27"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 740,000 extensively researched and photographed properties in our U.S. database;</w:t>
      </w:r>
    </w:p>
    <w:p>
      <w:pPr>
        <w:spacing w:after="0" w:line="9"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 1.8 million total properties;</w:t>
      </w:r>
    </w:p>
    <w:p>
      <w:pPr>
        <w:spacing w:after="0" w:line="9"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 4.4 billion square feet of space available;</w:t>
      </w:r>
    </w:p>
    <w:p>
      <w:pPr>
        <w:spacing w:after="0" w:line="9"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 100,000 properties for sale;</w:t>
      </w:r>
    </w:p>
    <w:p>
      <w:pPr>
        <w:spacing w:after="0" w:line="9"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 3.8 million tenants occupying commercial real estate space;</w:t>
      </w:r>
    </w:p>
    <w:p>
      <w:pPr>
        <w:spacing w:after="0" w:line="9"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More than 1.3 million sales transactions valued in the aggregate at over $1.8 trillion; and</w:t>
      </w:r>
    </w:p>
    <w:p>
      <w:pPr>
        <w:spacing w:after="0" w:line="9"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Approximately 3.3 million digital images, including building photographs, aerial photographs, plat maps and floor plans.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 w:name="page6"/>
    <w:bookmarkEnd w:id="5"/>
    <w:p>
      <w:pPr>
        <w:ind w:left="220"/>
        <w:spacing w:after="0"/>
        <w:rPr>
          <w:sz w:val="20"/>
          <w:szCs w:val="20"/>
          <w:color w:val="auto"/>
        </w:rPr>
      </w:pPr>
      <w:r>
        <w:rPr>
          <w:rFonts w:ascii="Times New Roman" w:cs="Times New Roman" w:eastAsia="Times New Roman" w:hAnsi="Times New Roman"/>
          <w:sz w:val="18"/>
          <w:szCs w:val="18"/>
          <w:color w:val="auto"/>
        </w:rPr>
        <w:t>This highly complex database is comprised of hundreds of data fields, tracking such categories as:</w:t>
      </w:r>
    </w:p>
    <w:p>
      <w:pPr>
        <w:spacing w:after="0" w:line="113"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Location</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Mortgage and deed information</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Site and zoning information</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For-sale information</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Building characteristics</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and expense histories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Space availability</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Tenant names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assessments</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expirations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Ownership</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Contact information</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lease comparables</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Historical trends</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Space requirements</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Demographic information</w:t>
            </w:r>
          </w:p>
        </w:tc>
      </w:t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Number of retail stores</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Retail sales per square foot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CoStar Research</w:t>
      </w:r>
    </w:p>
    <w:p>
      <w:pPr>
        <w:spacing w:after="0" w:line="121" w:lineRule="exact"/>
        <w:rPr>
          <w:sz w:val="20"/>
          <w:szCs w:val="20"/>
          <w:color w:val="auto"/>
        </w:rPr>
      </w:pPr>
    </w:p>
    <w:p>
      <w:pPr>
        <w:ind w:right="60" w:firstLine="222"/>
        <w:spacing w:after="0" w:line="266" w:lineRule="auto"/>
        <w:rPr>
          <w:sz w:val="20"/>
          <w:szCs w:val="20"/>
          <w:color w:val="auto"/>
        </w:rPr>
      </w:pPr>
      <w:r>
        <w:rPr>
          <w:rFonts w:ascii="Times New Roman" w:cs="Times New Roman" w:eastAsia="Times New Roman" w:hAnsi="Times New Roman"/>
          <w:sz w:val="18"/>
          <w:szCs w:val="18"/>
          <w:color w:val="auto"/>
        </w:rPr>
        <w:t>We have developed a sophisticated data collection organization utilizing a multi-faceted research process. In 2005, our researchers drove over one million miles, conducted hundreds of thousands of on-site building inspections, examined tens of millions of public records and interviewed millions of tenants, owners and brokers.</w:t>
      </w:r>
    </w:p>
    <w:p>
      <w:pPr>
        <w:spacing w:after="0" w:line="66"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Research Department. </w:t>
      </w:r>
      <w:r>
        <w:rPr>
          <w:rFonts w:ascii="Times New Roman" w:cs="Times New Roman" w:eastAsia="Times New Roman" w:hAnsi="Times New Roman"/>
          <w:sz w:val="18"/>
          <w:szCs w:val="18"/>
          <w:color w:val="auto"/>
        </w:rPr>
        <w:t>As of February 1, 2006, we employed 713 commercial real estate research professionals. Our research professionals undergo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training program so that we can maintain consistent research methods and processes throughout our research department. Our researchers collect and analyze commercial real estate information through millions of phone calls, e-mails, Internet updates and faxes each year, in addition to field inspections, public records review, news monitoring and direct mail. Each researcher is responsible for maintaining the accuracy and reliability of the database. As part of their update process, researchers develop cooperative relationships with industry professionals that allow them to gather useful information. Because of the importance commercial real estate professionals place on our data and our prominent position in the industry, many of these professionals routinely take the initiative and proactively report available space and transactions to our researchers. We also recently began outsourcing a limited number of research related projects to outside firms on a trial basis.</w:t>
      </w:r>
    </w:p>
    <w:p>
      <w:pPr>
        <w:spacing w:after="0" w:line="79" w:lineRule="exact"/>
        <w:rPr>
          <w:sz w:val="20"/>
          <w:szCs w:val="20"/>
          <w:color w:val="auto"/>
        </w:rPr>
      </w:pPr>
    </w:p>
    <w:p>
      <w:pPr>
        <w:ind w:right="100" w:firstLine="225"/>
        <w:spacing w:after="0" w:line="261" w:lineRule="auto"/>
        <w:rPr>
          <w:sz w:val="20"/>
          <w:szCs w:val="20"/>
          <w:color w:val="auto"/>
        </w:rPr>
      </w:pPr>
      <w:r>
        <w:rPr>
          <w:rFonts w:ascii="Times New Roman" w:cs="Times New Roman" w:eastAsia="Times New Roman" w:hAnsi="Times New Roman"/>
          <w:sz w:val="18"/>
          <w:szCs w:val="18"/>
          <w:color w:val="auto"/>
        </w:rPr>
        <w:t>CoStar has an extensive field research effort that permits physical inspection of properties in order to research new markets, find additional inventory, photograph properties and verify existing information. CoStar’s research efforts have traditionally focused on office and industrial properties. Following our acquisition of National Research Bureau in January 2005, we launched a major expansion effort into real estate information for retail properties. CoStar intends to continue to expand its coverage of retail properties over the next several years.</w:t>
      </w:r>
    </w:p>
    <w:p>
      <w:pPr>
        <w:spacing w:after="0" w:line="72"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Some of our researchers use CoStar custom-designed trucks equipped with computers, proprietary Global Positioning System tracking software, high resolution digital cameras, handheld laser instruments to help precisely measure buildings, geo-code them and position them on digital maps, and pneumatic masts that extend up to an elevation of twenty-five feet so as to allow for unobstructed building photographs from “bird’s-eye views.” Each CoStar truck uses wireless technology to track and transmit field data. A typical site inspection consists of photographing the building, measuring the building, geocoding the building, capturing “For Lease” sign information, counting parking spaces, assessing property condition and construction, and gathering tenant information. Certain researchers canvass properties, interviewing tenants suite by suite. Other researchers conduct fieldwork in county courthouses and public records offices. In addition, many of our field researchers are photographers who take photographs of commercial real estate properties to add to the collection of CoStar’s digital images in our database. Since we began our 21-market expansion in May 2004, our field researchers have photographed approximately 246,000 buildings and researched over 5 billion square feet of gross building area in the expansion markets.</w:t>
      </w:r>
    </w:p>
    <w:p>
      <w:pPr>
        <w:spacing w:after="0" w:line="79" w:lineRule="exact"/>
        <w:rPr>
          <w:sz w:val="20"/>
          <w:szCs w:val="20"/>
          <w:color w:val="auto"/>
        </w:rPr>
      </w:pPr>
    </w:p>
    <w:p>
      <w:pPr>
        <w:ind w:right="20" w:firstLine="22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Data and Image Providers. </w:t>
      </w:r>
      <w:r>
        <w:rPr>
          <w:rFonts w:ascii="Times New Roman" w:cs="Times New Roman" w:eastAsia="Times New Roman" w:hAnsi="Times New Roman"/>
          <w:sz w:val="18"/>
          <w:szCs w:val="18"/>
          <w:color w:val="auto"/>
        </w:rPr>
        <w:t>We license a small portion of our data and images from public record providers and third-party data sources.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these entities provide for our use of a variety of commercial real estate information, including property ownership, tenant information, maps and aerial photographs, all of which enhance various CoStar services. These license agreements generally grant us a non-exclusive license to use the data and images in the creation and supplementation of our information services and include what we believe are standard terms, such as a contract term ranging from two to five years, automatic renewal of the contract and fixed periodic license fees or a combination of fixed periodic license fees plus additional fees based upon our usage.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0" w:right="299" w:bottom="1440" w:gutter="0" w:footer="0" w:header="0"/>
        </w:sectPr>
      </w:pPr>
    </w:p>
    <w:bookmarkStart w:id="6" w:name="page7"/>
    <w:bookmarkEnd w:id="6"/>
    <w:p>
      <w:pPr>
        <w:ind w:right="8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Management and Quality Control Systems. </w:t>
      </w:r>
      <w:r>
        <w:rPr>
          <w:rFonts w:ascii="Times New Roman" w:cs="Times New Roman" w:eastAsia="Times New Roman" w:hAnsi="Times New Roman"/>
          <w:sz w:val="18"/>
          <w:szCs w:val="18"/>
          <w:color w:val="auto"/>
        </w:rPr>
        <w:t>Our research processes include automated and non-automated controls to ensure the integrity of the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process. A large number of automated data quality tests check for potential errors, including occupancy date conflicts, available square footage greater than building area, typical floor space greater than land area and expired leases. We also monitor changes to critical fields of information to ensure all information is kept in compliance with our standard definitions and methodology. Our non-automated quality control procedures include:</w:t>
      </w:r>
    </w:p>
    <w:p>
      <w:pPr>
        <w:spacing w:after="0" w:line="74" w:lineRule="exact"/>
        <w:rPr>
          <w:sz w:val="20"/>
          <w:szCs w:val="20"/>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calling our information sources on recently-updated properties to re-verify information;</w:t>
      </w:r>
    </w:p>
    <w:p>
      <w:pPr>
        <w:spacing w:after="0" w:line="2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performing periodic research audits and field checks to determine if we correctly canvassed all buildings;</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providing training and retraining to our research professionals to ensure accurate data compilation; and</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compiling measurable performance metrics for research teams and managers for feedback on data quality.</w:t>
      </w:r>
    </w:p>
    <w:p>
      <w:pPr>
        <w:spacing w:after="0" w:line="99"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Finally, one of the most important and effective quality control measures we rely on is feedback provided by the commercial real estate professionals using our data every 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Technology</w:t>
      </w:r>
    </w:p>
    <w:p>
      <w:pPr>
        <w:spacing w:after="0" w:line="121" w:lineRule="exact"/>
        <w:rPr>
          <w:sz w:val="20"/>
          <w:szCs w:val="20"/>
          <w:color w:val="auto"/>
        </w:rPr>
      </w:pPr>
    </w:p>
    <w:p>
      <w:pPr>
        <w:jc w:val="both"/>
        <w:ind w:right="40" w:firstLine="215"/>
        <w:spacing w:after="0" w:line="266" w:lineRule="auto"/>
        <w:rPr>
          <w:sz w:val="20"/>
          <w:szCs w:val="20"/>
          <w:color w:val="auto"/>
        </w:rPr>
      </w:pPr>
      <w:r>
        <w:rPr>
          <w:rFonts w:ascii="Times New Roman" w:cs="Times New Roman" w:eastAsia="Times New Roman" w:hAnsi="Times New Roman"/>
          <w:sz w:val="18"/>
          <w:szCs w:val="18"/>
          <w:color w:val="auto"/>
        </w:rPr>
        <w:t>As of February 1, 2006, CoStar had a staff of 92 product development, database and network professionals. CoStar’s information technology professionals focus on developing new services for our customers and delivering research automation tools that improve the quality of our data and increase the efficiency of our research analysts.</w:t>
      </w:r>
    </w:p>
    <w:p>
      <w:pPr>
        <w:spacing w:after="0" w:line="68" w:lineRule="exact"/>
        <w:rPr>
          <w:sz w:val="20"/>
          <w:szCs w:val="20"/>
          <w:color w:val="auto"/>
        </w:rPr>
      </w:pPr>
    </w:p>
    <w:p>
      <w:pPr>
        <w:ind w:right="240" w:firstLine="225"/>
        <w:spacing w:after="0" w:line="255" w:lineRule="auto"/>
        <w:rPr>
          <w:sz w:val="20"/>
          <w:szCs w:val="20"/>
          <w:color w:val="auto"/>
        </w:rPr>
      </w:pPr>
      <w:r>
        <w:rPr>
          <w:rFonts w:ascii="Times New Roman" w:cs="Times New Roman" w:eastAsia="Times New Roman" w:hAnsi="Times New Roman"/>
          <w:sz w:val="18"/>
          <w:szCs w:val="18"/>
          <w:color w:val="auto"/>
        </w:rPr>
        <w:t>Our information technology team is responsible for developing the infrastructure necessary to support CoStar’s business processes, our comprehensive database of commercial real estate information and our extensive image library. The team implements technologies and systems that introduce efficient workflows and controls that increase the production capacity of our research teams and improve the quality of our data. Over the years, the team has developed data collection and quality control mechanisms that we believe are unique to the commercial real estate industry. The team continues to develop and modify our enterprise information management system that integrates CoStar sales, research, field research, customer support and accounting information. We use this system to maintain our commercial real estate research information, manage contacts with the commercial real estate community, provide research workflow automation and conduct daily automated quality assurance checks.</w:t>
      </w:r>
    </w:p>
    <w:p>
      <w:pPr>
        <w:spacing w:after="0" w:line="81" w:lineRule="exact"/>
        <w:rPr>
          <w:sz w:val="20"/>
          <w:szCs w:val="20"/>
          <w:color w:val="auto"/>
        </w:rPr>
      </w:pPr>
    </w:p>
    <w:p>
      <w:pPr>
        <w:ind w:right="180" w:firstLine="225"/>
        <w:spacing w:after="0" w:line="261" w:lineRule="auto"/>
        <w:rPr>
          <w:sz w:val="20"/>
          <w:szCs w:val="20"/>
          <w:color w:val="auto"/>
        </w:rPr>
      </w:pPr>
      <w:r>
        <w:rPr>
          <w:rFonts w:ascii="Times New Roman" w:cs="Times New Roman" w:eastAsia="Times New Roman" w:hAnsi="Times New Roman"/>
          <w:sz w:val="18"/>
          <w:szCs w:val="18"/>
          <w:color w:val="auto"/>
        </w:rPr>
        <w:t>Our information technology professionals also maintain the servers and network components necessary to support CoStar services and research systems. Our encrypted virtual private network provides remote researchers and salespeople secure access to CoStar applications and network resources. CoStar maintains a comprehensive data protection policy that provides for use of encrypted data fields and off-site storage of all system backups, among other protective measures. CoStar’s services are continually monitored in an effort to ensure our customers fast and reliable access.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21" w:lineRule="exact"/>
        <w:rPr>
          <w:sz w:val="20"/>
          <w:szCs w:val="20"/>
          <w:color w:val="auto"/>
        </w:rPr>
      </w:pPr>
    </w:p>
    <w:p>
      <w:pPr>
        <w:ind w:right="40" w:firstLine="225"/>
        <w:spacing w:after="0" w:line="261" w:lineRule="auto"/>
        <w:rPr>
          <w:sz w:val="20"/>
          <w:szCs w:val="20"/>
          <w:color w:val="auto"/>
        </w:rPr>
      </w:pPr>
      <w:r>
        <w:rPr>
          <w:rFonts w:ascii="Times New Roman" w:cs="Times New Roman" w:eastAsia="Times New Roman" w:hAnsi="Times New Roman"/>
          <w:sz w:val="18"/>
          <w:szCs w:val="18"/>
          <w:color w:val="auto"/>
        </w:rPr>
        <w:t>Our suite of information services is branded and marketed to our customers. Our services are derived from a database of building-specific information and offer customers specialized tools for accessing, analyzing and using our information. Over time, we expect to enhance our existing information services and develop additional services that make use of our comprehensive database to meet the needs of our existing customers as well as potential new categories of customers.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various information services are described in detail in the following paragraphs:</w:t>
      </w:r>
    </w:p>
    <w:p>
      <w:pPr>
        <w:spacing w:after="0" w:line="115" w:lineRule="exact"/>
        <w:rPr>
          <w:sz w:val="20"/>
          <w:szCs w:val="20"/>
          <w:color w:val="auto"/>
        </w:rPr>
      </w:pPr>
    </w:p>
    <w:p>
      <w:pPr>
        <w:ind w:right="80" w:firstLine="225"/>
        <w:spacing w:after="0" w:line="234" w:lineRule="auto"/>
        <w:rPr>
          <w:sz w:val="20"/>
          <w:szCs w:val="20"/>
          <w:color w:val="auto"/>
        </w:rPr>
      </w:pPr>
      <w:r>
        <w:rPr>
          <w:rFonts w:ascii="Times New Roman" w:cs="Times New Roman" w:eastAsia="Times New Roman" w:hAnsi="Times New Roman"/>
          <w:sz w:val="18"/>
          <w:szCs w:val="18"/>
          <w:i w:val="1"/>
          <w:iCs w:val="1"/>
          <w:color w:val="auto"/>
        </w:rPr>
        <w:t>CoStar Property Professional</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CoStar Property Professional, or “CoStar Property,” is the Company’s flagship service. It provides subscribers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inventory of office, industrial and retail properties in markets throughout the United States, including for-lease and for-sale listings, historical data, building photographs, maps and floor plans. Commercial real estate professionals use CoStar Property to identify available space for lease, evaluate leasing and sale opportunities, value assets and position properties in the marketplace. Our clients also use CoStar Property to analyze market conditions by calculating current vacancy rates, absorption rates or average rental rates, and forecasting future trends based on user-selected variables.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7" w:name="page8"/>
    <w:bookmarkEnd w:id="7"/>
    <w:p>
      <w:pPr>
        <w:ind w:right="220"/>
        <w:spacing w:after="0" w:line="261" w:lineRule="auto"/>
        <w:rPr>
          <w:sz w:val="20"/>
          <w:szCs w:val="20"/>
          <w:color w:val="auto"/>
        </w:rPr>
      </w:pPr>
      <w:r>
        <w:rPr>
          <w:rFonts w:ascii="Times New Roman" w:cs="Times New Roman" w:eastAsia="Times New Roman" w:hAnsi="Times New Roman"/>
          <w:sz w:val="18"/>
          <w:szCs w:val="18"/>
          <w:color w:val="auto"/>
        </w:rPr>
        <w:t>CoStar Property provides subscribers with powerful map-based search capabilities as well as a user-controlled, password-protected extranet (or electronic “file cabinet”) where brokers may share space surveys and transaction-related documents online in real time with team members. When used together with CoStar Connect, CoStar Property enables subscribers to share space surveys and transaction-related documents with their clients, accessed through their corporate web site. CoStar Property, along with all of CoStar’s other core information services, are delivered solely via the Internet.</w:t>
      </w:r>
    </w:p>
    <w:p>
      <w:pPr>
        <w:spacing w:after="0" w:line="70" w:lineRule="exact"/>
        <w:rPr>
          <w:sz w:val="20"/>
          <w:szCs w:val="20"/>
          <w:color w:val="auto"/>
        </w:rPr>
      </w:pPr>
    </w:p>
    <w:p>
      <w:pPr>
        <w:jc w:val="both"/>
        <w:ind w:right="180" w:firstLine="225"/>
        <w:spacing w:after="0" w:line="230" w:lineRule="auto"/>
        <w:rPr>
          <w:sz w:val="20"/>
          <w:szCs w:val="20"/>
          <w:color w:val="auto"/>
        </w:rPr>
      </w:pPr>
      <w:r>
        <w:rPr>
          <w:rFonts w:ascii="Times New Roman" w:cs="Times New Roman" w:eastAsia="Times New Roman" w:hAnsi="Times New Roman"/>
          <w:sz w:val="18"/>
          <w:szCs w:val="18"/>
          <w:i w:val="1"/>
          <w:iCs w:val="1"/>
          <w:color w:val="auto"/>
        </w:rPr>
        <w:t>CoStar Property Express</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CoStar Property Express provides access, on-demand with a credit card or via an annual subscription, to a “light” or scaled-down version of CoStar Property. Commercial real estate professionals use CoStar Property Express to look up and search for-lease and for-sale listings in CoStar’s comprehensive national database. CoStar Property Express provides base-building information, photos, floor plans, maps and a limited number of reports.</w:t>
      </w:r>
    </w:p>
    <w:p>
      <w:pPr>
        <w:spacing w:after="0" w:line="91" w:lineRule="exact"/>
        <w:rPr>
          <w:sz w:val="20"/>
          <w:szCs w:val="20"/>
          <w:color w:val="auto"/>
        </w:rPr>
      </w:pPr>
    </w:p>
    <w:p>
      <w:pPr>
        <w:ind w:right="20" w:firstLine="225"/>
        <w:spacing w:after="0" w:line="225" w:lineRule="auto"/>
        <w:rPr>
          <w:sz w:val="20"/>
          <w:szCs w:val="20"/>
          <w:color w:val="auto"/>
        </w:rPr>
      </w:pPr>
      <w:r>
        <w:rPr>
          <w:rFonts w:ascii="Times New Roman" w:cs="Times New Roman" w:eastAsia="Times New Roman" w:hAnsi="Times New Roman"/>
          <w:sz w:val="18"/>
          <w:szCs w:val="18"/>
          <w:i w:val="1"/>
          <w:iCs w:val="1"/>
          <w:color w:val="auto"/>
        </w:rPr>
        <w:t>CoStar COMPS Professional</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CoStar COMPS Professional provides comprehensive national coverage of comparable sales information in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real estate industry. It is the industry’s most comprehensive database of comparable sales transactions and is designed for professionals who need to research property comparables, identify market trends, expedite the appraisal process and support property valuations.</w:t>
      </w:r>
    </w:p>
    <w:p>
      <w:pPr>
        <w:spacing w:after="0" w:line="88" w:lineRule="exact"/>
        <w:rPr>
          <w:sz w:val="20"/>
          <w:szCs w:val="20"/>
          <w:color w:val="auto"/>
        </w:rPr>
      </w:pPr>
    </w:p>
    <w:p>
      <w:pPr>
        <w:ind w:right="420" w:firstLine="225"/>
        <w:spacing w:after="0" w:line="225" w:lineRule="auto"/>
        <w:rPr>
          <w:sz w:val="20"/>
          <w:szCs w:val="20"/>
          <w:color w:val="auto"/>
        </w:rPr>
      </w:pPr>
      <w:r>
        <w:rPr>
          <w:rFonts w:ascii="Times New Roman" w:cs="Times New Roman" w:eastAsia="Times New Roman" w:hAnsi="Times New Roman"/>
          <w:sz w:val="18"/>
          <w:szCs w:val="18"/>
          <w:i w:val="1"/>
          <w:iCs w:val="1"/>
          <w:color w:val="auto"/>
        </w:rPr>
        <w:t>CoStar COMPS Express</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CoStar COMPS Express provides users with immediate, subscription-free access with a credit card to the CoStar COMPS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system on a report-by-report basis. Subscribers also use this on-demand service to research comparable sales information outside of their subscription markets.</w:t>
      </w:r>
    </w:p>
    <w:p>
      <w:pPr>
        <w:spacing w:after="0" w:line="88" w:lineRule="exact"/>
        <w:rPr>
          <w:sz w:val="20"/>
          <w:szCs w:val="20"/>
          <w:color w:val="auto"/>
        </w:rPr>
      </w:pPr>
    </w:p>
    <w:p>
      <w:pPr>
        <w:ind w:right="200" w:firstLine="225"/>
        <w:spacing w:after="0" w:line="250" w:lineRule="auto"/>
        <w:rPr>
          <w:sz w:val="20"/>
          <w:szCs w:val="20"/>
          <w:color w:val="auto"/>
        </w:rPr>
      </w:pPr>
      <w:r>
        <w:rPr>
          <w:rFonts w:ascii="Times New Roman" w:cs="Times New Roman" w:eastAsia="Times New Roman" w:hAnsi="Times New Roman"/>
          <w:sz w:val="17"/>
          <w:szCs w:val="17"/>
          <w:i w:val="1"/>
          <w:iCs w:val="1"/>
          <w:color w:val="auto"/>
        </w:rPr>
        <w:t>CoStar Tenant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CoStar Tenant is a detailed online business-to-business prospecting and analytical tool providing commercial real estate professionals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most comprehensive real estate-related U.S. tenant information available. CoStar Tenant profiles tenants occupying space in commercial buildings across the United States and provides updates on lease expirations — one of the service’s key features — as well as occupancy levels, growth rates and numerous other facts. Delivering this information via the Internet allows users to target prospective clients quickly through a searchable database that identifies only those tenants meeting certain criteria. CoStar Tenant subscribers can also obtain credit reports through CoStar Tenant directly from D&amp;B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40" w:firstLine="22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FOCUS. </w:t>
      </w:r>
      <w:r>
        <w:rPr>
          <w:rFonts w:ascii="Times New Roman" w:cs="Times New Roman" w:eastAsia="Times New Roman" w:hAnsi="Times New Roman"/>
          <w:sz w:val="18"/>
          <w:szCs w:val="18"/>
          <w:color w:val="auto"/>
        </w:rPr>
        <w:t>Our U.K. subsidiary, FOCUS Information Limited, offers several services under the trade name FOCUS. The primary service, New FOCUS,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online service offering information on the U.K. commercial real estate market. This service seamlessly links data on individual properties and companies including comparable sales, available space, requirements, tenants, lease deals, planning information, socio-economics and demographics, credit ratings, photos and maps across the United Kingdom. In addition, FOCUS Information’s subsidiary, Scottish Property Network Limited, offers users on-line access to a comprehensive database of information for properties located in Scotland, including available space, comparable sales, and lease deals.</w:t>
      </w:r>
    </w:p>
    <w:p>
      <w:pPr>
        <w:spacing w:after="0" w:line="80" w:lineRule="exact"/>
        <w:rPr>
          <w:sz w:val="20"/>
          <w:szCs w:val="20"/>
          <w:color w:val="auto"/>
        </w:rPr>
      </w:pPr>
    </w:p>
    <w:p>
      <w:pPr>
        <w:ind w:right="100" w:firstLine="225"/>
        <w:spacing w:after="0" w:line="230" w:lineRule="auto"/>
        <w:rPr>
          <w:sz w:val="20"/>
          <w:szCs w:val="20"/>
          <w:color w:val="auto"/>
        </w:rPr>
      </w:pPr>
      <w:r>
        <w:rPr>
          <w:rFonts w:ascii="Times New Roman" w:cs="Times New Roman" w:eastAsia="Times New Roman" w:hAnsi="Times New Roman"/>
          <w:sz w:val="18"/>
          <w:szCs w:val="18"/>
          <w:i w:val="1"/>
          <w:iCs w:val="1"/>
          <w:color w:val="auto"/>
        </w:rPr>
        <w:t>CoStar Connect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CoStar Connect allows commercial real estate firms to license CoStar’s technology and information to market their U.S.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listings on their corporate web sites. Customers enhance the quality and depth of their listing information through access to CoStar’s database of content and digital images. The service automatically updates and manages customers’ online property information, providing comprehensive listings coverage and significantly reducing the expense of building their web sites’ content and functionality.</w:t>
      </w:r>
    </w:p>
    <w:p>
      <w:pPr>
        <w:spacing w:after="0" w:line="91"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CoStar Commercial MLS™. </w:t>
      </w:r>
      <w:r>
        <w:rPr>
          <w:rFonts w:ascii="Times New Roman" w:cs="Times New Roman" w:eastAsia="Times New Roman" w:hAnsi="Times New Roman"/>
          <w:sz w:val="18"/>
          <w:szCs w:val="18"/>
          <w:color w:val="auto"/>
        </w:rPr>
        <w:t>In 2005, we launched CoStar Commercial MLS, which is the industry’s most comprehensive collection of researched for-sale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listings. CoStar Commercial MLS draws upon CoStar’s large database of digital images and includes office, industrial and retail properties, as well as shopping centers and raw land. CoStar Commercial MLS represents an efficient means for sellers to market their properties to a large audience and for buyers to easily identify target properties.</w:t>
      </w:r>
    </w:p>
    <w:p>
      <w:pPr>
        <w:spacing w:after="0" w:line="72" w:lineRule="exact"/>
        <w:rPr>
          <w:sz w:val="20"/>
          <w:szCs w:val="20"/>
          <w:color w:val="auto"/>
        </w:rPr>
      </w:pPr>
    </w:p>
    <w:p>
      <w:pPr>
        <w:ind w:right="60" w:firstLine="225"/>
        <w:spacing w:after="0" w:line="234" w:lineRule="auto"/>
        <w:rPr>
          <w:sz w:val="20"/>
          <w:szCs w:val="20"/>
          <w:color w:val="auto"/>
        </w:rPr>
      </w:pPr>
      <w:r>
        <w:rPr>
          <w:rFonts w:ascii="Times New Roman" w:cs="Times New Roman" w:eastAsia="Times New Roman" w:hAnsi="Times New Roman"/>
          <w:sz w:val="18"/>
          <w:szCs w:val="18"/>
          <w:i w:val="1"/>
          <w:iCs w:val="1"/>
          <w:color w:val="auto"/>
        </w:rPr>
        <w:t>CoStar Advertising</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CoStar Advertising offers property owners a highly targeted and cost-effective way to market a space for lease or for sale directly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individuals looking for that type of space through interactive advertising. Our advertising model is based on varying levels of exposure, enabling the advertiser to target as narrowly or broadly as its budget permits. With the CoStar Advertising program, when the advertiser’s listings appear in a results set, they receive priority positioning and are enhanced to stand out. The advertiser can also purchase exposure in additional submarkets, or the entire market area so that his ad will appear even when his listing would not be returned in a results set.</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 w:name="page9"/>
    <w:bookmarkEnd w:id="8"/>
    <w:p>
      <w:pPr>
        <w:ind w:right="8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NRB Shopping Center Directory™</w:t>
      </w:r>
      <w:r>
        <w:rPr>
          <w:rFonts w:ascii="Times New Roman" w:cs="Times New Roman" w:eastAsia="Times New Roman" w:hAnsi="Times New Roman"/>
          <w:sz w:val="18"/>
          <w:szCs w:val="18"/>
          <w:color w:val="auto"/>
        </w:rPr>
        <w:t>. As a result of our January 2005 acquisition of National Research Bureau, we now offer access to a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database of U.S. shopping center information. The Shopping Center Directory includes shopping center names, locations, tenants, gross leaseable area, space availability and contact information for owners, tenants, leasing agents and managers. The Shopping Center Directory is available in print as well as CD-ROM format, the latter of which offers additional data, indices and search capabilities.</w:t>
      </w:r>
    </w:p>
    <w:p>
      <w:pPr>
        <w:spacing w:after="0" w:line="72" w:lineRule="exact"/>
        <w:rPr>
          <w:sz w:val="20"/>
          <w:szCs w:val="20"/>
          <w:color w:val="auto"/>
        </w:rPr>
      </w:pPr>
    </w:p>
    <w:p>
      <w:pPr>
        <w:ind w:firstLine="225"/>
        <w:spacing w:after="0" w:line="230" w:lineRule="auto"/>
        <w:rPr>
          <w:sz w:val="20"/>
          <w:szCs w:val="20"/>
          <w:color w:val="auto"/>
        </w:rPr>
      </w:pPr>
      <w:r>
        <w:rPr>
          <w:rFonts w:ascii="Times New Roman" w:cs="Times New Roman" w:eastAsia="Times New Roman" w:hAnsi="Times New Roman"/>
          <w:sz w:val="18"/>
          <w:szCs w:val="18"/>
          <w:i w:val="1"/>
          <w:iCs w:val="1"/>
          <w:color w:val="auto"/>
        </w:rPr>
        <w:t>CoStar Exchange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CoStar Exchange is a database of commercial real estate properties that have been listed for sale. The Company believes CoStar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is the only industry database that combines for-sale listings with correlating data on space availability, tenants, comparable sales and digital images, enabling professionals to post and search for properties quickly and efficiently. CoStar Exchange represents an efficient means for sellers to reach a large audience and for buyers to identify target properties.</w:t>
      </w:r>
    </w:p>
    <w:p>
      <w:pPr>
        <w:spacing w:after="0" w:line="91" w:lineRule="exact"/>
        <w:rPr>
          <w:sz w:val="20"/>
          <w:szCs w:val="20"/>
          <w:color w:val="auto"/>
        </w:rPr>
      </w:pPr>
    </w:p>
    <w:p>
      <w:pPr>
        <w:ind w:right="200" w:firstLine="225"/>
        <w:spacing w:after="0" w:line="236" w:lineRule="auto"/>
        <w:rPr>
          <w:sz w:val="20"/>
          <w:szCs w:val="20"/>
          <w:color w:val="auto"/>
        </w:rPr>
      </w:pPr>
      <w:r>
        <w:rPr>
          <w:rFonts w:ascii="Times New Roman" w:cs="Times New Roman" w:eastAsia="Times New Roman" w:hAnsi="Times New Roman"/>
          <w:sz w:val="18"/>
          <w:szCs w:val="18"/>
          <w:i w:val="1"/>
          <w:iCs w:val="1"/>
          <w:color w:val="auto"/>
        </w:rPr>
        <w:t>CoStar Professional Directory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CoStar Professional Directory, a service available exclusively to CoStar Property Professional subscribers,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contact information for over 690,000 commercial real estate professionals, including specific information about an individual’s current and prior activities such as completed transactions, current landlord representation assignments, sublet listings, major tenants and owners represented and local and national affiliations. Commercial real estate brokers can input their biographical information and credentials and upload their photo to create personal profiles. Subscribers use CoStar Professional Directory to network with their peers, identify and evaluate potential business partners, and maintain accurate mailing lists of other industry professionals for their direct mail marketing efforts</w:t>
      </w:r>
      <w:r>
        <w:rPr>
          <w:rFonts w:ascii="Times New Roman" w:cs="Times New Roman" w:eastAsia="Times New Roman" w:hAnsi="Times New Roman"/>
          <w:sz w:val="18"/>
          <w:szCs w:val="18"/>
          <w:i w:val="1"/>
          <w:iCs w:val="1"/>
          <w:color w:val="auto"/>
        </w:rPr>
        <w:t>.</w:t>
      </w:r>
    </w:p>
    <w:p>
      <w:pPr>
        <w:spacing w:after="0" w:line="93" w:lineRule="exact"/>
        <w:rPr>
          <w:sz w:val="20"/>
          <w:szCs w:val="20"/>
          <w:color w:val="auto"/>
        </w:rPr>
      </w:pPr>
    </w:p>
    <w:p>
      <w:pPr>
        <w:ind w:right="60" w:firstLine="22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CoStar Market Report™. </w:t>
      </w:r>
      <w:r>
        <w:rPr>
          <w:rFonts w:ascii="Times New Roman" w:cs="Times New Roman" w:eastAsia="Times New Roman" w:hAnsi="Times New Roman"/>
          <w:sz w:val="18"/>
          <w:szCs w:val="18"/>
          <w:color w:val="auto"/>
        </w:rPr>
        <w:t>The CoStar Market Report provides in-depth current and historical analytical information covering 44 of the major metropolitan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and industrial markets in the United States and two retail markets in the United States. Published quarterly, each market report includes details such as absorption rates, vacancy rates, rental rates, average sales prices, capitalization rates, existing inventory and current construction activity. This data is presented using standard definitions and calculations developed by CoStar, and offers real estate professionals critical and unbiased information necessary to make intelligent commercial real estate decisions. CoStar Market Reports are available to CoStar Property Professional subscribers at no additional charge, and are available for purchase by nonsubscribers.</w:t>
      </w:r>
    </w:p>
    <w:p>
      <w:pPr>
        <w:spacing w:after="0" w:line="75"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Metropolis™. </w:t>
      </w:r>
      <w:r>
        <w:rPr>
          <w:rFonts w:ascii="Times New Roman" w:cs="Times New Roman" w:eastAsia="Times New Roman" w:hAnsi="Times New Roman"/>
          <w:sz w:val="18"/>
          <w:szCs w:val="18"/>
          <w:color w:val="auto"/>
        </w:rPr>
        <w:t>The Metropolis service is a single interface that combines commercial real estate data from multiple information providers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resource. The Metropolis service allows a user to input a property address and then view detailed information on that property from multiple information providers, including CoStar services. This technology offers commercial real estate professionals a simple and convenient solution for integrating a wealth of third-party information and proprietary data, and is currently available for the Southern California markets.</w:t>
      </w:r>
    </w:p>
    <w:p>
      <w:pPr>
        <w:spacing w:after="0" w:line="72" w:lineRule="exact"/>
        <w:rPr>
          <w:sz w:val="20"/>
          <w:szCs w:val="20"/>
          <w:color w:val="auto"/>
        </w:rPr>
      </w:pPr>
    </w:p>
    <w:p>
      <w:pPr>
        <w:ind w:right="6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CoStar News™. </w:t>
      </w:r>
      <w:r>
        <w:rPr>
          <w:rFonts w:ascii="Times New Roman" w:cs="Times New Roman" w:eastAsia="Times New Roman" w:hAnsi="Times New Roman"/>
          <w:sz w:val="18"/>
          <w:szCs w:val="18"/>
          <w:color w:val="auto"/>
        </w:rPr>
        <w:t>Our web site, our CoStar services and our e-mail news dispatches have become an accepted source of reliable industry news. In 2005,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published approximately 9,500 news stories. Our news services keep clients informed of late-breaking commercial real estate news such as major leasing transactions, acquisitions, new construction activity, key industry personnel moves and industry events.</w:t>
      </w:r>
    </w:p>
    <w:p>
      <w:pPr>
        <w:spacing w:after="0" w:line="65" w:lineRule="exact"/>
        <w:rPr>
          <w:sz w:val="20"/>
          <w:szCs w:val="20"/>
          <w:color w:val="auto"/>
        </w:rPr>
      </w:pPr>
    </w:p>
    <w:p>
      <w:pPr>
        <w:ind w:right="6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CoStar Photo Express™</w:t>
      </w:r>
      <w:r>
        <w:rPr>
          <w:rFonts w:ascii="Times New Roman" w:cs="Times New Roman" w:eastAsia="Times New Roman" w:hAnsi="Times New Roman"/>
          <w:sz w:val="18"/>
          <w:szCs w:val="18"/>
          <w:color w:val="auto"/>
        </w:rPr>
        <w:t>. In 2005, we launched CoStar Photo Express ¾ a service designed to enable CoStar Property Professional subscribers to lawfully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 CoStar photos on Internet listing services.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121" w:lineRule="exact"/>
        <w:rPr>
          <w:sz w:val="20"/>
          <w:szCs w:val="20"/>
          <w:color w:val="auto"/>
        </w:rPr>
      </w:pPr>
    </w:p>
    <w:p>
      <w:pPr>
        <w:ind w:right="140" w:firstLine="222"/>
        <w:spacing w:after="0" w:line="258" w:lineRule="auto"/>
        <w:rPr>
          <w:sz w:val="20"/>
          <w:szCs w:val="20"/>
          <w:color w:val="auto"/>
        </w:rPr>
      </w:pPr>
      <w:r>
        <w:rPr>
          <w:rFonts w:ascii="Times New Roman" w:cs="Times New Roman" w:eastAsia="Times New Roman" w:hAnsi="Times New Roman"/>
          <w:sz w:val="18"/>
          <w:szCs w:val="18"/>
          <w:color w:val="auto"/>
        </w:rPr>
        <w:t>We draw clients from across the commercial real estate and related business community. Commercial real estate brokers have traditionally formed the largest portion of CoStar clients, however, we also provide services to owners, landlords, financial institutions, retailers, vendors, appraisers, investment banks and other parties involved in commercial real estate. The following chart lists U.S. clients that are well known or have the highest annual subscription fees in each of the various categories and also lists U.K. clients that are well known or have the highest annual subscription fees in each of the various categories, each as of February 1, 2006.</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Brokers</w:t>
            </w:r>
          </w:p>
        </w:tc>
        <w:tc>
          <w:tcPr>
            <w:tcW w:w="5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Lenders, Investment Bankers</w:t>
            </w:r>
          </w:p>
        </w:tc>
        <w:tc>
          <w:tcPr>
            <w:tcW w:w="56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Institutional Advisors, Asset Managers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CB Richard Ellis</w:t>
            </w:r>
          </w:p>
        </w:tc>
        <w:tc>
          <w:tcPr>
            <w:tcW w:w="580" w:type="dxa"/>
            <w:vAlign w:val="bottom"/>
          </w:tcPr>
          <w:p>
            <w:pPr>
              <w:spacing w:after="0"/>
              <w:rPr>
                <w:sz w:val="16"/>
                <w:szCs w:val="16"/>
                <w:color w:val="auto"/>
              </w:rPr>
            </w:pP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GMAC Commercial Mortgage</w:t>
            </w:r>
          </w:p>
        </w:tc>
        <w:tc>
          <w:tcPr>
            <w:tcW w:w="560" w:type="dxa"/>
            <w:vAlign w:val="bottom"/>
          </w:tcPr>
          <w:p>
            <w:pPr>
              <w:spacing w:after="0"/>
              <w:rPr>
                <w:sz w:val="16"/>
                <w:szCs w:val="16"/>
                <w:color w:val="auto"/>
              </w:rPr>
            </w:pP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Jones Lang LaSalle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CB Richard Ellis — U.K.</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GMAC — U.K.</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Prudential</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Colliers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Deutsche Bank</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Prudential — U.K.</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Colliers Conrad Ritblat Erdman — U.K.</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Wells Fargo</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Metropolitan Life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Cushman &amp; Wakefield</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Washington Mutual</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ING Clarion Partners</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Cushman &amp; Wakefield Healey &amp;</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Wachovia Corporation</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Bear Stearns &amp; Co.,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Baker — U.K.</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Merrill Lynch</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USAA Real Estate Company</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Trammell Crow Co.</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Citibank</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Legg Mason</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Jones Lang LaSalle</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Fannie Mae</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Morley — U.K.</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Jones Lang LaSalle — U.K.</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Morgan Stanley</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AEW Capital Management LP</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Grubb &amp; Ellis</w:t>
            </w:r>
          </w:p>
        </w:tc>
        <w:tc>
          <w:tcPr>
            <w:tcW w:w="580" w:type="dxa"/>
            <w:vAlign w:val="bottom"/>
          </w:tcPr>
          <w:p>
            <w:pPr>
              <w:spacing w:after="0"/>
              <w:rPr>
                <w:sz w:val="18"/>
                <w:szCs w:val="18"/>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 and Developers</w:t>
            </w:r>
          </w:p>
        </w:tc>
        <w:tc>
          <w:tcPr>
            <w:tcW w:w="560" w:type="dxa"/>
            <w:vAlign w:val="bottom"/>
          </w:tcPr>
          <w:p>
            <w:pPr>
              <w:spacing w:after="0"/>
              <w:rPr>
                <w:sz w:val="18"/>
                <w:szCs w:val="18"/>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Appraisers, Accountants</w:t>
            </w:r>
          </w:p>
        </w:tc>
        <w:tc>
          <w:tcPr>
            <w:tcW w:w="0" w:type="dxa"/>
            <w:vAlign w:val="bottom"/>
          </w:tcPr>
          <w:p>
            <w:pPr>
              <w:spacing w:after="0"/>
              <w:rPr>
                <w:sz w:val="1"/>
                <w:szCs w:val="1"/>
                <w:color w:val="auto"/>
              </w:rPr>
            </w:pPr>
          </w:p>
        </w:tc>
      </w:tr>
      <w:tr>
        <w:trPr>
          <w:trHeight w:val="239"/>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Marcus &amp; Millichap</w:t>
            </w:r>
          </w:p>
        </w:tc>
        <w:tc>
          <w:tcPr>
            <w:tcW w:w="580" w:type="dxa"/>
            <w:vAlign w:val="bottom"/>
          </w:tcPr>
          <w:p>
            <w:pPr>
              <w:spacing w:after="0"/>
              <w:rPr>
                <w:sz w:val="20"/>
                <w:szCs w:val="20"/>
                <w:color w:val="auto"/>
              </w:rPr>
            </w:pPr>
          </w:p>
        </w:tc>
        <w:tc>
          <w:tcPr>
            <w:tcW w:w="3420" w:type="dxa"/>
            <w:vAlign w:val="bottom"/>
            <w:tcBorders>
              <w:bottom w:val="single" w:sz="8" w:color="auto"/>
            </w:tcBorders>
            <w:vMerge w:val="continue"/>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The Staubach Company</w:t>
            </w:r>
          </w:p>
        </w:tc>
        <w:tc>
          <w:tcPr>
            <w:tcW w:w="580" w:type="dxa"/>
            <w:vAlign w:val="bottom"/>
          </w:tcPr>
          <w:p>
            <w:pPr>
              <w:spacing w:after="0"/>
              <w:rPr>
                <w:sz w:val="17"/>
                <w:szCs w:val="17"/>
                <w:color w:val="auto"/>
              </w:rPr>
            </w:pPr>
          </w:p>
        </w:tc>
        <w:tc>
          <w:tcPr>
            <w:tcW w:w="3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Hines</w:t>
            </w:r>
          </w:p>
        </w:tc>
        <w:tc>
          <w:tcPr>
            <w:tcW w:w="560" w:type="dxa"/>
            <w:vAlign w:val="bottom"/>
          </w:tcPr>
          <w:p>
            <w:pPr>
              <w:spacing w:after="0"/>
              <w:rPr>
                <w:sz w:val="17"/>
                <w:szCs w:val="17"/>
                <w:color w:val="auto"/>
              </w:rPr>
            </w:pPr>
          </w:p>
        </w:tc>
        <w:tc>
          <w:tcPr>
            <w:tcW w:w="3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Integra</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Newmark &amp; Company Real Estate</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LNR Property Corp</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Deloitte and Touche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CRESA Partners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Shorenstein Properties</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Deloitte and Touche — U.K.</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Studley</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Gale Companies</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Marvin F. Poer</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Coldwell Banker Commercial NRT</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Manulife Financial</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KPMG</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Industrial Developments International</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 Capital Small Business Finance Corp</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GVA Williams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Land Securities — U.K.</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PGP Valuation</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GVA Advantis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Slough Estates — U.K.</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PricewaterhouseCoopers</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Binswanger</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Re/Max</w:t>
            </w:r>
          </w:p>
        </w:tc>
        <w:tc>
          <w:tcPr>
            <w:tcW w:w="580" w:type="dxa"/>
            <w:vAlign w:val="bottom"/>
          </w:tcPr>
          <w:p>
            <w:pPr>
              <w:spacing w:after="0"/>
              <w:rPr>
                <w:sz w:val="18"/>
                <w:szCs w:val="18"/>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REITS</w:t>
            </w:r>
          </w:p>
        </w:tc>
        <w:tc>
          <w:tcPr>
            <w:tcW w:w="560" w:type="dxa"/>
            <w:vAlign w:val="bottom"/>
          </w:tcPr>
          <w:p>
            <w:pPr>
              <w:spacing w:after="0"/>
              <w:rPr>
                <w:sz w:val="18"/>
                <w:szCs w:val="18"/>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Government Agencies</w:t>
            </w:r>
          </w:p>
        </w:tc>
        <w:tc>
          <w:tcPr>
            <w:tcW w:w="0" w:type="dxa"/>
            <w:vAlign w:val="bottom"/>
          </w:tcPr>
          <w:p>
            <w:pPr>
              <w:spacing w:after="0"/>
              <w:rPr>
                <w:sz w:val="1"/>
                <w:szCs w:val="1"/>
                <w:color w:val="auto"/>
              </w:rPr>
            </w:pPr>
          </w:p>
        </w:tc>
      </w:tr>
      <w:tr>
        <w:trPr>
          <w:trHeight w:val="239"/>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Carter</w:t>
            </w:r>
          </w:p>
        </w:tc>
        <w:tc>
          <w:tcPr>
            <w:tcW w:w="580" w:type="dxa"/>
            <w:vAlign w:val="bottom"/>
          </w:tcPr>
          <w:p>
            <w:pPr>
              <w:spacing w:after="0"/>
              <w:rPr>
                <w:sz w:val="20"/>
                <w:szCs w:val="20"/>
                <w:color w:val="auto"/>
              </w:rPr>
            </w:pPr>
          </w:p>
        </w:tc>
        <w:tc>
          <w:tcPr>
            <w:tcW w:w="3420" w:type="dxa"/>
            <w:vAlign w:val="bottom"/>
            <w:tcBorders>
              <w:bottom w:val="single" w:sz="8" w:color="auto"/>
            </w:tcBorders>
            <w:vMerge w:val="continue"/>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United Systems Integrators Corp</w:t>
            </w:r>
          </w:p>
        </w:tc>
        <w:tc>
          <w:tcPr>
            <w:tcW w:w="580" w:type="dxa"/>
            <w:vAlign w:val="bottom"/>
          </w:tcPr>
          <w:p>
            <w:pPr>
              <w:spacing w:after="0"/>
              <w:rPr>
                <w:sz w:val="17"/>
                <w:szCs w:val="17"/>
                <w:color w:val="auto"/>
              </w:rPr>
            </w:pPr>
          </w:p>
        </w:tc>
        <w:tc>
          <w:tcPr>
            <w:tcW w:w="3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Equity Office Properties Trust</w:t>
            </w:r>
          </w:p>
        </w:tc>
        <w:tc>
          <w:tcPr>
            <w:tcW w:w="560" w:type="dxa"/>
            <w:vAlign w:val="bottom"/>
          </w:tcPr>
          <w:p>
            <w:pPr>
              <w:spacing w:after="0"/>
              <w:rPr>
                <w:sz w:val="17"/>
                <w:szCs w:val="17"/>
                <w:color w:val="auto"/>
              </w:rPr>
            </w:pPr>
          </w:p>
        </w:tc>
        <w:tc>
          <w:tcPr>
            <w:tcW w:w="3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U.S. General Services Administration</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GVA Daum Finkelstein Comm Rlty</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Trizec Properties, Inc.</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County of Los Angeles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Prologis</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Office of Technology Procurement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Finkelstein Comm Rlty Services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Prentiss Properties</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City of Chicago</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Equities Realty</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CarrAmerica</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Cook County Assessor’s Office</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CMD Realty Investors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Boston Properties</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U.S. Department of Housing and Urban</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Sperry Van Ness</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Liberty Property Trust</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0" w:type="dxa"/>
            <w:vAlign w:val="bottom"/>
          </w:tcPr>
          <w:p>
            <w:pPr>
              <w:spacing w:after="0"/>
              <w:rPr>
                <w:sz w:val="1"/>
                <w:szCs w:val="1"/>
                <w:color w:val="auto"/>
              </w:rPr>
            </w:pPr>
          </w:p>
        </w:tc>
      </w:tr>
      <w:tr>
        <w:trPr>
          <w:trHeight w:val="21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HFF</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of London — U.K.</w:t>
            </w:r>
          </w:p>
        </w:tc>
        <w:tc>
          <w:tcPr>
            <w:tcW w:w="0" w:type="dxa"/>
            <w:vAlign w:val="bottom"/>
          </w:tcPr>
          <w:p>
            <w:pPr>
              <w:spacing w:after="0"/>
              <w:rPr>
                <w:sz w:val="1"/>
                <w:szCs w:val="1"/>
                <w:color w:val="auto"/>
              </w:rPr>
            </w:pPr>
          </w:p>
        </w:tc>
      </w:tr>
      <w:tr>
        <w:trPr>
          <w:trHeight w:val="22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Mohr Partners</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Scottish Enterprise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U.K.</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Dunn Company, Inc.</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GVA Grimley — U.K.</w:t>
            </w:r>
          </w:p>
        </w:tc>
        <w:tc>
          <w:tcPr>
            <w:tcW w:w="580" w:type="dxa"/>
            <w:vAlign w:val="bottom"/>
          </w:tcPr>
          <w:p>
            <w:pPr>
              <w:spacing w:after="0"/>
              <w:rPr>
                <w:sz w:val="18"/>
                <w:szCs w:val="18"/>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Property Managers</w:t>
            </w:r>
          </w:p>
        </w:tc>
        <w:tc>
          <w:tcPr>
            <w:tcW w:w="560" w:type="dxa"/>
            <w:vAlign w:val="bottom"/>
          </w:tcPr>
          <w:p>
            <w:pPr>
              <w:spacing w:after="0"/>
              <w:rPr>
                <w:sz w:val="18"/>
                <w:szCs w:val="18"/>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Vendors</w:t>
            </w:r>
          </w:p>
        </w:tc>
        <w:tc>
          <w:tcPr>
            <w:tcW w:w="0" w:type="dxa"/>
            <w:vAlign w:val="bottom"/>
          </w:tcPr>
          <w:p>
            <w:pPr>
              <w:spacing w:after="0"/>
              <w:rPr>
                <w:sz w:val="1"/>
                <w:szCs w:val="1"/>
                <w:color w:val="auto"/>
              </w:rPr>
            </w:pPr>
          </w:p>
        </w:tc>
      </w:tr>
      <w:tr>
        <w:trPr>
          <w:trHeight w:val="239"/>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 Sturge — U.K.</w:t>
            </w:r>
          </w:p>
        </w:tc>
        <w:tc>
          <w:tcPr>
            <w:tcW w:w="580" w:type="dxa"/>
            <w:vAlign w:val="bottom"/>
          </w:tcPr>
          <w:p>
            <w:pPr>
              <w:spacing w:after="0"/>
              <w:rPr>
                <w:sz w:val="20"/>
                <w:szCs w:val="20"/>
                <w:color w:val="auto"/>
              </w:rPr>
            </w:pPr>
          </w:p>
        </w:tc>
        <w:tc>
          <w:tcPr>
            <w:tcW w:w="3420" w:type="dxa"/>
            <w:vAlign w:val="bottom"/>
            <w:tcBorders>
              <w:bottom w:val="single" w:sz="8" w:color="auto"/>
            </w:tcBorders>
            <w:vMerge w:val="continue"/>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Knight Frank — U.K.</w:t>
            </w:r>
          </w:p>
        </w:tc>
        <w:tc>
          <w:tcPr>
            <w:tcW w:w="580" w:type="dxa"/>
            <w:vAlign w:val="bottom"/>
          </w:tcPr>
          <w:p>
            <w:pPr>
              <w:spacing w:after="0"/>
              <w:rPr>
                <w:sz w:val="17"/>
                <w:szCs w:val="17"/>
                <w:color w:val="auto"/>
              </w:rPr>
            </w:pPr>
          </w:p>
        </w:tc>
        <w:tc>
          <w:tcPr>
            <w:tcW w:w="3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Transwestern Commercial Services</w:t>
            </w:r>
          </w:p>
        </w:tc>
        <w:tc>
          <w:tcPr>
            <w:tcW w:w="560" w:type="dxa"/>
            <w:vAlign w:val="bottom"/>
          </w:tcPr>
          <w:p>
            <w:pPr>
              <w:spacing w:after="0"/>
              <w:rPr>
                <w:sz w:val="17"/>
                <w:szCs w:val="17"/>
                <w:color w:val="auto"/>
              </w:rPr>
            </w:pPr>
          </w:p>
        </w:tc>
        <w:tc>
          <w:tcPr>
            <w:tcW w:w="3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Turner Construction Company</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Donaldsons — U.K.</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Lincoln Property Company</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Kastle Systems</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Savills Commercial — U.K.</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PM Realty Group</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Comcast Cable Communications</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Artisreal — U.K.</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Navisys Group</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Cisco Systems</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Lambert Smith Hampton — U.K.</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Osprey Management Company</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MWB — U.K.</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Drivers Jonas — U.K.</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Leggat McCall Properties</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Regus — U.K.</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Eve — U.K.</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Retailers</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Ulta Salon, Cosmetics &amp; Fragrance, Inc.</w:t>
            </w:r>
          </w:p>
        </w:tc>
        <w:tc>
          <w:tcPr>
            <w:tcW w:w="4000" w:type="dxa"/>
            <w:vAlign w:val="bottom"/>
            <w:gridSpan w:val="2"/>
          </w:tcPr>
          <w:p>
            <w:pPr>
              <w:ind w:left="580"/>
              <w:spacing w:after="0" w:line="191" w:lineRule="exact"/>
              <w:rPr>
                <w:sz w:val="20"/>
                <w:szCs w:val="20"/>
                <w:color w:val="auto"/>
              </w:rPr>
            </w:pPr>
            <w:r>
              <w:rPr>
                <w:rFonts w:ascii="Times New Roman" w:cs="Times New Roman" w:eastAsia="Times New Roman" w:hAnsi="Times New Roman"/>
                <w:sz w:val="18"/>
                <w:szCs w:val="18"/>
                <w:color w:val="auto"/>
              </w:rPr>
              <w:t>The Children’s Place</w:t>
            </w:r>
          </w:p>
        </w:tc>
        <w:tc>
          <w:tcPr>
            <w:tcW w:w="560" w:type="dxa"/>
            <w:vAlign w:val="bottom"/>
          </w:tcPr>
          <w:p>
            <w:pPr>
              <w:spacing w:after="0"/>
              <w:rPr>
                <w:sz w:val="16"/>
                <w:szCs w:val="16"/>
                <w:color w:val="auto"/>
              </w:rPr>
            </w:pP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Data Source Technology, Inc.</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DSR Marketing System</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Charming Shoppes, Inc.</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Merle Norman Cosmetics</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Brown Shoe Company</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ESRI, Inc.</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Nokia</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Payless Shoe Source, Inc.</w:t>
            </w:r>
          </w:p>
        </w:tc>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American Greetings</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CVS</w:t>
            </w: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JC Penney</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40" w:firstLine="22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2003, 2004 and 2005, no single client accounted for more than 5% of our revenues. Our subscription-based information services currently generate approximately 95% of our total revenues. Our contracts for our subscription-based information services typically have a minimum term of one year and renew automatically.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40" w:firstLine="215"/>
        <w:spacing w:after="0" w:line="258" w:lineRule="auto"/>
        <w:rPr>
          <w:sz w:val="20"/>
          <w:szCs w:val="20"/>
          <w:color w:val="auto"/>
        </w:rPr>
      </w:pPr>
      <w:r>
        <w:rPr>
          <w:rFonts w:ascii="Times New Roman" w:cs="Times New Roman" w:eastAsia="Times New Roman" w:hAnsi="Times New Roman"/>
          <w:sz w:val="18"/>
          <w:szCs w:val="18"/>
          <w:color w:val="auto"/>
        </w:rPr>
        <w:t>As of February 1, 2006, we had 197 sales, marketing and customer support employees, with the majority of our direct sales force located in field sales offices. Our sales teams are primarily located in 28 field sales offices throughout the United States and in London, England, Manchester, England and Paisley, Scotland. In 2005, we expanded our use of centralized inside sales teams at our Bethesda, Maryland office and created similar inside sales teams at our Columbia, Maryland and San Diego, California offices. These inside sales teams prospect for new clients and perform service demonstrations exclusively by telephone and over the Internet.</w:t>
      </w:r>
    </w:p>
    <w:p>
      <w:pPr>
        <w:spacing w:after="0" w:line="76" w:lineRule="exact"/>
        <w:rPr>
          <w:sz w:val="20"/>
          <w:szCs w:val="20"/>
          <w:color w:val="auto"/>
        </w:rPr>
      </w:pPr>
    </w:p>
    <w:p>
      <w:pPr>
        <w:ind w:right="280" w:firstLine="225"/>
        <w:spacing w:after="0" w:line="266" w:lineRule="auto"/>
        <w:rPr>
          <w:sz w:val="20"/>
          <w:szCs w:val="20"/>
          <w:color w:val="auto"/>
        </w:rPr>
      </w:pPr>
      <w:r>
        <w:rPr>
          <w:rFonts w:ascii="Times New Roman" w:cs="Times New Roman" w:eastAsia="Times New Roman" w:hAnsi="Times New Roman"/>
          <w:sz w:val="18"/>
          <w:szCs w:val="18"/>
          <w:color w:val="auto"/>
        </w:rPr>
        <w:t>Our local offices typically serve as the platform for our in-market sales, customer support and field research operations for their respective regions. The sales force is responsible for selling to new prospects, training new and existing clients, providing ongoing customer support, renewing existing client contracts and identifying cross-selling opportunities. In addition, the sales force has primary front-line responsibility for customer care.</w:t>
      </w:r>
    </w:p>
    <w:p>
      <w:pPr>
        <w:spacing w:after="0" w:line="68"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Our sales strategy is to aggressively attract new clients, while providing ongoing incentives for existing clients to subscribe to additional services. We place a premium on training new and existing client personnel on the use of our services so as to promote maximum client utilization and satisfaction with our services. Our strategy also involves entering into multi-year, multi-market license agreements with our larger clients. In 2005, we signed multi-year, multi-market renewal agreements with Grubb &amp; Ellis Company, Marcus &amp; Millichap, The Staubach Company, Trammell Crow Company, Equity Office Properties Trust and Coldwell Banker Commercial NRT. These license agreements grant non-exclusive licenses to these companies’ employees to use a variety of our information services. They typically have terms of a minimum of one year, generally renew automatically and require the payment of fixed monthly license fees.</w:t>
      </w:r>
    </w:p>
    <w:p>
      <w:pPr>
        <w:spacing w:after="0" w:line="81" w:lineRule="exact"/>
        <w:rPr>
          <w:sz w:val="20"/>
          <w:szCs w:val="20"/>
          <w:color w:val="auto"/>
        </w:rPr>
      </w:pPr>
    </w:p>
    <w:p>
      <w:pPr>
        <w:ind w:right="60" w:firstLine="222"/>
        <w:spacing w:after="0" w:line="258" w:lineRule="auto"/>
        <w:rPr>
          <w:sz w:val="20"/>
          <w:szCs w:val="20"/>
          <w:color w:val="auto"/>
        </w:rPr>
      </w:pPr>
      <w:r>
        <w:rPr>
          <w:rFonts w:ascii="Times New Roman" w:cs="Times New Roman" w:eastAsia="Times New Roman" w:hAnsi="Times New Roman"/>
          <w:sz w:val="18"/>
          <w:szCs w:val="18"/>
          <w:color w:val="auto"/>
        </w:rPr>
        <w:t>We seek to make our services essential to our clients’ businesses. To encourage clients to use our services regularly, we generally charge a fixed monthly amount for our subscription-based services rather than fees based on actual system usage. Contract rates are based on the number of sites, number of users, organization size, the client’s business focus and the number of services to which a client subscribes. Our subscription clients generally pay contract fees on a monthly basis, but in some cases may pay us on a quarterly or annual basis. In addition, through CoStar Property Express and CoStar COMPS Express, clients can access our database of commercial real estate information without a subscription.</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customer service and support staff is charged with ensuring high client satisfaction by providing ongoing customer support.</w:t>
      </w:r>
    </w:p>
    <w:p>
      <w:pPr>
        <w:spacing w:after="0" w:line="117"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Our primary marketing methods include: service demonstrations; face to face networking; Web-based marketing; direct marketing; communication via our corporate web site and news services; participation in trade show and industry events; print advertising in trade magazines and local business journals; client referrals and CoStar Advisor™, the Company’s newsletter, which is distributed to our clients and prospects. Web-based marketing and direct marketing are the most cost-effective means for us to find prospective clients. Our Web-based marketing efforts include advertising-related activities and our direct marketing efforts include direct mail and telemarketing, and make extensive use of our unique, proprietary database. Once we have identified a prospective client, our most effective sales method is a service demonstration. We use various forms of advertising to build brand identity and reinforce the value and benefits of our services. We also sponsor and attend local association activities and events, and attend and/or exhibit at industry trade shows and conferences to reinforce our relationships with our core user groups.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222"/>
        <w:spacing w:after="0" w:line="282" w:lineRule="auto"/>
        <w:rPr>
          <w:sz w:val="20"/>
          <w:szCs w:val="20"/>
          <w:color w:val="auto"/>
        </w:rPr>
      </w:pPr>
      <w:r>
        <w:rPr>
          <w:rFonts w:ascii="Times New Roman" w:cs="Times New Roman" w:eastAsia="Times New Roman" w:hAnsi="Times New Roman"/>
          <w:sz w:val="18"/>
          <w:szCs w:val="18"/>
          <w:color w:val="auto"/>
        </w:rPr>
        <w:t>The market for information services generally is competitive and rapidly changing. In the commercial real estate industry, the principal competitive factors for commercial real estate information services and providers are:</w:t>
      </w:r>
    </w:p>
    <w:p>
      <w:pPr>
        <w:spacing w:after="0" w:line="54" w:lineRule="exact"/>
        <w:rPr>
          <w:sz w:val="20"/>
          <w:szCs w:val="20"/>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quality and depth of the underlying databases;</w:t>
      </w:r>
    </w:p>
    <w:p>
      <w:pPr>
        <w:spacing w:after="0" w:line="2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ease of use, flexibility, and functionality of the software;</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timeliness of the data;</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breadth of geographic coverage and services offered;</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client service and support;</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perception that the service offered is the industry standard;</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price;</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effectiveness of marketing and sales efforts;</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proprietary nature of methodologies, databases and technical resources;</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vendor reputation;</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brand loyalty among customers; and</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 resources.</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compete directly and indirectly for customers with the following categories of companies:</w:t>
      </w:r>
    </w:p>
    <w:p>
      <w:pPr>
        <w:spacing w:after="0" w:line="117" w:lineRule="exact"/>
        <w:rPr>
          <w:sz w:val="20"/>
          <w:szCs w:val="20"/>
          <w:color w:val="auto"/>
        </w:rPr>
      </w:pPr>
    </w:p>
    <w:p>
      <w:pPr>
        <w:ind w:left="660" w:right="40" w:hanging="436"/>
        <w:spacing w:after="0" w:line="313" w:lineRule="auto"/>
        <w:tabs>
          <w:tab w:leader="none" w:pos="66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online services or web sites targeted to commercial real estate brokers, buyers and sellers of commercial real estate properties, insurance companies, mortgage brokers and lenders, such as LoopNet, Inc., EG</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Cityfeet.com, Inc., officespace.com, MrOfficeSpace.com and TenantWise, Inc.</w:t>
      </w:r>
    </w:p>
    <w:p>
      <w:pPr>
        <w:spacing w:after="0" w:line="43" w:lineRule="exact"/>
        <w:rPr>
          <w:rFonts w:ascii="Times New Roman" w:cs="Times New Roman" w:eastAsia="Times New Roman" w:hAnsi="Times New Roman"/>
          <w:sz w:val="17"/>
          <w:szCs w:val="17"/>
          <w:b w:val="1"/>
          <w:bCs w:val="1"/>
          <w:color w:val="auto"/>
        </w:rPr>
      </w:pPr>
    </w:p>
    <w:p>
      <w:pPr>
        <w:ind w:left="660" w:right="120" w:hanging="436"/>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publishers and distributors of information services, including regional providers and national print publications, such as Black’s Guide, Marshall &amp; Swift, Yale Robbins, Inc., Reis, Inc., Real Capital Analytics and Dorey Publishing and Information Services;</w:t>
      </w:r>
    </w:p>
    <w:p>
      <w:pPr>
        <w:spacing w:after="0" w:line="67" w:lineRule="exact"/>
        <w:rPr>
          <w:rFonts w:ascii="Times New Roman" w:cs="Times New Roman" w:eastAsia="Times New Roman" w:hAnsi="Times New Roman"/>
          <w:sz w:val="18"/>
          <w:szCs w:val="18"/>
          <w:b w:val="1"/>
          <w:bCs w:val="1"/>
          <w:color w:val="auto"/>
        </w:rPr>
      </w:pPr>
    </w:p>
    <w:p>
      <w:pPr>
        <w:ind w:left="660" w:right="20" w:hanging="436"/>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locally controlled real estate boards, exchanges or associations sponsoring property listing services and the companies with whom they partner, such as Xceligent, the Commercial Association of Realtors Data Services and the Association of Industrial Realtors;</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in-house research departments operated by commercial real estate brokers;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 record providers.</w:t>
      </w:r>
    </w:p>
    <w:p>
      <w:pPr>
        <w:spacing w:after="0" w:line="117" w:lineRule="exact"/>
        <w:rPr>
          <w:sz w:val="20"/>
          <w:szCs w:val="20"/>
          <w:color w:val="auto"/>
        </w:rPr>
      </w:pPr>
    </w:p>
    <w:p>
      <w:pPr>
        <w:ind w:right="80" w:firstLine="215"/>
        <w:spacing w:after="0" w:line="266" w:lineRule="auto"/>
        <w:rPr>
          <w:sz w:val="20"/>
          <w:szCs w:val="20"/>
          <w:color w:val="auto"/>
        </w:rPr>
      </w:pPr>
      <w:r>
        <w:rPr>
          <w:rFonts w:ascii="Times New Roman" w:cs="Times New Roman" w:eastAsia="Times New Roman" w:hAnsi="Times New Roman"/>
          <w:sz w:val="18"/>
          <w:szCs w:val="18"/>
          <w:color w:val="auto"/>
        </w:rPr>
        <w:t>As the commercial real estate information marketplace develops, additional competitors (including companies which could have greater access to data, financial, product development, technical or marketing resources than we do) may enter the market and competition may intensify. While we believe that we have successfully differentiated ourselves from existing competitors, competition could materially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Rights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 protect our proprietary rights in our methodologies, database, software, trademarks and other intellectual property, we depend upon a combination of:</w:t>
      </w:r>
    </w:p>
    <w:p>
      <w:pPr>
        <w:spacing w:after="0" w:line="117" w:lineRule="exact"/>
        <w:rPr>
          <w:sz w:val="20"/>
          <w:szCs w:val="20"/>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secret, copyright, trademark, database protection and other laws;</w:t>
      </w:r>
    </w:p>
    <w:p>
      <w:pPr>
        <w:spacing w:after="0" w:line="2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nondisclosure, noncompetition and other contractual provisions with employees and consultants;</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license agreements with customers;</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patent protection; and</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technical measures.</w:t>
      </w:r>
    </w:p>
    <w:p>
      <w:pPr>
        <w:spacing w:after="0" w:line="99"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We seek to protect our software’s source code and our database as trade secrets and under copyright law. Although copyright registration is not a prerequisite for copyright protection, we have filed for copyright registration for many of our databases, software and other materials. Under current U.S. law, the arrangement and selection of data may be protected, but the actual data itself may not be. In addition, with respect to our U.K. databases, certain database protection laws provide additional protections of these databases. We license our</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2" w:name="page13"/>
    <w:bookmarkEnd w:id="12"/>
    <w:p>
      <w:pPr>
        <w:ind w:right="420"/>
        <w:spacing w:after="0" w:line="282" w:lineRule="auto"/>
        <w:rPr>
          <w:sz w:val="20"/>
          <w:szCs w:val="20"/>
          <w:color w:val="auto"/>
        </w:rPr>
      </w:pPr>
      <w:r>
        <w:rPr>
          <w:rFonts w:ascii="Times New Roman" w:cs="Times New Roman" w:eastAsia="Times New Roman" w:hAnsi="Times New Roman"/>
          <w:sz w:val="18"/>
          <w:szCs w:val="18"/>
          <w:color w:val="auto"/>
        </w:rPr>
        <w:t>services under license agreements that grant our clients non-exclusive, non-transferable licenses. These agreements restrict the disclosure and use of our information and prohibit the unauthorized reproduction or transfer of the information services we license.</w:t>
      </w:r>
    </w:p>
    <w:p>
      <w:pPr>
        <w:spacing w:after="0" w:line="54" w:lineRule="exact"/>
        <w:rPr>
          <w:sz w:val="20"/>
          <w:szCs w:val="20"/>
          <w:color w:val="auto"/>
        </w:rPr>
      </w:pPr>
    </w:p>
    <w:p>
      <w:pPr>
        <w:ind w:right="40" w:firstLine="222"/>
        <w:spacing w:after="0" w:line="266" w:lineRule="auto"/>
        <w:rPr>
          <w:sz w:val="20"/>
          <w:szCs w:val="20"/>
          <w:color w:val="auto"/>
        </w:rPr>
      </w:pPr>
      <w:r>
        <w:rPr>
          <w:rFonts w:ascii="Times New Roman" w:cs="Times New Roman" w:eastAsia="Times New Roman" w:hAnsi="Times New Roman"/>
          <w:sz w:val="18"/>
          <w:szCs w:val="18"/>
          <w:color w:val="auto"/>
        </w:rPr>
        <w:t>We also attempt to protect the secrecy of our proprietary database, our trade secrets and our proprietary information through confidentiality and noncompetition agreements with our employees and consultants. Our services also include technical measures to discourage and detect unauthorized copying of our intellectual property.</w:t>
      </w:r>
    </w:p>
    <w:p>
      <w:pPr>
        <w:spacing w:after="0" w:line="68" w:lineRule="exact"/>
        <w:rPr>
          <w:sz w:val="20"/>
          <w:szCs w:val="20"/>
          <w:color w:val="auto"/>
        </w:rPr>
      </w:pPr>
    </w:p>
    <w:p>
      <w:pPr>
        <w:ind w:right="80" w:firstLine="222"/>
        <w:spacing w:after="0" w:line="255" w:lineRule="auto"/>
        <w:rPr>
          <w:sz w:val="20"/>
          <w:szCs w:val="20"/>
          <w:color w:val="auto"/>
        </w:rPr>
      </w:pPr>
      <w:r>
        <w:rPr>
          <w:rFonts w:ascii="Times New Roman" w:cs="Times New Roman" w:eastAsia="Times New Roman" w:hAnsi="Times New Roman"/>
          <w:sz w:val="18"/>
          <w:szCs w:val="18"/>
          <w:color w:val="auto"/>
        </w:rPr>
        <w:t>We have filed trademark applications to register trademarks for a variety of names for CoStar services and other marks, and have obtained registered trademarks for a variety of our marks, including “CoStar”, “COMPS”, “CoStar Property”, “CoStar Tenant” and “CoStar Group”. Depending upon the jurisdiction, trademarks are generally valid as long as they are in use and/or their registrations are properly maintained and they have not been found to become generic. We consider our trademarks in the aggregate to constitute a valuable asset. In addition, we have filed several patent applications covering certain of our methodologies and software and currently have one patent in the U.K. which expires in 2021 covering, among other things, certain of our field research methodologies and one patent in the U.S. which expires in 2022 covering, among other things, critical elements of CoStar’s proprietary field research technology. We regard the rights under our patents as valuable to our business but do not believe that our business is materially dependent on any single patent.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of February 1, 2006, we employed 1,076 employees. None of our employees is represented by a labor union. We have experienced no work stoppages.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employee relations are excellent.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right="320" w:firstLine="225"/>
        <w:spacing w:after="0" w:line="266" w:lineRule="auto"/>
        <w:rPr>
          <w:sz w:val="20"/>
          <w:szCs w:val="20"/>
          <w:color w:val="auto"/>
        </w:rPr>
      </w:pPr>
      <w:r>
        <w:rPr>
          <w:rFonts w:ascii="Times New Roman" w:cs="Times New Roman" w:eastAsia="Times New Roman" w:hAnsi="Times New Roman"/>
          <w:sz w:val="18"/>
          <w:szCs w:val="18"/>
          <w:color w:val="auto"/>
        </w:rPr>
        <w:t>Our investor relations Internet web site is http://www.costar.com/corporate/investor. The reports we file with or furnish to the Securities and Exchange Commission, including our annual report, quarterly reports and current reports, are available free of charge on our Internet web site as soon as reasonably practicable after we electronically file such material with, or furnish it to,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21" w:lineRule="exact"/>
        <w:rPr>
          <w:sz w:val="20"/>
          <w:szCs w:val="20"/>
          <w:color w:val="auto"/>
        </w:rPr>
      </w:pPr>
    </w:p>
    <w:p>
      <w:pPr>
        <w:ind w:firstLine="222"/>
        <w:spacing w:after="0" w:line="253" w:lineRule="auto"/>
        <w:rPr>
          <w:sz w:val="20"/>
          <w:szCs w:val="20"/>
          <w:color w:val="auto"/>
        </w:rPr>
      </w:pPr>
      <w:r>
        <w:rPr>
          <w:rFonts w:ascii="Times New Roman" w:cs="Times New Roman" w:eastAsia="Times New Roman" w:hAnsi="Times New Roman"/>
          <w:sz w:val="18"/>
          <w:szCs w:val="18"/>
          <w:color w:val="auto"/>
        </w:rPr>
        <w:t>We have made forward-looking statements in this report and make forward-looking statements in our press releases and conference calls that are subject to risks and uncertainties. Forward-looking statements include information that is not purely historic fact and include, without limitation, statements concerning our financial outlook for 2006 and beyond; our possible or assumed future results of operations generally; and other statements and information regarding assumptions about our revenues, EBITDA, fully diluted net income, taxable income, cash flow from operating activities, available cash, operating costs, amortization expense, intangible asset recovery, net income per share, diluted net income per share, weighted-average outstanding shares, capital and other expenditures, effective tax rate, equity compensation charges, future taxable income, purchase amortization, financing plans, geographic expansion, capital structure, contractual obligations, legal proceedings and claims, our database, database growth, services and facilities, employee relations and future economic performance; management’s plans, goals and objectives for future operations; and growth and markets for our stock. The sections of this report which contain forward-looking statements include “Business,” “Risk Factors,” “Properties,” “Legal Proceedings,” “Management’s Discussion and Analysis of Financial Condition and Results of Operations,” “Quantitative and Qualitative Disclosures About Market Risk” and the Financial Statements and related Notes.</w:t>
      </w:r>
    </w:p>
    <w:p>
      <w:pPr>
        <w:spacing w:after="0" w:line="85" w:lineRule="exact"/>
        <w:rPr>
          <w:sz w:val="20"/>
          <w:szCs w:val="20"/>
          <w:color w:val="auto"/>
        </w:rPr>
      </w:pPr>
    </w:p>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Our forward-looking statements are also identified by words such as “believes,” “expects,” “thinks,” “anticipates,” “intends,” “estimates” or similar expressions. You should understand that these forward-looking statements are necessarily estimates reflecting our judgment, not guarantees of future performance. They are subject to a number of assumptions, risks and uncertainties that could cause actual results to differ materially from those expressed or implied in the forward-looking statements. The following important factors, in addition</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3" w:name="page14"/>
    <w:bookmarkEnd w:id="13"/>
    <w:p>
      <w:pPr>
        <w:ind w:right="220"/>
        <w:spacing w:after="0" w:line="255" w:lineRule="auto"/>
        <w:rPr>
          <w:sz w:val="20"/>
          <w:szCs w:val="20"/>
          <w:color w:val="auto"/>
        </w:rPr>
      </w:pPr>
      <w:r>
        <w:rPr>
          <w:rFonts w:ascii="Times New Roman" w:cs="Times New Roman" w:eastAsia="Times New Roman" w:hAnsi="Times New Roman"/>
          <w:sz w:val="18"/>
          <w:szCs w:val="18"/>
          <w:color w:val="auto"/>
        </w:rPr>
        <w:t>to those discussed in “Risk Factors,” and other unforeseen events or circumstances, could affect our future results and could cause those results or other outcomes to differ materially from those expressed or implied in our forward-looking statements: general economic conditions; customer retention; competition; our ability to identify and integrate acquisitions; our ability to control costs; our ability to continue to expand successfully; our ability to effectively penetrate the market for retail real estate information and gain acceptance in that market; litigation; changes or consolidations within the commercial real estate industry; release of new and upgraded services by us or our competitors; data quality; development of our sales force; employee retention; technical problems with our services; managerial execution; changes in relationships with real estate brokers and other strategic partners; foreign currency fluctuations; legal and regulatory issues; changes in accounting policies or practices; and successful adoption of and training on our services.</w:t>
      </w:r>
    </w:p>
    <w:p>
      <w:pPr>
        <w:spacing w:after="0" w:line="81" w:lineRule="exact"/>
        <w:rPr>
          <w:sz w:val="20"/>
          <w:szCs w:val="20"/>
          <w:color w:val="auto"/>
        </w:rPr>
      </w:pPr>
    </w:p>
    <w:p>
      <w:pPr>
        <w:ind w:firstLine="215"/>
        <w:spacing w:after="0" w:line="261" w:lineRule="auto"/>
        <w:rPr>
          <w:sz w:val="20"/>
          <w:szCs w:val="20"/>
          <w:color w:val="auto"/>
        </w:rPr>
      </w:pPr>
      <w:r>
        <w:rPr>
          <w:rFonts w:ascii="Times New Roman" w:cs="Times New Roman" w:eastAsia="Times New Roman" w:hAnsi="Times New Roman"/>
          <w:sz w:val="18"/>
          <w:szCs w:val="18"/>
          <w:color w:val="auto"/>
        </w:rPr>
        <w:t>Accordingly, you should not place undue reliance on forward-looking statements, which speak only as of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events or circumstances after the date of this report or to reflect the occurrence of unanticipated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140" w:firstLine="225"/>
        <w:spacing w:after="0" w:line="273" w:lineRule="auto"/>
        <w:rPr>
          <w:sz w:val="20"/>
          <w:szCs w:val="20"/>
          <w:color w:val="auto"/>
        </w:rPr>
      </w:pPr>
      <w:r>
        <w:rPr>
          <w:rFonts w:ascii="Times New Roman" w:cs="Times New Roman" w:eastAsia="Times New Roman" w:hAnsi="Times New Roman"/>
          <w:sz w:val="17"/>
          <w:szCs w:val="17"/>
          <w:i w:val="1"/>
          <w:iCs w:val="1"/>
          <w:color w:val="auto"/>
        </w:rPr>
        <w:t>Our planned expansion into the retail real estate sector may not be completed successfully or may not result in increased revenues, which may negatively impact our business, results of operations and financial condition</w:t>
      </w:r>
      <w:r>
        <w:rPr>
          <w:rFonts w:ascii="Times New Roman" w:cs="Times New Roman" w:eastAsia="Times New Roman" w:hAnsi="Times New Roman"/>
          <w:sz w:val="17"/>
          <w:szCs w:val="17"/>
          <w:color w:val="auto"/>
        </w:rPr>
        <w:t>. Expanding into the retail real estate sector imposes additional burdens on our research,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systems development, sales, marketing and general managerial resources. During the next year, we expect to significantly expand the number of retail properties contained within our database. If we are unable to manage this expansion plan effectively, if this expansion effort takes longer than planned or if our costs for this effort exceed our expectations, our financial condition could be adversely affected. In addition, if we incur significant costs to expand into the retail sector and we are not successful in marketing and selling our expanded services, or customers fail to accept these new services, our expansion may have a material adverse effect on our financial condition by increasing our expenses without increasing our revenues, adversely affecting our profitability.</w:t>
      </w:r>
    </w:p>
    <w:p>
      <w:pPr>
        <w:spacing w:after="0" w:line="64" w:lineRule="exact"/>
        <w:rPr>
          <w:sz w:val="20"/>
          <w:szCs w:val="20"/>
          <w:color w:val="auto"/>
        </w:rPr>
      </w:pPr>
    </w:p>
    <w:p>
      <w:pPr>
        <w:ind w:right="40" w:firstLine="225"/>
        <w:spacing w:after="0" w:line="254" w:lineRule="auto"/>
        <w:rPr>
          <w:sz w:val="20"/>
          <w:szCs w:val="20"/>
          <w:color w:val="auto"/>
        </w:rPr>
      </w:pPr>
      <w:r>
        <w:rPr>
          <w:rFonts w:ascii="Times New Roman" w:cs="Times New Roman" w:eastAsia="Times New Roman" w:hAnsi="Times New Roman"/>
          <w:sz w:val="18"/>
          <w:szCs w:val="18"/>
          <w:i w:val="1"/>
          <w:iCs w:val="1"/>
          <w:color w:val="auto"/>
        </w:rPr>
        <w:t>Our recently completed 21-market expansion and any further geographic expansion or investment of resources to expand the depth of our coverage within existing markets may not result in increased revenues, which may negatively impact our business, results of operations and financial condition</w:t>
      </w:r>
      <w:r>
        <w:rPr>
          <w:rFonts w:ascii="Times New Roman" w:cs="Times New Roman" w:eastAsia="Times New Roman" w:hAnsi="Times New Roman"/>
          <w:sz w:val="18"/>
          <w:szCs w:val="18"/>
          <w:color w:val="auto"/>
        </w:rPr>
        <w:t>. Expanding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new markets and investing resources towards increasing the depth of our coverage within existing markets imposes additional burdens on our research, systems development, sales, marketing and general managerial resources. During 2006, we expect to continue to expand into a number of new U.S. markets, expand geographic coverage in certain of our existing markets and increase the depth of our coverage in certain of our existing markets. If we are unable to manage these expansion efforts effectively, if the expansion efforts take longer than planned or if our costs for these efforts exceed our expectations, our financial condition could be adversely affected. In addition, if we incur significant costs to expand into these new markets or to improve data quality within existing markets, or are not successful in marketing and selling our services in these markets, our expansion may have a material adverse effect on our financial condition by increasing our expenses without increasing our revenues, adversely affecting our profitability.</w:t>
      </w:r>
    </w:p>
    <w:p>
      <w:pPr>
        <w:spacing w:after="0" w:line="81" w:lineRule="exact"/>
        <w:rPr>
          <w:sz w:val="20"/>
          <w:szCs w:val="20"/>
          <w:color w:val="auto"/>
        </w:rPr>
      </w:pPr>
    </w:p>
    <w:p>
      <w:pPr>
        <w:ind w:right="20" w:firstLine="225"/>
        <w:spacing w:after="0" w:line="254" w:lineRule="auto"/>
        <w:rPr>
          <w:sz w:val="20"/>
          <w:szCs w:val="20"/>
          <w:color w:val="auto"/>
        </w:rPr>
      </w:pPr>
      <w:r>
        <w:rPr>
          <w:rFonts w:ascii="Times New Roman" w:cs="Times New Roman" w:eastAsia="Times New Roman" w:hAnsi="Times New Roman"/>
          <w:sz w:val="18"/>
          <w:szCs w:val="18"/>
          <w:i w:val="1"/>
          <w:iCs w:val="1"/>
          <w:color w:val="auto"/>
        </w:rPr>
        <w:t>Technical problems that affect either our customers’ ability to access our services, or the software, internal applications and systems underlying our services, could lead to reduced demand for our information services, lower revenues and increased costs</w:t>
      </w:r>
      <w:r>
        <w:rPr>
          <w:rFonts w:ascii="Times New Roman" w:cs="Times New Roman" w:eastAsia="Times New Roman" w:hAnsi="Times New Roman"/>
          <w:sz w:val="18"/>
          <w:szCs w:val="18"/>
          <w:color w:val="auto"/>
        </w:rPr>
        <w:t>. Our business increasingly depends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satisfactory performance, reliability and availability of our web site, the Internet and our service providers. Problems with our web site, the Internet or the services provided by our local exchange carriers or Internet service providers could result in slower connections for our customers or interfere with our customers’ access to our information services. If we experience technical problems in distributing our services, we could experience reduced demand for our information services. In addition, the software, internal applications and systems underlying our services are complex and may not be efficient or error-free. Despite careful development and testing, we cannot be certain that we will not encounter technical problems when we attempt to enhance our software, internal applications and systems. For example, during the second quarter of 2005, we upgraded our internal research application used by our research staff to update our database of commercial real estate information. If this application does not continue to work properly, the ability of our clients to access our services may be affected, which could result in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4" w:name="page15"/>
    <w:bookmarkEnd w:id="14"/>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reduced demand for our services, lower revenues and higher costs. Any inefficiencies, errors or technical problems with our software, internal applications and systems could reduce the quality of our services or interfere with our customers’ access to our information services, which could reduce the demand for our services, lower our revenues and increase our costs.</w:t>
      </w:r>
    </w:p>
    <w:p>
      <w:pPr>
        <w:spacing w:after="0" w:line="66" w:lineRule="exact"/>
        <w:rPr>
          <w:sz w:val="20"/>
          <w:szCs w:val="20"/>
          <w:color w:val="auto"/>
        </w:rPr>
      </w:pPr>
    </w:p>
    <w:p>
      <w:pPr>
        <w:ind w:right="20" w:firstLine="225"/>
        <w:spacing w:after="0" w:line="257" w:lineRule="auto"/>
        <w:rPr>
          <w:sz w:val="20"/>
          <w:szCs w:val="20"/>
          <w:color w:val="auto"/>
        </w:rPr>
      </w:pPr>
      <w:r>
        <w:rPr>
          <w:rFonts w:ascii="Times New Roman" w:cs="Times New Roman" w:eastAsia="Times New Roman" w:hAnsi="Times New Roman"/>
          <w:sz w:val="18"/>
          <w:szCs w:val="18"/>
          <w:i w:val="1"/>
          <w:iCs w:val="1"/>
          <w:color w:val="auto"/>
        </w:rPr>
        <w:t>Temporary or permanent outages of our computers, software or telecommunications equipment could lead to reduced demand for our information services, lower revenues and increased costs</w:t>
      </w:r>
      <w:r>
        <w:rPr>
          <w:rFonts w:ascii="Times New Roman" w:cs="Times New Roman" w:eastAsia="Times New Roman" w:hAnsi="Times New Roman"/>
          <w:sz w:val="18"/>
          <w:szCs w:val="18"/>
          <w:color w:val="auto"/>
        </w:rPr>
        <w:t>. Our operations depend on our ability to protect our database, computers and software, telecommunications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facilities against damage from potential dangers such as fire, power loss, security breaches, computer viruses and telecommunications failures. Any temporary or permanent loss of one or more of these systems or facilities from an accident, equipment malfunction or some other cause could harm our business. If we experience a failure that prevents us from delivering our information services to clients, we could experience reduced demand for our information services, lower revenues and increased costs.</w:t>
      </w:r>
    </w:p>
    <w:p>
      <w:pPr>
        <w:spacing w:after="0" w:line="75" w:lineRule="exact"/>
        <w:rPr>
          <w:sz w:val="20"/>
          <w:szCs w:val="20"/>
          <w:color w:val="auto"/>
        </w:rPr>
      </w:pPr>
    </w:p>
    <w:p>
      <w:pPr>
        <w:ind w:right="20" w:firstLine="225"/>
        <w:spacing w:after="0" w:line="254" w:lineRule="auto"/>
        <w:rPr>
          <w:sz w:val="20"/>
          <w:szCs w:val="20"/>
          <w:color w:val="auto"/>
        </w:rPr>
      </w:pPr>
      <w:r>
        <w:rPr>
          <w:rFonts w:ascii="Times New Roman" w:cs="Times New Roman" w:eastAsia="Times New Roman" w:hAnsi="Times New Roman"/>
          <w:sz w:val="18"/>
          <w:szCs w:val="18"/>
          <w:i w:val="1"/>
          <w:iCs w:val="1"/>
          <w:color w:val="auto"/>
        </w:rPr>
        <w:t>Changes in accounting and reporting policies or practices may affect our financial results or presentation of results, which may affect our stock price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accounting and reporting policies or practices could reduce our net income, which reductions may be independent of changes in our operations. These reductions in reported net income could cause our stock price to decline. For example, beginning in the first quarter of 2006, the Company expects to adopt the provisions of SFAS 123R, which will require us to expense the value of granted stock options. The Company is continuing to assess the impact of the adoption of SFAS 123R, but currently expects to incur $3.0 to $4.0 million in charges for stock options granted in 2006. In addition, in the fourth quarter of 2004, we recorded a one-time income tax credit of $16.7 million primarily related to the release of our previously recorded valuation allowance against our net operating loss carryforwards, and as a result our net income for the fourth quarter and year ended December 31, 2004 was significantly higher than in previous periods. As a result of the release of our previously recorded valuation allowance, we expect to record income tax expense for subsequent periods at an effective tax rate that approximates the statutory tax rate, which will decrease our net income.</w:t>
      </w:r>
    </w:p>
    <w:p>
      <w:pPr>
        <w:spacing w:after="0" w:line="81"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i w:val="1"/>
          <w:iCs w:val="1"/>
          <w:color w:val="auto"/>
        </w:rPr>
        <w:t>Our revenues and financial condition will be adversely affected if we are not able to attract and retain clients</w:t>
      </w:r>
      <w:r>
        <w:rPr>
          <w:rFonts w:ascii="Times New Roman" w:cs="Times New Roman" w:eastAsia="Times New Roman" w:hAnsi="Times New Roman"/>
          <w:sz w:val="18"/>
          <w:szCs w:val="18"/>
          <w:color w:val="auto"/>
        </w:rPr>
        <w:t>. Our success and revenues depend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attracting and retaining subscribers to our information services. Our subscription-based information services generate the largest portion of our revenues. However, we may be unable to attract new clients in planned expansion markets and our clients in existing markets may decide not to add, not to renew or to cancel subscription services. In addition, in order to increase our revenue growth rate, we must continue to attract new customers, continue to keep our cancellation rate low and continue to sell new services to our existing customers. We may not be able to continue to grow our customer base as a result of several factors, including without limitation: a decision that customers have no need for our services; a decision to use alternative services; customers’ and potential customers’ pricing and budgetary constraints; consolidation in the real estate and/or financial services industries; data quality; technical problems; or economic or competitive pressures. If clients decide to cancel or not to renew their agreements, and we do not attract new clients or sell new services to our existing clients, then our revenues or our revenue growth rate may decline.</w:t>
      </w:r>
    </w:p>
    <w:p>
      <w:pPr>
        <w:spacing w:after="0" w:line="81" w:lineRule="exact"/>
        <w:rPr>
          <w:sz w:val="20"/>
          <w:szCs w:val="20"/>
          <w:color w:val="auto"/>
        </w:rPr>
      </w:pPr>
    </w:p>
    <w:p>
      <w:pPr>
        <w:ind w:right="40" w:firstLine="225"/>
        <w:spacing w:after="0" w:line="257" w:lineRule="auto"/>
        <w:rPr>
          <w:sz w:val="20"/>
          <w:szCs w:val="20"/>
          <w:color w:val="auto"/>
        </w:rPr>
      </w:pPr>
      <w:r>
        <w:rPr>
          <w:rFonts w:ascii="Times New Roman" w:cs="Times New Roman" w:eastAsia="Times New Roman" w:hAnsi="Times New Roman"/>
          <w:sz w:val="18"/>
          <w:szCs w:val="18"/>
          <w:i w:val="1"/>
          <w:iCs w:val="1"/>
          <w:color w:val="auto"/>
        </w:rPr>
        <w:t>If our operating costs are higher than we expect, our profitability may be reduced</w:t>
      </w:r>
      <w:r>
        <w:rPr>
          <w:rFonts w:ascii="Times New Roman" w:cs="Times New Roman" w:eastAsia="Times New Roman" w:hAnsi="Times New Roman"/>
          <w:sz w:val="18"/>
          <w:szCs w:val="18"/>
          <w:color w:val="auto"/>
        </w:rPr>
        <w:t>. Many of our expenses, particularly personnel costs and occupancy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are relatively fixed. As a result, we may not be able to adjust spending quickly enough to offset any unexpected revenue shortfall or increase in expenses. Additionally, we may experience higher than expected operating costs, including increased personnel costs, occupancy costs, selling and marketing costs, investments in geographic expansion, acquisition costs, communications costs, travel costs, software development costs, professional fees and other costs. If operating costs exceed our expectations or cannot be adjusted accordingly, our profitability may be reduced and our results of operations and financial condition will be adversely affected.</w:t>
      </w:r>
    </w:p>
    <w:p>
      <w:pPr>
        <w:spacing w:after="0" w:line="75" w:lineRule="exact"/>
        <w:rPr>
          <w:sz w:val="20"/>
          <w:szCs w:val="20"/>
          <w:color w:val="auto"/>
        </w:rPr>
      </w:pPr>
    </w:p>
    <w:p>
      <w:pPr>
        <w:ind w:right="120" w:firstLine="225"/>
        <w:spacing w:after="0" w:line="257" w:lineRule="auto"/>
        <w:rPr>
          <w:sz w:val="20"/>
          <w:szCs w:val="20"/>
          <w:color w:val="auto"/>
        </w:rPr>
      </w:pPr>
      <w:r>
        <w:rPr>
          <w:rFonts w:ascii="Times New Roman" w:cs="Times New Roman" w:eastAsia="Times New Roman" w:hAnsi="Times New Roman"/>
          <w:sz w:val="18"/>
          <w:szCs w:val="18"/>
          <w:i w:val="1"/>
          <w:iCs w:val="1"/>
          <w:color w:val="auto"/>
        </w:rPr>
        <w:t>General economic conditions could increase our expenses and reduce our revenues</w:t>
      </w:r>
      <w:r>
        <w:rPr>
          <w:rFonts w:ascii="Times New Roman" w:cs="Times New Roman" w:eastAsia="Times New Roman" w:hAnsi="Times New Roman"/>
          <w:sz w:val="18"/>
          <w:szCs w:val="18"/>
          <w:color w:val="auto"/>
        </w:rPr>
        <w:t>. Our business and the commercial real estate industry are particularly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negative trends in the general economy. The success of our business depends on a number of factors relating to general global, national, regional and local economic conditions, including inflation, interest rates, perceived and actual economic conditions, taxation policies, availability of credit, employment levels, and wage and salary levels. Negative general economic conditions could adversely affect our business by reducing our revenues and profitability. Any significant terrorist attack is likely to have a dampening effect on the economy in general which could negatively affect our financial performance and our stock price. In addition, a significant increase in inflation could increase our expenses more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5" w:name="page16"/>
    <w:bookmarkEnd w:id="15"/>
    <w:p>
      <w:pPr>
        <w:ind w:right="240"/>
        <w:spacing w:after="0" w:line="282" w:lineRule="auto"/>
        <w:rPr>
          <w:sz w:val="20"/>
          <w:szCs w:val="20"/>
          <w:color w:val="auto"/>
        </w:rPr>
      </w:pPr>
      <w:r>
        <w:rPr>
          <w:rFonts w:ascii="Times New Roman" w:cs="Times New Roman" w:eastAsia="Times New Roman" w:hAnsi="Times New Roman"/>
          <w:sz w:val="18"/>
          <w:szCs w:val="18"/>
          <w:color w:val="auto"/>
        </w:rPr>
        <w:t>rapidly than expected, the effect of which may not be offset by corresponding increases in revenue. If clients choose to cancel our information services as a result of economic conditions, and we do not acquire new clients, our revenues may decline and our financial position would be adversely affected.</w:t>
      </w:r>
    </w:p>
    <w:p>
      <w:pPr>
        <w:spacing w:after="0" w:line="52"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i w:val="1"/>
          <w:iCs w:val="1"/>
          <w:color w:val="auto"/>
        </w:rPr>
        <w:t>A downturn or consolidation in the commercial real estate industry may decrease customer demand for our services</w:t>
      </w:r>
      <w:r>
        <w:rPr>
          <w:rFonts w:ascii="Times New Roman" w:cs="Times New Roman" w:eastAsia="Times New Roman" w:hAnsi="Times New Roman"/>
          <w:sz w:val="18"/>
          <w:szCs w:val="18"/>
          <w:color w:val="auto"/>
        </w:rPr>
        <w:t>. A reversal of recent improvements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commercial real estate industry’s leasing activity, rental rates and absorption rates, or renewed downturn in the commercial real estate market may affect our ability to generate revenues and may lead to more cancellations by our current or future customers, both of which could cause our revenues or our revenue growth rate to decline and reduce our profitability. A depressed commercial real estate market has a negative impact on our core customer base, which could decrease demand for our information services. Also, companies in this industry are consolidating, often in order to reduce expenses. Consolidation may lead to more cancellations of our information services by our customers, reduce the number of our existing clients, reduce the size of our target market or increase our clients’ bargaining power, all of which could cause our revenues or our revenue growth rate to decline and reduce our profitability.</w:t>
      </w:r>
    </w:p>
    <w:p>
      <w:pPr>
        <w:spacing w:after="0" w:line="75" w:lineRule="exact"/>
        <w:rPr>
          <w:sz w:val="20"/>
          <w:szCs w:val="20"/>
          <w:color w:val="auto"/>
        </w:rPr>
      </w:pPr>
    </w:p>
    <w:p>
      <w:pPr>
        <w:ind w:right="80" w:firstLine="225"/>
        <w:spacing w:after="0" w:line="257" w:lineRule="auto"/>
        <w:rPr>
          <w:sz w:val="20"/>
          <w:szCs w:val="20"/>
          <w:color w:val="auto"/>
        </w:rPr>
      </w:pPr>
      <w:r>
        <w:rPr>
          <w:rFonts w:ascii="Times New Roman" w:cs="Times New Roman" w:eastAsia="Times New Roman" w:hAnsi="Times New Roman"/>
          <w:sz w:val="18"/>
          <w:szCs w:val="18"/>
          <w:i w:val="1"/>
          <w:iCs w:val="1"/>
          <w:color w:val="auto"/>
        </w:rPr>
        <w:t>Competition could render our services uncompetitive</w:t>
      </w:r>
      <w:r>
        <w:rPr>
          <w:rFonts w:ascii="Times New Roman" w:cs="Times New Roman" w:eastAsia="Times New Roman" w:hAnsi="Times New Roman"/>
          <w:sz w:val="18"/>
          <w:szCs w:val="18"/>
          <w:color w:val="auto"/>
        </w:rPr>
        <w:t>. The market for information systems and services in general is highly competitive and rapidly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changing. Our existing competitors, or future competitors, may have greater name recognition, larger customer bases, better technology or data, lower prices, easier access to data, greater user traffic or greater financial, technical or marketing resources than we have. Our competitors may be able to undertake more effective marketing campaigns, obtain more data, adopt more aggressive pricing policies, make more attractive offers to potential employees, subscribers, distribution partners and content providers or may be able to respond more quickly to new or emerging technologies or changes in user requirements. Increased competition could result in lower revenues and higher expenses, which would reduce our profitability.</w:t>
      </w:r>
    </w:p>
    <w:p>
      <w:pPr>
        <w:spacing w:after="0" w:line="75" w:lineRule="exact"/>
        <w:rPr>
          <w:sz w:val="20"/>
          <w:szCs w:val="20"/>
          <w:color w:val="auto"/>
        </w:rPr>
      </w:pPr>
    </w:p>
    <w:p>
      <w:pPr>
        <w:ind w:right="40" w:firstLine="225"/>
        <w:spacing w:after="0" w:line="254" w:lineRule="auto"/>
        <w:rPr>
          <w:sz w:val="20"/>
          <w:szCs w:val="20"/>
          <w:color w:val="auto"/>
        </w:rPr>
      </w:pPr>
      <w:r>
        <w:rPr>
          <w:rFonts w:ascii="Times New Roman" w:cs="Times New Roman" w:eastAsia="Times New Roman" w:hAnsi="Times New Roman"/>
          <w:sz w:val="18"/>
          <w:szCs w:val="18"/>
          <w:i w:val="1"/>
          <w:iCs w:val="1"/>
          <w:color w:val="auto"/>
        </w:rPr>
        <w:t>If we are not able to obtain and maintain accurate, comprehensive or reliable data, we could experience reduced demand for our information services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success depends on our clients’ confidence in the comprehensiveness, accuracy and reliability of the data we provide. The task of establishing and maintaining accurate and reliable data is challenging. If our data, including the data we obtain from third parties, is not current, accurate, comprehensive or reliable, we could experience reduced demand for our services or legal claims by our customers, which could result in lower revenues and higher expenses. In April 2005, we deployed a new company-wide internal research application for our U.S. researchers to use to update our database. Any inefficiencies, errors, or technical problems with this new application could reduce the quality of our data, which could result in reduced demand for our services, lower revenues and higher costs. In addition, in July 2005, we closed our Mason, Ohio research center in an effort to reduce costs and improve the quality of our research operations. If the consolidation of our research operations within our remaining research centers is unsuccessful, our data quality may be affected, which could result in reduced demand for our services.</w:t>
      </w:r>
    </w:p>
    <w:p>
      <w:pPr>
        <w:spacing w:after="0" w:line="81" w:lineRule="exact"/>
        <w:rPr>
          <w:sz w:val="20"/>
          <w:szCs w:val="20"/>
          <w:color w:val="auto"/>
        </w:rPr>
      </w:pPr>
    </w:p>
    <w:p>
      <w:pPr>
        <w:ind w:right="20" w:firstLine="225"/>
        <w:spacing w:after="0" w:line="253" w:lineRule="auto"/>
        <w:rPr>
          <w:sz w:val="20"/>
          <w:szCs w:val="20"/>
          <w:color w:val="auto"/>
        </w:rPr>
      </w:pPr>
      <w:r>
        <w:rPr>
          <w:rFonts w:ascii="Times New Roman" w:cs="Times New Roman" w:eastAsia="Times New Roman" w:hAnsi="Times New Roman"/>
          <w:sz w:val="18"/>
          <w:szCs w:val="18"/>
          <w:i w:val="1"/>
          <w:iCs w:val="1"/>
          <w:color w:val="auto"/>
        </w:rPr>
        <w:t>We have experienced operating losses and our future profitability is uncertain</w:t>
      </w:r>
      <w:r>
        <w:rPr>
          <w:rFonts w:ascii="Times New Roman" w:cs="Times New Roman" w:eastAsia="Times New Roman" w:hAnsi="Times New Roman"/>
          <w:sz w:val="18"/>
          <w:szCs w:val="18"/>
          <w:color w:val="auto"/>
        </w:rPr>
        <w:t>. Until the third quarter of 2003, we had not recorded an overall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because the investment required for geographic expansion and new information services had caused our expenses to exceed our revenues. Our ability to continue to earn a profit will largely depend on our ability to manage our growth, including our expansion plans, and to generate revenues that exceed our expenses. We generated net income for the years ended December 31, 2003 2004, and 2005, and our decision to release the valuation allowance on our deferred tax assets was based on our expectation of future taxable income from operations; however, we may not be able to sustain or increase profitability on a quarterly or annual basis in the future. We will continue to evaluate our expectation of future taxable income during each quarter, and if we are unable to conclude that it is more likely than not that we will continue to be profitable, then the realization of our deferred tax assets could become uncertain. In such a case, we may be required to establish a valuation allowance against some or all of our deferred tax assets, which could result in a significant charge to our earnings that could adversely affect our net income in the period in which the charge is incurred. In addition, our ability to continue to earn a profit, to increase revenues or to control costs could be affected by the factors set forth in this section. We may not be able to generate revenues or control expenses to a degree sufficient to earn a profit, to increase profits on a quarterly or annual basis, or to sustain or increase our future revenue growth and, as a result, the market price of our common stock may decline.</w:t>
      </w:r>
    </w:p>
    <w:p>
      <w:pPr>
        <w:spacing w:after="0" w:line="83" w:lineRule="exact"/>
        <w:rPr>
          <w:sz w:val="20"/>
          <w:szCs w:val="20"/>
          <w:color w:val="auto"/>
        </w:rPr>
      </w:pPr>
    </w:p>
    <w:p>
      <w:pPr>
        <w:ind w:right="8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Litigation or government investigations in which we become involved may significantly increase our expenses and adversely affect our stock price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and from time to time, we are a party to various lawsuits. Any lawsuits, threatened lawsuits or government investigations in which we are involved could cost us a significant amount of time and money to defend, could result in negative publicity, and could adversely affect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stock price. In addition, if any claims are determined against us or if a settlement requires us to pay a large monetary amount, our profitability could be significantly reduced and our financial position could be adversely affected. We cannot assure you that we will have any or sufficient insurance to cover any litigation claims.</w:t>
      </w:r>
    </w:p>
    <w:p>
      <w:pPr>
        <w:spacing w:after="0" w:line="66"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i w:val="1"/>
          <w:iCs w:val="1"/>
          <w:color w:val="auto"/>
        </w:rPr>
        <w:t>If we are unable to hire qualified persons for, or retain and continue to develop, our sales force, or if our sales force is unproductive, our revenues could be adversely affected</w:t>
      </w:r>
      <w:r>
        <w:rPr>
          <w:rFonts w:ascii="Times New Roman" w:cs="Times New Roman" w:eastAsia="Times New Roman" w:hAnsi="Times New Roman"/>
          <w:sz w:val="18"/>
          <w:szCs w:val="18"/>
          <w:color w:val="auto"/>
        </w:rPr>
        <w:t>. In order to support revenue growth, we need to continue to develop, train and retain our sales force. Our ability to build and develop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 sales force may be affected by a number of factors, including: our ability to attract, integrate and motivate sales personnel; our ability to effectively train our sales force; the ability of our sales force to sell an increased number of services; our ability to grow and manage effectively an outbound telesales group; the length of time it takes new sales personnel to become productive; the competition we face from other companies in hiring and retaining sales personnel; and our ability to effectively manage a multi-location sales organization. If we are unable to hire qualified sales personnel and develop and retain the members of our sales force, including sales force management, or if our sales force is unproductive, our revenues could decline or cease to grow and our expenses could increase.</w:t>
      </w:r>
    </w:p>
    <w:p>
      <w:pPr>
        <w:spacing w:after="0" w:line="7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i w:val="1"/>
          <w:iCs w:val="1"/>
          <w:color w:val="auto"/>
        </w:rPr>
        <w:t>Our stock price may be negatively affected by fluctuations in our financial results</w:t>
      </w:r>
      <w:r>
        <w:rPr>
          <w:rFonts w:ascii="Times New Roman" w:cs="Times New Roman" w:eastAsia="Times New Roman" w:hAnsi="Times New Roman"/>
          <w:sz w:val="18"/>
          <w:szCs w:val="18"/>
          <w:color w:val="auto"/>
        </w:rPr>
        <w:t>. Our operating results, revenues and expenses may fluctuate with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and also for many other reasons, many of which are outside of our control, such as: cancellations or non-renewals of our services; competition; our ability to control expenses; loss of clients or revenues; technical problems with our services; changes or consolidation in the real estate industry; our investments in geographic expansion and to increase coverage in existing markets; interest rate fluctuations; the timing and success of new service introductions and enhancements; successful execution of our expansion plans; data quality; the development of our sales force; managerial execution; employee retention; foreign currency fluctuations; inflation; successful adoption of and training on our services; litigation; acquisitions of other companies or assets; sales, brand enhancement and marketing promotional activities; client support activities; changes in client budgets; or our investments in other corporate resources. In addition, changes in accounting policies or practices may affect our level of net income, including without limitation, changes requiring us to expense stock options. Fluctuations in our financial results, revenues and expenses may cause the market price of our common stock to decline.</w:t>
      </w:r>
    </w:p>
    <w:p>
      <w:pPr>
        <w:spacing w:after="0" w:line="78" w:lineRule="exact"/>
        <w:rPr>
          <w:sz w:val="20"/>
          <w:szCs w:val="20"/>
          <w:color w:val="auto"/>
        </w:rPr>
      </w:pPr>
    </w:p>
    <w:p>
      <w:pPr>
        <w:ind w:right="100" w:firstLine="225"/>
        <w:spacing w:after="0" w:line="254" w:lineRule="auto"/>
        <w:rPr>
          <w:sz w:val="20"/>
          <w:szCs w:val="20"/>
          <w:color w:val="auto"/>
        </w:rPr>
      </w:pPr>
      <w:r>
        <w:rPr>
          <w:rFonts w:ascii="Times New Roman" w:cs="Times New Roman" w:eastAsia="Times New Roman" w:hAnsi="Times New Roman"/>
          <w:sz w:val="18"/>
          <w:szCs w:val="18"/>
          <w:i w:val="1"/>
          <w:iCs w:val="1"/>
          <w:color w:val="auto"/>
        </w:rPr>
        <w:t>We may not be able to successfully introduce new or upgraded information services, which could decrease our revenues and our profitability</w:t>
      </w:r>
      <w:r>
        <w:rPr>
          <w:rFonts w:ascii="Times New Roman" w:cs="Times New Roman" w:eastAsia="Times New Roman" w:hAnsi="Times New Roman"/>
          <w:sz w:val="18"/>
          <w:szCs w:val="18"/>
          <w:color w:val="auto"/>
        </w:rPr>
        <w:t>. Our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and financial success will depend on our ability to continue to introduce new and upgraded services into the marketplace. To be successful, we must adapt to rapid technological changes by continually enhancing our information services. Developing new services and upgrades to services imposes heavy burdens on our systems department, management and researchers. This process is costly, and we cannot assure you that we will be able to successfully develop and enhance our services. In addition, successfully launching and selling a new service puts pressure on our sales and marketing resources. If we are unable to develop new or upgraded services, then our customers may choose a competitive service over ours and our revenues may decline and our profitability may be reduced. In addition, if we incur significant costs in developing new or upgraded services, are not successful in marketing and selling these new services or upgrades, or our customers fail to accept these new services, it could have a material adverse effect on our results of operations by decreasing our revenues or our revenue growth rate and by reducing our profitability.</w:t>
      </w:r>
    </w:p>
    <w:p>
      <w:pPr>
        <w:spacing w:after="0" w:line="81" w:lineRule="exact"/>
        <w:rPr>
          <w:sz w:val="20"/>
          <w:szCs w:val="20"/>
          <w:color w:val="auto"/>
        </w:rPr>
      </w:pPr>
    </w:p>
    <w:p>
      <w:pPr>
        <w:ind w:right="280" w:firstLine="225"/>
        <w:spacing w:after="0" w:line="255" w:lineRule="auto"/>
        <w:rPr>
          <w:sz w:val="20"/>
          <w:szCs w:val="20"/>
          <w:color w:val="auto"/>
        </w:rPr>
      </w:pPr>
      <w:r>
        <w:rPr>
          <w:rFonts w:ascii="Times New Roman" w:cs="Times New Roman" w:eastAsia="Times New Roman" w:hAnsi="Times New Roman"/>
          <w:sz w:val="18"/>
          <w:szCs w:val="18"/>
          <w:i w:val="1"/>
          <w:iCs w:val="1"/>
          <w:color w:val="auto"/>
        </w:rPr>
        <w:t>Fluctuating foreign currencies may negatively impact our business, results of operations and financial condition</w:t>
      </w:r>
      <w:r>
        <w:rPr>
          <w:rFonts w:ascii="Times New Roman" w:cs="Times New Roman" w:eastAsia="Times New Roman" w:hAnsi="Times New Roman"/>
          <w:sz w:val="18"/>
          <w:szCs w:val="18"/>
          <w:color w:val="auto"/>
        </w:rPr>
        <w:t>. Due to our acquisition of FOCUS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and Scottish Property Network (“SPN”), a portion of our business is denominated in the British Pound and as a result, fluctuations in foreign currencies may have an impact on our business, results of operations and financial condition. Currencies may be affected by internal factors, and external developments in other countries, all of which can have an adverse impact on a country’s currency. Currently, we do not have any hedging transactions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fluctuations resulting in a decline in the British Pound may decrease the value of our foreign assets, as well as decrease our revenues and earnings from our foreign subsidiaries.</w:t>
      </w:r>
    </w:p>
    <w:p>
      <w:pPr>
        <w:spacing w:after="0" w:line="77" w:lineRule="exact"/>
        <w:rPr>
          <w:sz w:val="20"/>
          <w:szCs w:val="20"/>
          <w:color w:val="auto"/>
        </w:rPr>
      </w:pPr>
    </w:p>
    <w:p>
      <w:pPr>
        <w:jc w:val="both"/>
        <w:ind w:right="32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If we are unable to enforce or defend our ownership and use of intellectual property, our business, competitive position and operating results could be harmed</w:t>
      </w:r>
      <w:r>
        <w:rPr>
          <w:rFonts w:ascii="Times New Roman" w:cs="Times New Roman" w:eastAsia="Times New Roman" w:hAnsi="Times New Roman"/>
          <w:sz w:val="18"/>
          <w:szCs w:val="18"/>
          <w:color w:val="auto"/>
        </w:rPr>
        <w:t>. The success of our business depends in large part on the intellectual property involved in our methodologies, database, services and software.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rely on 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ind w:right="140"/>
        <w:spacing w:after="0" w:line="255" w:lineRule="auto"/>
        <w:rPr>
          <w:sz w:val="20"/>
          <w:szCs w:val="20"/>
          <w:color w:val="auto"/>
        </w:rPr>
      </w:pPr>
      <w:r>
        <w:rPr>
          <w:rFonts w:ascii="Times New Roman" w:cs="Times New Roman" w:eastAsia="Times New Roman" w:hAnsi="Times New Roman"/>
          <w:sz w:val="18"/>
          <w:szCs w:val="18"/>
          <w:color w:val="auto"/>
        </w:rPr>
        <w:t>combination of trade secret, patent, copyright and other laws, nondisclosure and noncompetition provisions, license agreements and other contractual provisions and technical measures to protect our intellectual property rights. However, current law may not provide for adequate protection of our databases and the actual data. In addition, legal standards relating to the validity, enforceability and scope of protection of proprietary rights in Internet-related businesses are uncertain and evolving, and we cannot assure you of the future viability or value of any of our proprietary rights. Our business could be significantly harmed if we are not able to protect our content and our other intellectual property. The same would be true if a court found that our services infringe other persons’ intellectual property rights. Any intellectual property lawsuits or threatened lawsuits in which we are involved, either as a plaintiff or as a defendant, could cost us a significant amount of time and money and distract management’s attention from operating our business. In addition, if we do not prevail on any intellectual property claims, this could result in a change to our methodology or information services and could reduce our profitability.</w:t>
      </w:r>
    </w:p>
    <w:p>
      <w:pPr>
        <w:spacing w:after="0" w:line="75" w:lineRule="exact"/>
        <w:rPr>
          <w:sz w:val="20"/>
          <w:szCs w:val="20"/>
          <w:color w:val="auto"/>
        </w:rPr>
      </w:pPr>
    </w:p>
    <w:p>
      <w:pPr>
        <w:ind w:right="40" w:firstLine="225"/>
        <w:spacing w:after="0" w:line="254" w:lineRule="auto"/>
        <w:rPr>
          <w:sz w:val="20"/>
          <w:szCs w:val="20"/>
          <w:color w:val="auto"/>
        </w:rPr>
      </w:pPr>
      <w:r>
        <w:rPr>
          <w:rFonts w:ascii="Times New Roman" w:cs="Times New Roman" w:eastAsia="Times New Roman" w:hAnsi="Times New Roman"/>
          <w:sz w:val="18"/>
          <w:szCs w:val="18"/>
          <w:i w:val="1"/>
          <w:iCs w:val="1"/>
          <w:color w:val="auto"/>
        </w:rPr>
        <w:t>If we are not able to successfully identify and integrate acquisitions, our business operations and financial condition could be adversely affected</w:t>
      </w:r>
      <w:r>
        <w:rPr>
          <w:rFonts w:ascii="Times New Roman" w:cs="Times New Roman" w:eastAsia="Times New Roman" w:hAnsi="Times New Roman"/>
          <w:sz w:val="18"/>
          <w:szCs w:val="18"/>
          <w:color w:val="auto"/>
        </w:rPr>
        <w: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our markets and services in part through acquisitions of complementary businesses, services, databases and technologies, and expect to continue to do so in the future. Our strategy to acquire complementary companies or assets depends on our ability to identify, and the availability of, suitable acquisition candidates. In addition, acquisitions involve numerous risks, including managing the integration of personnel and products; managing geographically remote operations, such as SPN in Scotland; the diversion of management’s attention from other business concerns; the inherent risks in entering markets and sectors in which we have either limited or no direct experience; and the potential loss of key employees or clients of the acquired companies. We may not successfully integrate any acquired businesses or assets and may not achieve anticipated benefits of any acquisition. Future acquisitions that we may pursue could result in dilutive issuances of equity securities, the incurrence of debt, one-time write-offs of goodwill and substantial amortization expenses of other intangible assets.</w:t>
      </w:r>
    </w:p>
    <w:p>
      <w:pPr>
        <w:spacing w:after="0" w:line="81" w:lineRule="exact"/>
        <w:rPr>
          <w:sz w:val="20"/>
          <w:szCs w:val="20"/>
          <w:color w:val="auto"/>
        </w:rPr>
      </w:pPr>
    </w:p>
    <w:p>
      <w:pPr>
        <w:ind w:firstLine="225"/>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depends on retaining and attracting highly capable management and operating personnel</w:t>
      </w:r>
      <w:r>
        <w:rPr>
          <w:rFonts w:ascii="Times New Roman" w:cs="Times New Roman" w:eastAsia="Times New Roman" w:hAnsi="Times New Roman"/>
          <w:sz w:val="18"/>
          <w:szCs w:val="18"/>
          <w:color w:val="auto"/>
        </w:rPr>
        <w:t>. Our success depends in large part on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 and attract management and operating personnel, including our President and Chief Executive Officer, Andrew Florance, and our other officers and key employees. Our business requires highly skilled technical, sales, management, web-development, marketing and research personnel, who are in high demand and are often subject to competing offers. To retain and attract key personnel, we use various measures, including employment agreements, awards under a stock incentive plan and incentive bonuses for key executive officers. These measures may not be enough to retain and attract the personnel we need or to offset the impact on our business of the loss of the services of Mr. Florance or other key officers or employees.</w:t>
      </w:r>
    </w:p>
    <w:p>
      <w:pPr>
        <w:spacing w:after="0" w:line="75"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i w:val="1"/>
          <w:iCs w:val="1"/>
          <w:color w:val="auto"/>
        </w:rPr>
        <w:t>International expansion may result in new business risks which may reduce our profitability</w:t>
      </w:r>
      <w:r>
        <w:rPr>
          <w:rFonts w:ascii="Times New Roman" w:cs="Times New Roman" w:eastAsia="Times New Roman" w:hAnsi="Times New Roman"/>
          <w:sz w:val="18"/>
          <w:szCs w:val="18"/>
          <w:color w:val="auto"/>
        </w:rPr>
        <w:t>. Our international expansion could subject us to new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including: adapting to the differing business practices and laws in foreign countries; difficulties in managing foreign operations; limited protection for intellectual property rights in some countries; difficulty in collecting accounts receivable and longer collection periods; costs of enforcing contractual obligations; impact of recessions in economies outside the United States; currency exchange rate fluctuations; and potentially adverse tax consequences. In addition, international expansion imposes additional burdens on our executive and administrative personnel, systems development, research and sales departments, and general managerial resources. If we are not able to manage our growth successfully, we may incur higher expenses and our profitability may be reduced. Finally, the investment required for international expansion could exceed the profit generated from such expansion, which would reduce our profitability and adversely affect our financial condition.</w:t>
      </w:r>
    </w:p>
    <w:p>
      <w:pPr>
        <w:spacing w:after="0" w:line="77" w:lineRule="exact"/>
        <w:rPr>
          <w:sz w:val="20"/>
          <w:szCs w:val="20"/>
          <w:color w:val="auto"/>
        </w:rPr>
      </w:pPr>
    </w:p>
    <w:p>
      <w:pPr>
        <w:ind w:right="200" w:firstLine="225"/>
        <w:spacing w:after="0" w:line="257" w:lineRule="auto"/>
        <w:rPr>
          <w:sz w:val="20"/>
          <w:szCs w:val="20"/>
          <w:color w:val="auto"/>
        </w:rPr>
      </w:pPr>
      <w:r>
        <w:rPr>
          <w:rFonts w:ascii="Times New Roman" w:cs="Times New Roman" w:eastAsia="Times New Roman" w:hAnsi="Times New Roman"/>
          <w:sz w:val="18"/>
          <w:szCs w:val="18"/>
          <w:i w:val="1"/>
          <w:iCs w:val="1"/>
          <w:color w:val="auto"/>
        </w:rPr>
        <w:t>We may be subject to legal liability for displaying or distributing information</w:t>
      </w:r>
      <w:r>
        <w:rPr>
          <w:rFonts w:ascii="Times New Roman" w:cs="Times New Roman" w:eastAsia="Times New Roman" w:hAnsi="Times New Roman"/>
          <w:sz w:val="18"/>
          <w:szCs w:val="18"/>
          <w:color w:val="auto"/>
        </w:rPr>
        <w:t>. Because the content in our database is distributed to others, we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claims for defamation, negligence or copyright or trademark infringement or claims based on other theories. We could also be subject to claims based upon the content that is accessible from our web site through links to other web sites or information on our web site supplied by third parties. Even if these claims do not result in liability to us, we could incur significant costs in investigating and defending against any claims. Our potential liability for information distributed by us to others could require us to implement measures to reduce our exposure to such liability, which may require us to expend substantial resources and limit the attractiveness of our information services to users.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8" w:name="page19"/>
    <w:bookmarkEnd w:id="18"/>
    <w:p>
      <w:pPr>
        <w:ind w:right="20" w:firstLine="225"/>
        <w:spacing w:after="0" w:line="256" w:lineRule="auto"/>
        <w:rPr>
          <w:sz w:val="20"/>
          <w:szCs w:val="20"/>
          <w:color w:val="auto"/>
        </w:rPr>
      </w:pPr>
      <w:r>
        <w:rPr>
          <w:rFonts w:ascii="Times New Roman" w:cs="Times New Roman" w:eastAsia="Times New Roman" w:hAnsi="Times New Roman"/>
          <w:sz w:val="18"/>
          <w:szCs w:val="18"/>
          <w:i w:val="1"/>
          <w:iCs w:val="1"/>
          <w:color w:val="auto"/>
        </w:rPr>
        <w:t>Market volatility may have an adverse effect on our stock price</w:t>
      </w:r>
      <w:r>
        <w:rPr>
          <w:rFonts w:ascii="Times New Roman" w:cs="Times New Roman" w:eastAsia="Times New Roman" w:hAnsi="Times New Roman"/>
          <w:sz w:val="18"/>
          <w:szCs w:val="18"/>
          <w:color w:val="auto"/>
        </w:rPr>
        <w:t>. The trading price of our common stock has fluctuated widely in the past, and we expect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will continue to fluctuate in the future. The price could fluctuate widely based on numerous factors, including: quarter-to-quarter variations in our operating results; changes in analysts’ estimates of our earnings; announcements by us or our competitors of technological innovations or new services; general conditions in the commercial real estate industry; developments or disputes concerning copyrights or proprietary rights; regulatory developments; and economic or other factors. In addition, in recent years, the stock market in general, and the shares of Internet-related and other technology companies in particular, have experienced extreme price fluctuations. This volatility has had a substantial effect on the market prices of securities issued by many companies for reasons unrelated to the operating performance of the specific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0" w:firstLine="225"/>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Bethesda, Maryland, where we occupy approximately 73,500 square feet of office space. Our main lease for our Bethesda, Maryland headquarters expires on March 14, 2010.</w:t>
      </w:r>
    </w:p>
    <w:p>
      <w:pPr>
        <w:spacing w:after="0" w:line="54"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In addition to our Bethesda, Maryland facility, our research operations are principally run out of leased spaces in San Diego, California; Columbia, Maryland; London, England; and Paisley, Scotland. Additionally, we lease office space in a variety of other metropolitan areas, which generally house our field sales offices. These locations include, without limitation, the following: New York; Los Angeles; Chicago; San Francisco; Boston; Manchester, England; Orange County, California; Philadelphia; Houston; Atlanta; Phoenix; Detroit; Pittsburgh; Iselin, New Jersey; Miami; Denver; Dallas; Kansas City; Cleveland; Tustin, California; Tampa; Orlando; Indianapolis; Raleigh/Durham; St. Louis; Columbus, Ohio; Portland, Oregon; and Stamford, Connecticut.</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believe these facilities are suitable and appropriately support our business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Currently, and from time to time, we are involved in litigation incidental to the conduct of our business. We are not a party to any lawsuit or proceeding that, in the opinion of our management based on consultations with legal counsel, is likely to have a material adverse effect on our financial position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did not submit any matters to a vote of our security holders during the quarter ended December 31, 2005.</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9" w:right="2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Registrant’s Common Stock, Related Stockholder Matters and Issuer Purchases of Equity Securities</w:t>
      </w:r>
    </w:p>
    <w:p>
      <w:pPr>
        <w:spacing w:after="0" w:line="119" w:lineRule="exact"/>
        <w:rPr>
          <w:sz w:val="20"/>
          <w:szCs w:val="20"/>
          <w:color w:val="auto"/>
        </w:rPr>
      </w:pPr>
    </w:p>
    <w:p>
      <w:pPr>
        <w:ind w:right="16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Price Range of Common Stock. </w:t>
      </w:r>
      <w:r>
        <w:rPr>
          <w:rFonts w:ascii="Times New Roman" w:cs="Times New Roman" w:eastAsia="Times New Roman" w:hAnsi="Times New Roman"/>
          <w:sz w:val="18"/>
          <w:szCs w:val="18"/>
          <w:color w:val="auto"/>
        </w:rPr>
        <w:t>Our common stock is traded on the Nasdaq Stock Market® under the symbol “CSGP.” The following table sets forth,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periods indicated, the high and low daily closing prices per share of our common stock, as reported by the Nasdaq Stock Market®.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2004</w:t>
            </w:r>
          </w:p>
        </w:tc>
        <w:tc>
          <w:tcPr>
            <w:tcW w:w="3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42.22</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46.19</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49.19</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48.75</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39.65</w:t>
            </w:r>
          </w:p>
        </w:tc>
      </w:tr>
      <w:tr>
        <w:trPr>
          <w:trHeight w:val="432"/>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2005</w:t>
            </w:r>
          </w:p>
        </w:tc>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46.21</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45.31</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49.81</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44.81</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49.19</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43.17</w:t>
            </w:r>
          </w:p>
        </w:tc>
      </w:tr>
    </w:tbl>
    <w:p>
      <w:pPr>
        <w:spacing w:after="0" w:line="71" w:lineRule="exact"/>
        <w:rPr>
          <w:sz w:val="20"/>
          <w:szCs w:val="20"/>
          <w:color w:val="auto"/>
        </w:rPr>
      </w:pPr>
    </w:p>
    <w:p>
      <w:pPr>
        <w:ind w:right="240" w:firstLine="215"/>
        <w:spacing w:after="0" w:line="282" w:lineRule="auto"/>
        <w:rPr>
          <w:sz w:val="20"/>
          <w:szCs w:val="20"/>
          <w:color w:val="auto"/>
        </w:rPr>
      </w:pPr>
      <w:r>
        <w:rPr>
          <w:rFonts w:ascii="Times New Roman" w:cs="Times New Roman" w:eastAsia="Times New Roman" w:hAnsi="Times New Roman"/>
          <w:sz w:val="18"/>
          <w:szCs w:val="18"/>
          <w:color w:val="auto"/>
        </w:rPr>
        <w:t>As of February 1, 2006, there were 125 holders of record of our common stock. On December 30, 2005, the last sale price reported on the Nasdaq Stock Market® for our common stock was $43.17 per share.</w:t>
      </w:r>
    </w:p>
    <w:p>
      <w:pPr>
        <w:spacing w:after="0" w:line="52" w:lineRule="exact"/>
        <w:rPr>
          <w:sz w:val="20"/>
          <w:szCs w:val="20"/>
          <w:color w:val="auto"/>
        </w:rPr>
      </w:pPr>
    </w:p>
    <w:p>
      <w:pPr>
        <w:jc w:val="both"/>
        <w:ind w:right="10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Policy. </w:t>
      </w:r>
      <w:r>
        <w:rPr>
          <w:rFonts w:ascii="Times New Roman" w:cs="Times New Roman" w:eastAsia="Times New Roman" w:hAnsi="Times New Roman"/>
          <w:sz w:val="18"/>
          <w:szCs w:val="18"/>
          <w:color w:val="auto"/>
        </w:rPr>
        <w:t>We have never declared or paid any dividends on our common stock. Any future determination to pay dividends will be at the discretion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Board of Directors, subject to applicable limitations under Delaware law, and will be dependent upon our results of operations, financial condition and other factors deemed relevant by our Board of Directors. The Company does not anticipate paying any dividends on its common stock during the foreseeable future, but intends to retain any earnings for future growth of its business.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Recent Issues of Unregistered Securities. </w:t>
      </w:r>
      <w:r>
        <w:rPr>
          <w:rFonts w:ascii="Times New Roman" w:cs="Times New Roman" w:eastAsia="Times New Roman" w:hAnsi="Times New Roman"/>
          <w:sz w:val="18"/>
          <w:szCs w:val="18"/>
          <w:color w:val="auto"/>
        </w:rPr>
        <w:t>We did not issue any unregistered securities during the quarter ended December 31, 2005.</w:t>
      </w:r>
    </w:p>
    <w:p>
      <w:pPr>
        <w:spacing w:after="0" w:line="117" w:lineRule="exact"/>
        <w:rPr>
          <w:sz w:val="20"/>
          <w:szCs w:val="20"/>
          <w:color w:val="auto"/>
        </w:rPr>
      </w:pPr>
    </w:p>
    <w:p>
      <w:pPr>
        <w:ind w:right="24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Issuer Purchases of Equity Securities. </w:t>
      </w:r>
      <w:r>
        <w:rPr>
          <w:rFonts w:ascii="Times New Roman" w:cs="Times New Roman" w:eastAsia="Times New Roman" w:hAnsi="Times New Roman"/>
          <w:sz w:val="18"/>
          <w:szCs w:val="18"/>
          <w:color w:val="auto"/>
        </w:rPr>
        <w:t>Neither the Company nor any “affiliated purchaser” (as defined in Rule 10b-18 of the Securities Exchange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1934) purchased any shares of any registered securities of the Company during the fourth quarter of 2005.</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6. Selected Consolidated Financial and Operating Data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and Operating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and other operating data)</w:t>
      </w:r>
    </w:p>
    <w:p>
      <w:pPr>
        <w:spacing w:after="0" w:line="99"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The following table provides selected consolidated financial and other operating data for the five years ended December 31, 2005. The Consolidated Statement of Operations Data shown below for each of the three years ended December 31, 2003, 2004, and 2005 and the Consolidated Balance Sheet Data as of December 31, 2004 and 2005 are derived from audited consolidated financial statements that are included in this report. The Consolidated Statement of Operations Data for each of the years ended December 31, 2001 and 2002 and the Consolidated Balance Sheet Data as of December 31, 2001, 2002, and 2003 shown below are derived from audited consolidated financial statements for those years that are not included in this report.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 Data: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11"/>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2002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72,513</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79,363</w:t>
            </w:r>
          </w:p>
        </w:tc>
        <w:tc>
          <w:tcPr>
            <w:tcW w:w="1680" w:type="dxa"/>
            <w:vAlign w:val="bottom"/>
            <w:gridSpan w:val="7"/>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$ 95,105</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112,085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30,316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28,012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30,742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35,384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42,197</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51,351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64,363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76,701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64,923</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56,894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64,361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69,955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(22,726)</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6,746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1,578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759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(21,148)</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8,060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¾</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(16,925)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(20,161)</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24,985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5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16,202</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15,636</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15,759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16,674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18,827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 Data:</w:t>
            </w:r>
          </w:p>
        </w:tc>
        <w:tc>
          <w:tcPr>
            <w:tcW w:w="4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Cash, cash equivalents, cash held for acquisition and short-</w:t>
            </w: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term investments</w:t>
            </w:r>
          </w:p>
        </w:tc>
        <w:tc>
          <w:tcPr>
            <w:tcW w:w="6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42,002</w:t>
            </w:r>
          </w:p>
        </w:tc>
        <w:tc>
          <w:tcPr>
            <w:tcW w:w="24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43,530</w:t>
            </w:r>
          </w:p>
        </w:tc>
        <w:tc>
          <w:tcPr>
            <w:tcW w:w="12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97,449</w:t>
            </w:r>
          </w:p>
        </w:tc>
        <w:tc>
          <w:tcPr>
            <w:tcW w:w="4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117,069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134,185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33,315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36,993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88,207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w w:val="99"/>
              </w:rPr>
              <w:t>107,875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124,501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Borders>
              <w:right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123,646</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118,907</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183,900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232,691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248,059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15,627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14,890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15,531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21,747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20" w:type="dxa"/>
            <w:vAlign w:val="bottom"/>
            <w:tcBorders>
              <w:right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108,019</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104,017</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168,369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210,944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224,796</w:t>
            </w:r>
          </w:p>
        </w:tc>
        <w:tc>
          <w:tcPr>
            <w:tcW w:w="0" w:type="dxa"/>
            <w:vAlign w:val="bottom"/>
          </w:tcPr>
          <w:p>
            <w:pPr>
              <w:spacing w:after="0"/>
              <w:rPr>
                <w:sz w:val="1"/>
                <w:szCs w:val="1"/>
                <w:color w:val="auto"/>
              </w:rPr>
            </w:pPr>
          </w:p>
        </w:tc>
      </w:tr>
      <w:tr>
        <w:trPr>
          <w:trHeight w:val="365"/>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Operating Data:</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6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2002</w:t>
            </w:r>
          </w:p>
        </w:tc>
        <w:tc>
          <w:tcPr>
            <w:tcW w:w="2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gridSpan w:val="4"/>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Borders>
              <w:bottom w:val="single" w:sz="8" w:color="auto"/>
            </w:tcBorders>
            <w:gridSpan w:val="4"/>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Markets covered by database</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w:t>
            </w:r>
          </w:p>
        </w:tc>
        <w:tc>
          <w:tcPr>
            <w:tcW w:w="3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Number of subscription client sites</w:t>
            </w:r>
          </w:p>
        </w:tc>
        <w:tc>
          <w:tcPr>
            <w:tcW w:w="12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6,356</w:t>
            </w:r>
          </w:p>
        </w:tc>
        <w:tc>
          <w:tcPr>
            <w:tcW w:w="2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8,582</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9,489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Billions of square feet in U.S. database</w:t>
            </w:r>
          </w:p>
        </w:tc>
        <w:tc>
          <w:tcPr>
            <w:tcW w:w="1220" w:type="dxa"/>
            <w:vAlign w:val="bottom"/>
            <w:tcBorders>
              <w:right w:val="single" w:sz="8" w:color="CCEEFF"/>
            </w:tcBorders>
            <w:gridSpan w:val="5"/>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properties in database</w:t>
            </w:r>
          </w:p>
        </w:tc>
        <w:tc>
          <w:tcPr>
            <w:tcW w:w="12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950,000</w:t>
            </w:r>
          </w:p>
        </w:tc>
        <w:tc>
          <w:tcPr>
            <w:tcW w:w="2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1,033,000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1,521,000</w:t>
            </w:r>
          </w:p>
        </w:tc>
        <w:tc>
          <w:tcPr>
            <w:tcW w:w="440" w:type="dxa"/>
            <w:vAlign w:val="bottom"/>
          </w:tcPr>
          <w:p>
            <w:pPr>
              <w:spacing w:after="0"/>
              <w:rPr>
                <w:sz w:val="18"/>
                <w:szCs w:val="18"/>
                <w:color w:val="auto"/>
              </w:rPr>
            </w:pPr>
          </w:p>
        </w:tc>
        <w:tc>
          <w:tcPr>
            <w:tcW w:w="9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1,622,000</w:t>
            </w:r>
          </w:p>
        </w:tc>
        <w:tc>
          <w:tcPr>
            <w:tcW w:w="54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1,817,000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Images in database</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3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1,805,000</w:t>
            </w:r>
          </w:p>
        </w:tc>
        <w:tc>
          <w:tcPr>
            <w:tcW w:w="4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2,255,000</w:t>
            </w: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3,234,000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above in Item 1A. under the headings “Risk Factors ¾ Cautionary Statement Concerning Forward-Looking Statements” and “¾Risk Factors,” as well as those described from time to time in our filings with the Securities and Exchange Commission.</w:t>
      </w:r>
    </w:p>
    <w:p>
      <w:pPr>
        <w:spacing w:after="0" w:line="76" w:lineRule="exact"/>
        <w:rPr>
          <w:sz w:val="20"/>
          <w:szCs w:val="20"/>
          <w:color w:val="auto"/>
        </w:rPr>
      </w:pPr>
    </w:p>
    <w:p>
      <w:pPr>
        <w:ind w:right="100" w:firstLine="215"/>
        <w:spacing w:after="0" w:line="261" w:lineRule="auto"/>
        <w:rPr>
          <w:sz w:val="20"/>
          <w:szCs w:val="20"/>
          <w:color w:val="auto"/>
        </w:rPr>
      </w:pPr>
      <w:r>
        <w:rPr>
          <w:rFonts w:ascii="Times New Roman" w:cs="Times New Roman" w:eastAsia="Times New Roman" w:hAnsi="Times New Roman"/>
          <w:sz w:val="18"/>
          <w:szCs w:val="18"/>
          <w:color w:val="auto"/>
        </w:rPr>
        <w:t>All forward-looking statements are based on information available to us on the date of this filing, and we assume no obligation to update such statements. The following discussion should be read in conjunction with our Annual Reports on Form 10-K, Quarterly Reports on Form 10-Q, Current Reports on Form 8-K and other filings with the Securities and Exchange Commission and the consolidated financial statements and related notes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CoStar is the leading provider of information services to the commercial real estate industry in the United States and the United Kingdom based on the fact that we offer the most comprehensive commercial real estate database available, have the largest research department in the industry, provide more information services than any of our competitors and believe we generate more revenues than any of our competitors. We have created a standardized information platform where the members of the commercial real estate and related business community can continuously interact and facilitate transactions by efficiently exchanging accurate and standardized commercial real estate information. Our integrated suite of online service offerings includes information about space available for lease, comparable sales information, tenant information, information about properties for sale, information for clients’ web sites, information about industry professionals and their business relationships, analytic information, data integration, property marketing and industry news.</w:t>
      </w:r>
    </w:p>
    <w:p>
      <w:pPr>
        <w:spacing w:after="0" w:line="81" w:lineRule="exact"/>
        <w:rPr>
          <w:sz w:val="20"/>
          <w:szCs w:val="20"/>
          <w:color w:val="auto"/>
        </w:rPr>
      </w:pPr>
    </w:p>
    <w:p>
      <w:pPr>
        <w:ind w:right="180" w:firstLine="222"/>
        <w:spacing w:after="0" w:line="255" w:lineRule="auto"/>
        <w:rPr>
          <w:sz w:val="20"/>
          <w:szCs w:val="20"/>
          <w:color w:val="auto"/>
        </w:rPr>
      </w:pPr>
      <w:r>
        <w:rPr>
          <w:rFonts w:ascii="Times New Roman" w:cs="Times New Roman" w:eastAsia="Times New Roman" w:hAnsi="Times New Roman"/>
          <w:sz w:val="18"/>
          <w:szCs w:val="18"/>
          <w:color w:val="auto"/>
        </w:rPr>
        <w:t>We completed our initial public offering in July 1998 and received net proceeds of approximately $22.7 million. We used those net proceeds to fund the geographic and service expansion of our business, including three strategic acquisitions, and to expand our sales and marketing organization. In May 1999, we completed a follow-on public offering and received net proceeds of approximately $97.4 million. We used a portion of those net proceeds to fund the acquisitions of COMPS.COM, Inc. (“Comps”) and Property Intelligence plc (“Property Intelligence”). In November 2003, we completed an additional follow-on public offering and received net proceeds of approximately $53.5 million. We expect to use the remainder of the proceeds from these public offerings for development and distribution of new services, expansion of existing services across our current markets, geographic expansion in the U.S. and international markets, strategic acquisitions, working capital and general corporate purposes.</w:t>
      </w:r>
    </w:p>
    <w:p>
      <w:pPr>
        <w:spacing w:after="0" w:line="81"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From 1994 through the beginning of 2003, we expanded the geographical coverage of our existing information services and developed new information services. In addition to internal growth, this expansion included the acquisitions of Chicago ReSource, Inc. in Chicago in 1996 and New Market Systems, Inc. in San Francisco in 1997. In August 1998, we expanded into the Houston region through the acquisition of Houston-based real estate information provider C Data Services, Inc. In January 1999, we expanded further into the Midwest and Florida by acquiring LeaseTrend, Inc. and into Atlanta and Dallas/Fort Worth by acquiring Jamison Research, Inc. In February 2000, we acquired Comps, a San Diego-based provider of commercial real estate information. In November 2000, we acquired First Image Technologies, Inc. (“First Image”). In September 2002, we expanded further into Portland, Oregon through the acquisition of certain assets of Napier Realty Advisors d/b/a REAL-NET (“REAL-NET”). In January 2003, we established a base in the United Kingdom with our acquisition of London-based Property Intelligence. In May 2004, we expanded into Tennessee through the acquisition of Peer Market Research, Inc. (“PeerMark”), and in June 2004, we extended our coverage of the United Kingdom through the acquisition of Scottish Property Network (“SPN”). In September 2004, we strengthened our position in Denver, Colorado through the acquisition of substantially all of the assets of RealComp, Inc., a local comparable sales information provider. In January 2005, we acquired National Research Bureau (“NRB”), a leading provider of U.S. shopping center information. The more recent acquisitions are discussed later in this section.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22" w:name="page23"/>
    <w:bookmarkEnd w:id="22"/>
    <w:p>
      <w:pPr>
        <w:ind w:firstLine="225"/>
        <w:spacing w:after="0" w:line="254" w:lineRule="auto"/>
        <w:rPr>
          <w:sz w:val="20"/>
          <w:szCs w:val="20"/>
          <w:color w:val="auto"/>
        </w:rPr>
      </w:pPr>
      <w:r>
        <w:rPr>
          <w:rFonts w:ascii="Times New Roman" w:cs="Times New Roman" w:eastAsia="Times New Roman" w:hAnsi="Times New Roman"/>
          <w:sz w:val="18"/>
          <w:szCs w:val="18"/>
          <w:color w:val="auto"/>
        </w:rPr>
        <w:t>Since our inception, the growth of our business has required substantial investments for the expansion of our services and the establishment of operating regions throughout the United States, which resulted in substantial net losses on an overall basis until 2003. Throughout 1999 and 2000, we experienced a rapid expansion in the number of services that we offered and the number of regions in which we operated. By the beginning of 2001, we had substantially established a national platform of service offerings in 50 U.S. metropolitan markets. From 2001 through 2003, we focused on continuing to grow revenue while controlling and reducing costs, in order to reduce operating losses and become profitable in accordance with accounting principles generally accepted in the United States (“GAAP”). Our net income increased from $100,000 for the year ended December 31, 2003 to $25.0 million for the year ended December 31, 2004. Net income in 2004 included a one-time income tax benefit of $16.7 million, which was the result of the release of a substantial portion of our valuation allowance on our deferred tax asset, related to our net operating loss carryforwards. In addition, we increased EBITDA (net income before interest, taxes, depreciation and amortization) by $6.6 million from $13.2 million in 2003 to $19.8 million in 2004. Our use of non-GAAP financial measures is discussed later in this section.</w:t>
      </w:r>
    </w:p>
    <w:p>
      <w:pPr>
        <w:spacing w:after="0" w:line="78" w:lineRule="exact"/>
        <w:rPr>
          <w:sz w:val="20"/>
          <w:szCs w:val="20"/>
          <w:color w:val="auto"/>
        </w:rPr>
      </w:pPr>
    </w:p>
    <w:p>
      <w:pPr>
        <w:ind w:right="180" w:firstLine="225"/>
        <w:spacing w:after="0" w:line="256" w:lineRule="auto"/>
        <w:rPr>
          <w:sz w:val="20"/>
          <w:szCs w:val="20"/>
          <w:color w:val="auto"/>
        </w:rPr>
      </w:pPr>
      <w:r>
        <w:rPr>
          <w:rFonts w:ascii="Times New Roman" w:cs="Times New Roman" w:eastAsia="Times New Roman" w:hAnsi="Times New Roman"/>
          <w:sz w:val="18"/>
          <w:szCs w:val="18"/>
          <w:color w:val="auto"/>
        </w:rPr>
        <w:t>Prior to 2003, our calculations of weighted-average outstanding shares for basic and diluted net loss per share were identical because stock options that would have had an anti-dilutive effect on the calculation were properly excluded from the calculation. We achieved net income for the years ended December 31, 2003, 2004, and 2005 and as a result our calculation of weighted-average outstanding shares for diluted net income per share included the effect of any dilutive stock options, which are any outstanding stock options that have an exercise price lower than the average market price of our common stock for the period presented. We expect that our diluted net income per share will be lower than our basic net income per share for any future periods in which we report net income, due to the dilutive effect of outstanding stock options.</w:t>
      </w:r>
    </w:p>
    <w:p>
      <w:pPr>
        <w:spacing w:after="0" w:line="80" w:lineRule="exact"/>
        <w:rPr>
          <w:sz w:val="20"/>
          <w:szCs w:val="20"/>
          <w:color w:val="auto"/>
        </w:rPr>
      </w:pPr>
    </w:p>
    <w:p>
      <w:pPr>
        <w:ind w:right="320" w:firstLine="225"/>
        <w:spacing w:after="0" w:line="258" w:lineRule="auto"/>
        <w:rPr>
          <w:sz w:val="20"/>
          <w:szCs w:val="20"/>
          <w:color w:val="auto"/>
        </w:rPr>
      </w:pPr>
      <w:r>
        <w:rPr>
          <w:rFonts w:ascii="Times New Roman" w:cs="Times New Roman" w:eastAsia="Times New Roman" w:hAnsi="Times New Roman"/>
          <w:sz w:val="18"/>
          <w:szCs w:val="18"/>
          <w:color w:val="auto"/>
        </w:rPr>
        <w:t>Our current expansion plan began in 2004 and included entering 21 new metropolitan markets throughout the United States as well as expanding the geographical boundaries of many of our existing U.S. and U.K. markets during 2005 and 2006. As of February 21, 2006 our expansion into the 21 new markets is complete. In addition, in January 2005, we acquired NRB and announced the launch of a major expansion effort into real estate information for retail properties. Our current retail expansion plan has caused and will continue to cause our cost structure to escalate in advance of the revenues that we expect to generate from these new markets and services, reducing our earnings growth.</w:t>
      </w:r>
    </w:p>
    <w:p>
      <w:pPr>
        <w:spacing w:after="0" w:line="76"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We expect 2006 revenue to grow over 2005 revenue as a result of further penetration of our services in our potential customer base across our platform, as well as successful cross selling of our services to our existing customer base, and continued geographic expansion. We expect EBITDA for our existing core platform to continue to grow principally due to growth in revenue and we expect overall 2006 EBITDA to increase from 2005 EBITDA including stock option compensation expense related to the adoption of SFAS No. 123R. The 2005 EBITDA did not include stock option compensation expense.</w:t>
      </w:r>
    </w:p>
    <w:p>
      <w:pPr>
        <w:spacing w:after="0" w:line="72" w:lineRule="exact"/>
        <w:rPr>
          <w:sz w:val="20"/>
          <w:szCs w:val="20"/>
          <w:color w:val="auto"/>
        </w:rPr>
      </w:pPr>
    </w:p>
    <w:p>
      <w:pPr>
        <w:ind w:right="200" w:firstLine="225"/>
        <w:spacing w:after="0" w:line="258" w:lineRule="auto"/>
        <w:rPr>
          <w:sz w:val="20"/>
          <w:szCs w:val="20"/>
          <w:color w:val="auto"/>
        </w:rPr>
      </w:pPr>
      <w:r>
        <w:rPr>
          <w:rFonts w:ascii="Times New Roman" w:cs="Times New Roman" w:eastAsia="Times New Roman" w:hAnsi="Times New Roman"/>
          <w:sz w:val="18"/>
          <w:szCs w:val="18"/>
          <w:color w:val="auto"/>
        </w:rPr>
        <w:t>In addition to our current planned retail expansion, we may continue further geographic expansion in the United States, we may seek additional international geographic expansion or we may seek to expand our services. Any future significant expansion could reduce our profitability and significantly increase our capital expenditures. Therefore, while we expect current service offerings in existing markets to remain generally profitable and provide substantial funding for our overall business, it is possible that further overall expansion could cause us to generate losses and negative cash flow from operations in the future.</w:t>
      </w:r>
    </w:p>
    <w:p>
      <w:pPr>
        <w:spacing w:after="0" w:line="76"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Our subscription-based information services, consisting primarily of CoStar Property Professional, CoStar Tenant, CoStar COMPS Professional and FOCUS services, currently generate approximately 95% of our total revenues. Our contracts for our subscription-based information services typically have a minimum term of one year and renew automatically. Upon renewal, many of the subscription contract rates may increase in accordance with contract provisions or as a result of contract renegotiations. To encourage clients to use our services regularly, we generally charge a fixed monthly amount for our subscription-based services rather than fees based on actual system usage. Contract rates are based on the number of sites, number of users, organization size, the client’s business focus and the number of services to which a client subscribes. Our subscription clients generally pay contract fees on a monthly basis, but in some cases may pay us on a quarterly or annual basis. We recognize this revenue on a straight-line basis over the life of the contract. Annual and quarterly advance payments result in deferred revenue, substantially reducing the working capital requirements generated by accounts receivable.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years ended December 31, 2004 and 2005, our contract renewal rate was over 90%.</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121" w:lineRule="exact"/>
        <w:rPr>
          <w:sz w:val="20"/>
          <w:szCs w:val="20"/>
          <w:color w:val="auto"/>
        </w:rPr>
      </w:pPr>
    </w:p>
    <w:p>
      <w:pPr>
        <w:ind w:right="80" w:firstLine="222"/>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requires management to make estimates and assumptions that affect the reported amounts of assets and liabilities, the disclosure of contingent assets and liabilities at the date of the financial statements and revenues and expenses during the period reported. The following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estimates reasonably could have been used in the current period. Changes in the accounting estimates we used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long-lived and intangible assets and goodwill</w:t>
      </w:r>
    </w:p>
    <w:p>
      <w:pPr>
        <w:spacing w:after="0" w:line="119" w:lineRule="exact"/>
        <w:rPr>
          <w:sz w:val="20"/>
          <w:szCs w:val="20"/>
          <w:color w:val="auto"/>
        </w:rPr>
      </w:pPr>
    </w:p>
    <w:p>
      <w:pPr>
        <w:ind w:right="620" w:firstLine="222"/>
        <w:spacing w:after="0" w:line="282" w:lineRule="auto"/>
        <w:rPr>
          <w:sz w:val="20"/>
          <w:szCs w:val="20"/>
          <w:color w:val="auto"/>
        </w:rPr>
      </w:pPr>
      <w:r>
        <w:rPr>
          <w:rFonts w:ascii="Times New Roman" w:cs="Times New Roman" w:eastAsia="Times New Roman" w:hAnsi="Times New Roman"/>
          <w:sz w:val="18"/>
          <w:szCs w:val="18"/>
          <w:color w:val="auto"/>
        </w:rPr>
        <w:t>We assess the impairment of long-lived assets, identifiable intangibles and goodwill whenever events or changes in circumstances indicate that the carrying value may not be recoverable. Factors we consider important that could trigger an impairment review include the following:</w:t>
      </w:r>
    </w:p>
    <w:p>
      <w:pPr>
        <w:spacing w:after="0" w:line="54" w:lineRule="exact"/>
        <w:rPr>
          <w:sz w:val="20"/>
          <w:szCs w:val="20"/>
          <w:color w:val="auto"/>
        </w:rPr>
      </w:pPr>
    </w:p>
    <w:p>
      <w:pPr>
        <w:ind w:left="660" w:hanging="436"/>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underperformance relative to historical or projected future operating results;</w:t>
      </w:r>
    </w:p>
    <w:p>
      <w:pPr>
        <w:spacing w:after="0" w:line="2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changes in the manner of our use of the acquired assets or the strategy for our overall business;</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negative industry or economic trends; or</w:t>
      </w:r>
    </w:p>
    <w:p>
      <w:pPr>
        <w:spacing w:after="0" w:line="9"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decline in our market capitalization relative to net book value for a sustained period.</w:t>
      </w:r>
    </w:p>
    <w:p>
      <w:pPr>
        <w:spacing w:after="0" w:line="99" w:lineRule="exact"/>
        <w:rPr>
          <w:sz w:val="20"/>
          <w:szCs w:val="20"/>
          <w:color w:val="auto"/>
        </w:rPr>
      </w:pPr>
    </w:p>
    <w:p>
      <w:pPr>
        <w:jc w:val="both"/>
        <w:ind w:right="100" w:firstLine="222"/>
        <w:spacing w:after="0" w:line="266" w:lineRule="auto"/>
        <w:rPr>
          <w:sz w:val="20"/>
          <w:szCs w:val="20"/>
          <w:color w:val="auto"/>
        </w:rPr>
      </w:pPr>
      <w:r>
        <w:rPr>
          <w:rFonts w:ascii="Times New Roman" w:cs="Times New Roman" w:eastAsia="Times New Roman" w:hAnsi="Times New Roman"/>
          <w:sz w:val="18"/>
          <w:szCs w:val="18"/>
          <w:color w:val="auto"/>
        </w:rPr>
        <w:t>When we determine that the carrying value of long-lived and identifiable intangible assets may not be recovered based upon the existence of one or more of the above indicators, we measure any impairment based on a projected discounted cash flow method using a discount rate determined by our management to be commensurate with the risk inherent in our current business model.</w:t>
      </w:r>
    </w:p>
    <w:p>
      <w:pPr>
        <w:spacing w:after="0" w:line="68" w:lineRule="exact"/>
        <w:rPr>
          <w:sz w:val="20"/>
          <w:szCs w:val="20"/>
          <w:color w:val="auto"/>
        </w:rPr>
      </w:pPr>
    </w:p>
    <w:p>
      <w:pPr>
        <w:ind w:right="100" w:firstLine="225"/>
        <w:spacing w:after="0" w:line="266" w:lineRule="auto"/>
        <w:rPr>
          <w:sz w:val="20"/>
          <w:szCs w:val="20"/>
          <w:color w:val="auto"/>
        </w:rPr>
      </w:pPr>
      <w:r>
        <w:rPr>
          <w:rFonts w:ascii="Times New Roman" w:cs="Times New Roman" w:eastAsia="Times New Roman" w:hAnsi="Times New Roman"/>
          <w:sz w:val="18"/>
          <w:szCs w:val="18"/>
          <w:color w:val="auto"/>
        </w:rPr>
        <w:t>Goodwill and identifiable intangible assets not subject to amortization are tested annually on October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year for impairment and are tested for impairment more frequently based upon the existence of one or more of the above indicators. We measure any impairment loss to the extent that the carrying amount of the asset exceeds its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19" w:lineRule="exact"/>
        <w:rPr>
          <w:sz w:val="20"/>
          <w:szCs w:val="20"/>
          <w:color w:val="auto"/>
        </w:rPr>
      </w:pPr>
    </w:p>
    <w:p>
      <w:pPr>
        <w:ind w:firstLine="215"/>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taxes in each of the jurisdictions in which we operate. This process requires us to estimate our actual current tax exposure and assess the temporary differences resulting from differing treatment of items, such as deferred revenue or deductibility of certain intangible assets, for tax and accounting purposes. These differences result in deferred tax assets and liabilities, which are included within our consolidated balance sheet. We must then also assess the likelihood that our deferred tax assets will be recovered from future taxable income, and, to the extent we believe that it is more likely than not that some portion or all of our deferred tax assets will not be realized, we must establish a valuation allowance. To the extent we establish a valuation allowance or change the allowance in a period, we must reflect the corresponding increase or decrease within the tax provision in the statement of operations.</w:t>
      </w:r>
    </w:p>
    <w:p>
      <w:pPr>
        <w:spacing w:after="0" w:line="81" w:lineRule="exact"/>
        <w:rPr>
          <w:sz w:val="20"/>
          <w:szCs w:val="20"/>
          <w:color w:val="auto"/>
        </w:rPr>
      </w:pPr>
    </w:p>
    <w:p>
      <w:pPr>
        <w:ind w:right="80" w:firstLine="215"/>
        <w:spacing w:after="0" w:line="256" w:lineRule="auto"/>
        <w:rPr>
          <w:sz w:val="20"/>
          <w:szCs w:val="20"/>
          <w:color w:val="auto"/>
        </w:rPr>
      </w:pPr>
      <w:r>
        <w:rPr>
          <w:rFonts w:ascii="Times New Roman" w:cs="Times New Roman" w:eastAsia="Times New Roman" w:hAnsi="Times New Roman"/>
          <w:sz w:val="18"/>
          <w:szCs w:val="18"/>
          <w:color w:val="auto"/>
        </w:rPr>
        <w:t>As of the fourth quarter of 2004, we determined that it was more likely than not that we would generate taxable income from operations and be able to realize tax benefits arising from use of our net operating loss carryforwards to reduce the income tax we will owe on this taxable income. Prior to the fourth quarter of 2004, we recorded a valuation allowance on the deferred tax assets associated with these future tax benefits because we were not certain we would generate taxable income in the future. The release of the valuation allowance in the fourth quarter resulted in a tax benefit of approximately $26.2 million. This included an income tax benefit of approximately $16.7 million that was recognized in our results from operations. We also recognized a tax benefit of approximately $9.5 million as additional paid-in capital for our net operating loss carryforwards attributable to</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24" w:name="page25"/>
    <w:bookmarkEnd w:id="24"/>
    <w:p>
      <w:pPr>
        <w:ind w:right="220"/>
        <w:spacing w:after="0" w:line="266" w:lineRule="auto"/>
        <w:rPr>
          <w:sz w:val="20"/>
          <w:szCs w:val="20"/>
          <w:color w:val="auto"/>
        </w:rPr>
      </w:pPr>
      <w:r>
        <w:rPr>
          <w:rFonts w:ascii="Times New Roman" w:cs="Times New Roman" w:eastAsia="Times New Roman" w:hAnsi="Times New Roman"/>
          <w:sz w:val="18"/>
          <w:szCs w:val="18"/>
          <w:color w:val="auto"/>
        </w:rPr>
        <w:t>tax deductions for stock options. As of December 31, 2005, we continued to maintain a valuation allowance of approximately $687,000 for certain state net operating loss carryforwards. At December 31, 2005, the Company has net operating loss carryforwards for federal income tax purposes of approximately $63.0 million, which expire, if unused, from the year 2013 through the year 2023.</w:t>
      </w:r>
    </w:p>
    <w:p>
      <w:pPr>
        <w:spacing w:after="0" w:line="68"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Our decision to release the valuation allowance on our deferred tax asset was based on our expectation that we will recognize taxable income from operations in the future, which will enable us to use our net operating loss carryforwards. We believe our expectation that we will recognize taxable income in the future is supported by our increase in net earnings over the last three years, our revenue growth, our renewal rates with our existing customers, and our business model, which permits some control over future costs. We will continue to evaluate our expectation of future taxable income during each quarter. If we are unable to conclude that it is more likely than not that we will realize the future tax benefits associated with our deferred tax assets, then we may be required to establish a valuation allowance against some or all of the deferred tax assets.</w:t>
      </w:r>
    </w:p>
    <w:p>
      <w:pPr>
        <w:spacing w:after="0" w:line="80" w:lineRule="exact"/>
        <w:rPr>
          <w:sz w:val="20"/>
          <w:szCs w:val="20"/>
          <w:color w:val="auto"/>
        </w:rPr>
      </w:pPr>
    </w:p>
    <w:p>
      <w:pPr>
        <w:ind w:right="100" w:firstLine="225"/>
        <w:spacing w:after="0" w:line="266" w:lineRule="auto"/>
        <w:rPr>
          <w:sz w:val="20"/>
          <w:szCs w:val="20"/>
          <w:color w:val="auto"/>
        </w:rPr>
      </w:pPr>
      <w:r>
        <w:rPr>
          <w:rFonts w:ascii="Times New Roman" w:cs="Times New Roman" w:eastAsia="Times New Roman" w:hAnsi="Times New Roman"/>
          <w:sz w:val="18"/>
          <w:szCs w:val="18"/>
          <w:color w:val="auto"/>
        </w:rPr>
        <w:t>For the foreseeable future, we expect to record income tax expense on our results from operations at an effective rate of approximately 42.5% to 43.5%. For the next several years, however, we expect the majority of our taxable income to be offset by our net operating loss carryforwards. As a result, we expect our cash payments for taxes to be limited primarily to federal alternative minimum taxes and to state income taxes in certain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employee stock options</w:t>
      </w:r>
    </w:p>
    <w:p>
      <w:pPr>
        <w:spacing w:after="0" w:line="119" w:lineRule="exact"/>
        <w:rPr>
          <w:sz w:val="20"/>
          <w:szCs w:val="20"/>
          <w:color w:val="auto"/>
        </w:rPr>
      </w:pPr>
    </w:p>
    <w:p>
      <w:pPr>
        <w:ind w:firstLine="215"/>
        <w:spacing w:after="0" w:line="258" w:lineRule="auto"/>
        <w:rPr>
          <w:sz w:val="20"/>
          <w:szCs w:val="20"/>
          <w:color w:val="auto"/>
        </w:rPr>
      </w:pPr>
      <w:r>
        <w:rPr>
          <w:rFonts w:ascii="Times New Roman" w:cs="Times New Roman" w:eastAsia="Times New Roman" w:hAnsi="Times New Roman"/>
          <w:sz w:val="18"/>
          <w:szCs w:val="18"/>
          <w:color w:val="auto"/>
        </w:rPr>
        <w:t>As permitted under Statement of Financial Accounting Standard No. 123, “Accounting for Stock-Based Compensation,” we currently account for employee stock options in accordance with Accounting Principles Board Opinion No. 25 (“APB No. 25”), “Accounting for Stock Issued to Employees.” Under APB No. 25, we recognize compensation cost based on the intrinsic value of the equity instrument awarded as determined at the measurement date. We disclose the required pro forma information in our notes to consolidated financial statements as if the fair value method prescribed by SFAS No. 123 had been applied.</w:t>
      </w:r>
    </w:p>
    <w:p>
      <w:pPr>
        <w:spacing w:after="0" w:line="76" w:lineRule="exact"/>
        <w:rPr>
          <w:sz w:val="20"/>
          <w:szCs w:val="20"/>
          <w:color w:val="auto"/>
        </w:rPr>
      </w:pPr>
    </w:p>
    <w:p>
      <w:pPr>
        <w:ind w:right="140" w:firstLine="225"/>
        <w:spacing w:after="0" w:line="258" w:lineRule="auto"/>
        <w:rPr>
          <w:sz w:val="20"/>
          <w:szCs w:val="20"/>
          <w:color w:val="auto"/>
        </w:rPr>
      </w:pPr>
      <w:r>
        <w:rPr>
          <w:rFonts w:ascii="Times New Roman" w:cs="Times New Roman" w:eastAsia="Times New Roman" w:hAnsi="Times New Roman"/>
          <w:sz w:val="18"/>
          <w:szCs w:val="18"/>
          <w:color w:val="auto"/>
        </w:rPr>
        <w:t>Effective for the fiscal quarters beginning after December 31, 2005, pursuant to SFAS No. 123R, “Share-Based Payment”, the Company will be required to measure the cost of employee services received in exchange for an award of equity instruments based on the grant-date fair value of the award and recognize that cost over the period during which an employee is required to provide service in exchange for the award. The Company is continuing to assess the impact of the adoption of SFAS No. 123R in 2005, however, the Company currently expects to incur approximately $3.0 to $4.0 million for stock option compensation expense in 2006.</w:t>
      </w:r>
    </w:p>
    <w:p>
      <w:pPr>
        <w:spacing w:after="0" w:line="76" w:lineRule="exact"/>
        <w:rPr>
          <w:sz w:val="20"/>
          <w:szCs w:val="20"/>
          <w:color w:val="auto"/>
        </w:rPr>
      </w:pPr>
    </w:p>
    <w:p>
      <w:pPr>
        <w:ind w:right="200" w:firstLine="225"/>
        <w:spacing w:after="0" w:line="258" w:lineRule="auto"/>
        <w:rPr>
          <w:sz w:val="20"/>
          <w:szCs w:val="20"/>
          <w:color w:val="auto"/>
        </w:rPr>
      </w:pPr>
      <w:r>
        <w:rPr>
          <w:rFonts w:ascii="Times New Roman" w:cs="Times New Roman" w:eastAsia="Times New Roman" w:hAnsi="Times New Roman"/>
          <w:sz w:val="18"/>
          <w:szCs w:val="18"/>
          <w:color w:val="auto"/>
        </w:rPr>
        <w:t>In 2005, we issued restricted stock, instead of stock options, to our senior officers and employees, as a result of which we recorded additional compensation expense on our consolidated statement of operations. We plan to continue the use of alternative stock-based compensation for our senior officers, directors and employees, which may include among other things, restricted stock grants, which typically will require us to record additional compensation expense on our consolidated statement of operations and reduce our net income. The Company currently expects to incur approximately $2.0 million for restricted stock compensation expense in 2006.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prepare and publicly release quarterly unaudited financial statements prepared in accordance with GAAP. We also disclose and discuss certain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in our public releases. Currently, the non-GAAP financial measure that we disclose is EBITDA, which is our 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interest, income taxes, depreciation and amortization. We disclose EBITDA in our earnings releases, investor conference calls and filings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and Exchange Commission. The non-GAAP financial measures that we use may not be comparable to similarly titled measures reported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companies. Also, in the future, we may disclose different non-GAAP financial measures in order to help our investors more meaningfully evaluate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 our future results of operations to our previously reported results of operations.</w:t>
      </w:r>
    </w:p>
    <w:p>
      <w:pPr>
        <w:spacing w:after="0" w:line="99" w:lineRule="exact"/>
        <w:rPr>
          <w:sz w:val="20"/>
          <w:szCs w:val="20"/>
          <w:color w:val="auto"/>
        </w:rPr>
      </w:pPr>
    </w:p>
    <w:p>
      <w:pPr>
        <w:ind w:right="240" w:firstLine="222"/>
        <w:spacing w:after="0" w:line="258" w:lineRule="auto"/>
        <w:rPr>
          <w:sz w:val="20"/>
          <w:szCs w:val="20"/>
          <w:color w:val="auto"/>
        </w:rPr>
      </w:pPr>
      <w:r>
        <w:rPr>
          <w:rFonts w:ascii="Times New Roman" w:cs="Times New Roman" w:eastAsia="Times New Roman" w:hAnsi="Times New Roman"/>
          <w:sz w:val="18"/>
          <w:szCs w:val="18"/>
          <w:color w:val="auto"/>
        </w:rPr>
        <w:t>We view EBITDA as an operating performance measure and as such we believe that the GAAP financial measure most directly comparable to it is net income (loss). In calculating EBITDA we exclude from net income (loss)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is not a measurement of financial performance under GAAP and should not be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ind w:right="120"/>
        <w:spacing w:after="0" w:line="256" w:lineRule="auto"/>
        <w:rPr>
          <w:sz w:val="20"/>
          <w:szCs w:val="20"/>
          <w:color w:val="auto"/>
        </w:rPr>
      </w:pPr>
      <w:r>
        <w:rPr>
          <w:rFonts w:ascii="Times New Roman" w:cs="Times New Roman" w:eastAsia="Times New Roman" w:hAnsi="Times New Roman"/>
          <w:sz w:val="18"/>
          <w:szCs w:val="18"/>
          <w:color w:val="auto"/>
        </w:rPr>
        <w:t>considered as a measure of liquidity, as an alternative to net income (loss) or as an indicator of any other measure of performance derived in accordance with GAAP. Investors and potential investors in our securities should not rely on EBITDA as a substitute for any GAAP financial measure, including net income (loss). In addition, we urge investors and potential investors in our securities to carefully review the reconciliation of EBITDA to net income (loss) set forth below, in our earnings releases and in other filings with the Securities and Exchange Commission and to carefully review the GAAP financial information included as part of our Quarterly Reports on Form 10-Q and our Annual Reports on Form 10-K that are filed with the Securities and Exchange Commission, as well as our quarterly earnings releases, and compare the GAAP financial information with our EBITDA.</w:t>
      </w:r>
    </w:p>
    <w:p>
      <w:pPr>
        <w:spacing w:after="0" w:line="80"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EBITDA is used by management to internally measure our operating and management performance and by investors as a supplemental financial measure to evaluate the performance of our business that, when viewed with our GAAP results and the accompanying reconciliation, we believe provides additional information that is useful to gain an understanding of the factors and trends affecting our business. We have spent more than 18 years building our database of commercial real estate information and expanding our markets and services partially through acquisitions of complimentary businesses. Due to the expansion of our information services, which included acquisitions, our net income (loss) has included significant charges for purchase amortization, depreciation and other amortization. EBITDA excludes these charges and provides meaningful information about the operating performance of our business, apart from charges for purchase amortization, depreciation and other amortization. We believe the disclosure of EBITDA helps investors meaningfully evaluate and compare our performance from quarter to quarter and from year to year. We also believe EBITDA is a measure of our ongoing operating performance because the isolation of non-cash charges, such as amortization and depreciation, and non-operating items, such as interest and income taxes, provides additional information about our cost structure, and, over time, helps track our operating progress. In addition, investors, securities analysts and others have regularly relied on EBITDA to provide a financial measure by which to compare our operating performance against that of other companies in our industry.</w:t>
      </w:r>
    </w:p>
    <w:p>
      <w:pPr>
        <w:spacing w:after="0" w:line="85" w:lineRule="exact"/>
        <w:rPr>
          <w:sz w:val="20"/>
          <w:szCs w:val="20"/>
          <w:color w:val="auto"/>
        </w:rPr>
      </w:pPr>
    </w:p>
    <w:p>
      <w:pPr>
        <w:ind w:right="800" w:firstLine="225"/>
        <w:spacing w:after="0" w:line="282" w:lineRule="auto"/>
        <w:rPr>
          <w:sz w:val="20"/>
          <w:szCs w:val="20"/>
          <w:color w:val="auto"/>
        </w:rPr>
      </w:pPr>
      <w:r>
        <w:rPr>
          <w:rFonts w:ascii="Times New Roman" w:cs="Times New Roman" w:eastAsia="Times New Roman" w:hAnsi="Times New Roman"/>
          <w:sz w:val="18"/>
          <w:szCs w:val="18"/>
          <w:color w:val="auto"/>
        </w:rPr>
        <w:t>Set forth below are descriptions of the financial items that have been excluded from our net income (loss) to calculate EBITDA and the material limitations associated with using this non-GAAP financial measure as compared to net income (loss):</w:t>
      </w:r>
    </w:p>
    <w:p>
      <w:pPr>
        <w:spacing w:after="0" w:line="54" w:lineRule="exact"/>
        <w:rPr>
          <w:sz w:val="20"/>
          <w:szCs w:val="20"/>
          <w:color w:val="auto"/>
        </w:rPr>
      </w:pPr>
    </w:p>
    <w:p>
      <w:pPr>
        <w:ind w:left="660" w:hanging="436"/>
        <w:spacing w:after="0" w:line="266"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amortization in cost of revenues may be useful for investors to consider because it represents the use of our acquired database technology, which is one of the sources of information for our database of commercial real estate information. We do not believe these charges necessarily reflect the current and ongoing cash charges related to our operating cost structure.</w:t>
      </w:r>
    </w:p>
    <w:p>
      <w:pPr>
        <w:spacing w:after="0" w:line="81" w:lineRule="exact"/>
        <w:rPr>
          <w:rFonts w:ascii="Times New Roman" w:cs="Times New Roman" w:eastAsia="Times New Roman" w:hAnsi="Times New Roman"/>
          <w:sz w:val="18"/>
          <w:szCs w:val="18"/>
          <w:b w:val="1"/>
          <w:bCs w:val="1"/>
          <w:color w:val="auto"/>
        </w:rPr>
      </w:pPr>
    </w:p>
    <w:p>
      <w:pPr>
        <w:ind w:left="660" w:right="280" w:hanging="436"/>
        <w:spacing w:after="0" w:line="266"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amortization in operating expenses may be useful for investors to consider because it represents the estimated attrition of our acquired customer base and the diminishing value of any acquired tradenames. We do not believe these charges necessarily reflect the current and ongoing cash charges related to our operating cost structure.</w:t>
      </w:r>
    </w:p>
    <w:p>
      <w:pPr>
        <w:spacing w:after="0" w:line="81" w:lineRule="exact"/>
        <w:rPr>
          <w:rFonts w:ascii="Times New Roman" w:cs="Times New Roman" w:eastAsia="Times New Roman" w:hAnsi="Times New Roman"/>
          <w:sz w:val="18"/>
          <w:szCs w:val="18"/>
          <w:b w:val="1"/>
          <w:bCs w:val="1"/>
          <w:color w:val="auto"/>
        </w:rPr>
      </w:pPr>
    </w:p>
    <w:p>
      <w:pPr>
        <w:jc w:val="both"/>
        <w:ind w:left="660" w:right="160" w:hanging="436"/>
        <w:spacing w:after="0" w:line="266"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81" w:lineRule="exact"/>
        <w:rPr>
          <w:rFonts w:ascii="Times New Roman" w:cs="Times New Roman" w:eastAsia="Times New Roman" w:hAnsi="Times New Roman"/>
          <w:sz w:val="18"/>
          <w:szCs w:val="18"/>
          <w:b w:val="1"/>
          <w:bCs w:val="1"/>
          <w:color w:val="auto"/>
        </w:rPr>
      </w:pPr>
    </w:p>
    <w:p>
      <w:pPr>
        <w:ind w:left="660" w:right="80" w:hanging="436"/>
        <w:spacing w:after="0" w:line="313" w:lineRule="auto"/>
        <w:tabs>
          <w:tab w:leader="none" w:pos="66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amount of net interest income we generate may be useful for investors to consider and may result in current cash inflows or outflows. However, we do not consider the amount of net interest income to be a representative component of the day-to-day operating performance of our business.</w:t>
      </w:r>
    </w:p>
    <w:p>
      <w:pPr>
        <w:spacing w:after="0" w:line="43" w:lineRule="exact"/>
        <w:rPr>
          <w:rFonts w:ascii="Times New Roman" w:cs="Times New Roman" w:eastAsia="Times New Roman" w:hAnsi="Times New Roman"/>
          <w:sz w:val="17"/>
          <w:szCs w:val="17"/>
          <w:b w:val="1"/>
          <w:bCs w:val="1"/>
          <w:color w:val="auto"/>
        </w:rPr>
      </w:pPr>
    </w:p>
    <w:p>
      <w:pPr>
        <w:ind w:left="660" w:hanging="436"/>
        <w:spacing w:after="0" w:line="261"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expense (benefit)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(benefit) to be a representative component of the day-to-day operating performance of our business.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ind w:right="200"/>
        <w:spacing w:after="0" w:line="282" w:lineRule="auto"/>
        <w:rPr>
          <w:sz w:val="20"/>
          <w:szCs w:val="20"/>
          <w:color w:val="auto"/>
        </w:rPr>
      </w:pPr>
      <w:r>
        <w:rPr>
          <w:rFonts w:ascii="Times New Roman" w:cs="Times New Roman" w:eastAsia="Times New Roman" w:hAnsi="Times New Roman"/>
          <w:sz w:val="18"/>
          <w:szCs w:val="18"/>
          <w:color w:val="auto"/>
        </w:rPr>
        <w:t>Management compensates for the above-described limitations of using non-GAAP measures by only using a non-GAAP measure to supplement our GAAP results and to provide additional information that is useful to gain an understanding of the factors and trends affecting our business.</w:t>
      </w:r>
    </w:p>
    <w:p>
      <w:pPr>
        <w:spacing w:after="0" w:line="54" w:lineRule="exact"/>
        <w:rPr>
          <w:sz w:val="20"/>
          <w:szCs w:val="20"/>
          <w:color w:val="auto"/>
        </w:rPr>
      </w:pPr>
    </w:p>
    <w:p>
      <w:pPr>
        <w:ind w:right="660" w:firstLine="222"/>
        <w:spacing w:after="0" w:line="282" w:lineRule="auto"/>
        <w:rPr>
          <w:sz w:val="20"/>
          <w:szCs w:val="20"/>
          <w:color w:val="auto"/>
        </w:rPr>
      </w:pPr>
      <w:r>
        <w:rPr>
          <w:rFonts w:ascii="Times New Roman" w:cs="Times New Roman" w:eastAsia="Times New Roman" w:hAnsi="Times New Roman"/>
          <w:sz w:val="18"/>
          <w:szCs w:val="18"/>
          <w:color w:val="auto"/>
        </w:rPr>
        <w:t>The following table shows our EBITDA reconciled to our net income and our cash flows from operating, investing and financing activities for the indicated periods (in thousands of dollars):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24,985</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Purchase amortization in cost of revenues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amortization in operating expenses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4,487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4,351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6,206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7"/>
              </w:rPr>
              <w:t>(16,925)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13,172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19,756</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19,056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vMerge w:val="continue"/>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2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13,550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24,723</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(65,521)</w:t>
            </w:r>
          </w:p>
        </w:tc>
        <w:tc>
          <w:tcPr>
            <w:tcW w:w="1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7"/>
              </w:rPr>
              <w:t>(29,946)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61,759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80" w:firstLine="225"/>
        <w:spacing w:after="0" w:line="266" w:lineRule="auto"/>
        <w:rPr>
          <w:sz w:val="20"/>
          <w:szCs w:val="20"/>
          <w:color w:val="auto"/>
        </w:rPr>
      </w:pPr>
      <w:r>
        <w:rPr>
          <w:rFonts w:ascii="Times New Roman" w:cs="Times New Roman" w:eastAsia="Times New Roman" w:hAnsi="Times New Roman"/>
          <w:sz w:val="18"/>
          <w:szCs w:val="18"/>
          <w:color w:val="auto"/>
        </w:rPr>
        <w:t>Our 2005 EBITDA included a restructuring charge of approximately $2.2 million incurred in connection with the closing of our research center in Mason, Ohio. The restructuring charge included amounts for wages, severance, occupancy and other costs. We did not incur any restructuring charges in 2004 or 2003.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ind w:right="180" w:firstLine="222"/>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selected consolidated results of operations for the indicated periods (in thousands of dollars and as a percentage of total 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66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95,105</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112,085</w:t>
            </w:r>
          </w:p>
        </w:tc>
        <w:tc>
          <w:tcPr>
            <w:tcW w:w="19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134,338</w:t>
            </w: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30,742</w:t>
            </w:r>
          </w:p>
        </w:tc>
        <w:tc>
          <w:tcPr>
            <w:tcW w:w="6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35,384</w:t>
            </w:r>
          </w:p>
        </w:tc>
        <w:tc>
          <w:tcPr>
            <w:tcW w:w="19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44,286</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64,363</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76,701</w:t>
            </w:r>
          </w:p>
        </w:tc>
        <w:tc>
          <w:tcPr>
            <w:tcW w:w="19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90,052</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26,537</w:t>
            </w: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29,458</w:t>
            </w:r>
          </w:p>
        </w:tc>
        <w:tc>
          <w:tcPr>
            <w:tcW w:w="19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38,351</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 development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6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8,492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10,123</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26,451</w:t>
            </w: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27,654</w:t>
            </w:r>
          </w:p>
        </w:tc>
        <w:tc>
          <w:tcPr>
            <w:tcW w:w="19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27,550</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charge</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amortization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4,469</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64,361</w:t>
            </w:r>
          </w:p>
        </w:tc>
        <w:tc>
          <w:tcPr>
            <w:tcW w:w="6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7,342</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6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3,455</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10,797</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(16,925)</w:t>
            </w:r>
          </w:p>
        </w:tc>
        <w:tc>
          <w:tcPr>
            <w:tcW w:w="19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4,340</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24,985</w:t>
            </w:r>
          </w:p>
        </w:tc>
        <w:tc>
          <w:tcPr>
            <w:tcW w:w="19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6,457</w:t>
            </w: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2005 and Year Ended December 31, 2004</w:t>
      </w:r>
    </w:p>
    <w:p>
      <w:pPr>
        <w:spacing w:after="0" w:line="119" w:lineRule="exact"/>
        <w:rPr>
          <w:sz w:val="20"/>
          <w:szCs w:val="20"/>
          <w:color w:val="auto"/>
        </w:rPr>
      </w:pPr>
    </w:p>
    <w:p>
      <w:pPr>
        <w:ind w:right="40" w:firstLine="22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grew 19.9% from $112.1 million in 2004 to $134.3 million in 2005. This increase in revenue is principally due to further penetration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subscription-based information services, as well as the successful cross-selling to our customer base across our service platform in existing markets combined with continued high renewal rates. In addition, NRB, which was acquired in January 2005, contributed approximately $1.9 million of our revenues for the year ended December 31, 2005. Our subscription-based information services, consisting primarily of CoStar Property Professional, CoStar Tenant, CoStar COMPS Professional and FOCUS services, currently generate 95% of our total revenues.</w:t>
      </w:r>
    </w:p>
    <w:p>
      <w:pPr>
        <w:spacing w:after="0" w:line="72" w:lineRule="exact"/>
        <w:rPr>
          <w:sz w:val="20"/>
          <w:szCs w:val="20"/>
          <w:color w:val="auto"/>
        </w:rPr>
      </w:pPr>
    </w:p>
    <w:p>
      <w:pPr>
        <w:ind w:right="60" w:firstLine="22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increased from $76.7 million in 2004 to $90.1 million in 2005. Gross margin percentage decreased from 68.4% in 2004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67.0% in 2005. The increase in the gross margin amount resulted principally from internal revenue growth from our subscription-based information services. Cost of revenues increased from $35.4 million in 2004 to $44.3 million in 2005, principally due to increased research department hiring, training, compensation and other operating costs associated with our 21-market and retail expansion, as well as research costs associated with further service enhancements to our existing platform.</w:t>
      </w:r>
    </w:p>
    <w:p>
      <w:pPr>
        <w:spacing w:after="0" w:line="72" w:lineRule="exact"/>
        <w:rPr>
          <w:sz w:val="20"/>
          <w:szCs w:val="20"/>
          <w:color w:val="auto"/>
        </w:rPr>
      </w:pPr>
    </w:p>
    <w:p>
      <w:pPr>
        <w:ind w:right="14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Selling and marketing expenses increased from $29.5 million in 2004 to $38.4 million in 2005 and increased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revenues from 26.3% in 2004 to 28.6% in 2005. The increase in the amount of selling and marketing expenses was primarily due to increased sales commissions and growth in the sales force as well as costs associated with sales and marketing efforts for our 21-market and retail expansion plan.</w:t>
      </w:r>
    </w:p>
    <w:p>
      <w:pPr>
        <w:spacing w:after="0" w:line="65" w:lineRule="exact"/>
        <w:rPr>
          <w:sz w:val="20"/>
          <w:szCs w:val="20"/>
          <w:color w:val="auto"/>
        </w:rPr>
      </w:pPr>
    </w:p>
    <w:p>
      <w:pPr>
        <w:ind w:right="12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Software Development Expenses. </w:t>
      </w:r>
      <w:r>
        <w:rPr>
          <w:rFonts w:ascii="Times New Roman" w:cs="Times New Roman" w:eastAsia="Times New Roman" w:hAnsi="Times New Roman"/>
          <w:sz w:val="18"/>
          <w:szCs w:val="18"/>
          <w:color w:val="auto"/>
        </w:rPr>
        <w:t>Software development expenses increased from $8.5 million in 2004 to $10.1 million in 2005 and decreased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revenues from 7.6% in 2004 to 7.5% in 2005. The majority of the increase in the amount of software and development expense was due to the hiring of new employees to support our continued focus on enhancements to our existing services, development of new services and development costs for our internal information systems.</w:t>
      </w:r>
    </w:p>
    <w:p>
      <w:pPr>
        <w:spacing w:after="0" w:line="72" w:lineRule="exact"/>
        <w:rPr>
          <w:sz w:val="20"/>
          <w:szCs w:val="20"/>
          <w:color w:val="auto"/>
        </w:rPr>
      </w:pPr>
    </w:p>
    <w:p>
      <w:pPr>
        <w:ind w:right="26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slightly from $27.7 million in 2004 to $27.6 million in 2005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as a percentage of revenues from 24.6% in 2004 to 20.5% in 2005. The decrease in the percentage of general and administrative expenses was primarily due to our continued efforts to control and leverage our overhead costs.</w:t>
      </w:r>
    </w:p>
    <w:p>
      <w:pPr>
        <w:spacing w:after="0" w:line="65" w:lineRule="exact"/>
        <w:rPr>
          <w:sz w:val="20"/>
          <w:szCs w:val="20"/>
          <w:color w:val="auto"/>
        </w:rPr>
      </w:pPr>
    </w:p>
    <w:p>
      <w:pPr>
        <w:ind w:right="4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Charge. </w:t>
      </w:r>
      <w:r>
        <w:rPr>
          <w:rFonts w:ascii="Times New Roman" w:cs="Times New Roman" w:eastAsia="Times New Roman" w:hAnsi="Times New Roman"/>
          <w:sz w:val="18"/>
          <w:szCs w:val="18"/>
          <w:color w:val="auto"/>
        </w:rPr>
        <w:t>In the third quarter of 2005, we recorded a restructuring charge of approximately $2.2 million in connection with the closing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center in Mason, Ohio. The restructuring charge included amounts for wages, severance, occupancy and other costs. We did not incur any restructuring charges in 2004.</w:t>
      </w:r>
    </w:p>
    <w:p>
      <w:pPr>
        <w:spacing w:after="0" w:line="65" w:lineRule="exact"/>
        <w:rPr>
          <w:sz w:val="20"/>
          <w:szCs w:val="20"/>
          <w:color w:val="auto"/>
        </w:rPr>
      </w:pPr>
    </w:p>
    <w:p>
      <w:pPr>
        <w:ind w:right="84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Amortization. </w:t>
      </w:r>
      <w:r>
        <w:rPr>
          <w:rFonts w:ascii="Times New Roman" w:cs="Times New Roman" w:eastAsia="Times New Roman" w:hAnsi="Times New Roman"/>
          <w:sz w:val="18"/>
          <w:szCs w:val="18"/>
          <w:color w:val="auto"/>
        </w:rPr>
        <w:t>Purchase amortization increased from $4.4 million in 2004 to $4.5 million in 2005. This increase was due to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associated with the NRB purchase.</w:t>
      </w:r>
    </w:p>
    <w:p>
      <w:pPr>
        <w:spacing w:after="0" w:line="50" w:lineRule="exact"/>
        <w:rPr>
          <w:sz w:val="20"/>
          <w:szCs w:val="20"/>
          <w:color w:val="auto"/>
        </w:rPr>
      </w:pPr>
    </w:p>
    <w:p>
      <w:pPr>
        <w:ind w:right="20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Interest and other income increased from $1.3 million in 2004 to $3.5 million in 2005. This increase was primarily a result of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cash, cash equivalents and short-term investment balances and increased interest rates during the year.</w:t>
      </w:r>
    </w:p>
    <w:p>
      <w:pPr>
        <w:spacing w:after="0" w:line="50" w:lineRule="exact"/>
        <w:rPr>
          <w:sz w:val="20"/>
          <w:szCs w:val="20"/>
          <w:color w:val="auto"/>
        </w:rPr>
      </w:pPr>
    </w:p>
    <w:p>
      <w:pPr>
        <w:ind w:right="6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Income tax expense (benefit) changed from a benefit of $16.9 million in 2004 to an expense of $4.3 million in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in 2005 is a result of our continued profitability combined with the release of the valuation allowance on deferred tax assets in the fourth quarter of 2004.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2004 and Year Ended December 31, 2003</w:t>
      </w:r>
    </w:p>
    <w:p>
      <w:pPr>
        <w:spacing w:after="0" w:line="119"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grew 17.9% from $95.1 million in 2003 to $112.1 million in 2004. This growth was principally the result of further penetration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subscription-based information services into our existing and potential customer base, as well as the successful cross-selling of information services into our existing customer base across our service platform. Subscription-based information services consisting primarily of CoStar Property Professional, CoStar Tenant, CoStar COMPS Professional, and FOCUS services, generated approximately 95% of our total revenues in 2004.</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28" w:name="page29"/>
    <w:bookmarkEnd w:id="28"/>
    <w:p>
      <w:pPr>
        <w:ind w:right="2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increased from $64.4 million in 2003 to $76.7 million in 2004. Gross margin percentage also increased from 67.7% in 2003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68.4% in 2004. The increase in the gross margin amount and percentage resulted principally from internal revenue growth from our subscription-based information services. Cost of revenues increased from $30.7 million in 2003 to $35.4 million in 2004, principally due to increased research department hiring, training, compensation and other operating costs associated with our 21-market expansion plan.</w:t>
      </w:r>
    </w:p>
    <w:p>
      <w:pPr>
        <w:spacing w:after="0" w:line="72" w:lineRule="exact"/>
        <w:rPr>
          <w:sz w:val="20"/>
          <w:szCs w:val="20"/>
          <w:color w:val="auto"/>
        </w:rPr>
      </w:pPr>
    </w:p>
    <w:p>
      <w:pPr>
        <w:ind w:right="18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Selling and marketing expenses increased from $26.5 million in 2003 to $29.5 million in 2004 and decreased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revenues from 27.9% in 2003 to 26.3% in 2004. The increase in the amount of selling and marketing expenses was primarily due to increased sales commissions and marketing campaigns.</w:t>
      </w:r>
    </w:p>
    <w:p>
      <w:pPr>
        <w:spacing w:after="0" w:line="65" w:lineRule="exact"/>
        <w:rPr>
          <w:sz w:val="20"/>
          <w:szCs w:val="20"/>
          <w:color w:val="auto"/>
        </w:rPr>
      </w:pPr>
    </w:p>
    <w:p>
      <w:pPr>
        <w:jc w:val="both"/>
        <w:ind w:right="72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Software Development Expenses. </w:t>
      </w:r>
      <w:r>
        <w:rPr>
          <w:rFonts w:ascii="Times New Roman" w:cs="Times New Roman" w:eastAsia="Times New Roman" w:hAnsi="Times New Roman"/>
          <w:sz w:val="18"/>
          <w:szCs w:val="18"/>
          <w:color w:val="auto"/>
        </w:rPr>
        <w:t>Software development expenses increased from $6.9 million in 2003 to $8.5 million in 2004 and increased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revenues from 7.3% in 2003 to 7.6% in 2004. This increase was due to the hiring of new employees to support our continued focus on enhancements to our existing services, development of new services and development of our internal information systems.</w:t>
      </w:r>
    </w:p>
    <w:p>
      <w:pPr>
        <w:spacing w:after="0" w:line="65" w:lineRule="exact"/>
        <w:rPr>
          <w:sz w:val="20"/>
          <w:szCs w:val="20"/>
          <w:color w:val="auto"/>
        </w:rPr>
      </w:pPr>
    </w:p>
    <w:p>
      <w:pPr>
        <w:ind w:right="20"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from $26.5 million in 2003 to $27.7 million in 2004 and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percentage of revenues from 27.8% in 2003 to 24.6% in 2004. The increase in the amount of general and administrative expenses was primarily due to an increase in personnel expenses, professional fees and increased occupancy costs offset by a decrease in bad debt expense.</w:t>
      </w:r>
    </w:p>
    <w:p>
      <w:pPr>
        <w:spacing w:after="0" w:line="65" w:lineRule="exact"/>
        <w:rPr>
          <w:sz w:val="20"/>
          <w:szCs w:val="20"/>
          <w:color w:val="auto"/>
        </w:rPr>
      </w:pPr>
    </w:p>
    <w:p>
      <w:pPr>
        <w:ind w:right="62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Amortization. </w:t>
      </w:r>
      <w:r>
        <w:rPr>
          <w:rFonts w:ascii="Times New Roman" w:cs="Times New Roman" w:eastAsia="Times New Roman" w:hAnsi="Times New Roman"/>
          <w:sz w:val="18"/>
          <w:szCs w:val="18"/>
          <w:color w:val="auto"/>
        </w:rPr>
        <w:t>Purchase amortization decreased from $4.5 million in 2003 to $4.4 million in 2004. This decrease was due to the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certain identifiable intangible assets during 2003 and 2004.</w:t>
      </w:r>
    </w:p>
    <w:p>
      <w:pPr>
        <w:spacing w:after="0" w:line="50" w:lineRule="exact"/>
        <w:rPr>
          <w:sz w:val="20"/>
          <w:szCs w:val="20"/>
          <w:color w:val="auto"/>
        </w:rPr>
      </w:pPr>
    </w:p>
    <w:p>
      <w:pPr>
        <w:ind w:right="8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Interest and other income increased from $380,000 in 2003 to $1.3 million in 2004. This increase was primarily a result of higher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balances in 2004 and higher interest rates during the year.</w:t>
      </w:r>
    </w:p>
    <w:p>
      <w:pPr>
        <w:spacing w:after="0" w:line="50"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Income tax expense changed from an expense of $282,000 in 2003 to a benefit of $16.9 million in 2004. The benefit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fourth quarter release of the valuation allowance on the deferred tax asset, related to our net operating loss carryforwards. We released the valuation allowance because we determined that it was more likely than not that we would realize the benefit of the deferred tax asset through future taxable earnings.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Quarterly Results of Operations</w:t>
      </w:r>
    </w:p>
    <w:p>
      <w:pPr>
        <w:spacing w:after="0" w:line="121" w:lineRule="exact"/>
        <w:rPr>
          <w:sz w:val="20"/>
          <w:szCs w:val="20"/>
          <w:color w:val="auto"/>
        </w:rPr>
      </w:pPr>
    </w:p>
    <w:p>
      <w:pPr>
        <w:ind w:right="600" w:firstLine="222"/>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consolidated results of operations on a quarterly basis for the indicated periods (in thousands, except per share amounts, and as a percentage of total 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6"/>
              </w:rPr>
              <w:t>Mar. 31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Jun. 30</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Sep. 30</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Dec. 31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6"/>
              </w:rPr>
              <w:t>Mar. 31</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Jun. 30</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Sep. 30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26,278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27,456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28,610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31,343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32,871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34,320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10,490</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19,421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20,853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17,465</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19,839</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(16,739)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3,203</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income per share —</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2005</w:t>
            </w:r>
          </w:p>
        </w:tc>
        <w:tc>
          <w:tcPr>
            <w:tcW w:w="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Mar. 31</w:t>
            </w:r>
          </w:p>
        </w:tc>
        <w:tc>
          <w:tcPr>
            <w:tcW w:w="480" w:type="dxa"/>
            <w:vAlign w:val="bottom"/>
          </w:tcPr>
          <w:p>
            <w:pPr>
              <w:spacing w:after="0"/>
              <w:rPr>
                <w:sz w:val="12"/>
                <w:szCs w:val="12"/>
                <w:color w:val="auto"/>
              </w:rPr>
            </w:pPr>
          </w:p>
        </w:tc>
        <w:tc>
          <w:tcPr>
            <w:tcW w:w="66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Jun. 30</w:t>
            </w:r>
          </w:p>
        </w:tc>
        <w:tc>
          <w:tcPr>
            <w:tcW w:w="460" w:type="dxa"/>
            <w:vAlign w:val="bottom"/>
          </w:tcPr>
          <w:p>
            <w:pPr>
              <w:spacing w:after="0"/>
              <w:rPr>
                <w:sz w:val="12"/>
                <w:szCs w:val="12"/>
                <w:color w:val="auto"/>
              </w:rPr>
            </w:pPr>
          </w:p>
        </w:tc>
        <w:tc>
          <w:tcPr>
            <w:tcW w:w="68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Sep. 30</w:t>
            </w:r>
          </w:p>
        </w:tc>
        <w:tc>
          <w:tcPr>
            <w:tcW w:w="460" w:type="dxa"/>
            <w:vAlign w:val="bottom"/>
          </w:tcPr>
          <w:p>
            <w:pPr>
              <w:spacing w:after="0"/>
              <w:rPr>
                <w:sz w:val="12"/>
                <w:szCs w:val="12"/>
                <w:color w:val="auto"/>
              </w:rPr>
            </w:pPr>
          </w:p>
        </w:tc>
        <w:tc>
          <w:tcPr>
            <w:tcW w:w="66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Dec. 31</w:t>
            </w:r>
          </w:p>
        </w:tc>
        <w:tc>
          <w:tcPr>
            <w:tcW w:w="500" w:type="dxa"/>
            <w:vAlign w:val="bottom"/>
          </w:tcPr>
          <w:p>
            <w:pPr>
              <w:spacing w:after="0"/>
              <w:rPr>
                <w:sz w:val="12"/>
                <w:szCs w:val="12"/>
                <w:color w:val="auto"/>
              </w:rPr>
            </w:pPr>
          </w:p>
        </w:tc>
        <w:tc>
          <w:tcPr>
            <w:tcW w:w="66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Mar. 31</w:t>
            </w:r>
          </w:p>
        </w:tc>
        <w:tc>
          <w:tcPr>
            <w:tcW w:w="480" w:type="dxa"/>
            <w:vAlign w:val="bottom"/>
          </w:tcPr>
          <w:p>
            <w:pPr>
              <w:spacing w:after="0"/>
              <w:rPr>
                <w:sz w:val="12"/>
                <w:szCs w:val="12"/>
                <w:color w:val="auto"/>
              </w:rPr>
            </w:pPr>
          </w:p>
        </w:tc>
        <w:tc>
          <w:tcPr>
            <w:tcW w:w="68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Jun. 30</w:t>
            </w:r>
          </w:p>
        </w:tc>
        <w:tc>
          <w:tcPr>
            <w:tcW w:w="480" w:type="dxa"/>
            <w:vAlign w:val="bottom"/>
          </w:tcPr>
          <w:p>
            <w:pPr>
              <w:spacing w:after="0"/>
              <w:rPr>
                <w:sz w:val="12"/>
                <w:szCs w:val="12"/>
                <w:color w:val="auto"/>
              </w:rPr>
            </w:pPr>
          </w:p>
        </w:tc>
        <w:tc>
          <w:tcPr>
            <w:tcW w:w="68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Sep. 30</w:t>
            </w:r>
          </w:p>
        </w:tc>
        <w:tc>
          <w:tcPr>
            <w:tcW w:w="480" w:type="dxa"/>
            <w:vAlign w:val="bottom"/>
          </w:tcPr>
          <w:p>
            <w:pPr>
              <w:spacing w:after="0"/>
              <w:rPr>
                <w:sz w:val="12"/>
                <w:szCs w:val="12"/>
                <w:color w:val="auto"/>
              </w:rPr>
            </w:pPr>
          </w:p>
        </w:tc>
        <w:tc>
          <w:tcPr>
            <w:tcW w:w="68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Dec. 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30.2</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32.2</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32.1</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31.6</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33.5</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33.0</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69.8</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67.8</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67.9</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68.4</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66.5</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67.0</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67.9</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65.1</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62.8</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61.1</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61.1</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63.3</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63.3</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65.1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0.9</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5.2</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(56.2)</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65.2%</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119" w:lineRule="exact"/>
        <w:rPr>
          <w:sz w:val="20"/>
          <w:szCs w:val="20"/>
          <w:color w:val="auto"/>
        </w:rPr>
      </w:pPr>
    </w:p>
    <w:p>
      <w:pPr>
        <w:ind w:right="160" w:firstLine="22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Peer Market Research, Inc. </w:t>
      </w:r>
      <w:r>
        <w:rPr>
          <w:rFonts w:ascii="Times New Roman" w:cs="Times New Roman" w:eastAsia="Times New Roman" w:hAnsi="Times New Roman"/>
          <w:sz w:val="18"/>
          <w:szCs w:val="18"/>
          <w:color w:val="auto"/>
        </w:rPr>
        <w:t>On May 4, 2004, we acquired all of the outstanding capital stock of PeerMark, an online provider of commercial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 Nashville and Memphis, Tennessee, for $623,000 in cash and 5,318 shares of our common stock, valued at approximately $207,000. In the second quarter of 2005, we paid the PeerMark shareholders approximately $255,000 in additional post-closing cash consideration, pursuant to the PeerMark acquisition agreement.</w:t>
      </w:r>
    </w:p>
    <w:p>
      <w:pPr>
        <w:spacing w:after="0" w:line="72" w:lineRule="exact"/>
        <w:rPr>
          <w:sz w:val="20"/>
          <w:szCs w:val="20"/>
          <w:color w:val="auto"/>
        </w:rPr>
      </w:pPr>
    </w:p>
    <w:p>
      <w:pPr>
        <w:ind w:right="16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Scottish Property Network </w:t>
      </w:r>
      <w:r>
        <w:rPr>
          <w:rFonts w:ascii="Times New Roman" w:cs="Times New Roman" w:eastAsia="Times New Roman" w:hAnsi="Times New Roman"/>
          <w:sz w:val="18"/>
          <w:szCs w:val="18"/>
          <w:color w:val="auto"/>
        </w:rPr>
        <w:t>On June 16, 2004, our U.K. subsidiary acquired SPN, a provider of online commercial property information in Scotland.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substantially all of the assets of the SPN business, together with all of the outstanding capital stock of SPN, for approximately $1.3 million in cash.</w:t>
      </w:r>
    </w:p>
    <w:p>
      <w:pPr>
        <w:spacing w:after="0" w:line="50" w:lineRule="exact"/>
        <w:rPr>
          <w:sz w:val="20"/>
          <w:szCs w:val="20"/>
          <w:color w:val="auto"/>
        </w:rPr>
      </w:pPr>
    </w:p>
    <w:p>
      <w:pPr>
        <w:ind w:right="28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RealComp, Inc. </w:t>
      </w:r>
      <w:r>
        <w:rPr>
          <w:rFonts w:ascii="Times New Roman" w:cs="Times New Roman" w:eastAsia="Times New Roman" w:hAnsi="Times New Roman"/>
          <w:sz w:val="18"/>
          <w:szCs w:val="18"/>
          <w:color w:val="auto"/>
        </w:rPr>
        <w:t>On September 17, 2004, we acquired substantially all of the assets of RealComp, Inc., a local comparable sales information provider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Denver, Colorado, for approximately $350,000 in cash.</w:t>
      </w:r>
    </w:p>
    <w:p>
      <w:pPr>
        <w:spacing w:after="0" w:line="50" w:lineRule="exact"/>
        <w:rPr>
          <w:sz w:val="20"/>
          <w:szCs w:val="20"/>
          <w:color w:val="auto"/>
        </w:rPr>
      </w:pPr>
    </w:p>
    <w:p>
      <w:pPr>
        <w:ind w:right="34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National Research Bureau. </w:t>
      </w:r>
      <w:r>
        <w:rPr>
          <w:rFonts w:ascii="Times New Roman" w:cs="Times New Roman" w:eastAsia="Times New Roman" w:hAnsi="Times New Roman"/>
          <w:sz w:val="18"/>
          <w:szCs w:val="18"/>
          <w:color w:val="auto"/>
        </w:rPr>
        <w:t>On January 20, 2005, the Company acquired the assets of NRB, a leading provider of property information to the shopping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industry, from Claritas Inc. for approximately $4.1 million in cash.</w:t>
      </w:r>
    </w:p>
    <w:p>
      <w:pPr>
        <w:spacing w:after="0" w:line="50" w:lineRule="exact"/>
        <w:rPr>
          <w:sz w:val="20"/>
          <w:szCs w:val="20"/>
          <w:color w:val="auto"/>
        </w:rPr>
      </w:pPr>
    </w:p>
    <w:p>
      <w:pPr>
        <w:ind w:right="100" w:firstLine="22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Treatment. </w:t>
      </w:r>
      <w:r>
        <w:rPr>
          <w:rFonts w:ascii="Times New Roman" w:cs="Times New Roman" w:eastAsia="Times New Roman" w:hAnsi="Times New Roman"/>
          <w:sz w:val="18"/>
          <w:szCs w:val="18"/>
          <w:color w:val="auto"/>
        </w:rPr>
        <w:t>All of the acquisitions discussed above have been accounted for using purchase accounting. The purchase price for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was allocated primarily to acquired database technology, customer base and goodwill. The acquired database technology for each acquisition is being amortized on a straight-line basis over 5 years. The customer base for each acquisition, which consists of one distinct intangible asset composed of acquired customer contracts and the related customer relationships, is being amortized on a 125% declining balance method over 10 years. Goodwill will not be amortized, but is subject to annual impairment tests. The results of operations of PeerMark, SPN, RealComp and NRB have been consolidated with our results since the respective dates of acquisition. The operating results of each of PeerMark, SPN RealComp, and NRB are not considered material to our consolidated financial statements, and accordingly, pro forma financial information has not been presented for any of the acquisitions.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80" w:firstLine="225"/>
        <w:spacing w:after="0" w:line="272" w:lineRule="auto"/>
        <w:rPr>
          <w:sz w:val="20"/>
          <w:szCs w:val="20"/>
          <w:color w:val="auto"/>
        </w:rPr>
      </w:pPr>
      <w:r>
        <w:rPr>
          <w:rFonts w:ascii="Times New Roman" w:cs="Times New Roman" w:eastAsia="Times New Roman" w:hAnsi="Times New Roman"/>
          <w:sz w:val="17"/>
          <w:szCs w:val="17"/>
          <w:color w:val="auto"/>
        </w:rPr>
        <w:t>Our principal sources of liquidity are cash, cash equivalents and short-term investments. Total cash, cash equivalents and short-term investments were $134.2 million at December 31, 2005 compared to $117.1 million at December 31, 2004. From December 31, 2004 to December 31, 2005, cash, cash equivalents and short-term investments increased $17.1 million, principally as a result of EBITDA of $19.1 million, interest income, and proceeds of</w:t>
      </w:r>
    </w:p>
    <w:p>
      <w:pPr>
        <w:spacing w:after="0" w:line="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$7.4 million from exercise of stock options, partially offset by purchases of property and equipment and other assets of approximately $8.4 million, cash used for the purchase of NRB, and changes in working capital accounts.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1" w:right="239" w:bottom="1440" w:gutter="0" w:footer="0" w:header="0"/>
        </w:sectPr>
      </w:pPr>
    </w:p>
    <w:bookmarkStart w:id="30" w:name="page31"/>
    <w:bookmarkEnd w:id="30"/>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2005 was $22.9 million compared to $24.7 million for the year ended December 31, 2004. The $1.8 million decrease in net cash provided by operating activities is primarily due to changes in working capital accounts partially offset by an increase in income before income taxes as a result of revenue growth, resulting growth in gross margin and income from operations and interest income..</w:t>
      </w:r>
    </w:p>
    <w:p>
      <w:pPr>
        <w:spacing w:after="0" w:line="72" w:lineRule="exact"/>
        <w:rPr>
          <w:sz w:val="20"/>
          <w:szCs w:val="20"/>
          <w:color w:val="auto"/>
        </w:rPr>
      </w:pPr>
    </w:p>
    <w:p>
      <w:pPr>
        <w:ind w:right="100" w:firstLine="22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$38.7 million for the year ended December 31, 2005 compared to $29.9 million for the year ended December 31, 2004. This $8.8 million increase in net cash used in investing activities was principally due to the increase in net purchases and sales of short-term investments and increased cash used in acquisitions offset by decreased purchases of property and equipment and other assets.</w:t>
      </w:r>
    </w:p>
    <w:p>
      <w:pPr>
        <w:spacing w:after="0" w:line="68" w:lineRule="exact"/>
        <w:rPr>
          <w:sz w:val="20"/>
          <w:szCs w:val="20"/>
          <w:color w:val="auto"/>
        </w:rPr>
      </w:pPr>
    </w:p>
    <w:p>
      <w:pPr>
        <w:ind w:right="480" w:firstLine="225"/>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$7.4 million for the year ended December 31, 2005 compared to $6.3 million for the year ended December 31, 2004. The higher net cash produced by financing activities in 2005 over 2004 is due to an increase in proceeds from the exercise of stock options.</w:t>
      </w:r>
    </w:p>
    <w:p>
      <w:pPr>
        <w:spacing w:after="0" w:line="66" w:lineRule="exact"/>
        <w:rPr>
          <w:sz w:val="20"/>
          <w:szCs w:val="20"/>
          <w:color w:val="auto"/>
        </w:rPr>
      </w:pPr>
    </w:p>
    <w:p>
      <w:pPr>
        <w:ind w:right="200" w:firstLine="225"/>
        <w:spacing w:after="0" w:line="284" w:lineRule="auto"/>
        <w:rPr>
          <w:sz w:val="20"/>
          <w:szCs w:val="20"/>
          <w:color w:val="auto"/>
        </w:rPr>
      </w:pPr>
      <w:r>
        <w:rPr>
          <w:rFonts w:ascii="Times New Roman" w:cs="Times New Roman" w:eastAsia="Times New Roman" w:hAnsi="Times New Roman"/>
          <w:sz w:val="18"/>
          <w:szCs w:val="18"/>
          <w:i w:val="1"/>
          <w:iCs w:val="1"/>
          <w:color w:val="auto"/>
        </w:rPr>
        <w:t>Contractual Obligations</w:t>
      </w:r>
      <w:r>
        <w:rPr>
          <w:rFonts w:ascii="Times New Roman" w:cs="Times New Roman" w:eastAsia="Times New Roman" w:hAnsi="Times New Roman"/>
          <w:sz w:val="18"/>
          <w:szCs w:val="18"/>
          <w:color w:val="auto"/>
        </w:rPr>
        <w:t>. The following table summarizes our principal contractual obligations at December 31, 2005 and the effect such obligations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have on our liquidity and cash flows in future periods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13"/>
                <w:szCs w:val="13"/>
                <w:color w:val="auto"/>
              </w:rPr>
            </w:pPr>
          </w:p>
        </w:tc>
        <w:tc>
          <w:tcPr>
            <w:tcW w:w="340" w:type="dxa"/>
            <w:vAlign w:val="bottom"/>
            <w:vMerge w:val="restart"/>
          </w:tcPr>
          <w:p>
            <w:pPr>
              <w:spacing w:after="0"/>
              <w:rPr>
                <w:sz w:val="13"/>
                <w:szCs w:val="13"/>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2007-2008</w:t>
            </w:r>
          </w:p>
        </w:tc>
        <w:tc>
          <w:tcPr>
            <w:tcW w:w="660" w:type="dxa"/>
            <w:vAlign w:val="bottom"/>
          </w:tcPr>
          <w:p>
            <w:pPr>
              <w:spacing w:after="0"/>
              <w:rPr>
                <w:sz w:val="13"/>
                <w:szCs w:val="13"/>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2009-2010</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2011 and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28,467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7,217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12,060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6,681</w:t>
            </w:r>
          </w:p>
        </w:tc>
        <w:tc>
          <w:tcPr>
            <w:tcW w:w="5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15"/>
                <w:szCs w:val="15"/>
                <w:color w:val="auto"/>
              </w:rPr>
              <w:t>(1)</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5,250</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5,180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principal cash obligations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33,717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12,397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12,123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6,688</w:t>
            </w:r>
          </w:p>
        </w:tc>
        <w:tc>
          <w:tcPr>
            <w:tcW w:w="5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18"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do not include current purchase obligations that may be renewed on the same or different terms or terminated by us or a third party.</w:t>
      </w:r>
    </w:p>
    <w:p>
      <w:pPr>
        <w:spacing w:after="0" w:line="117"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On February 23, 2005, the Company entered into an operating lease agreement, pursuant to which the Company has agreed to lease approximately 33,371 square feet of office space located in Columbia, Maryland. The lease has an initial term of 99 months and an initial base rent of $22.75 per rentable square foot per year. Additionally, the Company has a conditional option both to terminate the lease approximately five years after commencement of the initial term, and to renew the lease for an additional five year period after expiration of the initial term.</w:t>
      </w:r>
    </w:p>
    <w:p>
      <w:pPr>
        <w:spacing w:after="0" w:line="72" w:lineRule="exact"/>
        <w:rPr>
          <w:sz w:val="20"/>
          <w:szCs w:val="20"/>
          <w:color w:val="auto"/>
        </w:rPr>
      </w:pPr>
    </w:p>
    <w:p>
      <w:pPr>
        <w:ind w:right="260" w:firstLine="225"/>
        <w:spacing w:after="0" w:line="258" w:lineRule="auto"/>
        <w:rPr>
          <w:sz w:val="20"/>
          <w:szCs w:val="20"/>
          <w:color w:val="auto"/>
        </w:rPr>
      </w:pPr>
      <w:r>
        <w:rPr>
          <w:rFonts w:ascii="Times New Roman" w:cs="Times New Roman" w:eastAsia="Times New Roman" w:hAnsi="Times New Roman"/>
          <w:sz w:val="18"/>
          <w:szCs w:val="18"/>
          <w:color w:val="auto"/>
        </w:rPr>
        <w:t>During 2005, we incurred capital expenditures of approximately $8.4 million, including expenditures of approximately $4.8 million related to building photography costs and the purchase of field research vehicles and equipment in connection with our 21-market expansion, and the remaining $3.6 million related to costs of supporting our existing operations. We expect to make capital expenditures in 2006 totaling approximately $12.0 to $15.0 million in connection with investments in assets required to support our existing operations and our geographic and retail expansion, including building photography, initial databases and communications, and measuring, photographic and computer equipment.</w:t>
      </w:r>
    </w:p>
    <w:p>
      <w:pPr>
        <w:spacing w:after="0" w:line="76" w:lineRule="exact"/>
        <w:rPr>
          <w:sz w:val="20"/>
          <w:szCs w:val="20"/>
          <w:color w:val="auto"/>
        </w:rPr>
      </w:pPr>
    </w:p>
    <w:p>
      <w:pPr>
        <w:ind w:right="200" w:firstLine="222"/>
        <w:spacing w:after="0" w:line="282" w:lineRule="auto"/>
        <w:rPr>
          <w:sz w:val="20"/>
          <w:szCs w:val="20"/>
          <w:color w:val="auto"/>
        </w:rPr>
      </w:pPr>
      <w:r>
        <w:rPr>
          <w:rFonts w:ascii="Times New Roman" w:cs="Times New Roman" w:eastAsia="Times New Roman" w:hAnsi="Times New Roman"/>
          <w:sz w:val="18"/>
          <w:szCs w:val="18"/>
          <w:color w:val="auto"/>
        </w:rPr>
        <w:t>To date, we have grown in part by acquiring other companies and we may continue to make acquisitions. Our acquisitions may vary in size and could be material to our current operations. We expect to use cash, stock, debt or other means of funding to make these acquisitions.</w:t>
      </w:r>
    </w:p>
    <w:p>
      <w:pPr>
        <w:spacing w:after="0" w:line="54"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Based on current plans, we believe that our available cash combined with positive cash flow provided by operating activities should be sufficient to fund our operations for at least the next 12 months.</w:t>
      </w:r>
    </w:p>
    <w:p>
      <w:pPr>
        <w:spacing w:after="0" w:line="54" w:lineRule="exact"/>
        <w:rPr>
          <w:sz w:val="20"/>
          <w:szCs w:val="20"/>
          <w:color w:val="auto"/>
        </w:rPr>
      </w:pPr>
    </w:p>
    <w:p>
      <w:pPr>
        <w:ind w:right="100" w:firstLine="215"/>
        <w:spacing w:after="0" w:line="256" w:lineRule="auto"/>
        <w:rPr>
          <w:sz w:val="20"/>
          <w:szCs w:val="20"/>
          <w:color w:val="auto"/>
        </w:rPr>
      </w:pPr>
      <w:r>
        <w:rPr>
          <w:rFonts w:ascii="Times New Roman" w:cs="Times New Roman" w:eastAsia="Times New Roman" w:hAnsi="Times New Roman"/>
          <w:sz w:val="18"/>
          <w:szCs w:val="18"/>
          <w:color w:val="auto"/>
        </w:rPr>
        <w:t>As of the fourth quarter of 2004, we determined that it was more likely than not that we would generate taxable income from operations and be able to realize tax benefits arising from use of our net operating loss carryforwards to reduce the income tax we will owe on this taxable income. Prior to the fourth quarter of 2004, we recorded a valuation allowance on the deferred tax assets associated with these future tax benefits because we were not certain we would generate taxable income in the future. The release of the valuation allowance in the fourth quarter resulted in a tax benefit of approximately $26.2 million. This included an income tax benefit of approximately $16.7 million that was recognized in our results from operations. We also recognized a tax benefit of approximately $9.5 million as additional paid-in capital for our net operating loss carryforwards attributable to</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1" w:name="page32"/>
    <w:bookmarkEnd w:id="31"/>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tax deductions for stock options. As of December 31, 2005, we continued to maintain a valuation allowance of approximately $687,000 for certain state net operating loss carryforwards. At December 31, 2005, the Company has net operating loss carryforwards for federal income tax purposes of approximately, $63.0 million, which expire, if unused, from the year 2013 through the year 2023.</w:t>
      </w:r>
    </w:p>
    <w:p>
      <w:pPr>
        <w:spacing w:after="0" w:line="68" w:lineRule="exact"/>
        <w:rPr>
          <w:sz w:val="20"/>
          <w:szCs w:val="20"/>
          <w:color w:val="auto"/>
        </w:rPr>
      </w:pPr>
    </w:p>
    <w:p>
      <w:pPr>
        <w:ind w:right="240" w:firstLine="225"/>
        <w:spacing w:after="0" w:line="266" w:lineRule="auto"/>
        <w:rPr>
          <w:sz w:val="20"/>
          <w:szCs w:val="20"/>
          <w:color w:val="auto"/>
        </w:rPr>
      </w:pPr>
      <w:r>
        <w:rPr>
          <w:rFonts w:ascii="Times New Roman" w:cs="Times New Roman" w:eastAsia="Times New Roman" w:hAnsi="Times New Roman"/>
          <w:sz w:val="18"/>
          <w:szCs w:val="18"/>
          <w:color w:val="auto"/>
        </w:rPr>
        <w:t>For the foreseeable future, we expect to record income tax expense on our results from operations at an effective rate of approximately 42.5% to 43.5%. For the next several years, however, we expect the majority of our taxable income to be absorbed by our net operating loss carryforwards. As a result, we expect our cash payments for taxes to be limited primarily to federal alternative minimum taxes and to state income taxes in certain states.</w:t>
      </w:r>
    </w:p>
    <w:p>
      <w:pPr>
        <w:spacing w:after="0" w:line="68" w:lineRule="exact"/>
        <w:rPr>
          <w:sz w:val="20"/>
          <w:szCs w:val="20"/>
          <w:color w:val="auto"/>
        </w:rPr>
      </w:pPr>
    </w:p>
    <w:p>
      <w:pPr>
        <w:jc w:val="both"/>
        <w:ind w:right="180" w:firstLine="225"/>
        <w:spacing w:after="0" w:line="266" w:lineRule="auto"/>
        <w:rPr>
          <w:sz w:val="20"/>
          <w:szCs w:val="20"/>
          <w:color w:val="auto"/>
        </w:rPr>
      </w:pPr>
      <w:r>
        <w:rPr>
          <w:rFonts w:ascii="Times New Roman" w:cs="Times New Roman" w:eastAsia="Times New Roman" w:hAnsi="Times New Roman"/>
          <w:sz w:val="18"/>
          <w:szCs w:val="18"/>
          <w:color w:val="auto"/>
        </w:rPr>
        <w:t>Inflation may affect the way we operate in the U.S and the U.K. In general, we believe that over time we are able to increase the prices of our services to counteract the majority of the inflationary effects of increasing costs. We do not believe the impact of inflation has significantly affected our operations, and we do not anticipate that inflation will have a material impact on our operations in 2006.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222"/>
        <w:spacing w:after="0" w:line="252" w:lineRule="auto"/>
        <w:rPr>
          <w:sz w:val="20"/>
          <w:szCs w:val="20"/>
          <w:color w:val="auto"/>
        </w:rPr>
      </w:pPr>
      <w:r>
        <w:rPr>
          <w:rFonts w:ascii="Times New Roman" w:cs="Times New Roman" w:eastAsia="Times New Roman" w:hAnsi="Times New Roman"/>
          <w:sz w:val="18"/>
          <w:szCs w:val="18"/>
          <w:color w:val="auto"/>
        </w:rPr>
        <w:t>We initially adopted the Emerging Issues Task Force (“EITF”) consensus on Issue No. 03-1, “The Meaning of Other-Than-Temporary Impairment and Its Application to Certain Investments” on July 1, 2004, and the Financial Accounting Standards Board Staff Position (“FSP”) EITF Issue No. 03-1-1, Effective Date of Paragraphs 10-20 of EITF Issue No. 03-1, “The Meaning of Other-Than-Temporary Impairment and Its Application to Certain Investments” on September 30, 2004. The consensus on Issue No. 03-1 applies to investments in marketable debt and equity securities, as well as investments in equity securities accounted for under the cost method. It provides guidance for determining when an investment is considered impaired, whether the impairment is other than temporary, and the measurement of an impairment loss. The guidance also includes accounting considerations subsequent to the recognition of an other-than-temporary impairment and requires certain disclosures about unrealized losses that have not been recognized as other-than-temporary impairments. FSP EITF Issue No. 03-1-1 delays the effective date of paragraphs 10-20 of EITF Issue No. 03-1, which provide guidance for determining whether the impairment is other than temporary, the measurement of an impairment loss, and accounting considerations subsequent to the recognition of an other-than-temporary impairment. Application of these paragraphs is deferred pending issuance of proposed FSP EITF Issue No. 03-1-a. The adoption of EITF Issue No. 03-1 and FSP EITF Issue No. 03-1-1 did not have a material impact on our financial position or results of operations. On November 3, 2005 the FASB issued FSP EITF Issue No. 03-1-a (renamed as FSP FAS 115-1 and FAS 124-1, “The Meaning of Other-Than-Temporary Impairment and Its Application to Certain Investments”), which provides guidance effective for fiscal periods beginning after December 15, 2005. The Company is currently evaluating the effect that the adoption of FAS 115-1 will have on its consolidated results of operations and financial condition but does not expect it to have a material impact.</w:t>
      </w:r>
    </w:p>
    <w:p>
      <w:pPr>
        <w:spacing w:after="0" w:line="89" w:lineRule="exact"/>
        <w:rPr>
          <w:sz w:val="20"/>
          <w:szCs w:val="20"/>
          <w:color w:val="auto"/>
        </w:rPr>
      </w:pPr>
    </w:p>
    <w:p>
      <w:pPr>
        <w:ind w:firstLine="225"/>
        <w:spacing w:after="0" w:line="273" w:lineRule="auto"/>
        <w:rPr>
          <w:sz w:val="20"/>
          <w:szCs w:val="20"/>
          <w:color w:val="auto"/>
        </w:rPr>
      </w:pPr>
      <w:r>
        <w:rPr>
          <w:rFonts w:ascii="Times New Roman" w:cs="Times New Roman" w:eastAsia="Times New Roman" w:hAnsi="Times New Roman"/>
          <w:sz w:val="17"/>
          <w:szCs w:val="17"/>
          <w:color w:val="auto"/>
        </w:rPr>
        <w:t>In December 2004, the Financial Accounting Standards Board (“FASB”) FASB issued SFAS No. 153, “Exchanges of Nonmonetary Assets—An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the Company is required to adopt it beginning January 1, 2006. The Company is currently evaluating the effect that the adoption of SFAS 153 will have on its consolidated results of operations and financial condition but does not expect it to have a material impact.</w:t>
      </w:r>
    </w:p>
    <w:p>
      <w:pPr>
        <w:spacing w:after="0" w:line="64" w:lineRule="exact"/>
        <w:rPr>
          <w:sz w:val="20"/>
          <w:szCs w:val="20"/>
          <w:color w:val="auto"/>
        </w:rPr>
      </w:pPr>
    </w:p>
    <w:p>
      <w:pPr>
        <w:ind w:right="100" w:firstLine="225"/>
        <w:spacing w:after="0" w:line="256" w:lineRule="auto"/>
        <w:rPr>
          <w:sz w:val="20"/>
          <w:szCs w:val="20"/>
          <w:color w:val="auto"/>
        </w:rPr>
      </w:pPr>
      <w:r>
        <w:rPr>
          <w:rFonts w:ascii="Times New Roman" w:cs="Times New Roman" w:eastAsia="Times New Roman" w:hAnsi="Times New Roman"/>
          <w:sz w:val="18"/>
          <w:szCs w:val="18"/>
          <w:color w:val="auto"/>
        </w:rPr>
        <w:t>In May 2005, the FASB issued SFAS No. 154, “Accounting Changes and Error Corrections—a replacement of APB Opinion No. 20 and FASB Statement No. 3” (“SFAS 154”). SFAS 154 replaces APB Opinion No. 20, “Accounting Changes” and SFAS No. 3, “Reporting Accounting Changes in Interim Financial Statements,” and changes the requirements for accounting for and reporting a change in accounting principle. SFAS 154 requires restatement of prior period financial statements, unless impracticable, for voluntary changes in accounting principle. The retroactive application of a change in accounting principle should be limited to the direct effect of the change. Changes in depreciation, amortization or depletion methods should be accounted for prospectively as a change in accounting estimate. Corrections of accounting errors will be accounted for under the guidance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2" w:name="page33"/>
    <w:bookmarkEnd w:id="32"/>
    <w:p>
      <w:pPr>
        <w:ind w:right="500"/>
        <w:spacing w:after="0" w:line="282" w:lineRule="auto"/>
        <w:rPr>
          <w:sz w:val="20"/>
          <w:szCs w:val="20"/>
          <w:color w:val="auto"/>
        </w:rPr>
      </w:pPr>
      <w:r>
        <w:rPr>
          <w:rFonts w:ascii="Times New Roman" w:cs="Times New Roman" w:eastAsia="Times New Roman" w:hAnsi="Times New Roman"/>
          <w:sz w:val="18"/>
          <w:szCs w:val="18"/>
          <w:color w:val="auto"/>
        </w:rPr>
        <w:t>contained in APB Opinion No. 20. The effective date of this new pronouncement is for fiscal years beginning after December 15, 2005 and prospective application is required. We do not expect the adoption of SFAS 154 to have a material impact on our consolidated financial statements.</w:t>
      </w:r>
    </w:p>
    <w:p>
      <w:pPr>
        <w:spacing w:after="0" w:line="54"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In March 2005, the FASB issued FIN No. 47, “Accounting for Conditional Asset Retirement Obligations — an interpretation of FASB Statement No. 143 “Accounting for Asset Retirement Obligations (“SFAS No. 143”)” (“FIN 47”). FIN 47 clarifies that the term conditional asset retirement obligation as used in FASB Statement No. 143, refers to a legal obligation to perform an asset retirement activity in which the timing and (or) method of settlement are conditional on a future event that may or may not be within the control of the entity. Accordingly, an entity is required to recognize a liability for the fair value of a conditional asset retirement obligation if the fair value of the liability can be reasonably estimated. Any uncertainty about the amount and/or timing of future settlement should be factored into the measurement of the liability when sufficient information exists. The liability for the conditional asset retirement obligation should be recognized when incurred. FIN 47 also clarifies when an entity would have sufficient information to reasonably estimate the fair value of an asset retirement obligation. FIN 47 is effective for fiscal periods beginning after December 15, 2005. The Company does not expect the adoption of FIN 47 to have a material impact on our consolidated financial statements.</w:t>
      </w:r>
    </w:p>
    <w:p>
      <w:pPr>
        <w:spacing w:after="0" w:line="81" w:lineRule="exact"/>
        <w:rPr>
          <w:sz w:val="20"/>
          <w:szCs w:val="20"/>
          <w:color w:val="auto"/>
        </w:rPr>
      </w:pPr>
    </w:p>
    <w:p>
      <w:pPr>
        <w:ind w:right="20" w:firstLine="225"/>
        <w:spacing w:after="0" w:line="254" w:lineRule="auto"/>
        <w:rPr>
          <w:sz w:val="20"/>
          <w:szCs w:val="20"/>
          <w:color w:val="auto"/>
        </w:rPr>
      </w:pPr>
      <w:r>
        <w:rPr>
          <w:rFonts w:ascii="Times New Roman" w:cs="Times New Roman" w:eastAsia="Times New Roman" w:hAnsi="Times New Roman"/>
          <w:sz w:val="18"/>
          <w:szCs w:val="18"/>
          <w:color w:val="auto"/>
        </w:rPr>
        <w:t>In December 2004, the Financial Accounting Standards Board issued Statement of Financial Accounting Standard No. 123 (Revised 2004), “Share-Based Payment” (“SFAS 123R”). Under previous practice, the reporting entity could account for share-based payment under the provisions of APB 25 and disclose pro forma share-based compensation as accounted for under the provisions of SFAS 123. Under the provisions of SFAS 123R, a public entity is required to measure the cost of employee services received in exchange for an award of equity instruments based on the grant-date fair value of the award. That cost is recognized over the period during which an employee is required to provide service in exchange for the award. SFAS 123R became effective in January 2006. As such, we expect to adopt its provisions for the fiscal quarter beginning after December 31, 2005. Application of this pronouncement requires management to make significant judgments regarding the variables in an option pricing model, including stock price volatility and employee exercise behavior. Most of these variables are either highly dependent on the current economic environment at the date of grant or forward-looking over the expected term of the award. The Company is continuing to assess the impact of the adoption of SFAS 123R, but currently expects to incur $3.0 to $4.0 million in charges for stock option compensation expense in 2006.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60" w:firstLine="222"/>
        <w:spacing w:after="0" w:line="256" w:lineRule="auto"/>
        <w:rPr>
          <w:sz w:val="20"/>
          <w:szCs w:val="20"/>
          <w:color w:val="auto"/>
        </w:rPr>
      </w:pPr>
      <w:r>
        <w:rPr>
          <w:rFonts w:ascii="Times New Roman" w:cs="Times New Roman" w:eastAsia="Times New Roman" w:hAnsi="Times New Roman"/>
          <w:sz w:val="18"/>
          <w:szCs w:val="18"/>
          <w:color w:val="auto"/>
        </w:rPr>
        <w:t>We provide information services to the commercial real estate and related business community in the United States and the United Kingdom. Our functional currency for our operations in the United Kingdom is the local currency. As such, fluctuations in the British Pound may have an impact on our business, results of operations and financial condition. We currently do not use financial instruments to hedge our exposure to exchange rate fluctuations with respect to our foreign subsidiaries. We may seek to enter hedging transactions in the future to reduce our exposure to exchange rate fluctuations, but we may be unable to enter into hedging transactions successfully, on acceptable terms or at all. As of December 31, 2005, accumulated other comprehensive income (loss) included a gain from foreign currency translation adjustments of approximately $1.7 million.</w:t>
      </w:r>
    </w:p>
    <w:p>
      <w:pPr>
        <w:spacing w:after="0" w:line="80" w:lineRule="exact"/>
        <w:rPr>
          <w:sz w:val="20"/>
          <w:szCs w:val="20"/>
          <w:color w:val="auto"/>
        </w:rPr>
      </w:pPr>
    </w:p>
    <w:p>
      <w:pPr>
        <w:ind w:right="300" w:firstLine="222"/>
        <w:spacing w:after="0" w:line="282" w:lineRule="auto"/>
        <w:rPr>
          <w:sz w:val="20"/>
          <w:szCs w:val="20"/>
          <w:color w:val="auto"/>
        </w:rPr>
      </w:pPr>
      <w:r>
        <w:rPr>
          <w:rFonts w:ascii="Times New Roman" w:cs="Times New Roman" w:eastAsia="Times New Roman" w:hAnsi="Times New Roman"/>
          <w:sz w:val="18"/>
          <w:szCs w:val="18"/>
          <w:color w:val="auto"/>
        </w:rPr>
        <w:t>We do not have material exposure to market risks associated with changes in interest rates related to cash equivalent securities held as of December 31, 2005.</w:t>
      </w:r>
    </w:p>
    <w:p>
      <w:pPr>
        <w:spacing w:after="0" w:line="54" w:lineRule="exact"/>
        <w:rPr>
          <w:sz w:val="20"/>
          <w:szCs w:val="20"/>
          <w:color w:val="auto"/>
        </w:rPr>
      </w:pPr>
    </w:p>
    <w:p>
      <w:pPr>
        <w:ind w:right="40" w:firstLine="222"/>
        <w:spacing w:after="0" w:line="258" w:lineRule="auto"/>
        <w:rPr>
          <w:sz w:val="20"/>
          <w:szCs w:val="20"/>
          <w:color w:val="auto"/>
        </w:rPr>
      </w:pPr>
      <w:r>
        <w:rPr>
          <w:rFonts w:ascii="Times New Roman" w:cs="Times New Roman" w:eastAsia="Times New Roman" w:hAnsi="Times New Roman"/>
          <w:sz w:val="18"/>
          <w:szCs w:val="18"/>
          <w:color w:val="auto"/>
        </w:rPr>
        <w:t>We have a substantial amount of intangible assets. Although, as of December 31, 2005, we believe our intangible assets will be recoverable, changes in the economy, the business in which we operate and our own relative performance could change the assumptions used to evaluate intangible asset recoverability. In the event that we determine that an asset has been impaired, we would recognize an impairment charge for the excess amount by which the carrying amount of the assets exceeds the fair value of the asset. We continue to monitor these assumptions and their effect on the estimated recoverability of our intangible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300" w:firstLine="225"/>
        <w:spacing w:after="0" w:line="313" w:lineRule="auto"/>
        <w:rPr>
          <w:sz w:val="20"/>
          <w:szCs w:val="20"/>
          <w:color w:val="auto"/>
        </w:rPr>
      </w:pPr>
      <w:r>
        <w:rPr>
          <w:rFonts w:ascii="Times New Roman" w:cs="Times New Roman" w:eastAsia="Times New Roman" w:hAnsi="Times New Roman"/>
          <w:sz w:val="17"/>
          <w:szCs w:val="17"/>
          <w:color w:val="auto"/>
        </w:rPr>
        <w:t>Financial Statements meeting the requirements of Regulation S-X are set forth beginning at page F-1. Supplementary data is set forth in Management’s Discussion and Analysis of Financial Condition and Results of Operations under the caption “Consolidated Quarterly Results of Operations.”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ind w:firstLine="222"/>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0" w:lineRule="exact"/>
        <w:rPr>
          <w:sz w:val="20"/>
          <w:szCs w:val="20"/>
          <w:color w:val="auto"/>
        </w:rPr>
      </w:pPr>
    </w:p>
    <w:p>
      <w:pPr>
        <w:ind w:right="180" w:firstLine="215"/>
        <w:spacing w:after="0" w:line="261" w:lineRule="auto"/>
        <w:rPr>
          <w:sz w:val="20"/>
          <w:szCs w:val="20"/>
          <w:color w:val="auto"/>
        </w:rPr>
      </w:pPr>
      <w:r>
        <w:rPr>
          <w:rFonts w:ascii="Times New Roman" w:cs="Times New Roman" w:eastAsia="Times New Roman" w:hAnsi="Times New Roman"/>
          <w:sz w:val="18"/>
          <w:szCs w:val="18"/>
          <w:color w:val="auto"/>
        </w:rPr>
        <w:t>As of December 31, 2005,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and were operating at the reasonable assurance level.</w:t>
      </w:r>
    </w:p>
    <w:p>
      <w:pPr>
        <w:spacing w:after="0" w:line="72" w:lineRule="exact"/>
        <w:rPr>
          <w:sz w:val="20"/>
          <w:szCs w:val="20"/>
          <w:color w:val="auto"/>
        </w:rPr>
      </w:pPr>
    </w:p>
    <w:p>
      <w:pPr>
        <w:ind w:right="520" w:firstLine="222"/>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Management of CoStar is responsible for establishing and maintaining adequate internal control over financial reporting and for the assessment of the effectiveness of internal control over financial reporting. As defined by the Securities and Exchange Commission, internal control over financial reporting is a process designed by, or supervised by, the Company’s principal executive and principal financial officers, to provide reasonable assurance regarding the reliability of financial reporting and the preparation of financial statements in accordance with generally accepted accounting principles.</w:t>
      </w:r>
    </w:p>
    <w:p>
      <w:pPr>
        <w:spacing w:after="0" w:line="72" w:lineRule="exact"/>
        <w:rPr>
          <w:sz w:val="20"/>
          <w:szCs w:val="20"/>
          <w:color w:val="auto"/>
        </w:rPr>
      </w:pPr>
    </w:p>
    <w:p>
      <w:pPr>
        <w:ind w:right="20" w:firstLine="222"/>
        <w:spacing w:after="0" w:line="256" w:lineRule="auto"/>
        <w:rPr>
          <w:sz w:val="20"/>
          <w:szCs w:val="20"/>
          <w:color w:val="auto"/>
        </w:rPr>
      </w:pPr>
      <w:r>
        <w:rPr>
          <w:rFonts w:ascii="Times New Roman" w:cs="Times New Roman" w:eastAsia="Times New Roman" w:hAnsi="Times New Roman"/>
          <w:sz w:val="18"/>
          <w:szCs w:val="18"/>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ind w:right="100" w:firstLine="22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60" w:firstLine="225"/>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the Company’s annual financial statements, management of the Company has undertaken an assessment of the effectiveness of the Company’s internal control over financial reporting as of December 31, 2005 based on criteria established in Internal Control — Integrated Framework issued by the Committee of Sponsoring Organizations of the Treadway Commission (“the COSO Framework”). Management’s assessment included an evaluation of the design of the Company’s internal control over financial reporting and testing of the operational effectiveness of the Company’s internal control over financial reporting.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4" w:name="page35"/>
    <w:bookmarkEnd w:id="34"/>
    <w:p>
      <w:pPr>
        <w:jc w:val="both"/>
        <w:ind w:right="40" w:firstLine="225"/>
        <w:spacing w:after="0" w:line="282" w:lineRule="auto"/>
        <w:rPr>
          <w:sz w:val="20"/>
          <w:szCs w:val="20"/>
          <w:color w:val="auto"/>
        </w:rPr>
      </w:pPr>
      <w:r>
        <w:rPr>
          <w:rFonts w:ascii="Times New Roman" w:cs="Times New Roman" w:eastAsia="Times New Roman" w:hAnsi="Times New Roman"/>
          <w:sz w:val="18"/>
          <w:szCs w:val="18"/>
          <w:color w:val="auto"/>
        </w:rPr>
        <w:t>Based on this assessment, management did not identify any material weakness in the Company’s internal control, and management has concluded that the Company’s internal control over financial reporting was effective as of December 31, 2005.</w:t>
      </w:r>
    </w:p>
    <w:p>
      <w:pPr>
        <w:spacing w:after="0" w:line="54" w:lineRule="exact"/>
        <w:rPr>
          <w:sz w:val="20"/>
          <w:szCs w:val="20"/>
          <w:color w:val="auto"/>
        </w:rPr>
      </w:pPr>
    </w:p>
    <w:p>
      <w:pPr>
        <w:jc w:val="both"/>
        <w:ind w:right="20" w:firstLine="225"/>
        <w:spacing w:after="0" w:line="266"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Company’s financial statements included in this report, has issued an attestation report on management’s assessment of internal control over financial reporting, a copy of which is included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and Executive Officers of the Registrant</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2006 annual meeting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2006 annual meeting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2006 annual meeting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2006 annual meeting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2006 annual meeting of stockholders.</w:t>
      </w: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(a)(1) The following financial statements are filed as a part of this report: CoStar Group, Inc. Consolidated Financial Statements.</w:t>
      </w:r>
    </w:p>
    <w:p>
      <w:pPr>
        <w:spacing w:after="0" w:line="117" w:lineRule="exact"/>
        <w:rPr>
          <w:sz w:val="20"/>
          <w:szCs w:val="20"/>
          <w:color w:val="auto"/>
        </w:rPr>
      </w:pPr>
    </w:p>
    <w:p>
      <w:pPr>
        <w:ind w:right="60" w:firstLine="225"/>
        <w:spacing w:after="0" w:line="282" w:lineRule="auto"/>
        <w:rPr>
          <w:sz w:val="20"/>
          <w:szCs w:val="20"/>
          <w:color w:val="auto"/>
        </w:rPr>
      </w:pPr>
      <w:r>
        <w:rPr>
          <w:rFonts w:ascii="Times New Roman" w:cs="Times New Roman" w:eastAsia="Times New Roman" w:hAnsi="Times New Roman"/>
          <w:sz w:val="18"/>
          <w:szCs w:val="18"/>
          <w:color w:val="auto"/>
        </w:rPr>
        <w:t>(a)(2) All schedules are omitted because they are not applicable or not required or because the required information is incorporated herein by reference or included in the financial statements or related notes included elsewhere in this report.</w:t>
      </w:r>
    </w:p>
    <w:p>
      <w:pPr>
        <w:spacing w:after="0" w:line="54"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(a)(3) The documents required to be filed as exhibits to this Report under Item 601 of Regulation S-K are listed in the Exhibit Index included elsewhere in this report, which list is incorporated herein by reference.</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6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of the Securities Act of 1934, as amended, the Registrant has duly caused this report to be signed on its behalf by the undersigned, thereunto duly authorized, in the City of Bethesda, State of Maryland, on the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March 2006.</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COSTAR GROUP, INC.</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Andrew C. Florance</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Andrew C. Florance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15" w:lineRule="exact"/>
        <w:rPr>
          <w:sz w:val="20"/>
          <w:szCs w:val="20"/>
          <w:color w:val="auto"/>
        </w:rPr>
      </w:pPr>
    </w:p>
    <w:p>
      <w:pPr>
        <w:ind w:right="180" w:firstLine="225"/>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Andrew C. Florance and Frank A. Carchedi, and each of them individually, as their true and lawful attorneys-in-fact and agents, with full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herein by ratifying and confirming all that said attorneys-in-fact and agents or any of them, or his or their substitute or substitutes, may lawfully do or cause to be done by virtue hereof.</w:t>
      </w:r>
    </w:p>
    <w:p>
      <w:pPr>
        <w:spacing w:after="0" w:line="81" w:lineRule="exact"/>
        <w:rPr>
          <w:sz w:val="20"/>
          <w:szCs w:val="20"/>
          <w:color w:val="auto"/>
        </w:rPr>
      </w:pPr>
    </w:p>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40" w:type="dxa"/>
            <w:vAlign w:val="bottom"/>
          </w:tcPr>
          <w:p>
            <w:pPr>
              <w:spacing w:after="0"/>
              <w:rPr>
                <w:sz w:val="15"/>
                <w:szCs w:val="15"/>
                <w:color w:val="auto"/>
              </w:rPr>
            </w:pPr>
          </w:p>
        </w:tc>
        <w:tc>
          <w:tcPr>
            <w:tcW w:w="548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320" w:type="dxa"/>
            <w:vAlign w:val="bottom"/>
          </w:tcPr>
          <w:p>
            <w:pPr>
              <w:spacing w:after="0"/>
              <w:rPr>
                <w:sz w:val="15"/>
                <w:szCs w:val="15"/>
                <w:color w:val="auto"/>
              </w:rPr>
            </w:pPr>
          </w:p>
        </w:tc>
        <w:tc>
          <w:tcPr>
            <w:tcW w:w="19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6"/>
        </w:trPr>
        <w:tc>
          <w:tcPr>
            <w:tcW w:w="20" w:type="dxa"/>
            <w:vAlign w:val="bottom"/>
          </w:tcPr>
          <w:p>
            <w:pPr>
              <w:spacing w:after="0"/>
              <w:rPr>
                <w:sz w:val="24"/>
                <w:szCs w:val="24"/>
                <w:color w:val="auto"/>
              </w:rPr>
            </w:pPr>
          </w:p>
        </w:tc>
        <w:tc>
          <w:tcPr>
            <w:tcW w:w="3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Michael R. Klein</w:t>
            </w:r>
          </w:p>
        </w:tc>
        <w:tc>
          <w:tcPr>
            <w:tcW w:w="340" w:type="dxa"/>
            <w:vAlign w:val="bottom"/>
          </w:tcPr>
          <w:p>
            <w:pPr>
              <w:spacing w:after="0"/>
              <w:rPr>
                <w:sz w:val="24"/>
                <w:szCs w:val="24"/>
                <w:color w:val="auto"/>
              </w:rPr>
            </w:pPr>
          </w:p>
        </w:tc>
        <w:tc>
          <w:tcPr>
            <w:tcW w:w="5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320" w:type="dxa"/>
            <w:vAlign w:val="bottom"/>
          </w:tcPr>
          <w:p>
            <w:pPr>
              <w:spacing w:after="0"/>
              <w:rPr>
                <w:sz w:val="24"/>
                <w:szCs w:val="24"/>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28, 2006</w:t>
            </w: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Michael R. Klein</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Andrew C. Florance</w:t>
            </w: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Chief Executive Officer</w:t>
            </w:r>
          </w:p>
        </w:tc>
        <w:tc>
          <w:tcPr>
            <w:tcW w:w="3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March 6, 2006</w:t>
            </w: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Andrew C. Florance</w:t>
            </w: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President and a Director (Principal Executive Officer)</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Frank A. Carchedi</w:t>
            </w: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Chief Financial Officer</w:t>
            </w:r>
          </w:p>
        </w:tc>
        <w:tc>
          <w:tcPr>
            <w:tcW w:w="3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March 6, 2006</w:t>
            </w: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Frank A. Carchedi</w:t>
            </w: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David Bonderman</w:t>
            </w: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2006</w:t>
            </w: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David Bonderman</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Warren H. Haber</w:t>
            </w: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February 20, 2006</w:t>
            </w: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Warren H. Haber</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Josiah O. Low, III</w:t>
            </w: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February 21, 2006</w:t>
            </w: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Josiah O. Low, III</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Christopher Nassetta</w:t>
            </w: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2006</w:t>
            </w: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Nassetta</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3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Catherine B. Reynolds</w:t>
            </w: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March 3, 2006</w:t>
            </w: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Catherine B. Reynolds</w:t>
            </w:r>
          </w:p>
        </w:tc>
        <w:tc>
          <w:tcPr>
            <w:tcW w:w="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0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820" w:type="dxa"/>
            <w:vAlign w:val="bottom"/>
            <w:gridSpan w:val="2"/>
          </w:tcPr>
          <w:p>
            <w:pPr>
              <w:jc w:val="right"/>
              <w:ind w:right="3279"/>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3"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1260" w:right="580" w:hanging="562"/>
        <w:spacing w:after="0" w:line="266" w:lineRule="auto"/>
        <w:tabs>
          <w:tab w:leader="none" w:pos="12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Offer Document by CoStar Limited for the share capital of Property Intelligence plc (Incorporated by reference to Exhibit 2.1 to Amendment No. 2 to the Registration Statement on Form S-3 of the Registrant (Reg. No. 333-106769) filed with the Commission on August 14, 2003).</w:t>
      </w:r>
    </w:p>
    <w:p>
      <w:pPr>
        <w:spacing w:after="0" w:line="176" w:lineRule="exact"/>
        <w:rPr>
          <w:sz w:val="20"/>
          <w:szCs w:val="20"/>
          <w:color w:val="auto"/>
        </w:rPr>
      </w:pPr>
    </w:p>
    <w:p>
      <w:pPr>
        <w:ind w:left="1260" w:right="360" w:hanging="56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Restated Certificate of Incorporation (Incorporated by reference to Exhibit 3.1 the Registration Statement on Form S-1 of the Registrant (Reg. No. 333-47953) filed with the Commission on March 13, 1998 (the “1998 Form S-1”)).</w:t>
      </w:r>
    </w:p>
    <w:p>
      <w:pPr>
        <w:spacing w:after="0" w:line="162" w:lineRule="exact"/>
        <w:rPr>
          <w:sz w:val="20"/>
          <w:szCs w:val="20"/>
          <w:color w:val="auto"/>
        </w:rPr>
      </w:pPr>
    </w:p>
    <w:p>
      <w:pPr>
        <w:ind w:left="1260" w:right="280" w:hanging="56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Certificate of Amendment of Restated Certificate of Incorporation (Incorporated by reference to Exhibit 3.1 to the Registrant’s Report on Form 10-Q for the quarter ended June 30, 1999).</w:t>
      </w:r>
    </w:p>
    <w:p>
      <w:pPr>
        <w:spacing w:after="0" w:line="162" w:lineRule="exact"/>
        <w:rPr>
          <w:sz w:val="20"/>
          <w:szCs w:val="20"/>
          <w:color w:val="auto"/>
        </w:rPr>
      </w:pPr>
    </w:p>
    <w:p>
      <w:pPr>
        <w:ind w:left="700"/>
        <w:spacing w:after="0"/>
        <w:tabs>
          <w:tab w:leader="none" w:pos="12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Amended and Restated By-Laws (Incorporated by reference to Exhibit 3.2 to the 1998 Form S-1).</w:t>
      </w:r>
    </w:p>
    <w:p>
      <w:pPr>
        <w:spacing w:after="0" w:line="225" w:lineRule="exact"/>
        <w:rPr>
          <w:sz w:val="20"/>
          <w:szCs w:val="20"/>
          <w:color w:val="auto"/>
        </w:rPr>
      </w:pPr>
    </w:p>
    <w:p>
      <w:pPr>
        <w:ind w:left="1260" w:right="160" w:hanging="56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Specimen Common Stock Certificate (Incorporated by reference to Exhibit 4.1 to the Registrant’s Report on Form 10-K for the year ended December 31, 1999 (the “1999 10-K”)).</w:t>
      </w:r>
    </w:p>
    <w:p>
      <w:pPr>
        <w:spacing w:after="0" w:line="162" w:lineRule="exact"/>
        <w:rPr>
          <w:sz w:val="20"/>
          <w:szCs w:val="20"/>
          <w:color w:val="auto"/>
        </w:rPr>
      </w:pPr>
    </w:p>
    <w:p>
      <w:pPr>
        <w:ind w:left="1260" w:right="720" w:hanging="74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CoStar Group, Inc. 1998 Stock Incentive Plan, as amended (Incorporated by reference to Exhibit 10.1 to the Registrant’s Report on Form 10-Q for the quarter ended September 30, 2005).</w:t>
      </w:r>
    </w:p>
    <w:p>
      <w:pPr>
        <w:spacing w:after="0" w:line="162" w:lineRule="exact"/>
        <w:rPr>
          <w:sz w:val="20"/>
          <w:szCs w:val="20"/>
          <w:color w:val="auto"/>
        </w:rPr>
      </w:pPr>
    </w:p>
    <w:p>
      <w:pPr>
        <w:ind w:left="1260" w:right="600" w:hanging="74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Employment Agreement for Andrew C. Florance (Incorporated by reference to Exhibit 10.2 to Amendment No. 1 to the Registration Statement on Form S-1 of the Registrant (Reg. No. 333-47953) filed with the Commission on April 27, 1998).</w:t>
      </w:r>
    </w:p>
    <w:p>
      <w:pPr>
        <w:spacing w:after="0" w:line="162" w:lineRule="exact"/>
        <w:rPr>
          <w:sz w:val="20"/>
          <w:szCs w:val="20"/>
          <w:color w:val="auto"/>
        </w:rPr>
      </w:pPr>
    </w:p>
    <w:p>
      <w:pPr>
        <w:ind w:left="1260" w:right="120" w:hanging="74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Employment Agreement for Frank A. Carchedi (Incorporated by reference to Amendment No. 1 to the Registration Statement on Form S-1 of the Registrant (Reg. No. 333-47953) filed with the Commission on April 27, 1998).</w:t>
      </w:r>
    </w:p>
    <w:p>
      <w:pPr>
        <w:spacing w:after="0" w:line="162" w:lineRule="exact"/>
        <w:rPr>
          <w:sz w:val="20"/>
          <w:szCs w:val="20"/>
          <w:color w:val="auto"/>
        </w:rPr>
      </w:pPr>
    </w:p>
    <w:p>
      <w:pPr>
        <w:ind w:left="1260" w:right="980" w:hanging="877"/>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color w:val="auto"/>
        </w:rPr>
        <w:t>Addendum to Employment Agreement, dated as of April 1, 2004, between CoStar Realty Information, Inc. and Frank Carchedi (Incorporated by reference to Exhibit 10.2 to the Registrant’s Report on Form 10-Q for the quarter ended June 30, 2004).</w:t>
      </w:r>
    </w:p>
    <w:p>
      <w:pPr>
        <w:spacing w:after="0" w:line="162" w:lineRule="exact"/>
        <w:rPr>
          <w:sz w:val="20"/>
          <w:szCs w:val="20"/>
          <w:color w:val="auto"/>
        </w:rPr>
      </w:pPr>
    </w:p>
    <w:p>
      <w:pPr>
        <w:ind w:left="1260" w:right="300" w:hanging="74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Employment Terms for Craig Farrington (Incorporated by reference to Exhibit 10.7 to the Registrant’s Report on Form 10-K for the year ended December 31, 2000).</w:t>
      </w:r>
    </w:p>
    <w:p>
      <w:pPr>
        <w:spacing w:after="0" w:line="162" w:lineRule="exact"/>
        <w:rPr>
          <w:sz w:val="20"/>
          <w:szCs w:val="20"/>
          <w:color w:val="auto"/>
        </w:rPr>
      </w:pPr>
    </w:p>
    <w:p>
      <w:pPr>
        <w:ind w:left="1260" w:hanging="877"/>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8"/>
          <w:szCs w:val="18"/>
          <w:color w:val="auto"/>
        </w:rPr>
        <w:t>Addendum to Employment Terms, dated as of April 1, 2004, between CoStar Realty Information, Inc. and Craig Farrington (Incorporated by reference to Exhibit 10.4 to the Registrant’s Report on Form 10-Q for the quarter ended June 30, 2004).</w:t>
      </w:r>
    </w:p>
    <w:p>
      <w:pPr>
        <w:spacing w:after="0" w:line="162" w:lineRule="exact"/>
        <w:rPr>
          <w:sz w:val="20"/>
          <w:szCs w:val="20"/>
          <w:color w:val="auto"/>
        </w:rPr>
      </w:pPr>
    </w:p>
    <w:p>
      <w:pPr>
        <w:ind w:left="1260" w:right="140" w:hanging="74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Employment Agreement, dated as of November 29, 2004, between Christopher Tully and CoStar Realty Information, Inc. (Incorporated by reference to Exhibit 10.6 to the Registrant’s Report on Form 10-K for the year ended December 31, 2004).</w:t>
      </w:r>
    </w:p>
    <w:p>
      <w:pPr>
        <w:spacing w:after="0" w:line="162" w:lineRule="exact"/>
        <w:rPr>
          <w:sz w:val="20"/>
          <w:szCs w:val="20"/>
          <w:color w:val="auto"/>
        </w:rPr>
      </w:pPr>
    </w:p>
    <w:p>
      <w:pPr>
        <w:ind w:left="1260" w:right="100" w:hanging="74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Form of Indemnification Agreement between the Registrant and each of its officers and directors (Incorporated by reference to Exhibit 10.1 to the Registrant’s Report on Form 10-Q for the quarter ended March 31, 2004).</w:t>
      </w:r>
    </w:p>
    <w:p>
      <w:pPr>
        <w:spacing w:after="0" w:line="162" w:lineRule="exact"/>
        <w:rPr>
          <w:sz w:val="20"/>
          <w:szCs w:val="20"/>
          <w:color w:val="auto"/>
        </w:rPr>
      </w:pPr>
    </w:p>
    <w:p>
      <w:pPr>
        <w:ind w:left="1260" w:right="200" w:hanging="74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Form of Stock Option Agreement between the Registrant and certain of its officers, directors and employees (Incorporated by reference to Exhibit 10.8 to the Registrant’s Report on Form 10-K for the year ended December 31, 2004).</w:t>
      </w:r>
    </w:p>
    <w:p>
      <w:pPr>
        <w:spacing w:after="0" w:line="162" w:lineRule="exact"/>
        <w:rPr>
          <w:sz w:val="20"/>
          <w:szCs w:val="20"/>
          <w:color w:val="auto"/>
        </w:rPr>
      </w:pPr>
    </w:p>
    <w:p>
      <w:pPr>
        <w:ind w:left="1260" w:right="540" w:hanging="877"/>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8"/>
          <w:szCs w:val="18"/>
          <w:color w:val="auto"/>
        </w:rPr>
        <w:t>Form of Stock Option Agreement between the Registrant and Andrew C. Florance (Incorporated by reference to Exhibit 10.8.1 to the Registrant’s Report on Form 10-K for the year ended December 31, 2004).</w:t>
      </w:r>
    </w:p>
    <w:p>
      <w:pPr>
        <w:spacing w:after="0" w:line="162" w:lineRule="exact"/>
        <w:rPr>
          <w:sz w:val="20"/>
          <w:szCs w:val="20"/>
          <w:color w:val="auto"/>
        </w:rPr>
      </w:pPr>
    </w:p>
    <w:p>
      <w:pPr>
        <w:ind w:left="1260" w:right="680" w:hanging="877"/>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*10.7.2</w:t>
      </w:r>
      <w:r>
        <w:rPr>
          <w:sz w:val="20"/>
          <w:szCs w:val="20"/>
          <w:color w:val="auto"/>
        </w:rPr>
        <w:tab/>
      </w:r>
      <w:r>
        <w:rPr>
          <w:rFonts w:ascii="Times New Roman" w:cs="Times New Roman" w:eastAsia="Times New Roman" w:hAnsi="Times New Roman"/>
          <w:sz w:val="18"/>
          <w:szCs w:val="18"/>
          <w:color w:val="auto"/>
        </w:rPr>
        <w:t>Form of Stock Option Agreement between the Registrant and Frank A. Carchedi (Incorporated by reference to Exhibit 10.8.2 to the Registrant’s Report on Form 10-K for the year ended December 31, 2004).</w:t>
      </w:r>
    </w:p>
    <w:p>
      <w:pPr>
        <w:spacing w:after="0" w:line="162" w:lineRule="exact"/>
        <w:rPr>
          <w:sz w:val="20"/>
          <w:szCs w:val="20"/>
          <w:color w:val="auto"/>
        </w:rPr>
      </w:pPr>
    </w:p>
    <w:p>
      <w:pPr>
        <w:ind w:left="1260" w:right="160" w:hanging="74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Form of Restricted Stock Agreement between the Registrant and certain of its officers, directors and employees (Incorporated by reference to Exhibit 10.9 to the Registrant’s Report on Form 10-K for the year ended December 31, 2004).</w:t>
      </w:r>
    </w:p>
    <w:p>
      <w:pPr>
        <w:spacing w:after="0" w:line="162" w:lineRule="exact"/>
        <w:rPr>
          <w:sz w:val="20"/>
          <w:szCs w:val="20"/>
          <w:color w:val="auto"/>
        </w:rPr>
      </w:pPr>
    </w:p>
    <w:p>
      <w:pPr>
        <w:ind w:left="1260" w:right="400" w:hanging="651"/>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Office Lease, dated August 12, 1999, between CoStar Realty Information, Inc. and Newlands Building Ventures, LLC (Incorporated by reference to Exhibit 10.2 to the Registrant’s Report on Form 10-Q for the quarter ended September 30, 1999).</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7" w:name="page38"/>
    <w:bookmarkEnd w:id="37"/>
    <w:p>
      <w:pPr>
        <w:spacing w:after="0"/>
        <w:tabs>
          <w:tab w:leader="none" w:pos="59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1260" w:right="320" w:hanging="74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Office Sublease, dated June 14, 2002, between CoStar Realty Information, Inc., CoStar Group, Inc. and Gateway, Inc. (Incorporated by reference to Exhibit 10.2 to the Registrant’s Report on Form 10-Q dated June 30, 2002).</w:t>
      </w:r>
    </w:p>
    <w:p>
      <w:pPr>
        <w:spacing w:after="0" w:line="162" w:lineRule="exact"/>
        <w:rPr>
          <w:sz w:val="20"/>
          <w:szCs w:val="20"/>
          <w:color w:val="auto"/>
        </w:rPr>
      </w:pPr>
    </w:p>
    <w:p>
      <w:pPr>
        <w:jc w:val="center"/>
        <w:ind w:left="540" w:right="220"/>
        <w:spacing w:after="0" w:line="282" w:lineRule="auto"/>
        <w:rPr>
          <w:sz w:val="20"/>
          <w:szCs w:val="20"/>
          <w:color w:val="auto"/>
        </w:rPr>
      </w:pPr>
      <w:r>
        <w:rPr>
          <w:rFonts w:ascii="Times New Roman" w:cs="Times New Roman" w:eastAsia="Times New Roman" w:hAnsi="Times New Roman"/>
          <w:sz w:val="18"/>
          <w:szCs w:val="18"/>
          <w:color w:val="auto"/>
        </w:rPr>
        <w:t>10.11    Addendum No. 3 to Office Lease, dated as of May 12, 2004, between Newlands Building Venture, LLC, and CoStar Realty Information, Inc. (Incorporated by reference to Exhibit 10.1 to the Registrant’s Report on Form 10-Q for the quarter ended June 30, 2004).</w:t>
      </w:r>
    </w:p>
    <w:p>
      <w:pPr>
        <w:spacing w:after="0" w:line="162" w:lineRule="exact"/>
        <w:rPr>
          <w:sz w:val="20"/>
          <w:szCs w:val="20"/>
          <w:color w:val="auto"/>
        </w:rPr>
      </w:pPr>
    </w:p>
    <w:p>
      <w:pPr>
        <w:ind w:left="1260" w:right="40" w:hanging="742"/>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Office Lease, dated as of February 23, 2005, between CoStar Realty Information, Inc. and Crestpointe III, LLC. (Incorporated by reference to Exhibit 10.13 to the Registrant’s Report on Form 10-K for the year ended December 31, 2004).</w:t>
      </w:r>
    </w:p>
    <w:p>
      <w:pPr>
        <w:spacing w:after="0" w:line="162"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Subsidiaries of the Registrant (filed herewith).</w:t>
      </w:r>
    </w:p>
    <w:p>
      <w:pPr>
        <w:spacing w:after="0" w:line="225"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Ernst &amp; Young LLP, Independent Registered Public Accounting Firm (filed herewith).</w:t>
      </w:r>
    </w:p>
    <w:p>
      <w:pPr>
        <w:spacing w:after="0" w:line="225"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Powers of Attorney (Included in the Signature Pages to the Report).</w:t>
      </w:r>
    </w:p>
    <w:p>
      <w:pPr>
        <w:spacing w:after="0" w:line="225"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Principal Executive Officer pursuant to Section 302 of the Sarbanes-Oxley Act of 2002 (filed herewith).</w:t>
      </w:r>
    </w:p>
    <w:p>
      <w:pPr>
        <w:spacing w:after="0" w:line="225"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Principal Financial Officer pursuant to Section 302 of the Sarbanes-Oxley Act of 2002 (filed herewith).</w:t>
      </w:r>
    </w:p>
    <w:p>
      <w:pPr>
        <w:spacing w:after="0" w:line="225" w:lineRule="exact"/>
        <w:rPr>
          <w:sz w:val="20"/>
          <w:szCs w:val="20"/>
          <w:color w:val="auto"/>
        </w:rPr>
      </w:pPr>
    </w:p>
    <w:p>
      <w:pPr>
        <w:ind w:left="1260" w:hanging="697"/>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Principal Executive Officer pursuant to 18 U.S.C. Sec. 1350, as adopted pursuant to Section 906 of the Sarbanes-Oxley Act of 2002 (filed herewith).</w:t>
      </w:r>
    </w:p>
    <w:p>
      <w:pPr>
        <w:spacing w:after="0" w:line="162" w:lineRule="exact"/>
        <w:rPr>
          <w:sz w:val="20"/>
          <w:szCs w:val="20"/>
          <w:color w:val="auto"/>
        </w:rPr>
      </w:pPr>
    </w:p>
    <w:p>
      <w:pPr>
        <w:ind w:left="1260" w:right="60" w:hanging="697"/>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of Principal Financial Officer pursuant to 18 U.S.C. Sec.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23"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956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8"/>
              </w:rPr>
              <w:t>COSTAR GROUP, INC.</w:t>
            </w:r>
          </w:p>
        </w:tc>
        <w:tc>
          <w:tcPr>
            <w:tcW w:w="1860" w:type="dxa"/>
            <w:vAlign w:val="bottom"/>
          </w:tcPr>
          <w:p>
            <w:pPr>
              <w:spacing w:after="0"/>
              <w:rPr>
                <w:sz w:val="20"/>
                <w:szCs w:val="20"/>
                <w:color w:val="auto"/>
              </w:rPr>
            </w:pPr>
          </w:p>
        </w:tc>
      </w:tr>
      <w:tr>
        <w:trPr>
          <w:trHeight w:val="540"/>
        </w:trPr>
        <w:tc>
          <w:tcPr>
            <w:tcW w:w="956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60" w:type="dxa"/>
            <w:vAlign w:val="bottom"/>
          </w:tcPr>
          <w:p>
            <w:pPr>
              <w:spacing w:after="0"/>
              <w:rPr>
                <w:sz w:val="24"/>
                <w:szCs w:val="24"/>
                <w:color w:val="auto"/>
              </w:rPr>
            </w:pPr>
          </w:p>
        </w:tc>
      </w:tr>
      <w:tr>
        <w:trPr>
          <w:trHeight w:val="41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tc>
        <w:tc>
          <w:tcPr>
            <w:tcW w:w="1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2003, 2004 and 2005</w:t>
            </w:r>
          </w:p>
        </w:tc>
        <w:tc>
          <w:tcPr>
            <w:tcW w:w="1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2004 and 2005</w:t>
            </w:r>
          </w:p>
        </w:tc>
        <w:tc>
          <w:tcPr>
            <w:tcW w:w="1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2003, 2004 and 2005</w:t>
            </w:r>
          </w:p>
        </w:tc>
        <w:tc>
          <w:tcPr>
            <w:tcW w:w="1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F-6</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2003, 2004 and 2005</w:t>
            </w:r>
          </w:p>
        </w:tc>
        <w:tc>
          <w:tcPr>
            <w:tcW w:w="1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F-7</w:t>
            </w:r>
          </w:p>
        </w:tc>
      </w:t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F-8</w:t>
            </w:r>
          </w:p>
        </w:tc>
      </w:tr>
      <w:tr>
        <w:trPr>
          <w:trHeight w:val="405"/>
        </w:trPr>
        <w:tc>
          <w:tcPr>
            <w:tcW w:w="956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rPr>
              <w:t>F-1</w:t>
            </w:r>
          </w:p>
        </w:tc>
        <w:tc>
          <w:tcPr>
            <w:tcW w:w="1860" w:type="dxa"/>
            <w:vAlign w:val="bottom"/>
          </w:tcPr>
          <w:p>
            <w:pPr>
              <w:spacing w:after="0"/>
              <w:rPr>
                <w:sz w:val="24"/>
                <w:szCs w:val="24"/>
                <w:color w:val="auto"/>
              </w:rPr>
            </w:pPr>
          </w:p>
        </w:tc>
      </w:tr>
      <w:tr>
        <w:trPr>
          <w:trHeight w:val="226"/>
        </w:trPr>
        <w:tc>
          <w:tcPr>
            <w:tcW w:w="95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9" w:name="page40"/>
    <w:bookmarkEnd w:id="39"/>
    <w:p>
      <w:pPr>
        <w:ind w:right="2620" w:firstLine="2624"/>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The Board of Directors and Shareholders of CoStar Group, Inc.</w:t>
      </w:r>
    </w:p>
    <w:p>
      <w:pPr>
        <w:ind w:right="200" w:firstLine="222"/>
        <w:spacing w:after="0" w:line="289"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CoStar Group, Inc. as of December 31, 2005 and 2004, and the related consolidated statements of operations,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right="100" w:firstLine="222"/>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6" w:lineRule="exact"/>
        <w:rPr>
          <w:sz w:val="20"/>
          <w:szCs w:val="20"/>
          <w:color w:val="auto"/>
        </w:rPr>
      </w:pPr>
    </w:p>
    <w:p>
      <w:pPr>
        <w:ind w:right="40" w:firstLine="225"/>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CoStar Group, Inc. at December 31, 2005 and 2004, and the consolidated results of its operations and its cash flows for each of the three years in the period ended December 31, 2005, in conformity with U.S. generally accepted accounting principles.</w:t>
      </w:r>
    </w:p>
    <w:p>
      <w:pPr>
        <w:spacing w:after="0" w:line="68"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effectiveness of CoStar Group, Inc.’s internal control over financial reporting as of December 31, 2005, based on criteria established in Internal Control Integrated Framework issued by the Committee of Sponsoring Organizations of the Treadway Commission and our report dated February 15, 2006 expressed an unqualified opinion thereon.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2006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40" w:name="page41"/>
    <w:bookmarkEnd w:id="40"/>
    <w:p>
      <w:pPr>
        <w:ind w:right="2620" w:firstLine="2624"/>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The Board of Directors and Shareholders of CoStar Group, Inc.</w:t>
      </w:r>
    </w:p>
    <w:p>
      <w:pPr>
        <w:ind w:right="100" w:firstLine="222"/>
        <w:spacing w:after="0" w:line="256" w:lineRule="auto"/>
        <w:rPr>
          <w:sz w:val="20"/>
          <w:szCs w:val="20"/>
          <w:color w:val="auto"/>
        </w:rPr>
      </w:pPr>
      <w:r>
        <w:rPr>
          <w:rFonts w:ascii="Times New Roman" w:cs="Times New Roman" w:eastAsia="Times New Roman" w:hAnsi="Times New Roman"/>
          <w:sz w:val="18"/>
          <w:szCs w:val="18"/>
          <w:color w:val="auto"/>
        </w:rPr>
        <w:t>We have audited management’s assessment, included in the accompanying Management’s Report on Internal Control over Financial Reporting, that CoStar Group, Inc. maintained effective internal control over financial reporting as of December 31, 2005, based on criteria established in Internal Control— Integrated Framework issued by the Committee of Sponsoring Organizations of the Treadway Commission (the COSO criteria). CoStar Group,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0"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76" w:lineRule="exact"/>
        <w:rPr>
          <w:sz w:val="20"/>
          <w:szCs w:val="20"/>
          <w:color w:val="auto"/>
        </w:rPr>
      </w:pPr>
    </w:p>
    <w:p>
      <w:pPr>
        <w:ind w:right="120" w:firstLine="215"/>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ind w:right="40" w:firstLine="22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40" w:firstLine="225"/>
        <w:spacing w:after="0" w:line="266" w:lineRule="auto"/>
        <w:rPr>
          <w:sz w:val="20"/>
          <w:szCs w:val="20"/>
          <w:color w:val="auto"/>
        </w:rPr>
      </w:pPr>
      <w:r>
        <w:rPr>
          <w:rFonts w:ascii="Times New Roman" w:cs="Times New Roman" w:eastAsia="Times New Roman" w:hAnsi="Times New Roman"/>
          <w:sz w:val="18"/>
          <w:szCs w:val="18"/>
          <w:color w:val="auto"/>
        </w:rPr>
        <w:t>In our opinion, management’s assessment that CoStar Group, Inc. maintained effective internal control over financial reporting as of December 31, 2005, is fairly stated, in all material respects, based on the COSO criteria. Also, in our opinion, CoStar Group, Inc. maintained, in all material respects, effective internal control over financial reporting as of December 31, 2005, based on the COSO criteria.</w:t>
      </w:r>
    </w:p>
    <w:p>
      <w:pPr>
        <w:spacing w:after="0" w:line="68" w:lineRule="exact"/>
        <w:rPr>
          <w:sz w:val="20"/>
          <w:szCs w:val="20"/>
          <w:color w:val="auto"/>
        </w:rPr>
      </w:pPr>
    </w:p>
    <w:p>
      <w:pPr>
        <w:jc w:val="both"/>
        <w:ind w:right="400" w:firstLine="222"/>
        <w:spacing w:after="0" w:line="28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the consolidated balance sheets as of December 31, 2005 and 2004 and the related consolidated statements of operations, stockholder’s equity and cash flows for each of the three years in the period ended December 31, 2005 of CoStar Group, Inc. and our report dated February 15, 2006 expressed an unqualified opinion thereon.</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2006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95,105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9"/>
              </w:rPr>
              <w:t>112,085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134,338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64,363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76,701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90,052</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26,537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29,458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 development</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6,886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27,654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charge</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¾</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¾</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amortization</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64,361</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6,746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¾</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¾</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24,985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¾ basic</w:t>
            </w:r>
          </w:p>
        </w:tc>
        <w:tc>
          <w:tcPr>
            <w:tcW w:w="2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¾ diluted</w:t>
            </w:r>
          </w:p>
        </w:tc>
        <w:tc>
          <w:tcPr>
            <w:tcW w:w="2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outstanding shares ¾ basic</w:t>
            </w: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16,202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18,165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outstanding shares ¾ diluted</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18,827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36,807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80,262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106,120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less allowance for doubtful accounts of approximately $1,375 and $1,602 as of December 31,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2004 and 2005</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3,921</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28"/>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127,083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146,538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21,487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41,937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and other assets,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27,657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232,691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248,059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1,876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wages and commissions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19,208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22,037</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2,539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outstanding</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¾</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¾</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30,000 shares authorized; 18,303 and 18,674 issued and outstanding as of</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2004 and 2005</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283,206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295,920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Unearned compensation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¾</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(76,404)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(69,947)</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210,944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224,796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232,691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248,059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4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240" w:type="dxa"/>
            <w:vAlign w:val="bottom"/>
            <w:gridSpan w:val="6"/>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40" w:type="dxa"/>
            <w:vAlign w:val="bottom"/>
          </w:tcPr>
          <w:p>
            <w:pPr>
              <w:spacing w:after="0"/>
              <w:rPr>
                <w:sz w:val="13"/>
                <w:szCs w:val="13"/>
                <w:color w:val="auto"/>
              </w:rPr>
            </w:pPr>
          </w:p>
        </w:tc>
        <w:tc>
          <w:tcPr>
            <w:tcW w:w="104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9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gridSpan w:val="2"/>
          </w:tcPr>
          <w:p>
            <w:pPr>
              <w:spacing w:after="0"/>
              <w:rPr>
                <w:sz w:val="12"/>
                <w:szCs w:val="12"/>
                <w:color w:val="auto"/>
              </w:rPr>
            </w:pPr>
          </w:p>
        </w:tc>
        <w:tc>
          <w:tcPr>
            <w:tcW w:w="5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32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2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(101,489)</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¾</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2,419</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¾</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loss on short-term investments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¾</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issued for acquisitions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Stock issued for follow-on public offering, net of</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offering costs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53,481</w:t>
            </w: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24,985</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¾</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1,729</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¾</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loss on short-term investments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¾</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26,548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Release of valuation allowance related to the</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deferred tax benefit for exercised stock options</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issued for PeerMark acquisition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3,959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6,457</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¾</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(2,431)</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¾</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loss on short-term investments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¾</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benefit for exercised stock options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unearned compensation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¾</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¾</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¾</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295,920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24,985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8,206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¾</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7"/>
              </w:rPr>
              <w:t>(17,052)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Unearned compensation</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¾</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¾</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13,550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24,723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22,919</w:t>
            </w: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(61,823)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7"/>
              </w:rPr>
              <w:t>(90,588)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(250,272)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Sales of short-term investments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71,944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Purchases of property and equipment and other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Cash held for acquisition</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16,386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¾</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¾</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Acquisitions, net of acquired 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(17,419)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(65,521)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(29,946)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8,261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53,498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¾</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¾</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 equivalents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25,546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35,643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36,807</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 for exercised stock options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¾</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9,523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5" w:name="page46"/>
    <w:bookmarkEnd w:id="4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CoStar Group, Inc. (the “Company”) has created a comprehensive, proprietary database of commercial real estate information for metropolitan areas throughout the United States and the United Kingdom. Based on its unique database, the Company provides information services to the commercial real estate and related business community in the United States and the United Kingdom and operates within one business segment. The information services are typically distributed to its clients under subscription-based license agreements, which have a minimum term of one year and renew automatically.</w:t>
      </w:r>
    </w:p>
    <w:p>
      <w:pPr>
        <w:spacing w:after="0" w:line="176" w:lineRule="exact"/>
        <w:rPr>
          <w:sz w:val="20"/>
          <w:szCs w:val="20"/>
          <w:color w:val="auto"/>
        </w:rPr>
      </w:pPr>
    </w:p>
    <w:p>
      <w:pPr>
        <w:ind w:right="6480" w:firstLine="8"/>
        <w:spacing w:after="0" w:line="378"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firstLine="222"/>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significant intercompany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60" w:firstLine="22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Certain previously reported amounts have been reclassified to conform to the Company’s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The Company primarily derives revenues from providing access to its proprietary database of commercial real estate information. The Company generally charges a fixed monthly amount for its subscription-based services. Subscription contract rates are based on the number of sites, number of users, organization size, the client’s business focus and the number of services to which a client subscribes. Subscription-based license agreements typically have a minimum term of one year and renew automatically.</w:t>
      </w:r>
    </w:p>
    <w:p>
      <w:pPr>
        <w:spacing w:after="0" w:line="72" w:lineRule="exact"/>
        <w:rPr>
          <w:sz w:val="20"/>
          <w:szCs w:val="20"/>
          <w:color w:val="auto"/>
        </w:rPr>
      </w:pPr>
    </w:p>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Revenues from subscription-based services are recognized on a straight-line basis over the term of the agreement. Deferred revenue results from advance cash receipts from customers or amounts billed in advance to customers from the sales of subscription licenses and is recognized over the term of the license.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21" w:lineRule="exact"/>
        <w:rPr>
          <w:sz w:val="20"/>
          <w:szCs w:val="20"/>
          <w:color w:val="auto"/>
        </w:rPr>
      </w:pPr>
    </w:p>
    <w:p>
      <w:pPr>
        <w:jc w:val="both"/>
        <w:ind w:right="140" w:firstLine="225"/>
        <w:spacing w:after="0" w:line="266" w:lineRule="auto"/>
        <w:rPr>
          <w:sz w:val="20"/>
          <w:szCs w:val="20"/>
          <w:color w:val="auto"/>
        </w:rPr>
      </w:pPr>
      <w:r>
        <w:rPr>
          <w:rFonts w:ascii="Times New Roman" w:cs="Times New Roman" w:eastAsia="Times New Roman" w:hAnsi="Times New Roman"/>
          <w:sz w:val="18"/>
          <w:szCs w:val="18"/>
          <w:color w:val="auto"/>
        </w:rPr>
        <w:t>Cost of revenues principally consists of salaries and related expenses for the Company’s researchers who collect and analyze the commercial real estate data that is the basis for the Company’s information services. Additionally, cost of revenues includes the cost of data from third-party data sources, which is expensed as incurred, and the amortization of database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 single customer accounted for more than 5% of the Company’s revenues for each of the years ended December 31, 2003, 2004 and 2005.</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4" w:right="29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ind w:right="5360" w:firstLine="8"/>
        <w:spacing w:after="0" w:line="378"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¾ (Continued) Foreign Currency Translation</w:t>
      </w:r>
    </w:p>
    <w:p>
      <w:pPr>
        <w:ind w:right="40" w:firstLine="222"/>
        <w:spacing w:after="0" w:line="256" w:lineRule="auto"/>
        <w:rPr>
          <w:sz w:val="20"/>
          <w:szCs w:val="20"/>
          <w:color w:val="auto"/>
        </w:rPr>
      </w:pPr>
      <w:r>
        <w:rPr>
          <w:rFonts w:ascii="Times New Roman" w:cs="Times New Roman" w:eastAsia="Times New Roman" w:hAnsi="Times New Roman"/>
          <w:sz w:val="18"/>
          <w:szCs w:val="18"/>
          <w:color w:val="auto"/>
        </w:rPr>
        <w:t>The Company’s functional currency in its foreign locations is the local currency. Assets and liabilities are translated into U.S. dollars as of the balance sheet date. Revenue, expenses, gains and losses are translated at the average exchange rates in effect during each period. Gains and losses resulting from translation are included in accumulated other comprehensive income (loss). Net gains or losses resulting from foreign currency exchange transactions are included in the consolidated statement of operations. The Company had an increase (decrease) in comprehensive income (loss) of approximately $1.7 million and ($2.4) million from the translation of its foreign subsidiary’s assets and liabilities into U.S. dollars for the years ended December 31, 2004 and 2005, respectively. There were no material gains or losses from foreign currency exchange transactions for the years ended December 31, 2004 and 2005.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21" w:lineRule="exact"/>
        <w:rPr>
          <w:sz w:val="20"/>
          <w:szCs w:val="20"/>
          <w:color w:val="auto"/>
        </w:rPr>
      </w:pPr>
    </w:p>
    <w:p>
      <w:pPr>
        <w:ind w:right="120" w:firstLine="22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2003, 2004 and 2005, total comprehensive income was approximately $2.5 million, $26.5 million and $3.8 million, respectively. As of December 31, 2005, accumulated other comprehensive income (loss) included foreign currency translation adjustments of approximately $1.7 million and unrealized losses on short-term investments of approximately ($369,000).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ind w:right="40" w:firstLine="222"/>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expense was $354,000, $584,000 and $200,000 for the years ended December 31, 2003, 2004 and 2005,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firstLine="222"/>
        <w:spacing w:after="0" w:line="256" w:lineRule="auto"/>
        <w:rPr>
          <w:sz w:val="20"/>
          <w:szCs w:val="20"/>
          <w:color w:val="auto"/>
        </w:rPr>
      </w:pPr>
      <w:r>
        <w:rPr>
          <w:rFonts w:ascii="Times New Roman" w:cs="Times New Roman" w:eastAsia="Times New Roman" w:hAnsi="Times New Roman"/>
          <w:sz w:val="18"/>
          <w:szCs w:val="18"/>
          <w:color w:val="auto"/>
        </w:rPr>
        <w:t>The Company provides for income taxes under the provisions of Statement of Financial Accounting Standards No. 109 (“SFAS No. 109”). Deferred income taxes result from temporary differences between the tax basis of assets and liabilities and the basis reported in the Company’s consolidated financial statements. Deferred tax liabilities and assets are determined based on the difference between financial statement and tax basis of assets and liabilities using enacted rates expected to be in effect during the year in which the differences reverse. Valuation allowances are provided against assets, including net operating losses, if it is anticipated that some or all of the asset may not be realized through future taxable earnings or implementation of tax planning strategies.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Net income per share is computed by dividing net income by the weighted average number of common shares outstanding during the period on a basic and diluted basis. The Company’s potentially dilutive securities include stock options. Diluted net income per share considers the impact of potentially dilutive securities except in periods in which there is a net loss as the inclusion of the potential common shares would have an anti-dilutive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120" w:firstLine="222"/>
        <w:spacing w:after="0" w:line="258" w:lineRule="auto"/>
        <w:rPr>
          <w:sz w:val="20"/>
          <w:szCs w:val="20"/>
          <w:color w:val="auto"/>
        </w:rPr>
      </w:pPr>
      <w:r>
        <w:rPr>
          <w:rFonts w:ascii="Times New Roman" w:cs="Times New Roman" w:eastAsia="Times New Roman" w:hAnsi="Times New Roman"/>
          <w:sz w:val="18"/>
          <w:szCs w:val="18"/>
          <w:color w:val="auto"/>
        </w:rPr>
        <w:t>The Company accounts for its stock-based compensation in accordance with APB No. 25, “Accounting for Stock Issued to Employees” (“APB 25”). Under APB 25, compensation expense is based on the difference, if any, on the date of grant between the fair value of the Company’s common stock and the exercise price of the option and is recognized ratably over the vesting period of the option. Stock-based compensation related to options granted to non-employees is accounted for using the fair value method in accordance with the Statement of Financial Accounting Standard No. 123 “Accounting for Stock-Based Compensation” (“SFAS No. 123”).</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5" w:right="2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ind w:right="5380" w:firstLine="8"/>
        <w:spacing w:after="0" w:line="378" w:lineRule="auto"/>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¾ (Continued) Stock-Based Compensation (Continued)</w:t>
      </w:r>
    </w:p>
    <w:p>
      <w:pPr>
        <w:ind w:right="40" w:firstLine="225"/>
        <w:spacing w:after="0" w:line="258" w:lineRule="auto"/>
        <w:rPr>
          <w:sz w:val="20"/>
          <w:szCs w:val="20"/>
          <w:color w:val="auto"/>
        </w:rPr>
      </w:pPr>
      <w:r>
        <w:rPr>
          <w:rFonts w:ascii="Times New Roman" w:cs="Times New Roman" w:eastAsia="Times New Roman" w:hAnsi="Times New Roman"/>
          <w:sz w:val="18"/>
          <w:szCs w:val="18"/>
          <w:color w:val="auto"/>
        </w:rPr>
        <w:t>Statement of Financial Accounting Standards No. 148, “Accounting for Stock-Based Compensation — Transition and Disclosure, an amendment of FASB Statement No. 123” (“SFAS No. 148”) which amends the disclosure requirements of SFAS 123 to require prominent disclosures in both annual and interim financial statements. The Company has adopted the disclosure requirements of SFAS 123 and SFAS 148. The following table illustrates the effect on net income and net income per share as if the Company had applied the fair value recognition provisions of SFAS 123 to stock-based employee compensation (in thousands, except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24,985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employee compensation expense included in reported net income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¾</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¾</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total stock-based employee compensation expense determined under fair value based</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method for all awards</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(7,599)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 (loss)</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¾ as reported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¾ pro forma</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 ¾ as reported</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¾ pro forma</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100" w:firstLine="222"/>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Cash equivalents consist of money market fund investments and United States Government Securities. As of December 31, 2004 and 2005, cash of $805,000 and $714,000, respectively, was restricted cash, held in accounts to support letters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sz w:val="20"/>
          <w:szCs w:val="20"/>
          <w:color w:val="auto"/>
        </w:rPr>
      </w:pPr>
    </w:p>
    <w:p>
      <w:pPr>
        <w:ind w:right="140" w:firstLine="222"/>
        <w:spacing w:after="0" w:line="256" w:lineRule="auto"/>
        <w:rPr>
          <w:sz w:val="20"/>
          <w:szCs w:val="20"/>
          <w:color w:val="auto"/>
        </w:rPr>
      </w:pPr>
      <w:r>
        <w:rPr>
          <w:rFonts w:ascii="Times New Roman" w:cs="Times New Roman" w:eastAsia="Times New Roman" w:hAnsi="Times New Roman"/>
          <w:sz w:val="18"/>
          <w:szCs w:val="18"/>
          <w:color w:val="auto"/>
        </w:rPr>
        <w:t>The Company accounts for short-term investments in accordance with Statement of Financial Accounting Standards (“SFAS No. 115), “Accounting for Certain Investments in Debt and Equity Securities.” The Company determines the appropriate classification of investments at the time of purchase and reevaluates such designation as of each balance sheet date. The Company considers all of its investments to be available-for-sale. Investments consist of commercial paper, government/federal notes and bonds and corporate obligations with maturities greater than 90 days at the time of purchase. Available-for-sale investments with contractual maturities beyond one year are classified as current in the Company’s consolidated balance sheets because they represent the investment of cash that is available for current operations. Investments are carried at fair market value.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ind w:right="5380" w:firstLine="8"/>
        <w:spacing w:after="0" w:line="378" w:lineRule="auto"/>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¾ (Continued) Short-Term Investments – (Continued)</w:t>
      </w: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Scheduled maturities of securities classified as available for sale as of December 31, 2005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20" w:type="dxa"/>
            <w:vAlign w:val="bottom"/>
          </w:tcPr>
          <w:p>
            <w:pPr>
              <w:spacing w:after="0"/>
              <w:rPr>
                <w:sz w:val="18"/>
                <w:szCs w:val="18"/>
                <w:color w:val="auto"/>
              </w:rPr>
            </w:pPr>
          </w:p>
        </w:tc>
        <w:tc>
          <w:tcPr>
            <w:tcW w:w="10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55,019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2007-2010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2011-2015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2016 and thereafter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Mortgage backed with multiple maturities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27,698</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106,120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Unrealized holding gains and losses, net of the related tax effect, on available-for-sale securities are excluded from earnings and are reported as a separate component of other comprehensive income in stockholders’ equity until realized. Realized gains and losses from the sale of available-for-sale securities are determined on a specific-identification basis. A decline in market value of any available-for-sale security below cost that is deemed to be other than temporary results in a reduction in carrying amount to fair value. The impairment is charged to earnings and a new cost basis for the security is established. Dividend and interest income are recognized when earned.</w:t>
      </w:r>
    </w:p>
    <w:p>
      <w:pPr>
        <w:spacing w:after="0" w:line="76" w:lineRule="exact"/>
        <w:rPr>
          <w:sz w:val="20"/>
          <w:szCs w:val="20"/>
          <w:color w:val="auto"/>
        </w:rPr>
      </w:pPr>
    </w:p>
    <w:p>
      <w:pPr>
        <w:ind w:right="180" w:firstLine="222"/>
        <w:spacing w:after="0" w:line="261" w:lineRule="auto"/>
        <w:rPr>
          <w:sz w:val="20"/>
          <w:szCs w:val="20"/>
          <w:color w:val="auto"/>
        </w:rPr>
      </w:pPr>
      <w:r>
        <w:rPr>
          <w:rFonts w:ascii="Times New Roman" w:cs="Times New Roman" w:eastAsia="Times New Roman" w:hAnsi="Times New Roman"/>
          <w:sz w:val="18"/>
          <w:szCs w:val="18"/>
          <w:color w:val="auto"/>
        </w:rPr>
        <w:t>The unrealized losses on the Company’s investments as of December 31, 2004 and 2005 were generated primarily from increases in interest rates. The losses are considered temporary, as the contractual terms of these investments do not permit the issuer to settle the security at a price less than the amortized cost of the investment. Because the Company has the ability to hold these investments until a recovery of fair value, which may be maturity, it does not consider these investments to be other-than-temporarily impaired as of December 31, 2004 and 2005.</w:t>
      </w:r>
    </w:p>
    <w:p>
      <w:pPr>
        <w:spacing w:after="0" w:line="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components of the investments in a loss position for more than twelve months consists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68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680" w:type="dxa"/>
            <w:vAlign w:val="bottom"/>
          </w:tcPr>
          <w:p>
            <w:pPr>
              <w:jc w:val="center"/>
              <w:ind w:right="5"/>
              <w:spacing w:after="0" w:line="119" w:lineRule="exact"/>
              <w:rPr>
                <w:sz w:val="20"/>
                <w:szCs w:val="20"/>
                <w:color w:val="auto"/>
              </w:rPr>
            </w:pPr>
            <w:r>
              <w:rPr>
                <w:rFonts w:ascii="Times New Roman" w:cs="Times New Roman" w:eastAsia="Times New Roman" w:hAnsi="Times New Roman"/>
                <w:sz w:val="13"/>
                <w:szCs w:val="13"/>
                <w:color w:val="auto"/>
              </w:rPr>
              <w:t>Aggregate</w:t>
            </w:r>
          </w:p>
        </w:tc>
        <w:tc>
          <w:tcPr>
            <w:tcW w:w="1120" w:type="dxa"/>
            <w:vAlign w:val="bottom"/>
          </w:tcPr>
          <w:p>
            <w:pPr>
              <w:jc w:val="center"/>
              <w:ind w:left="440"/>
              <w:spacing w:after="0" w:line="119" w:lineRule="exact"/>
              <w:rPr>
                <w:sz w:val="20"/>
                <w:szCs w:val="20"/>
                <w:color w:val="auto"/>
              </w:rPr>
            </w:pPr>
            <w:r>
              <w:rPr>
                <w:rFonts w:ascii="Times New Roman" w:cs="Times New Roman" w:eastAsia="Times New Roman" w:hAnsi="Times New Roman"/>
                <w:sz w:val="13"/>
                <w:szCs w:val="13"/>
                <w:color w:val="auto"/>
              </w:rPr>
              <w:t>Gross</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38"/>
              <w:spacing w:after="0" w:line="119" w:lineRule="exact"/>
              <w:rPr>
                <w:sz w:val="20"/>
                <w:szCs w:val="20"/>
                <w:color w:val="auto"/>
              </w:rPr>
            </w:pPr>
            <w:r>
              <w:rPr>
                <w:rFonts w:ascii="Times New Roman" w:cs="Times New Roman" w:eastAsia="Times New Roman" w:hAnsi="Times New Roman"/>
                <w:sz w:val="13"/>
                <w:szCs w:val="13"/>
                <w:color w:val="auto"/>
              </w:rPr>
              <w:t>Aggregate</w:t>
            </w:r>
          </w:p>
        </w:tc>
        <w:tc>
          <w:tcPr>
            <w:tcW w:w="740" w:type="dxa"/>
            <w:vAlign w:val="bottom"/>
          </w:tcPr>
          <w:p>
            <w:pPr>
              <w:spacing w:after="0"/>
              <w:rPr>
                <w:sz w:val="10"/>
                <w:szCs w:val="10"/>
                <w:color w:val="auto"/>
              </w:rPr>
            </w:pPr>
          </w:p>
        </w:tc>
        <w:tc>
          <w:tcPr>
            <w:tcW w:w="680" w:type="dxa"/>
            <w:vAlign w:val="bottom"/>
          </w:tcPr>
          <w:p>
            <w:pPr>
              <w:jc w:val="center"/>
              <w:ind w:right="77"/>
              <w:spacing w:after="0" w:line="119" w:lineRule="exact"/>
              <w:rPr>
                <w:sz w:val="20"/>
                <w:szCs w:val="20"/>
                <w:color w:val="auto"/>
              </w:rPr>
            </w:pPr>
            <w:r>
              <w:rPr>
                <w:rFonts w:ascii="Times New Roman" w:cs="Times New Roman" w:eastAsia="Times New Roman" w:hAnsi="Times New Roman"/>
                <w:sz w:val="13"/>
                <w:szCs w:val="13"/>
                <w:color w:val="auto"/>
              </w:rPr>
              <w:t>Gross</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8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color w:val="auto"/>
              </w:rPr>
              <w:t>Fair</w:t>
            </w:r>
          </w:p>
        </w:tc>
        <w:tc>
          <w:tcPr>
            <w:tcW w:w="1200" w:type="dxa"/>
            <w:vAlign w:val="bottom"/>
            <w:gridSpan w:val="2"/>
          </w:tcPr>
          <w:p>
            <w:pPr>
              <w:jc w:val="center"/>
              <w:ind w:left="38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color w:val="auto"/>
              </w:rPr>
              <w:t>Fair</w:t>
            </w:r>
          </w:p>
        </w:tc>
        <w:tc>
          <w:tcPr>
            <w:tcW w:w="1420" w:type="dxa"/>
            <w:vAlign w:val="bottom"/>
            <w:gridSpan w:val="2"/>
          </w:tcPr>
          <w:p>
            <w:pPr>
              <w:jc w:val="center"/>
              <w:ind w:left="499"/>
              <w:spacing w:after="0" w:line="149" w:lineRule="exact"/>
              <w:rPr>
                <w:sz w:val="20"/>
                <w:szCs w:val="20"/>
                <w:color w:val="auto"/>
              </w:rPr>
            </w:pPr>
            <w:r>
              <w:rPr>
                <w:rFonts w:ascii="Times New Roman" w:cs="Times New Roman" w:eastAsia="Times New Roman" w:hAnsi="Times New Roman"/>
                <w:sz w:val="14"/>
                <w:szCs w:val="14"/>
                <w:color w:val="auto"/>
              </w:rPr>
              <w:t>Unrealized</w:t>
            </w:r>
          </w:p>
        </w:tc>
      </w:tr>
      <w:tr>
        <w:trPr>
          <w:trHeight w:val="178"/>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68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color w:val="auto"/>
                <w:w w:val="95"/>
              </w:rPr>
              <w:t>Value</w:t>
            </w:r>
          </w:p>
        </w:tc>
        <w:tc>
          <w:tcPr>
            <w:tcW w:w="1120" w:type="dxa"/>
            <w:vAlign w:val="bottom"/>
            <w:tcBorders>
              <w:bottom w:val="single" w:sz="8" w:color="auto"/>
            </w:tcBorders>
          </w:tcPr>
          <w:p>
            <w:pPr>
              <w:jc w:val="center"/>
              <w:ind w:left="440"/>
              <w:spacing w:after="0"/>
              <w:rPr>
                <w:sz w:val="20"/>
                <w:szCs w:val="20"/>
                <w:color w:val="auto"/>
              </w:rPr>
            </w:pPr>
            <w:r>
              <w:rPr>
                <w:rFonts w:ascii="Times New Roman" w:cs="Times New Roman" w:eastAsia="Times New Roman" w:hAnsi="Times New Roman"/>
                <w:sz w:val="14"/>
                <w:szCs w:val="14"/>
                <w:color w:val="auto"/>
              </w:rPr>
              <w:t>Losses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w w:val="95"/>
              </w:rPr>
              <w:t>Value</w:t>
            </w:r>
          </w:p>
        </w:tc>
        <w:tc>
          <w:tcPr>
            <w:tcW w:w="7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color w:val="auto"/>
              </w:rPr>
              <w:t>Losses</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74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 ¾</w:t>
            </w:r>
          </w:p>
        </w:tc>
        <w:tc>
          <w:tcPr>
            <w:tcW w:w="11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¾</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¾</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Federal debt securities</w:t>
            </w:r>
          </w:p>
        </w:tc>
        <w:tc>
          <w:tcPr>
            <w:tcW w:w="3740" w:type="dxa"/>
            <w:vAlign w:val="bottom"/>
            <w:gridSpan w:val="2"/>
          </w:tcPr>
          <w:p>
            <w:pPr>
              <w:jc w:val="right"/>
              <w:ind w:right="205"/>
              <w:spacing w:after="0"/>
              <w:rPr>
                <w:sz w:val="20"/>
                <w:szCs w:val="20"/>
                <w:color w:val="auto"/>
              </w:rPr>
            </w:pPr>
            <w:r>
              <w:rPr>
                <w:rFonts w:ascii="Times New Roman" w:cs="Times New Roman" w:eastAsia="Times New Roman" w:hAnsi="Times New Roman"/>
                <w:sz w:val="18"/>
                <w:szCs w:val="18"/>
                <w:color w:val="auto"/>
              </w:rPr>
              <w:t>¾</w:t>
            </w:r>
          </w:p>
        </w:tc>
        <w:tc>
          <w:tcPr>
            <w:tcW w:w="1120" w:type="dxa"/>
            <w:vAlign w:val="bottom"/>
          </w:tcPr>
          <w:p>
            <w:pPr>
              <w:jc w:val="right"/>
              <w:ind w:right="2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w w:val="96"/>
              </w:rPr>
              <w:t>16,428</w:t>
            </w:r>
          </w:p>
        </w:tc>
        <w:tc>
          <w:tcPr>
            <w:tcW w:w="740" w:type="dxa"/>
            <w:vAlign w:val="bottom"/>
          </w:tcPr>
          <w:p>
            <w:pPr>
              <w:spacing w:after="0"/>
              <w:rPr>
                <w:sz w:val="18"/>
                <w:szCs w:val="18"/>
                <w:color w:val="auto"/>
              </w:rPr>
            </w:pPr>
          </w:p>
        </w:tc>
        <w:tc>
          <w:tcPr>
            <w:tcW w:w="6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97"/>
              </w:rPr>
              <w:t>(195)</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74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¾</w:t>
            </w:r>
          </w:p>
        </w:tc>
        <w:tc>
          <w:tcPr>
            <w:tcW w:w="11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2,347</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8"/>
                <w:szCs w:val="18"/>
                <w:color w:val="auto"/>
              </w:rPr>
              <w:t>$ ¾</w:t>
            </w:r>
          </w:p>
        </w:tc>
        <w:tc>
          <w:tcPr>
            <w:tcW w:w="11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8"/>
                <w:szCs w:val="18"/>
                <w:color w:val="auto"/>
              </w:rPr>
              <w:t>$¾</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color w:val="auto"/>
                <w:w w:val="96"/>
              </w:rPr>
              <w:t>18,775</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w w:val="97"/>
              </w:rPr>
              <w:t>(203)</w:t>
            </w: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740" w:type="dxa"/>
            <w:vAlign w:val="bottom"/>
            <w:gridSpan w:val="2"/>
          </w:tcPr>
          <w:p>
            <w:pPr>
              <w:jc w:val="right"/>
              <w:ind w:right="1465"/>
              <w:spacing w:after="0"/>
              <w:rPr>
                <w:sz w:val="20"/>
                <w:szCs w:val="20"/>
                <w:color w:val="auto"/>
              </w:rPr>
            </w:pPr>
            <w:r>
              <w:rPr>
                <w:rFonts w:ascii="Times New Roman" w:cs="Times New Roman" w:eastAsia="Times New Roman" w:hAnsi="Times New Roman"/>
                <w:sz w:val="18"/>
                <w:szCs w:val="18"/>
                <w:color w:val="auto"/>
              </w:rPr>
              <w:t>F-11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ind w:right="5380" w:firstLine="8"/>
        <w:spacing w:after="0" w:line="378" w:lineRule="auto"/>
        <w:tabs>
          <w:tab w:leader="none" w:pos="1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¾ (Continued) Short-Term Investments – (Continued)</w:t>
      </w:r>
    </w:p>
    <w:p>
      <w:pPr>
        <w:ind w:left="2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investments in a loss position for less than twelve months consists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Aggregate</w:t>
            </w:r>
          </w:p>
        </w:tc>
        <w:tc>
          <w:tcPr>
            <w:tcW w:w="240" w:type="dxa"/>
            <w:vAlign w:val="bottom"/>
          </w:tcPr>
          <w:p>
            <w:pPr>
              <w:spacing w:after="0"/>
              <w:rPr>
                <w:sz w:val="10"/>
                <w:szCs w:val="10"/>
                <w:color w:val="auto"/>
              </w:rPr>
            </w:pPr>
          </w:p>
        </w:tc>
        <w:tc>
          <w:tcPr>
            <w:tcW w:w="560" w:type="dxa"/>
            <w:vAlign w:val="bottom"/>
          </w:tcPr>
          <w:p>
            <w:pPr>
              <w:jc w:val="center"/>
              <w:ind w:right="58"/>
              <w:spacing w:after="0" w:line="119" w:lineRule="exact"/>
              <w:rPr>
                <w:sz w:val="20"/>
                <w:szCs w:val="20"/>
                <w:color w:val="auto"/>
              </w:rPr>
            </w:pPr>
            <w:r>
              <w:rPr>
                <w:rFonts w:ascii="Times New Roman" w:cs="Times New Roman" w:eastAsia="Times New Roman" w:hAnsi="Times New Roman"/>
                <w:sz w:val="13"/>
                <w:szCs w:val="13"/>
                <w:color w:val="auto"/>
              </w:rPr>
              <w:t>Gross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jc w:val="center"/>
              <w:ind w:right="16"/>
              <w:spacing w:after="0" w:line="119" w:lineRule="exact"/>
              <w:rPr>
                <w:sz w:val="20"/>
                <w:szCs w:val="20"/>
                <w:color w:val="auto"/>
              </w:rPr>
            </w:pPr>
            <w:r>
              <w:rPr>
                <w:rFonts w:ascii="Times New Roman" w:cs="Times New Roman" w:eastAsia="Times New Roman" w:hAnsi="Times New Roman"/>
                <w:sz w:val="13"/>
                <w:szCs w:val="13"/>
                <w:color w:val="auto"/>
              </w:rPr>
              <w:t>Aggregate</w:t>
            </w:r>
          </w:p>
        </w:tc>
        <w:tc>
          <w:tcPr>
            <w:tcW w:w="700" w:type="dxa"/>
            <w:vAlign w:val="bottom"/>
          </w:tcPr>
          <w:p>
            <w:pPr>
              <w:spacing w:after="0"/>
              <w:rPr>
                <w:sz w:val="10"/>
                <w:szCs w:val="10"/>
                <w:color w:val="auto"/>
              </w:rPr>
            </w:pPr>
          </w:p>
        </w:tc>
        <w:tc>
          <w:tcPr>
            <w:tcW w:w="560" w:type="dxa"/>
            <w:vAlign w:val="bottom"/>
          </w:tcPr>
          <w:p>
            <w:pPr>
              <w:jc w:val="center"/>
              <w:ind w:right="57"/>
              <w:spacing w:after="0" w:line="119" w:lineRule="exact"/>
              <w:rPr>
                <w:sz w:val="20"/>
                <w:szCs w:val="20"/>
                <w:color w:val="auto"/>
              </w:rPr>
            </w:pPr>
            <w:r>
              <w:rPr>
                <w:rFonts w:ascii="Times New Roman" w:cs="Times New Roman" w:eastAsia="Times New Roman" w:hAnsi="Times New Roman"/>
                <w:sz w:val="13"/>
                <w:szCs w:val="13"/>
                <w:color w:val="auto"/>
              </w:rPr>
              <w:t>Gross</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Fair</w:t>
            </w:r>
          </w:p>
        </w:tc>
        <w:tc>
          <w:tcPr>
            <w:tcW w:w="146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rPr>
              <w:t>Unrealized</w:t>
            </w:r>
          </w:p>
        </w:tc>
        <w:tc>
          <w:tcPr>
            <w:tcW w:w="140" w:type="dxa"/>
            <w:vAlign w:val="bottom"/>
          </w:tcPr>
          <w:p>
            <w:pPr>
              <w:spacing w:after="0"/>
              <w:rPr>
                <w:sz w:val="12"/>
                <w:szCs w:val="12"/>
                <w:color w:val="auto"/>
              </w:rPr>
            </w:pPr>
          </w:p>
        </w:tc>
        <w:tc>
          <w:tcPr>
            <w:tcW w:w="6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color w:val="auto"/>
              </w:rPr>
              <w:t>Fair</w:t>
            </w:r>
          </w:p>
        </w:tc>
        <w:tc>
          <w:tcPr>
            <w:tcW w:w="1360" w:type="dxa"/>
            <w:vAlign w:val="bottom"/>
            <w:gridSpan w:val="3"/>
          </w:tcPr>
          <w:p>
            <w:pPr>
              <w:jc w:val="center"/>
              <w:ind w:left="379"/>
              <w:spacing w:after="0" w:line="149" w:lineRule="exact"/>
              <w:rPr>
                <w:sz w:val="20"/>
                <w:szCs w:val="20"/>
                <w:color w:val="auto"/>
              </w:rPr>
            </w:pPr>
            <w:r>
              <w:rPr>
                <w:rFonts w:ascii="Times New Roman" w:cs="Times New Roman" w:eastAsia="Times New Roman" w:hAnsi="Times New Roman"/>
                <w:sz w:val="14"/>
                <w:szCs w:val="14"/>
                <w:color w:val="auto"/>
              </w:rPr>
              <w:t>Unrealized</w:t>
            </w:r>
          </w:p>
        </w:tc>
      </w:tr>
      <w:tr>
        <w:trPr>
          <w:trHeight w:val="178"/>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Value</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Losses</w:t>
            </w: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color w:val="auto"/>
                <w:w w:val="95"/>
              </w:rPr>
              <w:t>Value</w:t>
            </w:r>
          </w:p>
        </w:tc>
        <w:tc>
          <w:tcPr>
            <w:tcW w:w="7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Losses</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33,639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¾</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¾</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Federal debt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20,324</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8,016</w:t>
            </w:r>
          </w:p>
        </w:tc>
        <w:tc>
          <w:tcPr>
            <w:tcW w:w="7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25,485</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24,553</w:t>
            </w:r>
          </w:p>
        </w:tc>
        <w:tc>
          <w:tcPr>
            <w:tcW w:w="7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79,448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32,569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gross unrealized gains for the years ended December 31, 2004 and 2005 are approximately $2,000 and $21,000, respectively.</w:t>
      </w:r>
    </w:p>
    <w:p>
      <w:pPr>
        <w:spacing w:after="0" w:line="117" w:lineRule="exact"/>
        <w:rPr>
          <w:sz w:val="20"/>
          <w:szCs w:val="20"/>
          <w:color w:val="auto"/>
        </w:rPr>
      </w:pPr>
    </w:p>
    <w:p>
      <w:pPr>
        <w:ind w:right="280" w:firstLine="22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2005, the Company recognized in other comprehensive income net unrealized losses on short-term investments of approximately $180,000.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Financial Instruments</w:t>
      </w:r>
    </w:p>
    <w:p>
      <w:pPr>
        <w:spacing w:after="0" w:line="121" w:lineRule="exact"/>
        <w:rPr>
          <w:sz w:val="20"/>
          <w:szCs w:val="20"/>
          <w:color w:val="auto"/>
        </w:rPr>
      </w:pPr>
    </w:p>
    <w:p>
      <w:pPr>
        <w:ind w:right="60" w:firstLine="222"/>
        <w:spacing w:after="0" w:line="256"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and generally does not require that its customers’ obligations to the Company be secured. The Company maintains reserves for credit losses, and such losses have been within management’s expectations. The large size and widespread nature of the Company’s customer base and lack of dependence on individual customers mitigate the risk of nonpayment of the Company’s accounts receivable. The carrying amount of the accounts receivable approximates the net realizable value. The carrying value of the Company’s financial instruments including cash and cash equivalents, short-term investments, accounts receivable, accounts payable, and accrued expenses approximates fair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All repairs and maintenance costs are expensed as incurred. Depreciation and amortization are calculated on the straight-line method over the following estimated useful lives of the assets:</w:t>
      </w:r>
    </w:p>
    <w:p>
      <w:pPr>
        <w:sectPr>
          <w:pgSz w:w="11900" w:h="16838" w:orient="portrait"/>
          <w:cols w:equalWidth="0" w:num="1">
            <w:col w:w="11420"/>
          </w:cols>
          <w:pgMar w:left="240" w:top="954" w:right="239" w:bottom="1440" w:gutter="0" w:footer="0" w:header="0"/>
        </w:sectPr>
      </w:pPr>
    </w:p>
    <w:p>
      <w:pPr>
        <w:spacing w:after="0" w:line="16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Furniture and office equipment</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Research vehicles</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Computer hardware and software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Shorter of lease term or useful life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Seven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to five years</w:t>
      </w:r>
    </w:p>
    <w:p>
      <w:pPr>
        <w:spacing w:after="0" w:line="99" w:lineRule="exact"/>
        <w:rPr>
          <w:sz w:val="20"/>
          <w:szCs w:val="20"/>
          <w:color w:val="auto"/>
        </w:rPr>
      </w:pPr>
    </w:p>
    <w:p>
      <w:pPr>
        <w:sectPr>
          <w:pgSz w:w="11900" w:h="16838" w:orient="portrait"/>
          <w:cols w:equalWidth="0" w:num="2">
            <w:col w:w="6060" w:space="720"/>
            <w:col w:w="4640"/>
          </w:cols>
          <w:pgMar w:left="240" w:top="954" w:right="239" w:bottom="1440" w:gutter="0" w:footer="0" w:header="0"/>
          <w:type w:val="continuous"/>
        </w:sectPr>
      </w:pPr>
    </w:p>
    <w:p>
      <w:pPr>
        <w:ind w:right="40" w:firstLine="225"/>
        <w:spacing w:after="0" w:line="266" w:lineRule="auto"/>
        <w:rPr>
          <w:sz w:val="20"/>
          <w:szCs w:val="20"/>
          <w:color w:val="auto"/>
        </w:rPr>
      </w:pPr>
      <w:r>
        <w:rPr>
          <w:rFonts w:ascii="Times New Roman" w:cs="Times New Roman" w:eastAsia="Times New Roman" w:hAnsi="Times New Roman"/>
          <w:sz w:val="18"/>
          <w:szCs w:val="18"/>
          <w:color w:val="auto"/>
        </w:rPr>
        <w:t>Internal use software costs are capitalized in accordance with Statement of Position No. 98-1, “Accounting for the Costs of Computer Software Developed or Obtained for Internal Use” (“SOP 98-1”). Qualifying costs incurred during the application development stage, which consist primarily of outside services and purchased software license costs, are capitalized and amortized over the estimated useful life of the asset. All other costs are expensed as incurred.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type w:val="continuous"/>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ind w:right="5360" w:firstLine="8"/>
        <w:spacing w:after="0" w:line="378" w:lineRule="auto"/>
        <w:tabs>
          <w:tab w:leader="none" w:pos="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¾ (Continued) Goodwill, Intangibles and Other Assets</w:t>
      </w:r>
    </w:p>
    <w:p>
      <w:pPr>
        <w:ind w:firstLine="225"/>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costs over the fair value of assets of businesses acquired. Goodwill and intangible assets subject to amortization that arose from acquisitions prior to July 1, 2001, have been amortized on a straight-line basis over their estimated useful lives in accordance with Accounting Principles Board Opinion No. 17, “Intangible Assets”. The Company adopted the provisions of Statement of Financial Accounting Standards No. 142, “Goodwill and Other Intangible Assets” (“SFAS 142”), as of January 1, 2002. Goodwill and intangible assets acquired in a purchase business combination and determined to have an indefinite useful life are not amortized, but instead tested for impairment at least annually in accordance with the provisions of SFAS No. 142. SFAS No. 142 also requires that intangible assets with estimable useful lives that arose from acquisitions on or after July 1, 2001 be amortized over their respective estimated useful lives using a method of amortization that reflects the pattern in which the economic benefits of the intangible assets are consumed or otherwise used up, and reviewed for impairment in accordance with Statement of Financial Accounting Standards No. 144, “Accounting for Impairment or Disposal of Long-Lived Assets”.</w:t>
      </w:r>
    </w:p>
    <w:p>
      <w:pPr>
        <w:spacing w:after="0" w:line="81" w:lineRule="exact"/>
        <w:rPr>
          <w:sz w:val="20"/>
          <w:szCs w:val="20"/>
          <w:color w:val="auto"/>
        </w:rPr>
      </w:pPr>
    </w:p>
    <w:p>
      <w:pPr>
        <w:ind w:firstLine="215"/>
        <w:spacing w:after="0" w:line="256" w:lineRule="auto"/>
        <w:rPr>
          <w:sz w:val="20"/>
          <w:szCs w:val="20"/>
          <w:color w:val="auto"/>
        </w:rPr>
      </w:pPr>
      <w:r>
        <w:rPr>
          <w:rFonts w:ascii="Times New Roman" w:cs="Times New Roman" w:eastAsia="Times New Roman" w:hAnsi="Times New Roman"/>
          <w:sz w:val="18"/>
          <w:szCs w:val="18"/>
          <w:color w:val="auto"/>
        </w:rPr>
        <w:t>Acquired technology, customer base and tradename are related to the Company’s acquisitions (See Notes 3 and 5). Acquired technology and tradename are amortized on a straight-line basis over periods ranging from two to ten years. The acquired intangible asset characterized as customer base consists of one distinct intangible asset composed of acquired customer contracts and the related customer relationships. Customer bases that arose from acquisitions prior to July 1, 2001 are amortized on a straight-line basis principally over a period of ten years. Customer bases that arose from acquisitions on or after July 1, 2001 are amortized on a 125% declining balance method over ten years. The cost of capitalized building photography is amortized on a straight-line basis over five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In accordance with Statement of Financial Accounting Standards No. 144, “Accounting for the Impairment or Disposal of Long-Lived Assets”, long-lived assets, such as property, plant,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If the carrying amount of an asset exceeds its estimated future cash flows, an impairment charge is recognized by the amount by which the carrying amount of the asset exceeds the fair value of the asset. Assets to be disposed of would be separately presented in the balance sheet and reported at the lower of the carrying amount or fair value less costs to sell, and would no longer be depreciated. The assets and liabilities of a disposed group classified as held for sale would be presented separately in the appropriate asset and liability sections of the balance sheet.</w:t>
      </w:r>
    </w:p>
    <w:p>
      <w:pPr>
        <w:spacing w:after="0" w:line="77" w:lineRule="exact"/>
        <w:rPr>
          <w:sz w:val="20"/>
          <w:szCs w:val="20"/>
          <w:color w:val="auto"/>
        </w:rPr>
      </w:pPr>
    </w:p>
    <w:p>
      <w:pPr>
        <w:ind w:firstLine="225"/>
        <w:spacing w:after="0" w:line="313" w:lineRule="auto"/>
        <w:rPr>
          <w:sz w:val="20"/>
          <w:szCs w:val="20"/>
          <w:color w:val="auto"/>
        </w:rPr>
      </w:pPr>
      <w:r>
        <w:rPr>
          <w:rFonts w:ascii="Times New Roman" w:cs="Times New Roman" w:eastAsia="Times New Roman" w:hAnsi="Times New Roman"/>
          <w:sz w:val="17"/>
          <w:szCs w:val="17"/>
          <w:color w:val="auto"/>
        </w:rPr>
        <w:t>Goodwill and intangible assets not subject to amortization are tested annually for impairment, and are tested for impairment more frequently if events and circumstances indicate that the asset might be impaired. An impairment loss is recognized to the extent that the carrying amount exceeds the asset’s fair value.</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5" w:right="2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ind w:right="5360" w:firstLine="8"/>
        <w:spacing w:after="0" w:line="378" w:lineRule="auto"/>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¾ (Continued) New Accounting Pronouncements</w:t>
      </w:r>
    </w:p>
    <w:p>
      <w:pPr>
        <w:ind w:firstLine="225"/>
        <w:spacing w:after="0" w:line="254" w:lineRule="auto"/>
        <w:rPr>
          <w:sz w:val="20"/>
          <w:szCs w:val="20"/>
          <w:color w:val="auto"/>
        </w:rPr>
      </w:pPr>
      <w:r>
        <w:rPr>
          <w:rFonts w:ascii="Times New Roman" w:cs="Times New Roman" w:eastAsia="Times New Roman" w:hAnsi="Times New Roman"/>
          <w:sz w:val="18"/>
          <w:szCs w:val="18"/>
          <w:color w:val="auto"/>
        </w:rPr>
        <w:t>In May 2005, the FASB issued SFAS No. 154, “Accounting Changes and Error Corrections—a replacement of APB Opinion No. 20 and FASB Statement No. 3” (“SFAS 154”). SFAS 154 replaces APB Opinion No. 20, “Accounting Changes” and SFAS No. 3 “Reporting Accounting Changes in Interim Financial Statements,” and changes the requirements for the accounting for and reporting of a change in accounting principle. SFAS 154 requires restatement of prior period financial statements, unless impracticable, for voluntary changes in accounting principle. The retroactive application of a change in accounting principle should be limited to the direct effect of the change. Changes in depreciation, amortization or depletion methods should be accounted for prospectively as a change in accounting estimate. Corrections of accounting errors will be accounted for under the guidance contained in APB Opinion</w:t>
      </w:r>
    </w:p>
    <w:p>
      <w:pPr>
        <w:ind w:right="420"/>
        <w:spacing w:after="0" w:line="261" w:lineRule="auto"/>
        <w:rPr>
          <w:sz w:val="20"/>
          <w:szCs w:val="20"/>
          <w:color w:val="auto"/>
        </w:rPr>
      </w:pPr>
      <w:r>
        <w:rPr>
          <w:rFonts w:ascii="Times New Roman" w:cs="Times New Roman" w:eastAsia="Times New Roman" w:hAnsi="Times New Roman"/>
          <w:sz w:val="18"/>
          <w:szCs w:val="18"/>
          <w:color w:val="auto"/>
        </w:rPr>
        <w:t>No. 20. The effective date of this new pronouncement is for fiscal years beginning after December 15, 2005 and prospective application is required. The Company does not expect the adoption of SFAS 154 to have a material impact on its consolidated financial statements.</w:t>
      </w:r>
    </w:p>
    <w:p>
      <w:pPr>
        <w:spacing w:after="0" w:line="72"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In March 2005, the FASB issued FIN No. 47, “Accounting for Conditional Asset Retirement Obligations – an interpretation of FASB Statement No. 143 “Accounting for Asset Retirement Obligations (“SFAS No. 143”)” (“FIN 47”). FIN 47 clarifies that the term conditional asset retirement obligation as used in SFAS No. 143, refers to a legal obligation to perform an asset retirement activity in which the timing and (or) method of settlement are conditional on a future event that may or may not be within the control of the entity. Accordingly, an entity is required to recognize a liability for the fair value of a conditional asset retirement obligation if the fair value of the liability can be reasonably estimated. Any uncertainty about the amount and/or timing of future settlement should be factored into the measurement of the liability when sufficient information exists. The liability for the conditional asset retirement obligation should be recognized when incurred. This Interpretation also clarifies when an entity would have sufficient information to reasonably estimate the fair value of an asset retirement obligation. FIN 47 is effective for fiscal periods beginning after December 15, 2005. The Company does not expect the adoption of FIN 47 to have a material impact on its consolidated financial statements.</w:t>
      </w:r>
    </w:p>
    <w:p>
      <w:pPr>
        <w:spacing w:after="0" w:line="81" w:lineRule="exact"/>
        <w:rPr>
          <w:sz w:val="20"/>
          <w:szCs w:val="20"/>
          <w:color w:val="auto"/>
        </w:rPr>
      </w:pPr>
    </w:p>
    <w:p>
      <w:pPr>
        <w:ind w:right="20" w:firstLine="225"/>
        <w:spacing w:after="0" w:line="253" w:lineRule="auto"/>
        <w:rPr>
          <w:sz w:val="20"/>
          <w:szCs w:val="20"/>
          <w:color w:val="auto"/>
        </w:rPr>
      </w:pPr>
      <w:r>
        <w:rPr>
          <w:rFonts w:ascii="Times New Roman" w:cs="Times New Roman" w:eastAsia="Times New Roman" w:hAnsi="Times New Roman"/>
          <w:sz w:val="18"/>
          <w:szCs w:val="18"/>
          <w:color w:val="auto"/>
        </w:rPr>
        <w:t>In December 2004, the Financial Accounting Standards Board issued Statement of Financial Accounting Standard No. 123 (Revised 2004), “Share-Based Payment” (“SFAS 123R”). Under previous practice, the reporting entity could account for share-based payment under the provisions of APB 25 and disclose pro forma share-based compensation as accounted for under the provisions of SFAS 123. Under the provisions of SFAS 123R, a public entity is required to measure the cost of employee services received in exchange for an award of equity instruments based on the grant-date fair value of the award. That cost is recognized over the period during which an employee is required to provide service in exchange for the award. SFAS 123R had an effective date for fiscal quarters beginning after June 15, 2005. In April 2005, the Securities and Exchange Commission announced the adoption of a new rule that delays the effective date of SFAS 123R until January 2006. As such, the Company will adopt its provisions for the fiscal quarter beginning January 1, 2006. Application of this pronouncement requires management to make significant judgments regarding the variables in an option pricing model, including stock price volatility and employee exercise behavior. Most of these variables are either highly dependent on the current economic environment at the date of grant or forward-looking over the expected term of the award. The Company is currently evaluating the requirements of SFAS 123R and expects that the adoption of SFAS 123R will have a material impact on its consolidated results of operations. The adoption of SFAS 123R will cause the Company to record amounts of stock option compensation expense of approximately $3.0 to $4.0 million.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21" w:lineRule="exact"/>
        <w:rPr>
          <w:sz w:val="20"/>
          <w:szCs w:val="20"/>
          <w:color w:val="auto"/>
        </w:rPr>
      </w:pPr>
    </w:p>
    <w:p>
      <w:pPr>
        <w:ind w:right="100" w:firstLine="225"/>
        <w:spacing w:after="0" w:line="254" w:lineRule="auto"/>
        <w:rPr>
          <w:sz w:val="20"/>
          <w:szCs w:val="20"/>
          <w:color w:val="auto"/>
        </w:rPr>
      </w:pPr>
      <w:r>
        <w:rPr>
          <w:rFonts w:ascii="Times New Roman" w:cs="Times New Roman" w:eastAsia="Times New Roman" w:hAnsi="Times New Roman"/>
          <w:sz w:val="18"/>
          <w:szCs w:val="18"/>
          <w:color w:val="auto"/>
        </w:rPr>
        <w:t>During January 2004, the Company completed its review of current information regarding the income tax attributes and deferred taxes related to its January 2003 acquisition of London-based Property Intelligence plc (“Property Intelligence”) recorded deferred income taxes and related goodwill of approximately $3.1 million as a result. The results of operations of Property Intelligence have been consolidated with those of the Company since the date of acquisition. The operating results of Property Intelligence are not considered material to the consolidated financial statements of the Company, and accordingly, pro forma financial information has not been presented for this acquisition. The Company generated 92% and 8% of its total revenues in the United States and the United Kingdom, respectively, for the years ended December 31, 2004 and 2005. As of December 31, 2004, 68% and 32% of the Company’s total long-lived assets, which are comprised of property and equipment, goodwill, intangibles and other assets, were located in the United States and the United Kingdom, respectively. As of December 31, 2005, 73% and 27% of the Company’s total long-lived assets, which are comprised of property and equipment, goodwill, intangibles and other assets, were located in the United States and the United Kingdom, respectively.</w:t>
      </w:r>
    </w:p>
    <w:p>
      <w:pPr>
        <w:spacing w:after="0" w:line="81" w:lineRule="exact"/>
        <w:rPr>
          <w:sz w:val="20"/>
          <w:szCs w:val="20"/>
          <w:color w:val="auto"/>
        </w:rPr>
      </w:pPr>
    </w:p>
    <w:p>
      <w:pPr>
        <w:ind w:right="20" w:firstLine="225"/>
        <w:spacing w:after="0" w:line="261" w:lineRule="auto"/>
        <w:rPr>
          <w:sz w:val="20"/>
          <w:szCs w:val="20"/>
          <w:color w:val="auto"/>
        </w:rPr>
      </w:pPr>
      <w:r>
        <w:rPr>
          <w:rFonts w:ascii="Times New Roman" w:cs="Times New Roman" w:eastAsia="Times New Roman" w:hAnsi="Times New Roman"/>
          <w:sz w:val="18"/>
          <w:szCs w:val="18"/>
          <w:color w:val="auto"/>
        </w:rPr>
        <w:t>On May 4, 2004, the Company acquired all of the outstanding capital stock of Peer Market Research, Inc. (“PeerMark”), an online provider of commercial real estate information in Nashville and Memphis, Tennessee, for $623,000 in cash and 5,318 shares of the Company’s common stock valued at approximately $207,000. In the second quarter of 2005, the Company paid the former PeerMark shareholders approximately $255,000 in additional post-closing cash consideration, pursuant to the PeerMark acquisition agreement.</w:t>
      </w:r>
    </w:p>
    <w:p>
      <w:pPr>
        <w:spacing w:after="0" w:line="72" w:lineRule="exact"/>
        <w:rPr>
          <w:sz w:val="20"/>
          <w:szCs w:val="20"/>
          <w:color w:val="auto"/>
        </w:rPr>
      </w:pPr>
    </w:p>
    <w:p>
      <w:pPr>
        <w:ind w:right="80" w:firstLine="225"/>
        <w:spacing w:after="0" w:line="266" w:lineRule="auto"/>
        <w:rPr>
          <w:sz w:val="20"/>
          <w:szCs w:val="20"/>
          <w:color w:val="auto"/>
        </w:rPr>
      </w:pPr>
      <w:r>
        <w:rPr>
          <w:rFonts w:ascii="Times New Roman" w:cs="Times New Roman" w:eastAsia="Times New Roman" w:hAnsi="Times New Roman"/>
          <w:sz w:val="18"/>
          <w:szCs w:val="18"/>
          <w:color w:val="auto"/>
        </w:rPr>
        <w:t>On June 16, 2004, our U.K. subsidiary, FOCUS Information Limited, acquired Scottish Property Network (“SPN”), a provider of online commercial property information in Scotland. The Company acquired substantially all of the assets of the SPN business, together with all of the outstanding capital stock of SPN, for approximately $1.3 million in cash.</w:t>
      </w:r>
    </w:p>
    <w:p>
      <w:pPr>
        <w:spacing w:after="0" w:line="68" w:lineRule="exact"/>
        <w:rPr>
          <w:sz w:val="20"/>
          <w:szCs w:val="20"/>
          <w:color w:val="auto"/>
        </w:rPr>
      </w:pPr>
    </w:p>
    <w:p>
      <w:pPr>
        <w:ind w:right="420" w:firstLine="225"/>
        <w:spacing w:after="0" w:line="282" w:lineRule="auto"/>
        <w:rPr>
          <w:sz w:val="20"/>
          <w:szCs w:val="20"/>
          <w:color w:val="auto"/>
        </w:rPr>
      </w:pPr>
      <w:r>
        <w:rPr>
          <w:rFonts w:ascii="Times New Roman" w:cs="Times New Roman" w:eastAsia="Times New Roman" w:hAnsi="Times New Roman"/>
          <w:sz w:val="18"/>
          <w:szCs w:val="18"/>
          <w:color w:val="auto"/>
        </w:rPr>
        <w:t>On September 17, 2004, the Company acquired substantially all of the assets of RealComp, Inc. (“RealComp”), a local comparable sales information provider in Denver, Colorado, for approximately $350,000 in cash.</w:t>
      </w:r>
    </w:p>
    <w:p>
      <w:pPr>
        <w:spacing w:after="0" w:line="54" w:lineRule="exact"/>
        <w:rPr>
          <w:sz w:val="20"/>
          <w:szCs w:val="20"/>
          <w:color w:val="auto"/>
        </w:rPr>
      </w:pPr>
    </w:p>
    <w:p>
      <w:pPr>
        <w:ind w:right="100" w:firstLine="225"/>
        <w:spacing w:after="0" w:line="266" w:lineRule="auto"/>
        <w:rPr>
          <w:sz w:val="20"/>
          <w:szCs w:val="20"/>
          <w:color w:val="auto"/>
        </w:rPr>
      </w:pPr>
      <w:r>
        <w:rPr>
          <w:rFonts w:ascii="Times New Roman" w:cs="Times New Roman" w:eastAsia="Times New Roman" w:hAnsi="Times New Roman"/>
          <w:sz w:val="18"/>
          <w:szCs w:val="18"/>
          <w:color w:val="auto"/>
        </w:rPr>
        <w:t>On January 20, 2005, the Company acquired the assets of National Research Bureau (“NRB”), a leading provider of property information to the shopping center industry, from Claritas Inc. for approximately $4.1 million in cash. NRB has over 45 years of experience as a leading producer of information to the retail real estate industry, principally through its Shopping Center Directory and Shopping Center Directory on CD-ROM.</w:t>
      </w:r>
    </w:p>
    <w:p>
      <w:pPr>
        <w:spacing w:after="0" w:line="68" w:lineRule="exact"/>
        <w:rPr>
          <w:sz w:val="20"/>
          <w:szCs w:val="20"/>
          <w:color w:val="auto"/>
        </w:rPr>
      </w:pPr>
    </w:p>
    <w:p>
      <w:pPr>
        <w:ind w:right="120" w:firstLine="215"/>
        <w:spacing w:after="0" w:line="266" w:lineRule="auto"/>
        <w:rPr>
          <w:sz w:val="20"/>
          <w:szCs w:val="20"/>
          <w:color w:val="auto"/>
        </w:rPr>
      </w:pPr>
      <w:r>
        <w:rPr>
          <w:rFonts w:ascii="Times New Roman" w:cs="Times New Roman" w:eastAsia="Times New Roman" w:hAnsi="Times New Roman"/>
          <w:sz w:val="18"/>
          <w:szCs w:val="18"/>
          <w:color w:val="auto"/>
        </w:rPr>
        <w:t>All of the Company’s acquisitions have been accounted for using purchase accounting. The purchase price for each acquisition was allocated primarily to acquired database technology and customer base. The acquired database technology for each acquisition is being amortized on a straight-line basis over 5 years.</w:t>
      </w:r>
    </w:p>
    <w:p>
      <w:pPr>
        <w:spacing w:after="0" w:line="68" w:lineRule="exact"/>
        <w:rPr>
          <w:sz w:val="20"/>
          <w:szCs w:val="20"/>
          <w:color w:val="auto"/>
        </w:rPr>
      </w:pPr>
    </w:p>
    <w:p>
      <w:pPr>
        <w:ind w:firstLine="222"/>
        <w:spacing w:after="0" w:line="258" w:lineRule="auto"/>
        <w:rPr>
          <w:sz w:val="20"/>
          <w:szCs w:val="20"/>
          <w:color w:val="auto"/>
        </w:rPr>
      </w:pPr>
      <w:r>
        <w:rPr>
          <w:rFonts w:ascii="Times New Roman" w:cs="Times New Roman" w:eastAsia="Times New Roman" w:hAnsi="Times New Roman"/>
          <w:sz w:val="18"/>
          <w:szCs w:val="18"/>
          <w:color w:val="auto"/>
        </w:rPr>
        <w:t>The customer base for each acquisition, which consists of one distinct intangible asset composed of acquired customer contracts and the related customer relationships, is being amortized on a 125% declining balance method over 10 years. Goodwill is not amortized, but is subject to annual impairment tests. The results of operations of PeerMark, SPN, RealComp and NRB have been consolidated with those of the Company since the respective dates of acquisition and are not considered material to the consolidated financial statements of the Company. Accordingly, pro forma financial information has not been presented for any of the acquisitions.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3,823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Furniture, office equipment and research vehicles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11,899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20,414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(22,647)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(21,231)</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GOODWILL</w:t>
            </w:r>
          </w:p>
        </w:tc>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60" w:type="dxa"/>
            <w:vAlign w:val="bottom"/>
            <w:gridSpan w:val="2"/>
            <w:vMerge w:val="continue"/>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consists of the following (in thousands):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53,160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41,937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0" w:firstLine="225"/>
        <w:spacing w:after="0" w:line="258" w:lineRule="auto"/>
        <w:rPr>
          <w:sz w:val="20"/>
          <w:szCs w:val="20"/>
          <w:color w:val="auto"/>
        </w:rPr>
      </w:pPr>
      <w:r>
        <w:rPr>
          <w:rFonts w:ascii="Times New Roman" w:cs="Times New Roman" w:eastAsia="Times New Roman" w:hAnsi="Times New Roman"/>
          <w:sz w:val="18"/>
          <w:szCs w:val="18"/>
          <w:color w:val="auto"/>
        </w:rPr>
        <w:t>During January 2004, the Company completed its review of current information regarding the income tax attributes and deferred taxes related to the Property Intelligence plc acquisition and recorded deferred income taxes and related goodwill of approximately $3.1 million. In June 2004, the Company also recorded deferred income taxes and related goodwill of approximately $400,000 for the SPN acquisition. The amortization of these identified intangible assets is non-deductible for income tax purposes, and as a result, the Company realizes an income tax benefit as the deferred income taxes are reduced in connection with the related amortization of these assets over their estimated useful lives.</w:t>
      </w:r>
    </w:p>
    <w:p>
      <w:pPr>
        <w:spacing w:after="0" w:line="76" w:lineRule="exact"/>
        <w:rPr>
          <w:sz w:val="20"/>
          <w:szCs w:val="20"/>
          <w:color w:val="auto"/>
        </w:rPr>
      </w:pPr>
    </w:p>
    <w:p>
      <w:pPr>
        <w:ind w:right="120" w:firstLine="222"/>
        <w:spacing w:after="0" w:line="266" w:lineRule="auto"/>
        <w:rPr>
          <w:sz w:val="20"/>
          <w:szCs w:val="20"/>
          <w:color w:val="auto"/>
        </w:rPr>
      </w:pPr>
      <w:r>
        <w:rPr>
          <w:rFonts w:ascii="Times New Roman" w:cs="Times New Roman" w:eastAsia="Times New Roman" w:hAnsi="Times New Roman"/>
          <w:sz w:val="18"/>
          <w:szCs w:val="18"/>
          <w:color w:val="auto"/>
        </w:rPr>
        <w:t>The Company recorded goodwill of approximately $96,000 in connection with the PeerMark acquisition in May 2004 and subsequently adjusted the amount recorded to reflect the post-closing consideration paid to the PeerMark Shareholders. The Company recorded goodwill of approximately $58,000 for the RealComp acquisition in September 2004.</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recorded goodwill of approximately $3.4 million for the NRB acquisition in January 2005.</w:t>
      </w:r>
    </w:p>
    <w:p>
      <w:pPr>
        <w:spacing w:after="0" w:line="117" w:lineRule="exact"/>
        <w:rPr>
          <w:sz w:val="20"/>
          <w:szCs w:val="20"/>
          <w:color w:val="auto"/>
        </w:rPr>
      </w:pPr>
    </w:p>
    <w:p>
      <w:pPr>
        <w:ind w:right="620" w:firstLine="225"/>
        <w:spacing w:after="0" w:line="282" w:lineRule="auto"/>
        <w:rPr>
          <w:sz w:val="20"/>
          <w:szCs w:val="20"/>
          <w:color w:val="auto"/>
        </w:rPr>
      </w:pPr>
      <w:r>
        <w:rPr>
          <w:rFonts w:ascii="Times New Roman" w:cs="Times New Roman" w:eastAsia="Times New Roman" w:hAnsi="Times New Roman"/>
          <w:sz w:val="18"/>
          <w:szCs w:val="18"/>
          <w:color w:val="auto"/>
        </w:rPr>
        <w:t>During the fourth quarters of 2004 and 2005, the Company completed the annual impairment test of goodwill and concluded that goodwill was not impaired.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INTANGIBLES AND OTHER ASSETS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Intangibles and other assets consists of the following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7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photography</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5,253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5,922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(4,552)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(4,853)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photography, net</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1,069</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database technology</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20,259</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20,626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(18,323)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(19,096)</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database technology, net</w:t>
            </w:r>
          </w:p>
        </w:tc>
        <w:tc>
          <w:tcPr>
            <w:tcW w:w="2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customer base</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43,540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43,324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(20,667)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(24,804)</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customer base, net</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22,873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18,520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tradename</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4,198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4,198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(2,051)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(2,470)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tradename, net</w:t>
            </w:r>
          </w:p>
        </w:tc>
        <w:tc>
          <w:tcPr>
            <w:tcW w:w="2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and other assets, net</w:t>
            </w:r>
          </w:p>
        </w:tc>
        <w:tc>
          <w:tcPr>
            <w:tcW w:w="2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27,657</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22,847</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320" w:firstLine="215"/>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intangibles and other assets was approximately $8.3 million, $7.5 million and $6.0 million for the years ended December 31, 2003, 2004 and 2005, respectively.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aggregate, amortization for intangibles and other assets existing as of December 31, 2005 for future periods is expected to be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million, $5.0 million, $4.8 million, $3.2 million and $1.4 million for the years ending December 31, 2006, 2007, 2008, 2009 and 2010,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attributable to operations consist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368"/>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¾</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w w:val="88"/>
              </w:rPr>
              <w:t>¾</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¾</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127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¾</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(13,361)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¾</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4"/>
          </w:tcPr>
          <w:p>
            <w:pPr>
              <w:jc w:val="right"/>
              <w:ind w:right="308"/>
              <w:spacing w:after="0"/>
              <w:rPr>
                <w:sz w:val="20"/>
                <w:szCs w:val="20"/>
                <w:color w:val="auto"/>
              </w:rPr>
            </w:pPr>
            <w:r>
              <w:rPr>
                <w:rFonts w:ascii="Times New Roman" w:cs="Times New Roman" w:eastAsia="Times New Roman" w:hAnsi="Times New Roman"/>
                <w:sz w:val="18"/>
                <w:szCs w:val="18"/>
                <w:color w:val="auto"/>
              </w:rPr>
              <w:t>(2,764)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¾</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(927)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¾</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(16,925)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The components of deferred tax assets and liabilities consists of the following (in thousands):</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Reserve for bad debts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28,491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¾</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1,365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30,889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28,228</w:t>
            </w:r>
          </w:p>
        </w:tc>
        <w:tc>
          <w:tcPr>
            <w:tcW w:w="0" w:type="dxa"/>
            <w:vAlign w:val="bottom"/>
          </w:tcPr>
          <w:p>
            <w:pPr>
              <w:spacing w:after="0"/>
              <w:rPr>
                <w:sz w:val="1"/>
                <w:szCs w:val="1"/>
                <w:color w:val="auto"/>
              </w:rPr>
            </w:pPr>
          </w:p>
        </w:tc>
      </w:tr>
      <w:tr>
        <w:trPr>
          <w:trHeight w:val="439"/>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Identified intangibles associated with purchase accounting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23,672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23,125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740" w:firstLine="222"/>
        <w:spacing w:after="0" w:line="282" w:lineRule="auto"/>
        <w:rPr>
          <w:sz w:val="20"/>
          <w:szCs w:val="20"/>
          <w:color w:val="auto"/>
        </w:rPr>
      </w:pPr>
      <w:r>
        <w:rPr>
          <w:rFonts w:ascii="Times New Roman" w:cs="Times New Roman" w:eastAsia="Times New Roman" w:hAnsi="Times New Roman"/>
          <w:sz w:val="18"/>
          <w:szCs w:val="18"/>
          <w:color w:val="auto"/>
        </w:rPr>
        <w:t>The net long-term deferred tax liability shown on the balance sheet includes deferred tax liabilities and assets related to the U.K operations of the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 ¾ (Continued)</w:t>
      </w:r>
    </w:p>
    <w:p>
      <w:pPr>
        <w:spacing w:after="0" w:line="121" w:lineRule="exact"/>
        <w:rPr>
          <w:sz w:val="20"/>
          <w:szCs w:val="20"/>
          <w:color w:val="auto"/>
        </w:rPr>
      </w:pPr>
    </w:p>
    <w:p>
      <w:pPr>
        <w:ind w:right="540" w:firstLine="222"/>
        <w:spacing w:after="0" w:line="266" w:lineRule="auto"/>
        <w:rPr>
          <w:sz w:val="20"/>
          <w:szCs w:val="20"/>
          <w:color w:val="auto"/>
        </w:rPr>
      </w:pPr>
      <w:r>
        <w:rPr>
          <w:rFonts w:ascii="Times New Roman" w:cs="Times New Roman" w:eastAsia="Times New Roman" w:hAnsi="Times New Roman"/>
          <w:sz w:val="18"/>
          <w:szCs w:val="18"/>
          <w:color w:val="auto"/>
        </w:rPr>
        <w:t>The total net deferred tax asset of approximately $23.2 million shown on the balance sheet includes the tax liabilities and assets related to the U.S. operations of the Company. The net deferred tax liability related to the U.K operations is shown separately because the U.K. operations are subject to a separate taxing jurisdiction.</w:t>
      </w:r>
    </w:p>
    <w:p>
      <w:pPr>
        <w:spacing w:after="0" w:line="68" w:lineRule="exact"/>
        <w:rPr>
          <w:sz w:val="20"/>
          <w:szCs w:val="20"/>
          <w:color w:val="auto"/>
        </w:rPr>
      </w:pPr>
    </w:p>
    <w:p>
      <w:pPr>
        <w:ind w:right="200" w:firstLine="22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2005, a valuation allowance has been established primarily for certain state net operating loss carryforwards due to the uncertainty of realization. For the year ended December 31, 2004, management determined that because of the continuing improvement of operating results and the Company’s outlook for the future it was more likely than not that the Company would realize approximately $23.1 million of its net deferred tax assets through future taxable earnings. A valuation allowance continued to be established for certain state net operating loss carryforwards due to the uncertainty of realization. Approximately $9.5 million of the release of the valuation allowance was recorded directly to additional paid-in capital as the related deferred tax asset was generated from the exercise of employee stock options.</w:t>
      </w:r>
    </w:p>
    <w:p>
      <w:pPr>
        <w:spacing w:after="0" w:line="80" w:lineRule="exact"/>
        <w:rPr>
          <w:sz w:val="20"/>
          <w:szCs w:val="20"/>
          <w:color w:val="auto"/>
        </w:rPr>
      </w:pPr>
    </w:p>
    <w:p>
      <w:pPr>
        <w:jc w:val="both"/>
        <w:ind w:right="320" w:firstLine="222"/>
        <w:spacing w:after="0" w:line="266" w:lineRule="auto"/>
        <w:rPr>
          <w:sz w:val="20"/>
          <w:szCs w:val="20"/>
          <w:color w:val="auto"/>
        </w:rPr>
      </w:pPr>
      <w:r>
        <w:rPr>
          <w:rFonts w:ascii="Times New Roman" w:cs="Times New Roman" w:eastAsia="Times New Roman" w:hAnsi="Times New Roman"/>
          <w:sz w:val="18"/>
          <w:szCs w:val="18"/>
          <w:color w:val="auto"/>
        </w:rPr>
        <w:t>The Company’s change in valuation allowance was approximately $(27.6) million and $140,000 during the years ended December 31, 2004 and 2005, respectively. For the year ended December 31, 2005, the Company had income of approximately $13.3 million subject to applicable U.S. federal and state income tax laws and a loss of approximately $2.5 million subject to applicable U.K. tax laws.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Company’s provision for income taxes resulted in effective tax rates that varied from the statutory federal income tax rate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42"/>
        </w:trPr>
        <w:tc>
          <w:tcPr>
            <w:tcW w:w="7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federal income tax (benefit) provision at 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2,847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3,670</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533</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taxes, net effect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14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(20,057)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(16,925</w:t>
            </w:r>
          </w:p>
        </w:tc>
        <w:tc>
          <w:tcPr>
            <w:tcW w:w="60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32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paid approximately $184,000, $112,000 and $95,000 in income taxes for the years ended December 31, 2003, 2004 and 2005, respectively.</w:t>
      </w:r>
    </w:p>
    <w:p>
      <w:pPr>
        <w:spacing w:after="0" w:line="117" w:lineRule="exact"/>
        <w:rPr>
          <w:sz w:val="20"/>
          <w:szCs w:val="20"/>
          <w:color w:val="auto"/>
        </w:rPr>
      </w:pPr>
    </w:p>
    <w:p>
      <w:pPr>
        <w:ind w:firstLine="215"/>
        <w:spacing w:after="0" w:line="266" w:lineRule="auto"/>
        <w:rPr>
          <w:sz w:val="20"/>
          <w:szCs w:val="20"/>
          <w:color w:val="auto"/>
        </w:rPr>
      </w:pPr>
      <w:r>
        <w:rPr>
          <w:rFonts w:ascii="Times New Roman" w:cs="Times New Roman" w:eastAsia="Times New Roman" w:hAnsi="Times New Roman"/>
          <w:sz w:val="18"/>
          <w:szCs w:val="18"/>
          <w:color w:val="auto"/>
        </w:rPr>
        <w:t>At December 31, 2005, the Company has net operating loss carryforwards for federal income tax purposes of approximately $63.0 million, which expire, if unused, from the year 2013 through the year 2023. The Company has net operating loss carryforwards for U.K. income tax purposes of approximately $3.4 million, which do not expire. The Company also has alternative minimum tax credit carryforwards of approximately $425,000.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21" w:lineRule="exact"/>
        <w:rPr>
          <w:sz w:val="20"/>
          <w:szCs w:val="20"/>
          <w:color w:val="auto"/>
        </w:rPr>
      </w:pPr>
    </w:p>
    <w:p>
      <w:pPr>
        <w:ind w:right="80" w:firstLine="222"/>
        <w:spacing w:after="0" w:line="282" w:lineRule="auto"/>
        <w:rPr>
          <w:sz w:val="20"/>
          <w:szCs w:val="20"/>
          <w:color w:val="auto"/>
        </w:rPr>
      </w:pPr>
      <w:r>
        <w:rPr>
          <w:rFonts w:ascii="Times New Roman" w:cs="Times New Roman" w:eastAsia="Times New Roman" w:hAnsi="Times New Roman"/>
          <w:sz w:val="18"/>
          <w:szCs w:val="18"/>
          <w:color w:val="auto"/>
        </w:rPr>
        <w:t>The Company leases office facilities and office equipment under various noncancelable operating leases. The leases contain various renewal options. Rent expense for the years ended December 31, 2003, 2004 and 2005 was approximately $5.7 million, $6.1 million and $6.8 million, respectively.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Future minimum lease payments as of December 31, 2005 are as follows (in thousands):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7,217</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6,652</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5,408</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4,685</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1,996</w:t>
            </w: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2011 and thereafter</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6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28,467</w:t>
            </w:r>
          </w:p>
        </w:tc>
      </w:tr>
      <w:tr>
        <w:trPr>
          <w:trHeight w:val="20"/>
        </w:trPr>
        <w:tc>
          <w:tcPr>
            <w:tcW w:w="3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Currently, and from time to time, the Company is involved in litigation incidental to the conduct of its business. The Company is not a party to any lawsuit or proceeding that, in the opinion of management, is likely to have a material adverse effect on its financial position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RESTRUCTURING CHARGES</w:t>
      </w:r>
    </w:p>
    <w:p>
      <w:pPr>
        <w:spacing w:after="0" w:line="121"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Effective July 21, 2005, the Company closed its research center in Mason, Ohio (the “Mason Operations”). The closing of the Mason Operations resulted in a one-time pre-tax restructuring charge of approximately $2.2 million recorded in the third quarter of 2005. The third quarter restructuring charge included amounts for wages, severance, occupancy and other costs. Below is a summary of the expense recorded and the activity related to restructuring. The estimates have been made based upon management’s best estimate of amounts and timing of certain events included in the restructuring plan that will occur in the future. It is possible that the actual outcome of certain events may differ from estimates. Changes will be made to the restructuring accrual at the point that any such differences become determinable.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expenses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2005 charges</w:t>
            </w: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Accrual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Original Charge</w:t>
            </w:r>
          </w:p>
        </w:tc>
        <w:tc>
          <w:tcPr>
            <w:tcW w:w="7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utilized</w:t>
            </w:r>
          </w:p>
        </w:tc>
        <w:tc>
          <w:tcPr>
            <w:tcW w:w="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31, 2005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28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Wages, severance, and other costs</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restructuring charge</w:t>
            </w:r>
          </w:p>
        </w:tc>
        <w:tc>
          <w:tcPr>
            <w:tcW w:w="23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1,180</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color w:val="auto"/>
              </w:rPr>
              <w:t>F-20</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ind w:right="8820" w:firstLine="8"/>
        <w:spacing w:after="0" w:line="378"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Preferred Stock</w:t>
      </w:r>
    </w:p>
    <w:p>
      <w:pPr>
        <w:ind w:right="20" w:firstLine="222"/>
        <w:spacing w:after="0" w:line="282" w:lineRule="auto"/>
        <w:rPr>
          <w:sz w:val="20"/>
          <w:szCs w:val="20"/>
          <w:color w:val="auto"/>
        </w:rPr>
      </w:pPr>
      <w:r>
        <w:rPr>
          <w:rFonts w:ascii="Times New Roman" w:cs="Times New Roman" w:eastAsia="Times New Roman" w:hAnsi="Times New Roman"/>
          <w:sz w:val="18"/>
          <w:szCs w:val="18"/>
          <w:color w:val="auto"/>
        </w:rPr>
        <w:t>The Company has 2,000,000 shares of preferred stock, $0.01 par value, authorized for issuance. The Board of Directors may issue the preferred stock from time to time as shares of one or more classes or series.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20" w:firstLine="222"/>
        <w:spacing w:after="0" w:line="261" w:lineRule="auto"/>
        <w:rPr>
          <w:sz w:val="20"/>
          <w:szCs w:val="20"/>
          <w:color w:val="auto"/>
        </w:rPr>
      </w:pPr>
      <w:r>
        <w:rPr>
          <w:rFonts w:ascii="Times New Roman" w:cs="Times New Roman" w:eastAsia="Times New Roman" w:hAnsi="Times New Roman"/>
          <w:sz w:val="18"/>
          <w:szCs w:val="18"/>
          <w:color w:val="auto"/>
        </w:rPr>
        <w:t>The Company has 30,000,000 shares of common stock, $0.01 par value,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income per share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42"/>
        </w:trPr>
        <w:tc>
          <w:tcPr>
            <w:tcW w:w="7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12"/>
                <w:szCs w:val="12"/>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24,985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6,457</w:t>
            </w:r>
          </w:p>
        </w:tc>
      </w:tr>
      <w:tr>
        <w:trPr>
          <w:trHeight w:val="20"/>
        </w:trPr>
        <w:tc>
          <w:tcPr>
            <w:tcW w:w="7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Denominator for basic net income per share ¾ weighted-average outstanding shares</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16,202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18,165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18,453</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options and warrants</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554</w:t>
            </w:r>
          </w:p>
        </w:tc>
      </w:tr>
      <w:tr>
        <w:trPr>
          <w:trHeight w:val="27"/>
        </w:trPr>
        <w:tc>
          <w:tcPr>
            <w:tcW w:w="7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Denominator for diluted net income per share ¾ weighted-average outstanding shares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16,674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18,827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19,007</w:t>
            </w:r>
          </w:p>
        </w:tc>
      </w:tr>
      <w:tr>
        <w:trPr>
          <w:trHeight w:val="20"/>
        </w:trPr>
        <w:tc>
          <w:tcPr>
            <w:tcW w:w="7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¾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0.35</w:t>
            </w:r>
          </w:p>
        </w:tc>
      </w:tr>
      <w:tr>
        <w:trPr>
          <w:trHeight w:val="20"/>
        </w:trPr>
        <w:tc>
          <w:tcPr>
            <w:tcW w:w="7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¾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1.33</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7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0" w:firstLine="225"/>
        <w:spacing w:after="0" w:line="255" w:lineRule="auto"/>
        <w:rPr>
          <w:sz w:val="20"/>
          <w:szCs w:val="20"/>
          <w:color w:val="auto"/>
        </w:rPr>
      </w:pPr>
      <w:r>
        <w:rPr>
          <w:rFonts w:ascii="Times New Roman" w:cs="Times New Roman" w:eastAsia="Times New Roman" w:hAnsi="Times New Roman"/>
          <w:sz w:val="18"/>
          <w:szCs w:val="18"/>
          <w:color w:val="auto"/>
        </w:rPr>
        <w:t>Stock options and warrants to purchase approximately 1,450,000 shares were outstanding as of December 31, 2003, but were not included in the computation of diluted earnings per share because the exercise price of the stock options was greater than the average share price of the common shares and, therefore, the effect would have been anti-dilutive. Stock options to purchase approximately 1,188,000 shares were outstanding as of December 31, 2004, but were not included in the computation of diluted earnings per share because the exercise price of the stock options was greater than the average share price of the common shares and, therefore, the effect would have been anti-dilutive. Stock options to purchase approximately 921,000 were outstanding as of December 31, 2005, but were not included in the computation of diluted earnings per share because the exercise price of the stock options was greater than the average share price of the common shares and, therefore, the effect would have been anti-dilutive.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ind w:right="8640" w:firstLine="8"/>
        <w:spacing w:after="0" w:line="378" w:lineRule="auto"/>
        <w:tabs>
          <w:tab w:leader="none" w:pos="27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Stock Incentive Plan</w:t>
      </w:r>
    </w:p>
    <w:p>
      <w:pPr>
        <w:ind w:firstLine="225"/>
        <w:spacing w:after="0" w:line="255" w:lineRule="auto"/>
        <w:rPr>
          <w:sz w:val="20"/>
          <w:szCs w:val="20"/>
          <w:color w:val="auto"/>
        </w:rPr>
      </w:pPr>
      <w:r>
        <w:rPr>
          <w:rFonts w:ascii="Times New Roman" w:cs="Times New Roman" w:eastAsia="Times New Roman" w:hAnsi="Times New Roman"/>
          <w:sz w:val="18"/>
          <w:szCs w:val="18"/>
          <w:color w:val="auto"/>
        </w:rPr>
        <w:t>In June 1998 the Company’s Board of Directors adopted the 1998 Stock Incentive Plan (the “1998 Plan”) prior to consummation of the Company’s initial public offering. The 1998 Plan provides for the grant of stock and stock options to officers, directors and employees of the Company and its subsidiaries. Options granted under the 1998 Plan may be incentive or non-qualified stock options. The exercise price for an incentive stock option may not be less than the fair market value of the Company’s common stock on the date of grant. The vesting period of the options and restricted stock grants is determined by the Board of Directors and is generally four years. Upon the occurrence of a Change of Control, as defined in the 1998 Plan, all outstanding unexercisable options and restricted stock grants under the 1998 Plan immediately become exercisable. The Company has reserved 3,750,000 shares of common stock for issuance under the 1998 Plan. Unless terminated sooner by the Board of Directors, the 1998 Plan will terminate in 2008. Approximately 413,000 and 440,000 shares were available for future grant under the 1998 Plan as of December 31, 2004 and 2005, respectively.</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Option activity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720" w:type="dxa"/>
            <w:vAlign w:val="bottom"/>
            <w:gridSpan w:val="3"/>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920" w:type="dxa"/>
            <w:vAlign w:val="bottom"/>
            <w:gridSpan w:val="3"/>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10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2,097,273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9"/>
              </w:rPr>
              <w:t>- $52.13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476,500</w:t>
            </w: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9"/>
              </w:rPr>
              <w:t>- $42.10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(397,834)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9"/>
              </w:rPr>
              <w:t>- $38.46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Canceled or expired</w:t>
            </w:r>
          </w:p>
        </w:tc>
        <w:tc>
          <w:tcPr>
            <w:tcW w:w="17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(254,613)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9"/>
              </w:rPr>
              <w:t>- $52.13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1,921,326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9"/>
              </w:rPr>
              <w:t>- $52.13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487,000</w:t>
            </w: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9"/>
              </w:rPr>
              <w:t>- $45.18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(424,166)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9"/>
              </w:rPr>
              <w:t>- $37.13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Canceled or expired</w:t>
            </w:r>
          </w:p>
        </w:tc>
        <w:tc>
          <w:tcPr>
            <w:tcW w:w="17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(133,826)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9"/>
              </w:rPr>
              <w:t>- $44.86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1,850,334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9"/>
              </w:rPr>
              <w:t>- $52.13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9"/>
              </w:rPr>
              <w:t>- $43.17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(292,474)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9"/>
              </w:rPr>
              <w:t>- $44.86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Canceled or expired</w:t>
            </w:r>
          </w:p>
        </w:tc>
        <w:tc>
          <w:tcPr>
            <w:tcW w:w="17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(93,963)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9"/>
              </w:rPr>
              <w:t>- $45.18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1,473,897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9"/>
              </w:rPr>
              <w:t>- $52.13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December 31, 2003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940,477</w:t>
            </w:r>
          </w:p>
        </w:tc>
        <w:tc>
          <w:tcPr>
            <w:tcW w:w="7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9"/>
              </w:rPr>
              <w:t>- $52.13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2004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886,494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9"/>
              </w:rPr>
              <w:t>- $52.13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2005</w:t>
            </w:r>
          </w:p>
        </w:tc>
        <w:tc>
          <w:tcPr>
            <w:tcW w:w="1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3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8"/>
                <w:szCs w:val="18"/>
                <w:color w:val="auto"/>
                <w:w w:val="99"/>
              </w:rPr>
              <w:t>- $52.13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960,454</w:t>
            </w:r>
          </w:p>
        </w:tc>
        <w:tc>
          <w:tcPr>
            <w:tcW w:w="2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60" w:firstLine="225"/>
        <w:spacing w:after="0" w:line="282" w:lineRule="auto"/>
        <w:rPr>
          <w:sz w:val="20"/>
          <w:szCs w:val="20"/>
          <w:color w:val="auto"/>
        </w:rPr>
      </w:pPr>
      <w:r>
        <w:rPr>
          <w:rFonts w:ascii="Times New Roman" w:cs="Times New Roman" w:eastAsia="Times New Roman" w:hAnsi="Times New Roman"/>
          <w:sz w:val="18"/>
          <w:szCs w:val="18"/>
          <w:color w:val="auto"/>
        </w:rPr>
        <w:t>For the purposes of the disclosure required by FAS 123, the fair value of each option granted during the years ended December 2003, 2004 and 2005 was $18.21, $28.90 and $26.65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ind w:right="7720" w:firstLine="8"/>
        <w:spacing w:after="0" w:line="378" w:lineRule="auto"/>
        <w:tabs>
          <w:tab w:leader="none" w:pos="27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(continued) Stock Incentive Plan (continued)</w:t>
      </w:r>
    </w:p>
    <w:p>
      <w:pPr>
        <w:ind w:right="300" w:firstLine="222"/>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each option granted on the date of grant using the Black-Scholes option-pricing model, using the assumptions noted in the following table:</w:t>
      </w:r>
    </w:p>
    <w:p>
      <w:pPr>
        <w:spacing w:after="0" w:line="155"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1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r>
      <w:tr>
        <w:trPr>
          <w:trHeight w:val="142"/>
        </w:trPr>
        <w:tc>
          <w:tcPr>
            <w:tcW w:w="4260" w:type="dxa"/>
            <w:vAlign w:val="bottom"/>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340" w:type="dxa"/>
            <w:vAlign w:val="bottom"/>
          </w:tcPr>
          <w:p>
            <w:pPr>
              <w:spacing w:after="0"/>
              <w:rPr>
                <w:sz w:val="12"/>
                <w:szCs w:val="12"/>
                <w:color w:val="auto"/>
              </w:rPr>
            </w:pPr>
          </w:p>
        </w:tc>
        <w:tc>
          <w:tcPr>
            <w:tcW w:w="6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6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w:t>
            </w:r>
          </w:p>
        </w:tc>
      </w:tr>
    </w:tbl>
    <w:p>
      <w:pPr>
        <w:spacing w:after="0" w:line="71"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Pro forma compensation expense for stock option plans would reduce the Company’s net income as described in the “Summary of Significant Accounting Policies” as required by SFAS No. 148.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options outstanding at December 31, 2005: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4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580" w:type="dxa"/>
            <w:vAlign w:val="bottom"/>
          </w:tcPr>
          <w:p>
            <w:pPr>
              <w:spacing w:after="0"/>
              <w:rPr>
                <w:sz w:val="12"/>
                <w:szCs w:val="12"/>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20" w:type="dxa"/>
            <w:vAlign w:val="bottom"/>
          </w:tcPr>
          <w:p>
            <w:pPr>
              <w:spacing w:after="0"/>
              <w:rPr>
                <w:sz w:val="12"/>
                <w:szCs w:val="12"/>
                <w:color w:val="auto"/>
              </w:rPr>
            </w:pPr>
          </w:p>
        </w:tc>
        <w:tc>
          <w:tcPr>
            <w:tcW w:w="14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20" w:type="dxa"/>
            <w:vAlign w:val="bottom"/>
          </w:tcPr>
          <w:p>
            <w:pPr>
              <w:spacing w:after="0"/>
              <w:rPr>
                <w:sz w:val="12"/>
                <w:szCs w:val="12"/>
                <w:color w:val="auto"/>
              </w:rPr>
            </w:pP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2"/>
                <w:szCs w:val="12"/>
                <w:color w:val="auto"/>
              </w:rPr>
            </w:pPr>
          </w:p>
        </w:tc>
        <w:tc>
          <w:tcPr>
            <w:tcW w:w="14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4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420" w:type="dxa"/>
            <w:vAlign w:val="bottom"/>
          </w:tcPr>
          <w:p>
            <w:pPr>
              <w:spacing w:after="0"/>
              <w:rPr>
                <w:sz w:val="15"/>
                <w:szCs w:val="15"/>
                <w:color w:val="auto"/>
              </w:rPr>
            </w:pPr>
          </w:p>
        </w:tc>
        <w:tc>
          <w:tcPr>
            <w:tcW w:w="14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5"/>
                <w:szCs w:val="15"/>
                <w:color w:val="auto"/>
              </w:rPr>
            </w:pPr>
          </w:p>
        </w:tc>
        <w:tc>
          <w:tcPr>
            <w:tcW w:w="14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$ 9.00 - $18.06</w:t>
            </w:r>
          </w:p>
        </w:tc>
        <w:tc>
          <w:tcPr>
            <w:tcW w:w="4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199,176</w:t>
            </w:r>
          </w:p>
        </w:tc>
        <w:tc>
          <w:tcPr>
            <w:tcW w:w="1940" w:type="dxa"/>
            <w:vAlign w:val="bottom"/>
            <w:gridSpan w:val="3"/>
            <w:shd w:val="clear" w:color="auto" w:fill="CCEEFF"/>
          </w:tcPr>
          <w:p>
            <w:pPr>
              <w:jc w:val="right"/>
              <w:ind w:right="309"/>
              <w:spacing w:after="0"/>
              <w:rPr>
                <w:sz w:val="20"/>
                <w:szCs w:val="20"/>
                <w:color w:val="auto"/>
              </w:rPr>
            </w:pPr>
            <w:r>
              <w:rPr>
                <w:rFonts w:ascii="Times New Roman" w:cs="Times New Roman" w:eastAsia="Times New Roman" w:hAnsi="Times New Roman"/>
                <w:sz w:val="18"/>
                <w:szCs w:val="18"/>
                <w:color w:val="auto"/>
              </w:rPr>
              <w:t>5.2</w:t>
            </w:r>
          </w:p>
        </w:tc>
        <w:tc>
          <w:tcPr>
            <w:tcW w:w="186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$16.25</w:t>
            </w:r>
          </w:p>
        </w:tc>
        <w:tc>
          <w:tcPr>
            <w:tcW w:w="1840" w:type="dxa"/>
            <w:vAlign w:val="bottom"/>
            <w:gridSpan w:val="4"/>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180,551</w:t>
            </w:r>
          </w:p>
        </w:tc>
        <w:tc>
          <w:tcPr>
            <w:tcW w:w="190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96"/>
              </w:rPr>
              <w:t>$18.12 - $20.30</w:t>
            </w:r>
          </w:p>
        </w:tc>
        <w:tc>
          <w:tcPr>
            <w:tcW w:w="400" w:type="dxa"/>
            <w:vAlign w:val="bottom"/>
          </w:tcPr>
          <w:p>
            <w:pPr>
              <w:spacing w:after="0"/>
              <w:rPr>
                <w:sz w:val="18"/>
                <w:szCs w:val="18"/>
                <w:color w:val="auto"/>
              </w:rPr>
            </w:pP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193,286</w:t>
            </w:r>
          </w:p>
        </w:tc>
        <w:tc>
          <w:tcPr>
            <w:tcW w:w="1940" w:type="dxa"/>
            <w:vAlign w:val="bottom"/>
            <w:gridSpan w:val="3"/>
          </w:tcPr>
          <w:p>
            <w:pPr>
              <w:jc w:val="right"/>
              <w:ind w:right="309"/>
              <w:spacing w:after="0"/>
              <w:rPr>
                <w:sz w:val="20"/>
                <w:szCs w:val="20"/>
                <w:color w:val="auto"/>
              </w:rPr>
            </w:pPr>
            <w:r>
              <w:rPr>
                <w:rFonts w:ascii="Times New Roman" w:cs="Times New Roman" w:eastAsia="Times New Roman" w:hAnsi="Times New Roman"/>
                <w:sz w:val="18"/>
                <w:szCs w:val="18"/>
                <w:color w:val="auto"/>
              </w:rPr>
              <w:t>6.5</w:t>
            </w:r>
          </w:p>
        </w:tc>
        <w:tc>
          <w:tcPr>
            <w:tcW w:w="186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19.28</w:t>
            </w:r>
          </w:p>
        </w:tc>
        <w:tc>
          <w:tcPr>
            <w:tcW w:w="1840" w:type="dxa"/>
            <w:vAlign w:val="bottom"/>
            <w:gridSpan w:val="4"/>
          </w:tcPr>
          <w:p>
            <w:pPr>
              <w:jc w:val="right"/>
              <w:ind w:right="328"/>
              <w:spacing w:after="0"/>
              <w:rPr>
                <w:sz w:val="20"/>
                <w:szCs w:val="20"/>
                <w:color w:val="auto"/>
              </w:rPr>
            </w:pPr>
            <w:r>
              <w:rPr>
                <w:rFonts w:ascii="Times New Roman" w:cs="Times New Roman" w:eastAsia="Times New Roman" w:hAnsi="Times New Roman"/>
                <w:sz w:val="18"/>
                <w:szCs w:val="18"/>
                <w:color w:val="auto"/>
              </w:rPr>
              <w:t>129,348</w:t>
            </w:r>
          </w:p>
        </w:tc>
        <w:tc>
          <w:tcPr>
            <w:tcW w:w="190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w w:val="96"/>
              </w:rPr>
              <w:t>$20.32 - $25.01</w:t>
            </w:r>
          </w:p>
        </w:tc>
        <w:tc>
          <w:tcPr>
            <w:tcW w:w="4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149,245</w:t>
            </w:r>
          </w:p>
        </w:tc>
        <w:tc>
          <w:tcPr>
            <w:tcW w:w="1940" w:type="dxa"/>
            <w:vAlign w:val="bottom"/>
            <w:gridSpan w:val="3"/>
            <w:shd w:val="clear" w:color="auto" w:fill="CCEEFF"/>
          </w:tcPr>
          <w:p>
            <w:pPr>
              <w:jc w:val="right"/>
              <w:ind w:right="309"/>
              <w:spacing w:after="0"/>
              <w:rPr>
                <w:sz w:val="20"/>
                <w:szCs w:val="20"/>
                <w:color w:val="auto"/>
              </w:rPr>
            </w:pPr>
            <w:r>
              <w:rPr>
                <w:rFonts w:ascii="Times New Roman" w:cs="Times New Roman" w:eastAsia="Times New Roman" w:hAnsi="Times New Roman"/>
                <w:sz w:val="18"/>
                <w:szCs w:val="18"/>
                <w:color w:val="auto"/>
              </w:rPr>
              <w:t>5.5</w:t>
            </w:r>
          </w:p>
        </w:tc>
        <w:tc>
          <w:tcPr>
            <w:tcW w:w="186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23.63</w:t>
            </w:r>
          </w:p>
        </w:tc>
        <w:tc>
          <w:tcPr>
            <w:tcW w:w="1840" w:type="dxa"/>
            <w:vAlign w:val="bottom"/>
            <w:gridSpan w:val="4"/>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119,745</w:t>
            </w:r>
          </w:p>
        </w:tc>
        <w:tc>
          <w:tcPr>
            <w:tcW w:w="190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96"/>
              </w:rPr>
              <w:t>$25.12 - $29.00</w:t>
            </w:r>
          </w:p>
        </w:tc>
        <w:tc>
          <w:tcPr>
            <w:tcW w:w="400" w:type="dxa"/>
            <w:vAlign w:val="bottom"/>
          </w:tcPr>
          <w:p>
            <w:pPr>
              <w:spacing w:after="0"/>
              <w:rPr>
                <w:sz w:val="18"/>
                <w:szCs w:val="18"/>
                <w:color w:val="auto"/>
              </w:rPr>
            </w:pP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127,475</w:t>
            </w:r>
          </w:p>
        </w:tc>
        <w:tc>
          <w:tcPr>
            <w:tcW w:w="1940" w:type="dxa"/>
            <w:vAlign w:val="bottom"/>
            <w:gridSpan w:val="3"/>
          </w:tcPr>
          <w:p>
            <w:pPr>
              <w:jc w:val="right"/>
              <w:ind w:right="309"/>
              <w:spacing w:after="0"/>
              <w:rPr>
                <w:sz w:val="20"/>
                <w:szCs w:val="20"/>
                <w:color w:val="auto"/>
              </w:rPr>
            </w:pPr>
            <w:r>
              <w:rPr>
                <w:rFonts w:ascii="Times New Roman" w:cs="Times New Roman" w:eastAsia="Times New Roman" w:hAnsi="Times New Roman"/>
                <w:sz w:val="18"/>
                <w:szCs w:val="18"/>
                <w:color w:val="auto"/>
              </w:rPr>
              <w:t>6.9</w:t>
            </w:r>
          </w:p>
        </w:tc>
        <w:tc>
          <w:tcPr>
            <w:tcW w:w="186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27.84</w:t>
            </w:r>
          </w:p>
        </w:tc>
        <w:tc>
          <w:tcPr>
            <w:tcW w:w="1840" w:type="dxa"/>
            <w:vAlign w:val="bottom"/>
            <w:gridSpan w:val="4"/>
          </w:tcPr>
          <w:p>
            <w:pPr>
              <w:jc w:val="right"/>
              <w:ind w:right="328"/>
              <w:spacing w:after="0"/>
              <w:rPr>
                <w:sz w:val="20"/>
                <w:szCs w:val="20"/>
                <w:color w:val="auto"/>
              </w:rPr>
            </w:pPr>
            <w:r>
              <w:rPr>
                <w:rFonts w:ascii="Times New Roman" w:cs="Times New Roman" w:eastAsia="Times New Roman" w:hAnsi="Times New Roman"/>
                <w:sz w:val="18"/>
                <w:szCs w:val="18"/>
                <w:color w:val="auto"/>
              </w:rPr>
              <w:t>82,225</w:t>
            </w:r>
          </w:p>
        </w:tc>
        <w:tc>
          <w:tcPr>
            <w:tcW w:w="190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w w:val="96"/>
              </w:rPr>
              <w:t>$30.00 - $30.00</w:t>
            </w:r>
          </w:p>
        </w:tc>
        <w:tc>
          <w:tcPr>
            <w:tcW w:w="4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180,000</w:t>
            </w:r>
          </w:p>
        </w:tc>
        <w:tc>
          <w:tcPr>
            <w:tcW w:w="1940" w:type="dxa"/>
            <w:vAlign w:val="bottom"/>
            <w:gridSpan w:val="3"/>
            <w:shd w:val="clear" w:color="auto" w:fill="CCEEFF"/>
          </w:tcPr>
          <w:p>
            <w:pPr>
              <w:jc w:val="right"/>
              <w:ind w:right="309"/>
              <w:spacing w:after="0"/>
              <w:rPr>
                <w:sz w:val="20"/>
                <w:szCs w:val="20"/>
                <w:color w:val="auto"/>
              </w:rPr>
            </w:pPr>
            <w:r>
              <w:rPr>
                <w:rFonts w:ascii="Times New Roman" w:cs="Times New Roman" w:eastAsia="Times New Roman" w:hAnsi="Times New Roman"/>
                <w:sz w:val="18"/>
                <w:szCs w:val="18"/>
                <w:color w:val="auto"/>
              </w:rPr>
              <w:t>3.3</w:t>
            </w:r>
          </w:p>
        </w:tc>
        <w:tc>
          <w:tcPr>
            <w:tcW w:w="186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30.00</w:t>
            </w:r>
          </w:p>
        </w:tc>
        <w:tc>
          <w:tcPr>
            <w:tcW w:w="1840" w:type="dxa"/>
            <w:vAlign w:val="bottom"/>
            <w:gridSpan w:val="4"/>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180,000</w:t>
            </w:r>
          </w:p>
        </w:tc>
        <w:tc>
          <w:tcPr>
            <w:tcW w:w="190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96"/>
              </w:rPr>
              <w:t>$30.06 - $31.50</w:t>
            </w:r>
          </w:p>
        </w:tc>
        <w:tc>
          <w:tcPr>
            <w:tcW w:w="400" w:type="dxa"/>
            <w:vAlign w:val="bottom"/>
          </w:tcPr>
          <w:p>
            <w:pPr>
              <w:spacing w:after="0"/>
              <w:rPr>
                <w:sz w:val="18"/>
                <w:szCs w:val="18"/>
                <w:color w:val="auto"/>
              </w:rPr>
            </w:pP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156,026</w:t>
            </w:r>
          </w:p>
        </w:tc>
        <w:tc>
          <w:tcPr>
            <w:tcW w:w="1940" w:type="dxa"/>
            <w:vAlign w:val="bottom"/>
            <w:gridSpan w:val="3"/>
          </w:tcPr>
          <w:p>
            <w:pPr>
              <w:jc w:val="right"/>
              <w:ind w:right="309"/>
              <w:spacing w:after="0"/>
              <w:rPr>
                <w:sz w:val="20"/>
                <w:szCs w:val="20"/>
                <w:color w:val="auto"/>
              </w:rPr>
            </w:pPr>
            <w:r>
              <w:rPr>
                <w:rFonts w:ascii="Times New Roman" w:cs="Times New Roman" w:eastAsia="Times New Roman" w:hAnsi="Times New Roman"/>
                <w:sz w:val="18"/>
                <w:szCs w:val="18"/>
                <w:color w:val="auto"/>
              </w:rPr>
              <w:t>6.1</w:t>
            </w:r>
          </w:p>
        </w:tc>
        <w:tc>
          <w:tcPr>
            <w:tcW w:w="186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30.45</w:t>
            </w:r>
          </w:p>
        </w:tc>
        <w:tc>
          <w:tcPr>
            <w:tcW w:w="1840" w:type="dxa"/>
            <w:vAlign w:val="bottom"/>
            <w:gridSpan w:val="4"/>
          </w:tcPr>
          <w:p>
            <w:pPr>
              <w:jc w:val="right"/>
              <w:ind w:right="328"/>
              <w:spacing w:after="0"/>
              <w:rPr>
                <w:sz w:val="20"/>
                <w:szCs w:val="20"/>
                <w:color w:val="auto"/>
              </w:rPr>
            </w:pPr>
            <w:r>
              <w:rPr>
                <w:rFonts w:ascii="Times New Roman" w:cs="Times New Roman" w:eastAsia="Times New Roman" w:hAnsi="Times New Roman"/>
                <w:sz w:val="18"/>
                <w:szCs w:val="18"/>
                <w:color w:val="auto"/>
              </w:rPr>
              <w:t>108,024</w:t>
            </w:r>
          </w:p>
        </w:tc>
        <w:tc>
          <w:tcPr>
            <w:tcW w:w="190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w w:val="96"/>
              </w:rPr>
              <w:t>$32.00 - $39.53</w:t>
            </w:r>
          </w:p>
        </w:tc>
        <w:tc>
          <w:tcPr>
            <w:tcW w:w="4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182,939</w:t>
            </w:r>
          </w:p>
        </w:tc>
        <w:tc>
          <w:tcPr>
            <w:tcW w:w="1940" w:type="dxa"/>
            <w:vAlign w:val="bottom"/>
            <w:gridSpan w:val="3"/>
            <w:shd w:val="clear" w:color="auto" w:fill="CCEEFF"/>
          </w:tcPr>
          <w:p>
            <w:pPr>
              <w:jc w:val="right"/>
              <w:ind w:right="309"/>
              <w:spacing w:after="0"/>
              <w:rPr>
                <w:sz w:val="20"/>
                <w:szCs w:val="20"/>
                <w:color w:val="auto"/>
              </w:rPr>
            </w:pPr>
            <w:r>
              <w:rPr>
                <w:rFonts w:ascii="Times New Roman" w:cs="Times New Roman" w:eastAsia="Times New Roman" w:hAnsi="Times New Roman"/>
                <w:sz w:val="18"/>
                <w:szCs w:val="18"/>
                <w:color w:val="auto"/>
              </w:rPr>
              <w:t>7.7</w:t>
            </w:r>
          </w:p>
        </w:tc>
        <w:tc>
          <w:tcPr>
            <w:tcW w:w="186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38.92</w:t>
            </w:r>
          </w:p>
        </w:tc>
        <w:tc>
          <w:tcPr>
            <w:tcW w:w="1840" w:type="dxa"/>
            <w:vAlign w:val="bottom"/>
            <w:gridSpan w:val="4"/>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61,437</w:t>
            </w:r>
          </w:p>
        </w:tc>
        <w:tc>
          <w:tcPr>
            <w:tcW w:w="190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38.38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96"/>
              </w:rPr>
              <w:t>$39.81 - $44.86</w:t>
            </w:r>
          </w:p>
        </w:tc>
        <w:tc>
          <w:tcPr>
            <w:tcW w:w="400" w:type="dxa"/>
            <w:vAlign w:val="bottom"/>
          </w:tcPr>
          <w:p>
            <w:pPr>
              <w:spacing w:after="0"/>
              <w:rPr>
                <w:sz w:val="18"/>
                <w:szCs w:val="18"/>
                <w:color w:val="auto"/>
              </w:rPr>
            </w:pP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186,750</w:t>
            </w:r>
          </w:p>
        </w:tc>
        <w:tc>
          <w:tcPr>
            <w:tcW w:w="1940" w:type="dxa"/>
            <w:vAlign w:val="bottom"/>
            <w:gridSpan w:val="3"/>
          </w:tcPr>
          <w:p>
            <w:pPr>
              <w:jc w:val="right"/>
              <w:ind w:right="309"/>
              <w:spacing w:after="0"/>
              <w:rPr>
                <w:sz w:val="20"/>
                <w:szCs w:val="20"/>
                <w:color w:val="auto"/>
              </w:rPr>
            </w:pPr>
            <w:r>
              <w:rPr>
                <w:rFonts w:ascii="Times New Roman" w:cs="Times New Roman" w:eastAsia="Times New Roman" w:hAnsi="Times New Roman"/>
                <w:sz w:val="18"/>
                <w:szCs w:val="18"/>
                <w:color w:val="auto"/>
              </w:rPr>
              <w:t>8.1</w:t>
            </w:r>
          </w:p>
        </w:tc>
        <w:tc>
          <w:tcPr>
            <w:tcW w:w="186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43.19</w:t>
            </w:r>
          </w:p>
        </w:tc>
        <w:tc>
          <w:tcPr>
            <w:tcW w:w="1840" w:type="dxa"/>
            <w:vAlign w:val="bottom"/>
            <w:gridSpan w:val="4"/>
          </w:tcPr>
          <w:p>
            <w:pPr>
              <w:jc w:val="right"/>
              <w:ind w:right="328"/>
              <w:spacing w:after="0"/>
              <w:rPr>
                <w:sz w:val="20"/>
                <w:szCs w:val="20"/>
                <w:color w:val="auto"/>
              </w:rPr>
            </w:pPr>
            <w:r>
              <w:rPr>
                <w:rFonts w:ascii="Times New Roman" w:cs="Times New Roman" w:eastAsia="Times New Roman" w:hAnsi="Times New Roman"/>
                <w:sz w:val="18"/>
                <w:szCs w:val="18"/>
                <w:color w:val="auto"/>
              </w:rPr>
              <w:t>61,624</w:t>
            </w:r>
          </w:p>
        </w:tc>
        <w:tc>
          <w:tcPr>
            <w:tcW w:w="190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w w:val="96"/>
              </w:rPr>
              <w:t>$45.18 - $46.81</w:t>
            </w:r>
          </w:p>
        </w:tc>
        <w:tc>
          <w:tcPr>
            <w:tcW w:w="4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98,000</w:t>
            </w:r>
          </w:p>
        </w:tc>
        <w:tc>
          <w:tcPr>
            <w:tcW w:w="1940" w:type="dxa"/>
            <w:vAlign w:val="bottom"/>
            <w:gridSpan w:val="3"/>
            <w:shd w:val="clear" w:color="auto" w:fill="CCEEFF"/>
          </w:tcPr>
          <w:p>
            <w:pPr>
              <w:jc w:val="right"/>
              <w:ind w:right="309"/>
              <w:spacing w:after="0"/>
              <w:rPr>
                <w:sz w:val="20"/>
                <w:szCs w:val="20"/>
                <w:color w:val="auto"/>
              </w:rPr>
            </w:pPr>
            <w:r>
              <w:rPr>
                <w:rFonts w:ascii="Times New Roman" w:cs="Times New Roman" w:eastAsia="Times New Roman" w:hAnsi="Times New Roman"/>
                <w:sz w:val="18"/>
                <w:szCs w:val="18"/>
                <w:color w:val="auto"/>
              </w:rPr>
              <w:t>8.8</w:t>
            </w:r>
          </w:p>
        </w:tc>
        <w:tc>
          <w:tcPr>
            <w:tcW w:w="186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45.23</w:t>
            </w:r>
          </w:p>
        </w:tc>
        <w:tc>
          <w:tcPr>
            <w:tcW w:w="1840" w:type="dxa"/>
            <w:vAlign w:val="bottom"/>
            <w:gridSpan w:val="4"/>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36,500</w:t>
            </w:r>
          </w:p>
        </w:tc>
        <w:tc>
          <w:tcPr>
            <w:tcW w:w="190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96"/>
              </w:rPr>
              <w:t>$52.13 - $52.13</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1,000</w:t>
            </w:r>
          </w:p>
        </w:tc>
        <w:tc>
          <w:tcPr>
            <w:tcW w:w="1940" w:type="dxa"/>
            <w:vAlign w:val="bottom"/>
            <w:gridSpan w:val="3"/>
          </w:tcPr>
          <w:p>
            <w:pPr>
              <w:jc w:val="right"/>
              <w:ind w:right="309"/>
              <w:spacing w:after="0"/>
              <w:rPr>
                <w:sz w:val="20"/>
                <w:szCs w:val="20"/>
                <w:color w:val="auto"/>
              </w:rPr>
            </w:pPr>
            <w:r>
              <w:rPr>
                <w:rFonts w:ascii="Times New Roman" w:cs="Times New Roman" w:eastAsia="Times New Roman" w:hAnsi="Times New Roman"/>
                <w:sz w:val="18"/>
                <w:szCs w:val="18"/>
                <w:color w:val="auto"/>
              </w:rPr>
              <w:t>4.2</w:t>
            </w:r>
          </w:p>
        </w:tc>
        <w:tc>
          <w:tcPr>
            <w:tcW w:w="186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52.13</w:t>
            </w:r>
          </w:p>
        </w:tc>
        <w:tc>
          <w:tcPr>
            <w:tcW w:w="1840" w:type="dxa"/>
            <w:vAlign w:val="bottom"/>
            <w:gridSpan w:val="4"/>
          </w:tcPr>
          <w:p>
            <w:pPr>
              <w:jc w:val="right"/>
              <w:ind w:right="328"/>
              <w:spacing w:after="0"/>
              <w:rPr>
                <w:sz w:val="20"/>
                <w:szCs w:val="20"/>
                <w:color w:val="auto"/>
              </w:rPr>
            </w:pPr>
            <w:r>
              <w:rPr>
                <w:rFonts w:ascii="Times New Roman" w:cs="Times New Roman" w:eastAsia="Times New Roman" w:hAnsi="Times New Roman"/>
                <w:sz w:val="18"/>
                <w:szCs w:val="18"/>
                <w:color w:val="auto"/>
              </w:rPr>
              <w:t>1,000</w:t>
            </w:r>
          </w:p>
        </w:tc>
        <w:tc>
          <w:tcPr>
            <w:tcW w:w="190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52.13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1,473,897</w:t>
            </w:r>
          </w:p>
        </w:tc>
        <w:tc>
          <w:tcPr>
            <w:tcW w:w="1940" w:type="dxa"/>
            <w:vAlign w:val="bottom"/>
            <w:gridSpan w:val="3"/>
            <w:shd w:val="clear" w:color="auto" w:fill="CCEEFF"/>
          </w:tcPr>
          <w:p>
            <w:pPr>
              <w:jc w:val="right"/>
              <w:ind w:right="309"/>
              <w:spacing w:after="0"/>
              <w:rPr>
                <w:sz w:val="20"/>
                <w:szCs w:val="20"/>
                <w:color w:val="auto"/>
              </w:rPr>
            </w:pPr>
            <w:r>
              <w:rPr>
                <w:rFonts w:ascii="Times New Roman" w:cs="Times New Roman" w:eastAsia="Times New Roman" w:hAnsi="Times New Roman"/>
                <w:sz w:val="18"/>
                <w:szCs w:val="18"/>
                <w:color w:val="auto"/>
              </w:rPr>
              <w:t>6.3</w:t>
            </w:r>
          </w:p>
        </w:tc>
        <w:tc>
          <w:tcPr>
            <w:tcW w:w="186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29.76</w:t>
            </w:r>
          </w:p>
        </w:tc>
        <w:tc>
          <w:tcPr>
            <w:tcW w:w="1840" w:type="dxa"/>
            <w:vAlign w:val="bottom"/>
            <w:gridSpan w:val="4"/>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960,454</w:t>
            </w:r>
          </w:p>
        </w:tc>
        <w:tc>
          <w:tcPr>
            <w:tcW w:w="190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160" w:firstLine="225"/>
        <w:spacing w:after="0" w:line="261" w:lineRule="auto"/>
        <w:rPr>
          <w:sz w:val="20"/>
          <w:szCs w:val="20"/>
          <w:color w:val="auto"/>
        </w:rPr>
      </w:pPr>
      <w:r>
        <w:rPr>
          <w:rFonts w:ascii="Times New Roman" w:cs="Times New Roman" w:eastAsia="Times New Roman" w:hAnsi="Times New Roman"/>
          <w:sz w:val="18"/>
          <w:szCs w:val="18"/>
          <w:color w:val="auto"/>
        </w:rPr>
        <w:t>On September 28, 2001, the Company granted a total of 5,000 shares of restricted stock to the non-employee directors of the Company. The stock grants vest over a four-year period with 25% of the stock vesting on each anniversary of the grant date. The Company recorded $89,800 in unearned compensation expense during the year ended December 31, 2001 in connection with these stock grants. The unearned compensation was calculated at the fair value on the grant date and is being amortized over the vesting period of the restricted stock.</w:t>
      </w:r>
    </w:p>
    <w:p>
      <w:pPr>
        <w:spacing w:after="0" w:line="72" w:lineRule="exact"/>
        <w:rPr>
          <w:sz w:val="20"/>
          <w:szCs w:val="20"/>
          <w:color w:val="auto"/>
        </w:rPr>
      </w:pPr>
    </w:p>
    <w:p>
      <w:pPr>
        <w:ind w:right="180" w:firstLine="225"/>
        <w:spacing w:after="0" w:line="266" w:lineRule="auto"/>
        <w:rPr>
          <w:sz w:val="20"/>
          <w:szCs w:val="20"/>
          <w:color w:val="auto"/>
        </w:rPr>
      </w:pPr>
      <w:r>
        <w:rPr>
          <w:rFonts w:ascii="Times New Roman" w:cs="Times New Roman" w:eastAsia="Times New Roman" w:hAnsi="Times New Roman"/>
          <w:sz w:val="18"/>
          <w:szCs w:val="18"/>
          <w:color w:val="auto"/>
        </w:rPr>
        <w:t>On March 10, 2005, the Company granted 35,632 shares of restricted stock to officers of the Company under the 1998 Plan. The shares vest in annual equal installments over four years from the date of grant. The Company recorded $1.4 million of unearned compensation expense relating to the issuance of the restricted stock. The unearned compensation expense is amortized on a straight-line basis over the four-year vesting period.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61" w:name="page62"/>
    <w:bookmarkEnd w:id="6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¾ (Continued)</w:t>
      </w:r>
    </w:p>
    <w:p>
      <w:pPr>
        <w:spacing w:after="0" w:line="203" w:lineRule="exact"/>
        <w:rPr>
          <w:sz w:val="20"/>
          <w:szCs w:val="20"/>
          <w:color w:val="auto"/>
        </w:rPr>
      </w:pPr>
    </w:p>
    <w:p>
      <w:pPr>
        <w:ind w:right="7640" w:firstLine="8"/>
        <w:spacing w:after="0" w:line="378" w:lineRule="auto"/>
        <w:tabs>
          <w:tab w:leader="none" w:pos="27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(continued) Stock Incentive Plan (continued)</w:t>
      </w:r>
    </w:p>
    <w:p>
      <w:pPr>
        <w:jc w:val="both"/>
        <w:ind w:right="400" w:firstLine="225"/>
        <w:spacing w:after="0" w:line="266" w:lineRule="auto"/>
        <w:rPr>
          <w:sz w:val="20"/>
          <w:szCs w:val="20"/>
          <w:color w:val="auto"/>
        </w:rPr>
      </w:pPr>
      <w:r>
        <w:rPr>
          <w:rFonts w:ascii="Times New Roman" w:cs="Times New Roman" w:eastAsia="Times New Roman" w:hAnsi="Times New Roman"/>
          <w:sz w:val="18"/>
          <w:szCs w:val="18"/>
          <w:color w:val="auto"/>
        </w:rPr>
        <w:t>On September 8, 2005, the Company granted 30,380 shares of restricted stock to employees of the Company under the 1998 Plan. The shares vest in annual equal installments over four years from the date of grant. The Company recorded $1.4 million of unearned compensation expense relating to the issuance of the restricted stock. The unearned compensation expense is amortized on a straight-line basis over the four year vesting period.</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 October 18, 2005, the Company granted 11,286 shares of restricted stock to non-employee members of the board of directors of the Company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1998 Stock Incentive Plan. The shares vest in annual equal installments over four years from the date of grant. The Company recorded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$505,000 of unearned compensation expense relating to the issuance of the restricted stock. The unearned compensation expense is amortized on a straight-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 basis over the four year vesting period.</w:t>
      </w:r>
    </w:p>
    <w:p>
      <w:pPr>
        <w:spacing w:after="0" w:line="99" w:lineRule="exact"/>
        <w:rPr>
          <w:sz w:val="20"/>
          <w:szCs w:val="20"/>
          <w:color w:val="auto"/>
        </w:rPr>
      </w:pPr>
    </w:p>
    <w:p>
      <w:pPr>
        <w:ind w:right="20" w:firstLine="222"/>
        <w:spacing w:after="0" w:line="282" w:lineRule="auto"/>
        <w:rPr>
          <w:sz w:val="20"/>
          <w:szCs w:val="20"/>
          <w:color w:val="auto"/>
        </w:rPr>
      </w:pPr>
      <w:r>
        <w:rPr>
          <w:rFonts w:ascii="Times New Roman" w:cs="Times New Roman" w:eastAsia="Times New Roman" w:hAnsi="Times New Roman"/>
          <w:sz w:val="18"/>
          <w:szCs w:val="18"/>
          <w:color w:val="auto"/>
        </w:rPr>
        <w:t>The weighted average per share grant date fair value of 81,338 restricted shares granted to employees and non-employees in the year ended December 31, 2005 was $42.11. There were no restricted shares granted in the year ended December 31, 2004.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401(k) Plan</w:t>
      </w:r>
    </w:p>
    <w:p>
      <w:pPr>
        <w:spacing w:after="0" w:line="121" w:lineRule="exact"/>
        <w:rPr>
          <w:sz w:val="20"/>
          <w:szCs w:val="20"/>
          <w:color w:val="auto"/>
        </w:rPr>
      </w:pPr>
    </w:p>
    <w:p>
      <w:pPr>
        <w:ind w:firstLine="222"/>
        <w:spacing w:after="0" w:line="256" w:lineRule="auto"/>
        <w:rPr>
          <w:sz w:val="20"/>
          <w:szCs w:val="20"/>
          <w:color w:val="auto"/>
        </w:rPr>
      </w:pPr>
      <w:r>
        <w:rPr>
          <w:rFonts w:ascii="Times New Roman" w:cs="Times New Roman" w:eastAsia="Times New Roman" w:hAnsi="Times New Roman"/>
          <w:sz w:val="18"/>
          <w:szCs w:val="18"/>
          <w:color w:val="auto"/>
        </w:rPr>
        <w:t>The Company maintains a 401(k) Plan (the “401(k)”) as a defined contribution retirement plan for all eligible employees. The 401(k) provides for tax-deferred contributions of employees’ salaries, limited to a maximum annual amount as established by the Internal Revenue Service. The Company matched 100% in 2003, 2004 and 2005 of employee contributions up to a maximum of 6% of total compensation. Amounts contributed to the 401(k) by the Company to match employee contributions for the years ended December 31, 2003, 2004 and 2005 were approximately $1.4 million, $1.2 million and $1.6 million, respectively. The Company paid administrative expenses of approximately $28,000, $20,000 and $18,000 for the years ended December 31, 2003, 2004 and 2005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Pension Plan</w:t>
      </w:r>
    </w:p>
    <w:p>
      <w:pPr>
        <w:spacing w:after="0" w:line="121"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The Company maintains a company personal pension plan for all eligible employees in the Company’s London, England office. The plan is a defined contribution plan. Employees are eligible to contribute a portion of their salaries, subject to a maximum annual amount as established by the Inland Revenue. The Company contributes a match subject to the percentage of the employees’ contribution. Amounts contributed to the plan by the Company to match employee contributions for the years ended December 31, 2004 and 2005 were approximately $146,000 and $175,000, respectively.</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40"/>
          </w:cols>
          <w:pgMar w:left="240" w:top="955"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121"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CoStar Realty Information, Inc., a Delaware corporation</w:t>
      </w:r>
    </w:p>
    <w:p>
      <w:pPr>
        <w:spacing w:after="0" w:line="117"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CoStar Limited, a U.K. company</w:t>
      </w:r>
    </w:p>
    <w:p>
      <w:pPr>
        <w:spacing w:after="0" w:line="117"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Information Limited, a U.K. company</w:t>
      </w:r>
    </w:p>
    <w:p>
      <w:pPr>
        <w:spacing w:after="0" w:line="117"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Research Bureau, Inc., a Delaware corporation</w:t>
      </w:r>
    </w:p>
    <w:p>
      <w:pPr>
        <w:sectPr>
          <w:pgSz w:w="11900" w:h="16838" w:orient="portrait"/>
          <w:cols w:equalWidth="0" w:num="1">
            <w:col w:w="11420"/>
          </w:cols>
          <w:pgMar w:left="240" w:top="927" w:right="239" w:bottom="1440" w:gutter="0" w:footer="0" w:header="0"/>
        </w:sectPr>
      </w:pPr>
    </w:p>
    <w:bookmarkStart w:id="63" w:name="page64"/>
    <w:bookmarkEnd w:id="63"/>
    <w:p>
      <w:pPr>
        <w:ind w:left="102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120" w:firstLine="222"/>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333-45770) pertaining to the 1998 Stock Incentive Plan of CoStar Group, Inc. of our reports dated February 15, 2006 with respect to the consolidated financial statements of CoStar Group, Inc., CoStar Group, Inc. management’s assessment of the effectiveness of internal control over financial reporting, and the effectiveness of internal control over financial reporting of CoStar Group, Inc., included in this Annual Report (Form 10-K) for the year ended December 31, 2005.</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2006</w:t>
      </w:r>
    </w:p>
    <w:p>
      <w:pPr>
        <w:sectPr>
          <w:pgSz w:w="11900" w:h="16838" w:orient="portrait"/>
          <w:cols w:equalWidth="0" w:num="1">
            <w:col w:w="11420"/>
          </w:cols>
          <w:pgMar w:left="240" w:top="928"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C. Florance, certify that:</w:t>
      </w:r>
    </w:p>
    <w:p>
      <w:pPr>
        <w:spacing w:after="0" w:line="117"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CoStar Group, Inc.;</w:t>
      </w:r>
    </w:p>
    <w:p>
      <w:pPr>
        <w:spacing w:after="0" w:line="117" w:lineRule="exact"/>
        <w:rPr>
          <w:rFonts w:ascii="Times New Roman" w:cs="Times New Roman" w:eastAsia="Times New Roman" w:hAnsi="Times New Roman"/>
          <w:sz w:val="18"/>
          <w:szCs w:val="18"/>
          <w:color w:val="auto"/>
        </w:rPr>
      </w:pPr>
    </w:p>
    <w:p>
      <w:pPr>
        <w:jc w:val="both"/>
        <w:ind w:left="260" w:right="180" w:hanging="252"/>
        <w:spacing w:after="0" w:line="266"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8" w:lineRule="exact"/>
        <w:rPr>
          <w:rFonts w:ascii="Times New Roman" w:cs="Times New Roman" w:eastAsia="Times New Roman" w:hAnsi="Times New Roman"/>
          <w:sz w:val="18"/>
          <w:szCs w:val="18"/>
          <w:color w:val="auto"/>
        </w:rPr>
      </w:pPr>
    </w:p>
    <w:p>
      <w:pPr>
        <w:ind w:left="260" w:right="140" w:hanging="252"/>
        <w:spacing w:after="0" w:line="282"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53" w:lineRule="exact"/>
        <w:rPr>
          <w:rFonts w:ascii="Times New Roman" w:cs="Times New Roman" w:eastAsia="Times New Roman" w:hAnsi="Times New Roman"/>
          <w:sz w:val="18"/>
          <w:szCs w:val="18"/>
          <w:color w:val="auto"/>
        </w:rPr>
      </w:pPr>
    </w:p>
    <w:p>
      <w:pPr>
        <w:ind w:left="260" w:right="60" w:hanging="252"/>
        <w:spacing w:after="0" w:line="266"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we have:</w:t>
      </w:r>
    </w:p>
    <w:p>
      <w:pPr>
        <w:spacing w:after="0" w:line="68" w:lineRule="exact"/>
        <w:rPr>
          <w:rFonts w:ascii="Times New Roman" w:cs="Times New Roman" w:eastAsia="Times New Roman" w:hAnsi="Times New Roman"/>
          <w:sz w:val="18"/>
          <w:szCs w:val="18"/>
          <w:color w:val="auto"/>
        </w:rPr>
      </w:pPr>
    </w:p>
    <w:p>
      <w:pPr>
        <w:ind w:left="540" w:right="140" w:hanging="316"/>
        <w:spacing w:after="0" w:line="266" w:lineRule="auto"/>
        <w:tabs>
          <w:tab w:leader="none" w:pos="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82" w:lineRule="exact"/>
        <w:rPr>
          <w:sz w:val="20"/>
          <w:szCs w:val="20"/>
          <w:color w:val="auto"/>
        </w:rPr>
      </w:pPr>
    </w:p>
    <w:p>
      <w:pPr>
        <w:ind w:left="540" w:right="140" w:hanging="316"/>
        <w:spacing w:after="0" w:line="266" w:lineRule="auto"/>
        <w:tabs>
          <w:tab w:leader="none" w:pos="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540" w:right="640" w:hanging="316"/>
        <w:spacing w:after="0" w:line="282" w:lineRule="auto"/>
        <w:tabs>
          <w:tab w:leader="none" w:pos="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540" w:right="140" w:hanging="316"/>
        <w:spacing w:after="0" w:line="266" w:lineRule="auto"/>
        <w:tabs>
          <w:tab w:leader="none" w:pos="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260" w:right="520" w:hanging="252"/>
        <w:spacing w:after="0" w:line="282" w:lineRule="auto"/>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54" w:lineRule="exact"/>
        <w:rPr>
          <w:sz w:val="20"/>
          <w:szCs w:val="20"/>
          <w:color w:val="auto"/>
        </w:rPr>
      </w:pPr>
    </w:p>
    <w:p>
      <w:pPr>
        <w:ind w:left="540" w:right="100" w:hanging="316"/>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40" w:right="160" w:hanging="316"/>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540"/>
        <w:spacing w:after="0"/>
        <w:tabs>
          <w:tab w:leader="none" w:pos="6920" w:val="left"/>
          <w:tab w:leader="none" w:pos="7560" w:val="left"/>
        </w:tabs>
        <w:rPr>
          <w:sz w:val="20"/>
          <w:szCs w:val="20"/>
          <w:color w:val="auto"/>
        </w:rPr>
      </w:pPr>
      <w:r>
        <w:rPr>
          <w:rFonts w:ascii="Times New Roman" w:cs="Times New Roman" w:eastAsia="Times New Roman" w:hAnsi="Times New Roman"/>
          <w:sz w:val="18"/>
          <w:szCs w:val="18"/>
          <w:color w:val="auto"/>
        </w:rPr>
        <w:t>Date: March 6, 2006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C. Florance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5298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Andrew C. Florance</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Duly Authorized Officer)</w:t>
      </w:r>
    </w:p>
    <w:p>
      <w:pPr>
        <w:sectPr>
          <w:pgSz w:w="11900" w:h="16838" w:orient="portrait"/>
          <w:cols w:equalWidth="0" w:num="1">
            <w:col w:w="11420"/>
          </w:cols>
          <w:pgMar w:left="240" w:top="928"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A. Carchedi, certify that:</w:t>
      </w:r>
    </w:p>
    <w:p>
      <w:pPr>
        <w:spacing w:after="0" w:line="117"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CoStar Group, Inc.;</w:t>
      </w:r>
    </w:p>
    <w:p>
      <w:pPr>
        <w:spacing w:after="0" w:line="117" w:lineRule="exact"/>
        <w:rPr>
          <w:rFonts w:ascii="Times New Roman" w:cs="Times New Roman" w:eastAsia="Times New Roman" w:hAnsi="Times New Roman"/>
          <w:sz w:val="18"/>
          <w:szCs w:val="18"/>
          <w:color w:val="auto"/>
        </w:rPr>
      </w:pPr>
    </w:p>
    <w:p>
      <w:pPr>
        <w:jc w:val="both"/>
        <w:ind w:left="260" w:right="180" w:hanging="252"/>
        <w:spacing w:after="0" w:line="266"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8" w:lineRule="exact"/>
        <w:rPr>
          <w:rFonts w:ascii="Times New Roman" w:cs="Times New Roman" w:eastAsia="Times New Roman" w:hAnsi="Times New Roman"/>
          <w:sz w:val="18"/>
          <w:szCs w:val="18"/>
          <w:color w:val="auto"/>
        </w:rPr>
      </w:pPr>
    </w:p>
    <w:p>
      <w:pPr>
        <w:ind w:left="260" w:right="140" w:hanging="252"/>
        <w:spacing w:after="0" w:line="282"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53" w:lineRule="exact"/>
        <w:rPr>
          <w:rFonts w:ascii="Times New Roman" w:cs="Times New Roman" w:eastAsia="Times New Roman" w:hAnsi="Times New Roman"/>
          <w:sz w:val="18"/>
          <w:szCs w:val="18"/>
          <w:color w:val="auto"/>
        </w:rPr>
      </w:pPr>
    </w:p>
    <w:p>
      <w:pPr>
        <w:ind w:left="260" w:right="60" w:hanging="252"/>
        <w:spacing w:after="0" w:line="266"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we have:</w:t>
      </w:r>
    </w:p>
    <w:p>
      <w:pPr>
        <w:spacing w:after="0" w:line="68" w:lineRule="exact"/>
        <w:rPr>
          <w:rFonts w:ascii="Times New Roman" w:cs="Times New Roman" w:eastAsia="Times New Roman" w:hAnsi="Times New Roman"/>
          <w:sz w:val="18"/>
          <w:szCs w:val="18"/>
          <w:color w:val="auto"/>
        </w:rPr>
      </w:pPr>
    </w:p>
    <w:p>
      <w:pPr>
        <w:ind w:left="540" w:right="140" w:hanging="316"/>
        <w:spacing w:after="0" w:line="266" w:lineRule="auto"/>
        <w:tabs>
          <w:tab w:leader="none" w:pos="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81" w:lineRule="exact"/>
        <w:rPr>
          <w:rFonts w:ascii="Times New Roman" w:cs="Times New Roman" w:eastAsia="Times New Roman" w:hAnsi="Times New Roman"/>
          <w:sz w:val="18"/>
          <w:szCs w:val="18"/>
          <w:color w:val="auto"/>
        </w:rPr>
      </w:pPr>
    </w:p>
    <w:p>
      <w:pPr>
        <w:ind w:left="540" w:right="140" w:hanging="316"/>
        <w:spacing w:after="0" w:line="266" w:lineRule="auto"/>
        <w:tabs>
          <w:tab w:leader="none" w:pos="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540" w:right="640" w:hanging="316"/>
        <w:spacing w:after="0" w:line="282" w:lineRule="auto"/>
        <w:tabs>
          <w:tab w:leader="none" w:pos="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540" w:right="140" w:hanging="316"/>
        <w:spacing w:after="0" w:line="266" w:lineRule="auto"/>
        <w:tabs>
          <w:tab w:leader="none" w:pos="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260" w:right="520" w:hanging="252"/>
        <w:spacing w:after="0" w:line="282"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40" w:right="160" w:hanging="316"/>
        <w:spacing w:after="0" w:line="282" w:lineRule="auto"/>
        <w:tabs>
          <w:tab w:leader="none" w:pos="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540"/>
        <w:spacing w:after="0"/>
        <w:tabs>
          <w:tab w:leader="none" w:pos="6920" w:val="left"/>
          <w:tab w:leader="none" w:pos="7560" w:val="left"/>
        </w:tabs>
        <w:rPr>
          <w:sz w:val="20"/>
          <w:szCs w:val="20"/>
          <w:color w:val="auto"/>
        </w:rPr>
      </w:pPr>
      <w:r>
        <w:rPr>
          <w:rFonts w:ascii="Times New Roman" w:cs="Times New Roman" w:eastAsia="Times New Roman" w:hAnsi="Times New Roman"/>
          <w:sz w:val="18"/>
          <w:szCs w:val="18"/>
          <w:color w:val="auto"/>
        </w:rPr>
        <w:t>Date: March 6, 2006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Frank A. Carchedi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5298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Frank A. Carchedi</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Financial and Accounting</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Officer and Duly Authorized Officer)</w:t>
      </w:r>
    </w:p>
    <w:p>
      <w:pPr>
        <w:sectPr>
          <w:pgSz w:w="11900" w:h="16838" w:orient="portrait"/>
          <w:cols w:equalWidth="0" w:num="1">
            <w:col w:w="11420"/>
          </w:cols>
          <w:pgMar w:left="240" w:top="927"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CoStar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Bethesda Metro Center, 10th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6, 2006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5th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Certification Of Principal Executive Officer Pursuant To 18 U.S.C. Sec. 1350</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17" w:lineRule="exact"/>
        <w:rPr>
          <w:sz w:val="20"/>
          <w:szCs w:val="20"/>
          <w:color w:val="auto"/>
        </w:rPr>
      </w:pPr>
    </w:p>
    <w:p>
      <w:pPr>
        <w:jc w:val="both"/>
        <w:ind w:right="80" w:firstLine="225"/>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CoStar Group, Inc., for the year ended December 31, 2005, I, Andrew C. Florance, Chief Executive Officer of CoStar Group, Inc., hereby certify pursuant to 18 U.S.C. Section 1350, as adopted pursuant to Section 906 of the Sarbanes-Oxley Act of 2002, that:</w:t>
      </w:r>
    </w:p>
    <w:p>
      <w:pPr>
        <w:spacing w:after="0" w:line="68" w:lineRule="exact"/>
        <w:rPr>
          <w:sz w:val="20"/>
          <w:szCs w:val="20"/>
          <w:color w:val="auto"/>
        </w:rPr>
      </w:pPr>
    </w:p>
    <w:p>
      <w:pPr>
        <w:ind w:right="60" w:firstLine="233"/>
        <w:spacing w:after="0" w:line="282" w:lineRule="auto"/>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Annual Report on Form 10-K of CoStar Group, Inc., for the year ended December 31, 2005,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right="360" w:firstLine="233"/>
        <w:spacing w:after="0" w:line="282" w:lineRule="auto"/>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Annual Report on Form 10-K of CoStar Group, Inc., for the year ended December 31, 2005, fairly presents, in all material respects, the financial condition and results of operations of CoStar Group, Inc.</w:t>
      </w:r>
    </w:p>
    <w:p>
      <w:pPr>
        <w:spacing w:after="0" w:line="378" w:lineRule="exact"/>
        <w:rPr>
          <w:sz w:val="20"/>
          <w:szCs w:val="20"/>
          <w:color w:val="auto"/>
        </w:rPr>
      </w:pP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C. Florance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17145</wp:posOffset>
            </wp:positionV>
            <wp:extent cx="21697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Andrew C. Florance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99" w:lineRule="exact"/>
        <w:rPr>
          <w:sz w:val="20"/>
          <w:szCs w:val="20"/>
          <w:color w:val="auto"/>
        </w:rPr>
      </w:pPr>
    </w:p>
    <w:p>
      <w:pPr>
        <w:ind w:right="20" w:firstLine="215"/>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68" w:lineRule="exact"/>
        <w:rPr>
          <w:sz w:val="20"/>
          <w:szCs w:val="20"/>
          <w:color w:val="auto"/>
        </w:rPr>
      </w:pPr>
    </w:p>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In accordance with Item 601 of Regulation S-K, this certification is being “furnished” as Exhibit 32.1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420"/>
          </w:cols>
          <w:pgMar w:left="240" w:top="927"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CoStar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Bethesda Metro Center, 10th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6, 2006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5th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Certification Of Principal Financial Officer Pursuant To 18 U.S.C. Sec. 1350</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17" w:lineRule="exact"/>
        <w:rPr>
          <w:sz w:val="20"/>
          <w:szCs w:val="20"/>
          <w:color w:val="auto"/>
        </w:rPr>
      </w:pPr>
    </w:p>
    <w:p>
      <w:pPr>
        <w:jc w:val="both"/>
        <w:ind w:right="180" w:firstLine="225"/>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CoStar Group, Inc., for the year ended December 31, 2005, I, Frank A. Carchedi, Chief Financial Officer of CoStar Group, Inc., hereby certify pursuant to 18 U.S.C. Section 1350, as adopted pursuant to Section 906 of the Sarbanes-Oxley Act of 2002, that:</w:t>
      </w:r>
    </w:p>
    <w:p>
      <w:pPr>
        <w:spacing w:after="0" w:line="68" w:lineRule="exact"/>
        <w:rPr>
          <w:sz w:val="20"/>
          <w:szCs w:val="20"/>
          <w:color w:val="auto"/>
        </w:rPr>
      </w:pPr>
    </w:p>
    <w:p>
      <w:pPr>
        <w:ind w:right="60" w:firstLine="233"/>
        <w:spacing w:after="0" w:line="282" w:lineRule="auto"/>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Annual Report on Form 10-K of CoStar Group, Inc., for the year ended December 31, 2005,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right="360" w:firstLine="233"/>
        <w:spacing w:after="0" w:line="282" w:lineRule="auto"/>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Annual Report on Form 10-K of CoStar Group, Inc., for the year ended December 31, 2005, fairly presents, in all material respects, the financial condition and results of operations of CoStar Group, Inc.</w:t>
      </w:r>
    </w:p>
    <w:p>
      <w:pPr>
        <w:spacing w:after="0" w:line="378" w:lineRule="exact"/>
        <w:rPr>
          <w:sz w:val="20"/>
          <w:szCs w:val="20"/>
          <w:color w:val="auto"/>
        </w:rPr>
      </w:pPr>
    </w:p>
    <w:p>
      <w:pPr>
        <w:ind w:left="4580"/>
        <w:spacing w:after="0"/>
        <w:tabs>
          <w:tab w:leader="none" w:pos="5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Frank A. Carchedi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17145</wp:posOffset>
            </wp:positionV>
            <wp:extent cx="27616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Frank A. Carchedi</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and Accounting</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Officer and Duly Authorized Officer)</w:t>
      </w:r>
    </w:p>
    <w:p>
      <w:pPr>
        <w:spacing w:after="0" w:line="99" w:lineRule="exact"/>
        <w:rPr>
          <w:sz w:val="20"/>
          <w:szCs w:val="20"/>
          <w:color w:val="auto"/>
        </w:rPr>
      </w:pPr>
    </w:p>
    <w:p>
      <w:pPr>
        <w:ind w:right="20" w:firstLine="215"/>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68" w:lineRule="exact"/>
        <w:rPr>
          <w:sz w:val="20"/>
          <w:szCs w:val="20"/>
          <w:color w:val="auto"/>
        </w:rPr>
      </w:pPr>
    </w:p>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In accordance with Item 601 of Regulation S-K, this certification is being “furnished” as Exhibit 32.2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420"/>
      </w:cols>
      <w:pgMar w:left="240" w:top="9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2"/>
    </w:lvl>
  </w:abstractNum>
  <w:abstractNum w:abstractNumId="10">
    <w:nsid w:val="257130A3"/>
    <w:multiLevelType w:val="hybridMultilevel"/>
    <w:lvl w:ilvl="0">
      <w:lvlJc w:val="left"/>
      <w:lvlText w:val="%1."/>
      <w:numFmt w:val="decimal"/>
      <w:start w:val="2"/>
    </w:lvl>
  </w:abstractNum>
  <w:abstractNum w:abstractNumId="11">
    <w:nsid w:val="62BBD95A"/>
    <w:multiLevelType w:val="hybridMultilevel"/>
    <w:lvl w:ilvl="0">
      <w:lvlJc w:val="left"/>
      <w:lvlText w:val="%1."/>
      <w:numFmt w:val="decimal"/>
      <w:start w:val="2"/>
    </w:lvl>
  </w:abstractNum>
  <w:abstractNum w:abstractNumId="12">
    <w:nsid w:val="436C6125"/>
    <w:multiLevelType w:val="hybridMultilevel"/>
    <w:lvl w:ilvl="0">
      <w:lvlJc w:val="left"/>
      <w:lvlText w:val="%1."/>
      <w:numFmt w:val="decimal"/>
      <w:start w:val="2"/>
    </w:lvl>
  </w:abstractNum>
  <w:abstractNum w:abstractNumId="13">
    <w:nsid w:val="628C895D"/>
    <w:multiLevelType w:val="hybridMultilevel"/>
    <w:lvl w:ilvl="0">
      <w:lvlJc w:val="left"/>
      <w:lvlText w:val="%1."/>
      <w:numFmt w:val="decimal"/>
      <w:start w:val="2"/>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1."/>
      <w:numFmt w:val="decimal"/>
      <w:start w:val="2"/>
    </w:lvl>
  </w:abstractNum>
  <w:abstractNum w:abstractNumId="16">
    <w:nsid w:val="2443A858"/>
    <w:multiLevelType w:val="hybridMultilevel"/>
    <w:lvl w:ilvl="0">
      <w:lvlJc w:val="left"/>
      <w:lvlText w:val="%1."/>
      <w:numFmt w:val="decimal"/>
      <w:start w:val="10"/>
    </w:lvl>
  </w:abstractNum>
  <w:abstractNum w:abstractNumId="17">
    <w:nsid w:val="2D1D5AE9"/>
    <w:multiLevelType w:val="hybridMultilevel"/>
    <w:lvl w:ilvl="0">
      <w:lvlJc w:val="left"/>
      <w:lvlText w:val="%1."/>
      <w:numFmt w:val="decimal"/>
      <w:start w:val="12"/>
    </w:lvl>
  </w:abstractNum>
  <w:abstractNum w:abstractNumId="18">
    <w:nsid w:val="6763845E"/>
    <w:multiLevelType w:val="hybridMultilevel"/>
    <w:lvl w:ilvl="0">
      <w:lvlJc w:val="left"/>
      <w:lvlText w:val="%1."/>
      <w:numFmt w:val="decimal"/>
      <w:start w:val="12"/>
    </w:lvl>
  </w:abstractNum>
  <w:abstractNum w:abstractNumId="19">
    <w:nsid w:val="75A2A8D4"/>
    <w:multiLevelType w:val="hybridMultilevel"/>
    <w:lvl w:ilvl="0">
      <w:lvlJc w:val="left"/>
      <w:lvlText w:val="%1."/>
      <w:numFmt w:val="decimal"/>
      <w:start w:val="12"/>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decimal"/>
      <w:start w:val="1"/>
    </w:lvl>
    <w:lvl w:ilvl="1">
      <w:lvlJc w:val="left"/>
      <w:lvlText w:val="(%2)"/>
      <w:numFmt w:val="lowerLetter"/>
      <w:start w:val="2"/>
    </w:lvl>
  </w:abstractNum>
  <w:abstractNum w:abstractNumId="23">
    <w:nsid w:val="B03E0C6"/>
    <w:multiLevelType w:val="hybridMultilevel"/>
    <w:lvl w:ilvl="0">
      <w:lvlJc w:val="left"/>
      <w:lvlText w:val="%1."/>
      <w:numFmt w:val="decimal"/>
      <w:start w:val="5"/>
    </w:lvl>
    <w:lvl w:ilvl="1">
      <w:lvlJc w:val="left"/>
      <w:lvlText w:val="%2"/>
      <w:numFmt w:val="lowerLetter"/>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2019-12-14T20:20:36Z</dcterms:created>
  <dcterms:modified xsi:type="dcterms:W3CDTF">2019-12-14T20:20:36Z</dcterms:modified>
</cp:coreProperties>
</file>