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8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6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 February 18, 2025</w:t>
      </w:r>
    </w:p>
    <w:p>
      <w:pPr>
        <w:spacing w:after="0" w:line="15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COSTAR GROUP, INC.</w:t>
      </w:r>
    </w:p>
    <w:p>
      <w:pPr>
        <w:spacing w:after="0" w:line="3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83" w:lineRule="exact"/>
        <w:rPr>
          <w:sz w:val="24"/>
          <w:szCs w:val="24"/>
          <w:color w:val="auto"/>
        </w:rPr>
      </w:pPr>
    </w:p>
    <w:tbl>
      <w:tblPr>
        <w:tblLayout w:type="fixed"/>
        <w:tblInd w:w="108" w:type="dxa"/>
        <w:tblCellMar>
          <w:top w:w="0" w:type="dxa"/>
          <w:left w:w="0" w:type="dxa"/>
          <w:bottom w:w="0" w:type="dxa"/>
          <w:right w:w="0" w:type="dxa"/>
        </w:tblCellMar>
      </w:tblPr>
      <w:tr>
        <w:trPr>
          <w:trHeight w:val="138"/>
        </w:trPr>
        <w:tc>
          <w:tcPr>
            <w:tcW w:w="17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1720" w:type="dxa"/>
            <w:vAlign w:val="bottom"/>
          </w:tcPr>
          <w:p>
            <w:pPr>
              <w:spacing w:after="0"/>
              <w:rPr>
                <w:sz w:val="12"/>
                <w:szCs w:val="12"/>
                <w:color w:val="auto"/>
              </w:rPr>
            </w:pPr>
          </w:p>
        </w:tc>
        <w:tc>
          <w:tcPr>
            <w:tcW w:w="3080" w:type="dxa"/>
            <w:vAlign w:val="bottom"/>
            <w:gridSpan w:val="3"/>
          </w:tcPr>
          <w:p>
            <w:pPr>
              <w:jc w:val="right"/>
              <w:ind w:right="1260"/>
              <w:spacing w:after="0"/>
              <w:rPr>
                <w:sz w:val="20"/>
                <w:szCs w:val="20"/>
                <w:color w:val="auto"/>
              </w:rPr>
            </w:pPr>
            <w:r>
              <w:rPr>
                <w:rFonts w:ascii="Times New Roman" w:cs="Times New Roman" w:eastAsia="Times New Roman" w:hAnsi="Times New Roman"/>
                <w:sz w:val="12"/>
                <w:szCs w:val="12"/>
                <w:b w:val="1"/>
                <w:bCs w:val="1"/>
                <w:color w:val="auto"/>
              </w:rPr>
              <w:t>0-24531</w:t>
            </w:r>
          </w:p>
        </w:tc>
        <w:tc>
          <w:tcPr>
            <w:tcW w:w="4100" w:type="dxa"/>
            <w:vAlign w:val="bottom"/>
            <w:gridSpan w:val="3"/>
          </w:tcPr>
          <w:p>
            <w:pPr>
              <w:jc w:val="right"/>
              <w:ind w:right="1680"/>
              <w:spacing w:after="0"/>
              <w:rPr>
                <w:sz w:val="20"/>
                <w:szCs w:val="20"/>
                <w:color w:val="auto"/>
              </w:rPr>
            </w:pPr>
            <w:r>
              <w:rPr>
                <w:rFonts w:ascii="Times New Roman" w:cs="Times New Roman" w:eastAsia="Times New Roman" w:hAnsi="Times New Roman"/>
                <w:sz w:val="12"/>
                <w:szCs w:val="12"/>
                <w:b w:val="1"/>
                <w:bCs w:val="1"/>
                <w:color w:val="auto"/>
              </w:rPr>
              <w:t>52-2091509</w:t>
            </w:r>
          </w:p>
        </w:tc>
      </w:tr>
      <w:tr>
        <w:trPr>
          <w:trHeight w:val="20"/>
        </w:trPr>
        <w:tc>
          <w:tcPr>
            <w:tcW w:w="1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8"/>
        </w:trPr>
        <w:tc>
          <w:tcPr>
            <w:tcW w:w="392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(State or other jurisdiction of incorporation or organization)</w:t>
            </w:r>
          </w:p>
        </w:tc>
        <w:tc>
          <w:tcPr>
            <w:tcW w:w="3080" w:type="dxa"/>
            <w:vAlign w:val="bottom"/>
            <w:gridSpan w:val="3"/>
          </w:tcPr>
          <w:p>
            <w:pPr>
              <w:jc w:val="center"/>
              <w:ind w:left="10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4100" w:type="dxa"/>
            <w:vAlign w:val="bottom"/>
            <w:gridSpan w:val="3"/>
          </w:tcPr>
          <w:p>
            <w:pPr>
              <w:jc w:val="center"/>
              <w:ind w:left="100"/>
              <w:spacing w:after="0"/>
              <w:rPr>
                <w:sz w:val="20"/>
                <w:szCs w:val="20"/>
                <w:color w:val="auto"/>
              </w:rPr>
            </w:pPr>
            <w:r>
              <w:rPr>
                <w:rFonts w:ascii="Times New Roman" w:cs="Times New Roman" w:eastAsia="Times New Roman" w:hAnsi="Times New Roman"/>
                <w:sz w:val="12"/>
                <w:szCs w:val="12"/>
                <w:color w:val="auto"/>
                <w:w w:val="99"/>
              </w:rPr>
              <w:t>(I.R.S. Employer Identification No.)</w:t>
            </w:r>
          </w:p>
        </w:tc>
      </w:tr>
      <w:tr>
        <w:trPr>
          <w:trHeight w:val="261"/>
        </w:trPr>
        <w:tc>
          <w:tcPr>
            <w:tcW w:w="220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2"/>
                <w:szCs w:val="12"/>
                <w:color w:val="auto"/>
              </w:rPr>
              <w:t>1201 Wilson Blvd.,</w:t>
            </w:r>
          </w:p>
        </w:tc>
        <w:tc>
          <w:tcPr>
            <w:tcW w:w="1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2"/>
                <w:szCs w:val="12"/>
                <w:color w:val="auto"/>
              </w:rPr>
              <w:t>Arlington, VA</w:t>
            </w: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22209</w:t>
            </w:r>
          </w:p>
        </w:tc>
        <w:tc>
          <w:tcPr>
            <w:tcW w:w="1680" w:type="dxa"/>
            <w:vAlign w:val="bottom"/>
            <w:tcBorders>
              <w:bottom w:val="single" w:sz="8" w:color="auto"/>
            </w:tcBorders>
          </w:tcPr>
          <w:p>
            <w:pPr>
              <w:spacing w:after="0"/>
              <w:rPr>
                <w:sz w:val="22"/>
                <w:szCs w:val="22"/>
                <w:color w:val="auto"/>
              </w:rPr>
            </w:pPr>
          </w:p>
        </w:tc>
      </w:tr>
      <w:tr>
        <w:trPr>
          <w:trHeight w:val="144"/>
        </w:trPr>
        <w:tc>
          <w:tcPr>
            <w:tcW w:w="392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(Zip Code)</w:t>
            </w:r>
          </w:p>
        </w:tc>
      </w:tr>
    </w:tbl>
    <w:p>
      <w:pPr>
        <w:spacing w:after="0" w:line="59" w:lineRule="exact"/>
        <w:rPr>
          <w:sz w:val="24"/>
          <w:szCs w:val="24"/>
          <w:color w:val="auto"/>
        </w:rPr>
      </w:pPr>
    </w:p>
    <w:p>
      <w:pPr>
        <w:ind w:left="4008"/>
        <w:spacing w:after="0"/>
        <w:rPr>
          <w:sz w:val="20"/>
          <w:szCs w:val="20"/>
          <w:color w:val="auto"/>
        </w:rPr>
      </w:pPr>
      <w:r>
        <w:rPr>
          <w:rFonts w:ascii="Times New Roman" w:cs="Times New Roman" w:eastAsia="Times New Roman" w:hAnsi="Times New Roman"/>
          <w:sz w:val="12"/>
          <w:szCs w:val="12"/>
          <w:color w:val="auto"/>
        </w:rPr>
        <w:t>Registrant’s telephone number, including area code: (202) 346-6500</w:t>
      </w:r>
    </w:p>
    <w:p>
      <w:pPr>
        <w:spacing w:after="0" w:line="105" w:lineRule="exact"/>
        <w:rPr>
          <w:sz w:val="24"/>
          <w:szCs w:val="24"/>
          <w:color w:val="auto"/>
        </w:rPr>
      </w:pPr>
    </w:p>
    <w:p>
      <w:pPr>
        <w:ind w:left="5288"/>
        <w:spacing w:after="0"/>
        <w:rPr>
          <w:sz w:val="20"/>
          <w:szCs w:val="20"/>
          <w:color w:val="auto"/>
        </w:rPr>
      </w:pPr>
      <w:r>
        <w:rPr>
          <w:rFonts w:ascii="Times New Roman" w:cs="Times New Roman" w:eastAsia="Times New Roman" w:hAnsi="Times New Roman"/>
          <w:sz w:val="12"/>
          <w:szCs w:val="12"/>
          <w:u w:val="single" w:color="auto"/>
          <w:color w:val="auto"/>
        </w:rPr>
        <w:t>Not Applicable</w:t>
      </w:r>
    </w:p>
    <w:p>
      <w:pPr>
        <w:spacing w:after="0" w:line="17" w:lineRule="exact"/>
        <w:rPr>
          <w:sz w:val="24"/>
          <w:szCs w:val="24"/>
          <w:color w:val="auto"/>
        </w:rPr>
      </w:pPr>
    </w:p>
    <w:p>
      <w:pPr>
        <w:ind w:left="4168"/>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7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9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6"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4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288"/>
        </w:trPr>
        <w:tc>
          <w:tcPr>
            <w:tcW w:w="206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60"/>
        </w:trPr>
        <w:tc>
          <w:tcPr>
            <w:tcW w:w="4260" w:type="dxa"/>
            <w:vAlign w:val="bottom"/>
            <w:gridSpan w:val="3"/>
          </w:tcPr>
          <w:p>
            <w:pPr>
              <w:jc w:val="center"/>
              <w:ind w:left="680"/>
              <w:spacing w:after="0"/>
              <w:rPr>
                <w:sz w:val="20"/>
                <w:szCs w:val="20"/>
                <w:color w:val="auto"/>
              </w:rPr>
            </w:pPr>
            <w:r>
              <w:rPr>
                <w:rFonts w:ascii="Times New Roman" w:cs="Times New Roman" w:eastAsia="Times New Roman" w:hAnsi="Times New Roman"/>
                <w:sz w:val="12"/>
                <w:szCs w:val="12"/>
                <w:color w:val="auto"/>
                <w:w w:val="99"/>
              </w:rPr>
              <w:t>Common Stock ($0.01 par value)</w:t>
            </w:r>
          </w:p>
        </w:tc>
        <w:tc>
          <w:tcPr>
            <w:tcW w:w="960" w:type="dxa"/>
            <w:vAlign w:val="bottom"/>
          </w:tcPr>
          <w:p>
            <w:pPr>
              <w:spacing w:after="0"/>
              <w:rPr>
                <w:sz w:val="13"/>
                <w:szCs w:val="13"/>
                <w:color w:val="auto"/>
              </w:rPr>
            </w:pPr>
          </w:p>
        </w:tc>
        <w:tc>
          <w:tcPr>
            <w:tcW w:w="1640" w:type="dxa"/>
            <w:vAlign w:val="bottom"/>
            <w:gridSpan w:val="2"/>
          </w:tcPr>
          <w:p>
            <w:pPr>
              <w:jc w:val="center"/>
              <w:ind w:right="820"/>
              <w:spacing w:after="0"/>
              <w:rPr>
                <w:sz w:val="20"/>
                <w:szCs w:val="20"/>
                <w:color w:val="auto"/>
              </w:rPr>
            </w:pPr>
            <w:r>
              <w:rPr>
                <w:rFonts w:ascii="Times New Roman" w:cs="Times New Roman" w:eastAsia="Times New Roman" w:hAnsi="Times New Roman"/>
                <w:sz w:val="12"/>
                <w:szCs w:val="12"/>
                <w:color w:val="auto"/>
                <w:w w:val="99"/>
              </w:rPr>
              <w:t>CSGP</w:t>
            </w:r>
          </w:p>
        </w:tc>
        <w:tc>
          <w:tcPr>
            <w:tcW w:w="80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Nasdaq Global Select Market</w:t>
            </w:r>
          </w:p>
        </w:tc>
      </w:tr>
    </w:tbl>
    <w:p>
      <w:pPr>
        <w:spacing w:after="0" w:line="223"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9808"/>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208" w:lineRule="exact"/>
        <w:rPr>
          <w:sz w:val="24"/>
          <w:szCs w:val="24"/>
          <w:color w:val="auto"/>
        </w:rPr>
      </w:pPr>
    </w:p>
    <w:p>
      <w:pPr>
        <w:ind w:left="8" w:right="100"/>
        <w:spacing w:after="0" w:line="252"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238" w:lineRule="auto"/>
        <w:rPr>
          <w:sz w:val="20"/>
          <w:szCs w:val="20"/>
          <w:color w:val="auto"/>
        </w:rPr>
      </w:pP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1086485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6" w:right="299" w:bottom="1440" w:gutter="0" w:footer="0" w:header="0"/>
        </w:sectPr>
      </w:pPr>
    </w:p>
    <w:bookmarkStart w:id="1" w:name="page2"/>
    <w:bookmarkEnd w:id="1"/>
    <w:p>
      <w:pPr>
        <w:ind w:left="8"/>
        <w:spacing w:after="0"/>
        <w:tabs>
          <w:tab w:leader="none" w:pos="608"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72" w:lineRule="exact"/>
        <w:rPr>
          <w:sz w:val="20"/>
          <w:szCs w:val="20"/>
          <w:color w:val="auto"/>
        </w:rPr>
      </w:pPr>
    </w:p>
    <w:p>
      <w:pPr>
        <w:ind w:left="8" w:right="220"/>
        <w:spacing w:after="0" w:line="264" w:lineRule="auto"/>
        <w:rPr>
          <w:sz w:val="20"/>
          <w:szCs w:val="20"/>
          <w:color w:val="auto"/>
        </w:rPr>
      </w:pPr>
      <w:r>
        <w:rPr>
          <w:rFonts w:ascii="Times New Roman" w:cs="Times New Roman" w:eastAsia="Times New Roman" w:hAnsi="Times New Roman"/>
          <w:sz w:val="12"/>
          <w:szCs w:val="12"/>
          <w:color w:val="auto"/>
        </w:rPr>
        <w:t>On February 18, 2025, CoStar Group, Inc. (“CoStar Group” or the “Company”) announced its financial and operating results for the quarter and year ended December 31, 2024. The full text of the press release (the “Press Release”) issued in connection with the announcement is furnished as Exhibit 99.1 to this Current Report on Form 8-K.</w:t>
      </w:r>
    </w:p>
    <w:p>
      <w:pPr>
        <w:spacing w:after="0" w:line="137" w:lineRule="exact"/>
        <w:rPr>
          <w:sz w:val="20"/>
          <w:szCs w:val="20"/>
          <w:color w:val="auto"/>
        </w:rPr>
      </w:pPr>
    </w:p>
    <w:p>
      <w:pPr>
        <w:ind w:left="8" w:right="120"/>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2.02 and the Press Release shall be considered “furnished” and shall not be deemed “filed” for purposes of Section 18 of the Securities Exchange Act of 1934, as amended (the “Exchange Act”), or otherwise subject to the liabilities of that Section or Sections 11 and 12(a)(2) of the Securities Act of 1933, as amended (the “Securities Act”), nor shall it be deemed incorporated by reference into any reports or filings with the Securities and Exchange Commission (the “SEC”), whether made before or after the date hereof, except as expressly set forth by specific reference in such a filing.</w:t>
      </w:r>
    </w:p>
    <w:p>
      <w:pPr>
        <w:spacing w:after="0" w:line="133" w:lineRule="exact"/>
        <w:rPr>
          <w:sz w:val="20"/>
          <w:szCs w:val="20"/>
          <w:color w:val="auto"/>
        </w:rPr>
      </w:pPr>
    </w:p>
    <w:p>
      <w:pPr>
        <w:ind w:left="8"/>
        <w:spacing w:after="0"/>
        <w:tabs>
          <w:tab w:leader="none" w:pos="56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72" w:lineRule="exact"/>
        <w:rPr>
          <w:sz w:val="20"/>
          <w:szCs w:val="20"/>
          <w:color w:val="auto"/>
        </w:rPr>
      </w:pPr>
    </w:p>
    <w:p>
      <w:pPr>
        <w:ind w:left="8" w:right="160"/>
        <w:spacing w:after="0" w:line="279" w:lineRule="auto"/>
        <w:rPr>
          <w:sz w:val="20"/>
          <w:szCs w:val="20"/>
          <w:color w:val="auto"/>
        </w:rPr>
      </w:pPr>
      <w:r>
        <w:rPr>
          <w:rFonts w:ascii="Times New Roman" w:cs="Times New Roman" w:eastAsia="Times New Roman" w:hAnsi="Times New Roman"/>
          <w:sz w:val="12"/>
          <w:szCs w:val="12"/>
          <w:color w:val="auto"/>
        </w:rPr>
        <w:t>CoStar Group hereby furnishes the presentation (the “Investor Presentation”) that the Company intends to use from time to time on or after February 18, 2025. CoStar Group may use the Investor Presentation with investors, analysts, lenders, insurers, vendors, clients, employees and others. The Investor Presentation is furnished herewith as Exhibit 99.2 and also will be made available on the Company’s website at costargroup.com.</w:t>
      </w:r>
    </w:p>
    <w:p>
      <w:pPr>
        <w:spacing w:after="0" w:line="129" w:lineRule="exact"/>
        <w:rPr>
          <w:sz w:val="20"/>
          <w:szCs w:val="20"/>
          <w:color w:val="auto"/>
        </w:rPr>
      </w:pPr>
    </w:p>
    <w:p>
      <w:pPr>
        <w:ind w:left="8" w:right="220"/>
        <w:spacing w:after="0" w:line="265" w:lineRule="auto"/>
        <w:rPr>
          <w:sz w:val="20"/>
          <w:szCs w:val="20"/>
          <w:color w:val="auto"/>
        </w:rPr>
      </w:pPr>
      <w:r>
        <w:rPr>
          <w:rFonts w:ascii="Times New Roman" w:cs="Times New Roman" w:eastAsia="Times New Roman" w:hAnsi="Times New Roman"/>
          <w:sz w:val="12"/>
          <w:szCs w:val="12"/>
          <w:color w:val="auto"/>
        </w:rPr>
        <w:t>The information contained in the Investor Presentation is summary information that should be considered in the context of the Company’s filings with the SEC and other public announcements that the Company may make, by press release or otherwise, from time to time. The Investor Presentation is current as of February 18, 2025. To the extent that estimates, targets or other forward-looking statements are included in the Investor Presentation, the Company specifically disclaims any duty or obligation to publicly update or revise such information, except as required by applicable law.</w:t>
      </w:r>
    </w:p>
    <w:p>
      <w:pPr>
        <w:spacing w:after="0" w:line="137" w:lineRule="exact"/>
        <w:rPr>
          <w:sz w:val="20"/>
          <w:szCs w:val="20"/>
          <w:color w:val="auto"/>
        </w:rPr>
      </w:pPr>
    </w:p>
    <w:p>
      <w:pPr>
        <w:ind w:left="8" w:right="140"/>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7.01 and the Investor Presentation shall be considered “furnished” and shall not be deemed “filed” for purposes of Section 18 of the Exchange Act or otherwise subject to the liabilities of that Section or Sections 11 and 12(a)(2) of the Securities Act, nor shall it be deemed incorporated by reference into any reports or filings with the SEC, whether made before or after the date hereof, except as expressly set forth by specific reference in such a filing.</w:t>
      </w:r>
    </w:p>
    <w:p>
      <w:pPr>
        <w:spacing w:after="0" w:line="133" w:lineRule="exact"/>
        <w:rPr>
          <w:sz w:val="20"/>
          <w:szCs w:val="20"/>
          <w:color w:val="auto"/>
        </w:rPr>
      </w:pPr>
    </w:p>
    <w:p>
      <w:pPr>
        <w:ind w:left="8"/>
        <w:spacing w:after="0"/>
        <w:tabs>
          <w:tab w:leader="none" w:pos="60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72" w:lineRule="exact"/>
        <w:rPr>
          <w:sz w:val="20"/>
          <w:szCs w:val="20"/>
          <w:color w:val="auto"/>
        </w:rPr>
      </w:pPr>
    </w:p>
    <w:p>
      <w:pPr>
        <w:ind w:left="288" w:hanging="288"/>
        <w:spacing w:after="0"/>
        <w:tabs>
          <w:tab w:leader="none" w:pos="28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85"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No.</w:t>
            </w:r>
          </w:p>
        </w:tc>
        <w:tc>
          <w:tcPr>
            <w:tcW w:w="9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133"/>
        </w:trPr>
        <w:tc>
          <w:tcPr>
            <w:tcW w:w="2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12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CoStar Group, Inc. Press Release Dated February 18, 2025</w:t>
            </w:r>
            <w:r>
              <w:rPr>
                <w:rFonts w:ascii="Times New Roman" w:cs="Times New Roman" w:eastAsia="Times New Roman" w:hAnsi="Times New Roman"/>
                <w:sz w:val="12"/>
                <w:szCs w:val="12"/>
                <w:color w:val="000000"/>
              </w:rPr>
              <w:t>.</w:t>
            </w:r>
          </w:p>
        </w:tc>
      </w:tr>
      <w:tr>
        <w:trPr>
          <w:trHeight w:val="20"/>
        </w:trPr>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133"/>
        </w:trPr>
        <w:tc>
          <w:tcPr>
            <w:tcW w:w="220" w:type="dxa"/>
            <w:vAlign w:val="bottom"/>
            <w:tcBorders>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220" w:type="dxa"/>
            <w:vAlign w:val="bottom"/>
            <w:tcBorders>
              <w:bottom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w w:val="99"/>
              </w:rPr>
              <w:t>CoStar Group, Inc. Investor Presentation Dated February 18, 2025.</w:t>
            </w:r>
          </w:p>
        </w:tc>
        <w:tc>
          <w:tcPr>
            <w:tcW w:w="5900" w:type="dxa"/>
            <w:vAlign w:val="bottom"/>
          </w:tcPr>
          <w:p>
            <w:pPr>
              <w:spacing w:after="0"/>
              <w:rPr>
                <w:sz w:val="11"/>
                <w:szCs w:val="11"/>
                <w:color w:val="auto"/>
              </w:rPr>
            </w:pPr>
          </w:p>
        </w:tc>
      </w:tr>
      <w:tr>
        <w:trPr>
          <w:trHeight w:val="16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r>
      <w:tr>
        <w:trPr>
          <w:trHeight w:val="801"/>
        </w:trPr>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800"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COSTAR GROUP, INC.</w:t>
            </w:r>
          </w:p>
        </w:tc>
      </w:tr>
      <w:tr>
        <w:trPr>
          <w:trHeight w:val="322"/>
        </w:trPr>
        <w:tc>
          <w:tcPr>
            <w:tcW w:w="4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By:</w:t>
            </w:r>
          </w:p>
        </w:tc>
      </w:tr>
      <w:tr>
        <w:trPr>
          <w:trHeight w:val="155"/>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49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February 18, 2025</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Christian M. Lown</w:t>
            </w:r>
          </w:p>
        </w:tc>
      </w:tr>
      <w:tr>
        <w:trPr>
          <w:trHeight w:val="302"/>
        </w:trPr>
        <w:tc>
          <w:tcPr>
            <w:tcW w:w="4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 Christian M. Lown</w:t>
            </w:r>
          </w:p>
        </w:tc>
      </w:tr>
      <w:tr>
        <w:trPr>
          <w:trHeight w:val="155"/>
        </w:trPr>
        <w:tc>
          <w:tcPr>
            <w:tcW w:w="46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 Chief Financial Officer</w:t>
            </w:r>
          </w:p>
        </w:tc>
      </w:tr>
    </w:tbl>
    <w:p>
      <w:pPr>
        <w:sectPr>
          <w:pgSz w:w="11900" w:h="16838" w:orient="portrait"/>
          <w:cols w:equalWidth="0" w:num="1">
            <w:col w:w="10180"/>
          </w:cols>
          <w:pgMar w:left="300" w:top="638" w:right="1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219075</wp:posOffset>
            </wp:positionV>
            <wp:extent cx="171450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CoStar Group 2024 Full Year Revenue Increased 11% Year-over-Year;</w:t>
      </w:r>
    </w:p>
    <w:p>
      <w:pPr>
        <w:spacing w:after="0" w:line="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Q4 24 Net Income Increased 13%, EBITDA Increased 43% &amp; Adjusted EBITDA Increased 47% from Q3 24</w:t>
      </w:r>
    </w:p>
    <w:p>
      <w:pPr>
        <w:jc w:val="center"/>
        <w:ind w:right="-7"/>
        <w:spacing w:after="0" w:line="236" w:lineRule="auto"/>
        <w:rPr>
          <w:sz w:val="20"/>
          <w:szCs w:val="20"/>
          <w:color w:val="auto"/>
        </w:rPr>
      </w:pPr>
      <w:r>
        <w:rPr>
          <w:rFonts w:ascii="Times New Roman" w:cs="Times New Roman" w:eastAsia="Times New Roman" w:hAnsi="Times New Roman"/>
          <w:sz w:val="13"/>
          <w:szCs w:val="13"/>
          <w:i w:val="1"/>
          <w:iCs w:val="1"/>
          <w:color w:val="929292"/>
        </w:rPr>
        <w:t>Homes.com Network Solidifies its Position as the Number Two Residential Real Estate Marketplace in the United States;</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i w:val="1"/>
          <w:iCs w:val="1"/>
          <w:color w:val="929292"/>
        </w:rPr>
        <w:t>Board Approves Stock Repurchase Program</w:t>
      </w:r>
    </w:p>
    <w:p>
      <w:pPr>
        <w:spacing w:after="0" w:line="152"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3"/>
          <w:szCs w:val="13"/>
          <w:color w:val="auto"/>
        </w:rPr>
        <w:t>ARLINGTON, VA – February 18, 2025 - CoStar Group, Inc. (NASDAQ: CSGP), a leading provider of online real estate marketplaces, information, and analytics in the property markets, announced today that revenue for the year ended December 31, 2024 was $2.74 billion, up 11% over revenue of $2.46 billion for the full year of 2023. Revenue for the fourth quarter of 2024 was $709 million, an increase of 11% over revenue of $640 million for the fourth quarter of 2023. Net income was $139 million for the year ended December 31, 2024, compared to $375 million for the year ended December 31, 2023, and net income was $60 million for the fourth quarter of 2024.</w:t>
      </w:r>
    </w:p>
    <w:p>
      <w:pPr>
        <w:spacing w:after="0" w:line="91"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3"/>
          <w:szCs w:val="13"/>
          <w:color w:val="auto"/>
        </w:rPr>
        <w:t>In February 2025, the Board of Directors of CoStar Group approved a stock repurchase program which authorizes, but does not obligate, the repurchase of up to $500 million of the Company’s common stock. The program has no time limit and can be discontinued at any time at the Company’s discretion.</w:t>
      </w:r>
    </w:p>
    <w:p>
      <w:pPr>
        <w:spacing w:after="0" w:line="110" w:lineRule="exact"/>
        <w:rPr>
          <w:sz w:val="20"/>
          <w:szCs w:val="20"/>
          <w:color w:val="auto"/>
        </w:rPr>
      </w:pPr>
    </w:p>
    <w:p>
      <w:pPr>
        <w:jc w:val="both"/>
        <w:ind w:left="8"/>
        <w:spacing w:after="0" w:line="246" w:lineRule="auto"/>
        <w:rPr>
          <w:sz w:val="20"/>
          <w:szCs w:val="20"/>
          <w:color w:val="auto"/>
        </w:rPr>
      </w:pPr>
      <w:r>
        <w:rPr>
          <w:rFonts w:ascii="Times New Roman" w:cs="Times New Roman" w:eastAsia="Times New Roman" w:hAnsi="Times New Roman"/>
          <w:sz w:val="13"/>
          <w:szCs w:val="13"/>
          <w:color w:val="auto"/>
        </w:rPr>
        <w:t>“CoStar Group delivered another strong year of profitable revenue growth in 2024 and in the fourth quarter of 2024 we achieved our 55th consecutive quarter of double-digit revenue growth while exceeding the top-end of our guidance range in both revenue and Adjusted EBITDA,” said Andy Florance, Founder and Chief Executive Officer of CoStar Group. “Full year 2024 revenue grew 11% compared to 2023 as Net Income, EBITDA and Adjusted EBITDA increased significantly throughout 2024. In 2024, Apartments.com achieved $1.07 billion in revenue, growing 17% compared to 2023. CoStar, our flagship offering, generated revenue of $1.02 billion and grew 10% year-over-year. CoStar Group's commercial information and marketplace brands</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xml:space="preserve"> delivered exceptional results with 43% profit margins for 2024. CoStar Group delivered a 17% increase year-over-year in average monthly unique visitors to 134 million in the fourth quarter of 2024 according to Google Analytics.”</w:t>
      </w:r>
    </w:p>
    <w:p>
      <w:pPr>
        <w:spacing w:after="0" w:line="96" w:lineRule="exact"/>
        <w:rPr>
          <w:sz w:val="20"/>
          <w:szCs w:val="20"/>
          <w:color w:val="auto"/>
        </w:rPr>
      </w:pPr>
    </w:p>
    <w:p>
      <w:pPr>
        <w:jc w:val="both"/>
        <w:ind w:left="8"/>
        <w:spacing w:after="0" w:line="246" w:lineRule="auto"/>
        <w:rPr>
          <w:sz w:val="20"/>
          <w:szCs w:val="20"/>
          <w:color w:val="auto"/>
        </w:rPr>
      </w:pPr>
      <w:r>
        <w:rPr>
          <w:rFonts w:ascii="Times New Roman" w:cs="Times New Roman" w:eastAsia="Times New Roman" w:hAnsi="Times New Roman"/>
          <w:sz w:val="13"/>
          <w:szCs w:val="13"/>
          <w:color w:val="auto"/>
        </w:rPr>
        <w:t>Florance continued, “In less than one year, the Homes.com Network has become the second largest residential real estate marketplace in the United States. We reached an audience of 110 million average monthly unique visitors in the fourth quarter, nearly doubling Realtor.com's 62 million average monthly unique visitors</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Homes.com is benefiting consumers, sellers and their agents. Consumers are using what we believe is the best site in the U.S. to find a home. Homes.com Members are gaining more exposure for their listings across the internet that helps them sell homes faster while building their brands and winning 58% more listings</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3"/>
          <w:szCs w:val="13"/>
          <w:color w:val="auto"/>
        </w:rPr>
        <w:t>. Our dedicated sales force has grown to 275 representatives with increasing productivity of tenured reps and rising customer NPS scores.”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11430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344" w:lineRule="exact"/>
        <w:rPr>
          <w:sz w:val="20"/>
          <w:szCs w:val="20"/>
          <w:color w:val="auto"/>
        </w:rPr>
      </w:pPr>
    </w:p>
    <w:p>
      <w:pPr>
        <w:ind w:left="68" w:hanging="68"/>
        <w:spacing w:after="0"/>
        <w:tabs>
          <w:tab w:leader="none" w:pos="68"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0"/>
          <w:szCs w:val="10"/>
          <w:color w:val="auto"/>
        </w:rPr>
        <w:t>References to “commercial information and marketplace brands” refer to our consolidated financial position and results excluding the impact of our Residential brands, which are Homes.com and OnTheMarket.</w:t>
      </w:r>
    </w:p>
    <w:p>
      <w:pPr>
        <w:spacing w:after="0" w:line="39" w:lineRule="exact"/>
        <w:rPr>
          <w:sz w:val="20"/>
          <w:szCs w:val="20"/>
          <w:color w:val="auto"/>
        </w:rPr>
      </w:pPr>
    </w:p>
    <w:p>
      <w:pPr>
        <w:ind w:left="8" w:right="20" w:hanging="8"/>
        <w:spacing w:after="0" w:line="188" w:lineRule="auto"/>
        <w:tabs>
          <w:tab w:leader="none" w:pos="84"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0"/>
          <w:szCs w:val="10"/>
          <w:color w:val="auto"/>
        </w:rPr>
        <w:t>Based on: (1) the Homes.com Network (which includes Homes.com, the Apartments Network, and the Land Network) average monthly unique visitors (110 million) for the quarter ended December 31, 2024, according to Google Analytics, and (2) Realtor.com’s average monthly unique users (62 million) of Realtor.com’s web and mobile sites according to internal data, for the quarter ended December 31, 2024, as reported in News Corp’s press release on February 5, 2025, and (3) Zillow Group’s average monthly unique users (204 million) for the quarter ended December 31, 2024, as reported in Zillow Group’s shareholder letter dated February 11, 2025.</w:t>
      </w:r>
    </w:p>
    <w:p>
      <w:pPr>
        <w:ind w:left="68" w:hanging="68"/>
        <w:spacing w:after="0" w:line="184" w:lineRule="auto"/>
        <w:tabs>
          <w:tab w:leader="none" w:pos="68"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0"/>
          <w:szCs w:val="10"/>
          <w:color w:val="auto"/>
        </w:rPr>
        <w:t>Based on CoStar Group's internal analysis comparing Members to non-Members on Homes.com.</w:t>
      </w:r>
    </w:p>
    <w:p>
      <w:pPr>
        <w:sectPr>
          <w:pgSz w:w="11900" w:h="16838" w:orient="portrait"/>
          <w:cols w:equalWidth="0" w:num="1">
            <w:col w:w="11308"/>
          </w:cols>
          <w:pgMar w:left="292" w:top="803"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42"/>
        </w:trPr>
        <w:tc>
          <w:tcPr>
            <w:tcW w:w="3280" w:type="dxa"/>
            <w:vAlign w:val="bottom"/>
          </w:tcPr>
          <w:p>
            <w:pPr>
              <w:spacing w:after="0"/>
              <w:rPr>
                <w:sz w:val="12"/>
                <w:szCs w:val="12"/>
                <w:color w:val="auto"/>
              </w:rPr>
            </w:pPr>
          </w:p>
        </w:tc>
        <w:tc>
          <w:tcPr>
            <w:tcW w:w="3720" w:type="dxa"/>
            <w:vAlign w:val="bottom"/>
            <w:gridSpan w:val="3"/>
          </w:tcPr>
          <w:p>
            <w:pPr>
              <w:jc w:val="center"/>
              <w:ind w:left="966"/>
              <w:spacing w:after="0"/>
              <w:rPr>
                <w:sz w:val="20"/>
                <w:szCs w:val="20"/>
                <w:color w:val="auto"/>
              </w:rPr>
            </w:pPr>
            <w:r>
              <w:rPr>
                <w:rFonts w:ascii="Times New Roman" w:cs="Times New Roman" w:eastAsia="Times New Roman" w:hAnsi="Times New Roman"/>
                <w:sz w:val="11"/>
                <w:szCs w:val="11"/>
                <w:b w:val="1"/>
                <w:bCs w:val="1"/>
                <w:color w:val="auto"/>
                <w:w w:val="97"/>
              </w:rPr>
              <w:t>Year 2023-2024 Quarterly Results - Unaudited</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2"/>
        </w:trPr>
        <w:tc>
          <w:tcPr>
            <w:tcW w:w="3280" w:type="dxa"/>
            <w:vAlign w:val="bottom"/>
          </w:tcPr>
          <w:p>
            <w:pPr>
              <w:spacing w:after="0"/>
              <w:rPr>
                <w:sz w:val="14"/>
                <w:szCs w:val="14"/>
                <w:color w:val="auto"/>
              </w:rPr>
            </w:pPr>
          </w:p>
        </w:tc>
        <w:tc>
          <w:tcPr>
            <w:tcW w:w="3720" w:type="dxa"/>
            <w:vAlign w:val="bottom"/>
            <w:gridSpan w:val="3"/>
          </w:tcPr>
          <w:p>
            <w:pPr>
              <w:jc w:val="center"/>
              <w:ind w:left="966"/>
              <w:spacing w:after="0"/>
              <w:rPr>
                <w:sz w:val="20"/>
                <w:szCs w:val="20"/>
                <w:color w:val="auto"/>
              </w:rPr>
            </w:pPr>
            <w:r>
              <w:rPr>
                <w:rFonts w:ascii="Times New Roman" w:cs="Times New Roman" w:eastAsia="Times New Roman" w:hAnsi="Times New Roman"/>
                <w:sz w:val="11"/>
                <w:szCs w:val="11"/>
                <w:color w:val="auto"/>
                <w:w w:val="98"/>
              </w:rPr>
              <w:t>(in millions, except per share data)</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9"/>
        </w:trPr>
        <w:tc>
          <w:tcPr>
            <w:tcW w:w="3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740" w:type="dxa"/>
            <w:vAlign w:val="bottom"/>
            <w:tcBorders>
              <w:bottom w:val="single" w:sz="8" w:color="auto"/>
            </w:tcBorders>
          </w:tcPr>
          <w:p>
            <w:pPr>
              <w:spacing w:after="0"/>
              <w:rPr>
                <w:sz w:val="14"/>
                <w:szCs w:val="14"/>
                <w:color w:val="auto"/>
              </w:rPr>
            </w:pPr>
          </w:p>
        </w:tc>
      </w:tr>
      <w:tr>
        <w:trPr>
          <w:trHeight w:val="151"/>
        </w:trPr>
        <w:tc>
          <w:tcPr>
            <w:tcW w:w="3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Q1</w:t>
            </w:r>
          </w:p>
        </w:tc>
        <w:tc>
          <w:tcPr>
            <w:tcW w:w="90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9"/>
              </w:rPr>
              <w:t>Q2</w:t>
            </w:r>
          </w:p>
        </w:tc>
        <w:tc>
          <w:tcPr>
            <w:tcW w:w="54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9"/>
              </w:rPr>
              <w:t>Q3</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Q4</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5"/>
              </w:rPr>
              <w:t>Q1</w:t>
            </w:r>
          </w:p>
        </w:tc>
        <w:tc>
          <w:tcPr>
            <w:tcW w:w="540" w:type="dxa"/>
            <w:vAlign w:val="bottom"/>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85"/>
              </w:rPr>
              <w:t>Q2</w:t>
            </w:r>
          </w:p>
        </w:tc>
        <w:tc>
          <w:tcPr>
            <w:tcW w:w="920" w:type="dxa"/>
            <w:vAlign w:val="bottom"/>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9"/>
              </w:rPr>
              <w:t>Q3</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Q4</w:t>
            </w:r>
          </w:p>
        </w:tc>
      </w:tr>
      <w:tr>
        <w:trPr>
          <w:trHeight w:val="131"/>
        </w:trPr>
        <w:tc>
          <w:tcPr>
            <w:tcW w:w="32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Revenues</w:t>
            </w:r>
          </w:p>
        </w:tc>
        <w:tc>
          <w:tcPr>
            <w:tcW w:w="2820" w:type="dxa"/>
            <w:vAlign w:val="bottom"/>
            <w:gridSpan w:val="2"/>
            <w:shd w:val="clear" w:color="auto" w:fill="CCEEFF"/>
          </w:tcPr>
          <w:p>
            <w:pPr>
              <w:jc w:val="center"/>
              <w:ind w:left="2026"/>
              <w:spacing w:after="0"/>
              <w:rPr>
                <w:sz w:val="20"/>
                <w:szCs w:val="20"/>
                <w:color w:val="auto"/>
              </w:rPr>
            </w:pPr>
            <w:r>
              <w:rPr>
                <w:rFonts w:ascii="Times New Roman" w:cs="Times New Roman" w:eastAsia="Times New Roman" w:hAnsi="Times New Roman"/>
                <w:sz w:val="11"/>
                <w:szCs w:val="11"/>
                <w:color w:val="auto"/>
                <w:w w:val="99"/>
              </w:rPr>
              <w:t>$584</w:t>
            </w:r>
          </w:p>
        </w:tc>
        <w:tc>
          <w:tcPr>
            <w:tcW w:w="900" w:type="dxa"/>
            <w:vAlign w:val="bottom"/>
            <w:shd w:val="clear" w:color="auto" w:fill="CCEEFF"/>
          </w:tcPr>
          <w:p>
            <w:pPr>
              <w:jc w:val="center"/>
              <w:ind w:right="146"/>
              <w:spacing w:after="0"/>
              <w:rPr>
                <w:sz w:val="20"/>
                <w:szCs w:val="20"/>
                <w:color w:val="auto"/>
              </w:rPr>
            </w:pPr>
            <w:r>
              <w:rPr>
                <w:rFonts w:ascii="Times New Roman" w:cs="Times New Roman" w:eastAsia="Times New Roman" w:hAnsi="Times New Roman"/>
                <w:sz w:val="11"/>
                <w:szCs w:val="11"/>
                <w:color w:val="auto"/>
                <w:w w:val="99"/>
              </w:rPr>
              <w:t>$606</w:t>
            </w:r>
          </w:p>
        </w:tc>
        <w:tc>
          <w:tcPr>
            <w:tcW w:w="540" w:type="dxa"/>
            <w:vAlign w:val="bottom"/>
            <w:shd w:val="clear" w:color="auto" w:fill="CCEEFF"/>
          </w:tcPr>
          <w:p>
            <w:pPr>
              <w:jc w:val="center"/>
              <w:ind w:right="146"/>
              <w:spacing w:after="0"/>
              <w:rPr>
                <w:sz w:val="20"/>
                <w:szCs w:val="20"/>
                <w:color w:val="auto"/>
              </w:rPr>
            </w:pPr>
            <w:r>
              <w:rPr>
                <w:rFonts w:ascii="Times New Roman" w:cs="Times New Roman" w:eastAsia="Times New Roman" w:hAnsi="Times New Roman"/>
                <w:sz w:val="11"/>
                <w:szCs w:val="11"/>
                <w:color w:val="auto"/>
                <w:w w:val="99"/>
              </w:rPr>
              <w:t>$625</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$640</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$656</w:t>
            </w:r>
          </w:p>
        </w:tc>
        <w:tc>
          <w:tcPr>
            <w:tcW w:w="540" w:type="dxa"/>
            <w:vAlign w:val="bottom"/>
            <w:shd w:val="clear" w:color="auto" w:fill="CCEEFF"/>
          </w:tcPr>
          <w:p>
            <w:pPr>
              <w:jc w:val="center"/>
              <w:ind w:left="126"/>
              <w:spacing w:after="0"/>
              <w:rPr>
                <w:sz w:val="20"/>
                <w:szCs w:val="20"/>
                <w:color w:val="auto"/>
              </w:rPr>
            </w:pPr>
            <w:r>
              <w:rPr>
                <w:rFonts w:ascii="Times New Roman" w:cs="Times New Roman" w:eastAsia="Times New Roman" w:hAnsi="Times New Roman"/>
                <w:sz w:val="11"/>
                <w:szCs w:val="11"/>
                <w:color w:val="auto"/>
                <w:w w:val="90"/>
              </w:rPr>
              <w:t>$678</w:t>
            </w:r>
          </w:p>
        </w:tc>
        <w:tc>
          <w:tcPr>
            <w:tcW w:w="920" w:type="dxa"/>
            <w:vAlign w:val="bottom"/>
            <w:shd w:val="clear" w:color="auto" w:fill="CCEEFF"/>
          </w:tcPr>
          <w:p>
            <w:pPr>
              <w:jc w:val="center"/>
              <w:ind w:left="126"/>
              <w:spacing w:after="0"/>
              <w:rPr>
                <w:sz w:val="20"/>
                <w:szCs w:val="20"/>
                <w:color w:val="auto"/>
              </w:rPr>
            </w:pPr>
            <w:r>
              <w:rPr>
                <w:rFonts w:ascii="Times New Roman" w:cs="Times New Roman" w:eastAsia="Times New Roman" w:hAnsi="Times New Roman"/>
                <w:sz w:val="11"/>
                <w:szCs w:val="11"/>
                <w:color w:val="auto"/>
                <w:w w:val="99"/>
              </w:rPr>
              <w:t>$693</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$709</w:t>
            </w:r>
          </w:p>
        </w:tc>
      </w:tr>
      <w:tr>
        <w:trPr>
          <w:trHeight w:val="155"/>
        </w:trPr>
        <w:tc>
          <w:tcPr>
            <w:tcW w:w="328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2820" w:type="dxa"/>
            <w:vAlign w:val="bottom"/>
            <w:gridSpan w:val="2"/>
          </w:tcPr>
          <w:p>
            <w:pPr>
              <w:jc w:val="center"/>
              <w:ind w:left="2026"/>
              <w:spacing w:after="0"/>
              <w:rPr>
                <w:sz w:val="20"/>
                <w:szCs w:val="20"/>
                <w:color w:val="auto"/>
              </w:rPr>
            </w:pPr>
            <w:r>
              <w:rPr>
                <w:rFonts w:ascii="Times New Roman" w:cs="Times New Roman" w:eastAsia="Times New Roman" w:hAnsi="Times New Roman"/>
                <w:sz w:val="11"/>
                <w:szCs w:val="11"/>
                <w:color w:val="auto"/>
                <w:w w:val="90"/>
              </w:rPr>
              <w:t>87</w:t>
            </w:r>
          </w:p>
        </w:tc>
        <w:tc>
          <w:tcPr>
            <w:tcW w:w="90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w w:val="96"/>
              </w:rPr>
              <w:t>101</w:t>
            </w:r>
          </w:p>
        </w:tc>
        <w:tc>
          <w:tcPr>
            <w:tcW w:w="540" w:type="dxa"/>
            <w:vAlign w:val="bottom"/>
          </w:tcPr>
          <w:p>
            <w:pPr>
              <w:jc w:val="center"/>
              <w:ind w:right="146"/>
              <w:spacing w:after="0"/>
              <w:rPr>
                <w:sz w:val="20"/>
                <w:szCs w:val="20"/>
                <w:color w:val="auto"/>
              </w:rPr>
            </w:pPr>
            <w:r>
              <w:rPr>
                <w:rFonts w:ascii="Times New Roman" w:cs="Times New Roman" w:eastAsia="Times New Roman" w:hAnsi="Times New Roman"/>
                <w:sz w:val="11"/>
                <w:szCs w:val="11"/>
                <w:color w:val="auto"/>
                <w:w w:val="90"/>
              </w:rPr>
              <w:t>91</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96</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1"/>
              </w:rPr>
              <w:t>7</w:t>
            </w:r>
          </w:p>
        </w:tc>
        <w:tc>
          <w:tcPr>
            <w:tcW w:w="540" w:type="dxa"/>
            <w:vAlign w:val="bottom"/>
          </w:tcPr>
          <w:p>
            <w:pPr>
              <w:jc w:val="center"/>
              <w:ind w:left="126"/>
              <w:spacing w:after="0"/>
              <w:rPr>
                <w:sz w:val="20"/>
                <w:szCs w:val="20"/>
                <w:color w:val="auto"/>
              </w:rPr>
            </w:pPr>
            <w:r>
              <w:rPr>
                <w:rFonts w:ascii="Times New Roman" w:cs="Times New Roman" w:eastAsia="Times New Roman" w:hAnsi="Times New Roman"/>
                <w:sz w:val="11"/>
                <w:szCs w:val="11"/>
                <w:color w:val="auto"/>
              </w:rPr>
              <w:t>19</w:t>
            </w:r>
          </w:p>
        </w:tc>
        <w:tc>
          <w:tcPr>
            <w:tcW w:w="920" w:type="dxa"/>
            <w:vAlign w:val="bottom"/>
          </w:tcPr>
          <w:p>
            <w:pPr>
              <w:jc w:val="center"/>
              <w:ind w:left="126"/>
              <w:spacing w:after="0"/>
              <w:rPr>
                <w:sz w:val="20"/>
                <w:szCs w:val="20"/>
                <w:color w:val="auto"/>
              </w:rPr>
            </w:pPr>
            <w:r>
              <w:rPr>
                <w:rFonts w:ascii="Times New Roman" w:cs="Times New Roman" w:eastAsia="Times New Roman" w:hAnsi="Times New Roman"/>
                <w:sz w:val="11"/>
                <w:szCs w:val="11"/>
                <w:color w:val="auto"/>
                <w:w w:val="90"/>
              </w:rPr>
              <w:t>53</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60</w:t>
            </w:r>
          </w:p>
        </w:tc>
      </w:tr>
      <w:tr>
        <w:trPr>
          <w:trHeight w:val="19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share - diluted</w:t>
            </w:r>
          </w:p>
        </w:tc>
        <w:tc>
          <w:tcPr>
            <w:tcW w:w="2820" w:type="dxa"/>
            <w:vAlign w:val="bottom"/>
            <w:gridSpan w:val="2"/>
            <w:shd w:val="clear" w:color="auto" w:fill="CCEEFF"/>
          </w:tcPr>
          <w:p>
            <w:pPr>
              <w:jc w:val="center"/>
              <w:ind w:left="2026"/>
              <w:spacing w:after="0"/>
              <w:rPr>
                <w:sz w:val="20"/>
                <w:szCs w:val="20"/>
                <w:color w:val="auto"/>
              </w:rPr>
            </w:pPr>
            <w:r>
              <w:rPr>
                <w:rFonts w:ascii="Times New Roman" w:cs="Times New Roman" w:eastAsia="Times New Roman" w:hAnsi="Times New Roman"/>
                <w:sz w:val="11"/>
                <w:szCs w:val="11"/>
                <w:color w:val="auto"/>
                <w:w w:val="93"/>
              </w:rPr>
              <w:t>0.21</w:t>
            </w:r>
          </w:p>
        </w:tc>
        <w:tc>
          <w:tcPr>
            <w:tcW w:w="900" w:type="dxa"/>
            <w:vAlign w:val="bottom"/>
            <w:shd w:val="clear" w:color="auto" w:fill="CCEEFF"/>
          </w:tcPr>
          <w:p>
            <w:pPr>
              <w:jc w:val="center"/>
              <w:ind w:right="146"/>
              <w:spacing w:after="0"/>
              <w:rPr>
                <w:sz w:val="20"/>
                <w:szCs w:val="20"/>
                <w:color w:val="auto"/>
              </w:rPr>
            </w:pPr>
            <w:r>
              <w:rPr>
                <w:rFonts w:ascii="Times New Roman" w:cs="Times New Roman" w:eastAsia="Times New Roman" w:hAnsi="Times New Roman"/>
                <w:sz w:val="11"/>
                <w:szCs w:val="11"/>
                <w:color w:val="auto"/>
                <w:w w:val="93"/>
              </w:rPr>
              <w:t>0.25</w:t>
            </w:r>
          </w:p>
        </w:tc>
        <w:tc>
          <w:tcPr>
            <w:tcW w:w="540" w:type="dxa"/>
            <w:vAlign w:val="bottom"/>
            <w:shd w:val="clear" w:color="auto" w:fill="CCEEFF"/>
          </w:tcPr>
          <w:p>
            <w:pPr>
              <w:jc w:val="center"/>
              <w:ind w:right="146"/>
              <w:spacing w:after="0"/>
              <w:rPr>
                <w:sz w:val="20"/>
                <w:szCs w:val="20"/>
                <w:color w:val="auto"/>
              </w:rPr>
            </w:pPr>
            <w:r>
              <w:rPr>
                <w:rFonts w:ascii="Times New Roman" w:cs="Times New Roman" w:eastAsia="Times New Roman" w:hAnsi="Times New Roman"/>
                <w:sz w:val="11"/>
                <w:szCs w:val="11"/>
                <w:color w:val="auto"/>
                <w:w w:val="93"/>
              </w:rPr>
              <w:t>0.22</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0.24</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0.02</w:t>
            </w:r>
          </w:p>
        </w:tc>
        <w:tc>
          <w:tcPr>
            <w:tcW w:w="540" w:type="dxa"/>
            <w:vAlign w:val="bottom"/>
            <w:shd w:val="clear" w:color="auto" w:fill="CCEEFF"/>
          </w:tcPr>
          <w:p>
            <w:pPr>
              <w:jc w:val="center"/>
              <w:ind w:left="126"/>
              <w:spacing w:after="0"/>
              <w:rPr>
                <w:sz w:val="20"/>
                <w:szCs w:val="20"/>
                <w:color w:val="auto"/>
              </w:rPr>
            </w:pPr>
            <w:r>
              <w:rPr>
                <w:rFonts w:ascii="Times New Roman" w:cs="Times New Roman" w:eastAsia="Times New Roman" w:hAnsi="Times New Roman"/>
                <w:sz w:val="11"/>
                <w:szCs w:val="11"/>
                <w:color w:val="auto"/>
              </w:rPr>
              <w:t>0.05</w:t>
            </w:r>
          </w:p>
        </w:tc>
        <w:tc>
          <w:tcPr>
            <w:tcW w:w="920" w:type="dxa"/>
            <w:vAlign w:val="bottom"/>
            <w:shd w:val="clear" w:color="auto" w:fill="CCEEFF"/>
          </w:tcPr>
          <w:p>
            <w:pPr>
              <w:jc w:val="center"/>
              <w:ind w:left="126"/>
              <w:spacing w:after="0"/>
              <w:rPr>
                <w:sz w:val="20"/>
                <w:szCs w:val="20"/>
                <w:color w:val="auto"/>
              </w:rPr>
            </w:pPr>
            <w:r>
              <w:rPr>
                <w:rFonts w:ascii="Times New Roman" w:cs="Times New Roman" w:eastAsia="Times New Roman" w:hAnsi="Times New Roman"/>
                <w:sz w:val="11"/>
                <w:szCs w:val="11"/>
                <w:color w:val="auto"/>
                <w:w w:val="93"/>
              </w:rPr>
              <w:t>0.13</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0.15</w:t>
            </w:r>
          </w:p>
        </w:tc>
      </w:tr>
      <w:tr>
        <w:trPr>
          <w:trHeight w:val="183"/>
        </w:trPr>
        <w:tc>
          <w:tcPr>
            <w:tcW w:w="328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outstanding shares - diluted</w:t>
            </w:r>
          </w:p>
        </w:tc>
        <w:tc>
          <w:tcPr>
            <w:tcW w:w="2820" w:type="dxa"/>
            <w:vAlign w:val="bottom"/>
            <w:gridSpan w:val="2"/>
          </w:tcPr>
          <w:p>
            <w:pPr>
              <w:jc w:val="center"/>
              <w:ind w:left="2046"/>
              <w:spacing w:after="0"/>
              <w:rPr>
                <w:sz w:val="20"/>
                <w:szCs w:val="20"/>
                <w:color w:val="auto"/>
              </w:rPr>
            </w:pPr>
            <w:r>
              <w:rPr>
                <w:rFonts w:ascii="Times New Roman" w:cs="Times New Roman" w:eastAsia="Times New Roman" w:hAnsi="Times New Roman"/>
                <w:sz w:val="11"/>
                <w:szCs w:val="11"/>
                <w:color w:val="auto"/>
                <w:w w:val="96"/>
              </w:rPr>
              <w:t>406</w:t>
            </w:r>
          </w:p>
        </w:tc>
        <w:tc>
          <w:tcPr>
            <w:tcW w:w="90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w w:val="96"/>
              </w:rPr>
              <w:t>407</w:t>
            </w:r>
          </w:p>
        </w:tc>
        <w:tc>
          <w:tcPr>
            <w:tcW w:w="54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w w:val="96"/>
              </w:rPr>
              <w:t>407</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408</w:t>
            </w: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407</w:t>
            </w:r>
          </w:p>
        </w:tc>
        <w:tc>
          <w:tcPr>
            <w:tcW w:w="540" w:type="dxa"/>
            <w:vAlign w:val="bottom"/>
          </w:tcPr>
          <w:p>
            <w:pPr>
              <w:jc w:val="center"/>
              <w:ind w:left="126"/>
              <w:spacing w:after="0"/>
              <w:rPr>
                <w:sz w:val="20"/>
                <w:szCs w:val="20"/>
                <w:color w:val="auto"/>
              </w:rPr>
            </w:pPr>
            <w:r>
              <w:rPr>
                <w:rFonts w:ascii="Times New Roman" w:cs="Times New Roman" w:eastAsia="Times New Roman" w:hAnsi="Times New Roman"/>
                <w:sz w:val="11"/>
                <w:szCs w:val="11"/>
                <w:color w:val="auto"/>
                <w:w w:val="96"/>
              </w:rPr>
              <w:t>407</w:t>
            </w:r>
          </w:p>
        </w:tc>
        <w:tc>
          <w:tcPr>
            <w:tcW w:w="92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6"/>
              </w:rPr>
              <w:t>408</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408</w:t>
            </w:r>
          </w:p>
        </w:tc>
      </w:tr>
      <w:tr>
        <w:trPr>
          <w:trHeight w:val="151"/>
        </w:trPr>
        <w:tc>
          <w:tcPr>
            <w:tcW w:w="328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5"/>
        </w:trPr>
        <w:tc>
          <w:tcPr>
            <w:tcW w:w="3280" w:type="dxa"/>
            <w:vAlign w:val="bottom"/>
          </w:tcPr>
          <w:p>
            <w:pPr>
              <w:spacing w:after="0"/>
              <w:rPr>
                <w:sz w:val="20"/>
                <w:szCs w:val="20"/>
                <w:color w:val="auto"/>
              </w:rPr>
            </w:pPr>
            <w:r>
              <w:rPr>
                <w:rFonts w:ascii="Times New Roman" w:cs="Times New Roman" w:eastAsia="Times New Roman" w:hAnsi="Times New Roman"/>
                <w:sz w:val="11"/>
                <w:szCs w:val="11"/>
                <w:color w:val="auto"/>
              </w:rPr>
              <w:t>EBITDA</w:t>
            </w:r>
          </w:p>
        </w:tc>
        <w:tc>
          <w:tcPr>
            <w:tcW w:w="2820" w:type="dxa"/>
            <w:vAlign w:val="bottom"/>
            <w:gridSpan w:val="2"/>
          </w:tcPr>
          <w:p>
            <w:pPr>
              <w:jc w:val="center"/>
              <w:ind w:left="2026"/>
              <w:spacing w:after="0"/>
              <w:rPr>
                <w:sz w:val="20"/>
                <w:szCs w:val="20"/>
                <w:color w:val="auto"/>
              </w:rPr>
            </w:pPr>
            <w:r>
              <w:rPr>
                <w:rFonts w:ascii="Times New Roman" w:cs="Times New Roman" w:eastAsia="Times New Roman" w:hAnsi="Times New Roman"/>
                <w:sz w:val="11"/>
                <w:szCs w:val="11"/>
                <w:color w:val="auto"/>
                <w:w w:val="90"/>
              </w:rPr>
              <w:t>98</w:t>
            </w:r>
          </w:p>
        </w:tc>
        <w:tc>
          <w:tcPr>
            <w:tcW w:w="90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w w:val="96"/>
              </w:rPr>
              <w:t>105</w:t>
            </w:r>
          </w:p>
        </w:tc>
        <w:tc>
          <w:tcPr>
            <w:tcW w:w="540" w:type="dxa"/>
            <w:vAlign w:val="bottom"/>
          </w:tcPr>
          <w:p>
            <w:pPr>
              <w:jc w:val="center"/>
              <w:ind w:right="146"/>
              <w:spacing w:after="0"/>
              <w:rPr>
                <w:sz w:val="20"/>
                <w:szCs w:val="20"/>
                <w:color w:val="auto"/>
              </w:rPr>
            </w:pPr>
            <w:r>
              <w:rPr>
                <w:rFonts w:ascii="Times New Roman" w:cs="Times New Roman" w:eastAsia="Times New Roman" w:hAnsi="Times New Roman"/>
                <w:sz w:val="11"/>
                <w:szCs w:val="11"/>
                <w:color w:val="auto"/>
                <w:w w:val="90"/>
              </w:rPr>
              <w:t>89</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98</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(13)</w:t>
            </w:r>
          </w:p>
        </w:tc>
        <w:tc>
          <w:tcPr>
            <w:tcW w:w="540" w:type="dxa"/>
            <w:vAlign w:val="bottom"/>
          </w:tcPr>
          <w:p>
            <w:pPr>
              <w:jc w:val="center"/>
              <w:ind w:left="126"/>
              <w:spacing w:after="0"/>
              <w:rPr>
                <w:sz w:val="20"/>
                <w:szCs w:val="20"/>
                <w:color w:val="auto"/>
              </w:rPr>
            </w:pPr>
            <w:r>
              <w:rPr>
                <w:rFonts w:ascii="Times New Roman" w:cs="Times New Roman" w:eastAsia="Times New Roman" w:hAnsi="Times New Roman"/>
                <w:sz w:val="11"/>
                <w:szCs w:val="11"/>
                <w:color w:val="auto"/>
              </w:rPr>
              <w:t>12</w:t>
            </w:r>
          </w:p>
        </w:tc>
        <w:tc>
          <w:tcPr>
            <w:tcW w:w="920" w:type="dxa"/>
            <w:vAlign w:val="bottom"/>
          </w:tcPr>
          <w:p>
            <w:pPr>
              <w:jc w:val="center"/>
              <w:ind w:left="126"/>
              <w:spacing w:after="0"/>
              <w:rPr>
                <w:sz w:val="20"/>
                <w:szCs w:val="20"/>
                <w:color w:val="auto"/>
              </w:rPr>
            </w:pPr>
            <w:r>
              <w:rPr>
                <w:rFonts w:ascii="Times New Roman" w:cs="Times New Roman" w:eastAsia="Times New Roman" w:hAnsi="Times New Roman"/>
                <w:sz w:val="11"/>
                <w:szCs w:val="11"/>
                <w:color w:val="auto"/>
                <w:w w:val="90"/>
              </w:rPr>
              <w:t>51</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73</w:t>
            </w:r>
          </w:p>
        </w:tc>
      </w:tr>
      <w:tr>
        <w:trPr>
          <w:trHeight w:val="16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Adjusted EBITDA</w:t>
            </w:r>
          </w:p>
        </w:tc>
        <w:tc>
          <w:tcPr>
            <w:tcW w:w="2820" w:type="dxa"/>
            <w:vAlign w:val="bottom"/>
            <w:gridSpan w:val="2"/>
            <w:shd w:val="clear" w:color="auto" w:fill="CCEEFF"/>
          </w:tcPr>
          <w:p>
            <w:pPr>
              <w:jc w:val="center"/>
              <w:ind w:left="2046"/>
              <w:spacing w:after="0"/>
              <w:rPr>
                <w:sz w:val="20"/>
                <w:szCs w:val="20"/>
                <w:color w:val="auto"/>
              </w:rPr>
            </w:pPr>
            <w:r>
              <w:rPr>
                <w:rFonts w:ascii="Times New Roman" w:cs="Times New Roman" w:eastAsia="Times New Roman" w:hAnsi="Times New Roman"/>
                <w:sz w:val="11"/>
                <w:szCs w:val="11"/>
                <w:color w:val="auto"/>
                <w:w w:val="96"/>
              </w:rPr>
              <w:t>123</w:t>
            </w:r>
          </w:p>
        </w:tc>
        <w:tc>
          <w:tcPr>
            <w:tcW w:w="900" w:type="dxa"/>
            <w:vAlign w:val="bottom"/>
            <w:shd w:val="clear" w:color="auto" w:fill="CCEEFF"/>
          </w:tcPr>
          <w:p>
            <w:pPr>
              <w:jc w:val="center"/>
              <w:ind w:right="126"/>
              <w:spacing w:after="0"/>
              <w:rPr>
                <w:sz w:val="20"/>
                <w:szCs w:val="20"/>
                <w:color w:val="auto"/>
              </w:rPr>
            </w:pPr>
            <w:r>
              <w:rPr>
                <w:rFonts w:ascii="Times New Roman" w:cs="Times New Roman" w:eastAsia="Times New Roman" w:hAnsi="Times New Roman"/>
                <w:sz w:val="11"/>
                <w:szCs w:val="11"/>
                <w:color w:val="auto"/>
                <w:w w:val="96"/>
              </w:rPr>
              <w:t>127</w:t>
            </w:r>
          </w:p>
        </w:tc>
        <w:tc>
          <w:tcPr>
            <w:tcW w:w="540" w:type="dxa"/>
            <w:vAlign w:val="bottom"/>
            <w:shd w:val="clear" w:color="auto" w:fill="CCEEFF"/>
          </w:tcPr>
          <w:p>
            <w:pPr>
              <w:jc w:val="center"/>
              <w:ind w:right="126"/>
              <w:spacing w:after="0"/>
              <w:rPr>
                <w:sz w:val="20"/>
                <w:szCs w:val="20"/>
                <w:color w:val="auto"/>
              </w:rPr>
            </w:pPr>
            <w:r>
              <w:rPr>
                <w:rFonts w:ascii="Times New Roman" w:cs="Times New Roman" w:eastAsia="Times New Roman" w:hAnsi="Times New Roman"/>
                <w:sz w:val="11"/>
                <w:szCs w:val="11"/>
                <w:color w:val="auto"/>
                <w:w w:val="96"/>
              </w:rPr>
              <w:t>112</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130</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12</w:t>
            </w:r>
          </w:p>
        </w:tc>
        <w:tc>
          <w:tcPr>
            <w:tcW w:w="540" w:type="dxa"/>
            <w:vAlign w:val="bottom"/>
            <w:shd w:val="clear" w:color="auto" w:fill="CCEEFF"/>
          </w:tcPr>
          <w:p>
            <w:pPr>
              <w:jc w:val="center"/>
              <w:ind w:left="126"/>
              <w:spacing w:after="0"/>
              <w:rPr>
                <w:sz w:val="20"/>
                <w:szCs w:val="20"/>
                <w:color w:val="auto"/>
              </w:rPr>
            </w:pPr>
            <w:r>
              <w:rPr>
                <w:rFonts w:ascii="Times New Roman" w:cs="Times New Roman" w:eastAsia="Times New Roman" w:hAnsi="Times New Roman"/>
                <w:sz w:val="11"/>
                <w:szCs w:val="11"/>
                <w:color w:val="auto"/>
              </w:rPr>
              <w:t>41</w:t>
            </w:r>
          </w:p>
        </w:tc>
        <w:tc>
          <w:tcPr>
            <w:tcW w:w="920" w:type="dxa"/>
            <w:vAlign w:val="bottom"/>
            <w:shd w:val="clear" w:color="auto" w:fill="CCEEFF"/>
          </w:tcPr>
          <w:p>
            <w:pPr>
              <w:jc w:val="center"/>
              <w:ind w:left="126"/>
              <w:spacing w:after="0"/>
              <w:rPr>
                <w:sz w:val="20"/>
                <w:szCs w:val="20"/>
                <w:color w:val="auto"/>
              </w:rPr>
            </w:pPr>
            <w:r>
              <w:rPr>
                <w:rFonts w:ascii="Times New Roman" w:cs="Times New Roman" w:eastAsia="Times New Roman" w:hAnsi="Times New Roman"/>
                <w:sz w:val="11"/>
                <w:szCs w:val="11"/>
                <w:color w:val="auto"/>
                <w:w w:val="90"/>
              </w:rPr>
              <w:t>76</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112</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2025 Outlook</w:t>
      </w:r>
    </w:p>
    <w:p>
      <w:pPr>
        <w:spacing w:after="0" w:line="2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3"/>
          <w:szCs w:val="13"/>
          <w:color w:val="auto"/>
        </w:rPr>
        <w:t>The Company expects revenue in the range of $2.985 billion to $3.015 billion for the full year of 2025, representing year-over-year growth of approximately 10% at the midpoint of the range. The Company expects revenue for the first quarter of 2025 in the range of $711 million to $716 million, representing revenue growth of approximately 9% year-over-year at the midpoint of the range.</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“We expect adjusted EBITDA for the full year of 2025 in the range of $375 to $405 million, a margin of 13% at the midpoint of the range. For the first quarter of 2025, we expect adjusted EBITDA in the range of $25 million to $35 million.” said Chris Lown, CFO of CoStar Group.</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The preceding forward-looking statements reflect CoStar Group’s expectations as of February 18, 2025 based on current estimates, expectations, observations, and trends. Given the risk factors, rapidly evolving economic environment, and uncertainties and assumptions discussed in this release and in our quarterly reports on Form 10-Q and annual reports on Form 10-K, actual results may differ materially. Annualization of historical results from short periods of time or small sample sizes may differ materially from actual results realized in future periods and may not take into account other future market conditions that may negatively affect those results. Other than in publicly available statements, the Company does not intend to update its forward-looking statements until its next quarterly results announcement.</w:t>
      </w:r>
    </w:p>
    <w:p>
      <w:pPr>
        <w:spacing w:after="0" w:line="12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3"/>
          <w:szCs w:val="13"/>
          <w:color w:val="auto"/>
        </w:rPr>
        <w:t>Reconciliations of EBITDA and adjusted EBITDA to the most directly comparable GAAP measures are shown in detail below, along with definitions for those terms. A reconciliation of forward-looking non-GAAP guidance to the most directly comparable GAAP measure, net income, can be found within the tables included in this release.</w:t>
      </w:r>
    </w:p>
    <w:p>
      <w:pPr>
        <w:sectPr>
          <w:pgSz w:w="11900" w:h="16838" w:orient="portrait"/>
          <w:cols w:equalWidth="0" w:num="1">
            <w:col w:w="11300"/>
          </w:cols>
          <w:pgMar w:left="300" w:top="677"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2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3"/>
          <w:szCs w:val="13"/>
          <w:color w:val="auto"/>
        </w:rPr>
        <w:t>For information regarding the purpose for which management uses the non-GAAP financial measures disclosed in this release and why management believes they provide useful information to investors regarding the Company’s financial condition and results of operations, please refer to the Company’s latest periodic report.</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EBITDA is a non-GAAP financial measure that represents GAAP net income attributable to CoStar Group before interest income or expense, net and other income or expense, net; loss on debt extinguishment; income taxes; depreciation and amortization.</w:t>
      </w:r>
    </w:p>
    <w:p>
      <w:pPr>
        <w:spacing w:after="0" w:line="12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3"/>
          <w:szCs w:val="13"/>
          <w:color w:val="auto"/>
        </w:rPr>
        <w:t>Adjusted EBITDA is a non-GAAP financial measure that represents EBITDA before stock-based compensation expense, acquisition- and integration-related costs, restructuring costs, and settlements and impairments incurred outside the Company’s ordinary course of business. Adjusted EBITDA margin represents adjusted EBITDA divided by revenues for the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Earnings Conference Call</w:t>
      </w:r>
    </w:p>
    <w:p>
      <w:pPr>
        <w:spacing w:after="0" w:line="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Management will conduct a conference call to discuss the fourth quarter and full year 2024 results and the Company’s outlook at 5:00 PM ET on February 18, 2025. A live audio webcast of the conference will be available in listen-only mode through the Investors section of the CoStar Group website: https://investors.costargroup.com. A replay of the webcast audio will also be available in the Investors section of our website for a period of time following the call.</w:t>
      </w:r>
    </w:p>
    <w:p>
      <w:pPr>
        <w:sectPr>
          <w:pgSz w:w="11900" w:h="16838" w:orient="portrait"/>
          <w:cols w:equalWidth="0" w:num="1">
            <w:col w:w="11300"/>
          </w:cols>
          <w:pgMar w:left="300" w:top="636" w:right="2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CoStar Group, Inc.</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Condensed Consolidated Statements of Operations - Unaudited</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(in millions,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840" w:type="dxa"/>
            <w:vAlign w:val="bottom"/>
          </w:tcPr>
          <w:p>
            <w:pPr>
              <w:spacing w:after="0"/>
              <w:rPr>
                <w:sz w:val="11"/>
                <w:szCs w:val="11"/>
                <w:color w:val="auto"/>
              </w:rPr>
            </w:pPr>
          </w:p>
        </w:tc>
      </w:tr>
      <w:tr>
        <w:trPr>
          <w:trHeight w:val="151"/>
        </w:trPr>
        <w:tc>
          <w:tcPr>
            <w:tcW w:w="6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280" w:type="dxa"/>
            <w:vAlign w:val="bottom"/>
          </w:tcPr>
          <w:p>
            <w:pPr>
              <w:spacing w:after="0"/>
              <w:rPr>
                <w:sz w:val="13"/>
                <w:szCs w:val="13"/>
                <w:color w:val="auto"/>
              </w:rPr>
            </w:pPr>
          </w:p>
        </w:tc>
        <w:tc>
          <w:tcPr>
            <w:tcW w:w="140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40" w:type="dxa"/>
            <w:vAlign w:val="bottom"/>
          </w:tcPr>
          <w:p>
            <w:pPr>
              <w:spacing w:after="0"/>
              <w:rPr>
                <w:sz w:val="13"/>
                <w:szCs w:val="13"/>
                <w:color w:val="auto"/>
              </w:rPr>
            </w:pPr>
          </w:p>
        </w:tc>
      </w:tr>
      <w:tr>
        <w:trPr>
          <w:trHeight w:val="169"/>
        </w:trPr>
        <w:tc>
          <w:tcPr>
            <w:tcW w:w="60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8"/>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709.4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2,736.2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2,455.0</w:t>
            </w:r>
          </w:p>
        </w:tc>
      </w:tr>
      <w:tr>
        <w:trPr>
          <w:trHeight w:val="155"/>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Cost of revenues</w:t>
            </w: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558.5</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491.5</w:t>
            </w:r>
          </w:p>
        </w:tc>
      </w:tr>
      <w:tr>
        <w:trPr>
          <w:trHeight w:val="158"/>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Gross profit</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2,177.7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1,963.5</w:t>
            </w:r>
          </w:p>
        </w:tc>
      </w:tr>
      <w:tr>
        <w:trPr>
          <w:trHeight w:val="171"/>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5"/>
        </w:trPr>
        <w:tc>
          <w:tcPr>
            <w:tcW w:w="60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Selling and marketing (excluding customer base amortization)</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1,364.3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989.9</w:t>
            </w:r>
          </w:p>
        </w:tc>
      </w:tr>
      <w:tr>
        <w:trPr>
          <w:trHeight w:val="169"/>
        </w:trPr>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Software development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325.3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267.6</w:t>
            </w:r>
          </w:p>
        </w:tc>
      </w:tr>
      <w:tr>
        <w:trPr>
          <w:trHeight w:val="155"/>
        </w:trPr>
        <w:tc>
          <w:tcPr>
            <w:tcW w:w="60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439.1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381.5</w:t>
            </w:r>
          </w:p>
        </w:tc>
      </w:tr>
      <w:tr>
        <w:trPr>
          <w:trHeight w:val="162"/>
        </w:trPr>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Customer base amortization</w:t>
            </w: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w:t>
            </w:r>
          </w:p>
        </w:tc>
      </w:tr>
      <w:tr>
        <w:trPr>
          <w:trHeight w:val="151"/>
        </w:trPr>
        <w:tc>
          <w:tcPr>
            <w:tcW w:w="60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528.5</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434.5</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2,173.0</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1,681.2</w:t>
            </w:r>
          </w:p>
        </w:tc>
      </w:tr>
      <w:tr>
        <w:trPr>
          <w:trHeight w:val="158"/>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from operations</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282.3</w:t>
            </w:r>
          </w:p>
        </w:tc>
      </w:tr>
      <w:tr>
        <w:trPr>
          <w:trHeight w:val="155"/>
        </w:trPr>
        <w:tc>
          <w:tcPr>
            <w:tcW w:w="60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Interest income, net</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212.5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213.6</w:t>
            </w:r>
          </w:p>
        </w:tc>
      </w:tr>
      <w:tr>
        <w:trPr>
          <w:trHeight w:val="162"/>
        </w:trPr>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(expense) income, net</w:t>
            </w: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r>
      <w:tr>
        <w:trPr>
          <w:trHeight w:val="151"/>
        </w:trPr>
        <w:tc>
          <w:tcPr>
            <w:tcW w:w="602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210.1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501.3</w:t>
            </w:r>
          </w:p>
        </w:tc>
      </w:tr>
      <w:tr>
        <w:trPr>
          <w:trHeight w:val="16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71.4</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126.6</w:t>
            </w:r>
          </w:p>
        </w:tc>
      </w:tr>
      <w:tr>
        <w:trPr>
          <w:trHeight w:val="174"/>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income</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138.7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374.7</w:t>
            </w:r>
          </w:p>
        </w:tc>
      </w:tr>
      <w:tr>
        <w:trPr>
          <w:trHeight w:val="153"/>
        </w:trPr>
        <w:tc>
          <w:tcPr>
            <w:tcW w:w="6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78"/>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income per share — basic</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0.34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0.92</w:t>
            </w:r>
          </w:p>
        </w:tc>
      </w:tr>
      <w:tr>
        <w:trPr>
          <w:trHeight w:val="178"/>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share — diluted</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0.34</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0.92</w:t>
            </w:r>
          </w:p>
        </w:tc>
      </w:tr>
      <w:tr>
        <w:trPr>
          <w:trHeight w:val="153"/>
        </w:trPr>
        <w:tc>
          <w:tcPr>
            <w:tcW w:w="6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Weighted-average outstanding shares — basic</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406.3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405.3</w:t>
            </w:r>
          </w:p>
        </w:tc>
      </w:tr>
      <w:tr>
        <w:trPr>
          <w:trHeight w:val="149"/>
        </w:trPr>
        <w:tc>
          <w:tcPr>
            <w:tcW w:w="6020" w:type="dxa"/>
            <w:vAlign w:val="bottom"/>
          </w:tcPr>
          <w:p>
            <w:pPr>
              <w:spacing w:after="0"/>
              <w:rPr>
                <w:sz w:val="20"/>
                <w:szCs w:val="20"/>
                <w:color w:val="auto"/>
              </w:rPr>
            </w:pPr>
            <w:r>
              <w:rPr>
                <w:rFonts w:ascii="Times New Roman" w:cs="Times New Roman" w:eastAsia="Times New Roman" w:hAnsi="Times New Roman"/>
                <w:sz w:val="11"/>
                <w:szCs w:val="11"/>
                <w:color w:val="auto"/>
              </w:rPr>
              <w:t>Weighted-average outstanding shares — diluted</w:t>
            </w: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407.8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406.9</w:t>
            </w:r>
          </w:p>
        </w:tc>
      </w:tr>
    </w:tbl>
    <w:p>
      <w:pPr>
        <w:sectPr>
          <w:pgSz w:w="11900" w:h="16838" w:orient="portrait"/>
          <w:cols w:equalWidth="0" w:num="1">
            <w:col w:w="11180"/>
          </w:cols>
          <w:pgMar w:left="360" w:top="839"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1"/>
          <w:szCs w:val="11"/>
          <w:b w:val="1"/>
          <w:bCs w:val="1"/>
          <w:color w:val="auto"/>
        </w:rPr>
        <w:t>CoStar Group,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Reconciliation of Non-GAAP Financial Measures - Unaudited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(in millions)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Reconciliation of Net Income to EBITDA and Adjusted EBITDA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99"/>
              </w:rPr>
              <w:t>Three Months Ended</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840" w:type="dxa"/>
            <w:vAlign w:val="bottom"/>
          </w:tcPr>
          <w:p>
            <w:pPr>
              <w:spacing w:after="0"/>
              <w:rPr>
                <w:sz w:val="11"/>
                <w:szCs w:val="11"/>
                <w:color w:val="auto"/>
              </w:rPr>
            </w:pPr>
          </w:p>
        </w:tc>
      </w:tr>
      <w:tr>
        <w:trPr>
          <w:trHeight w:val="142"/>
        </w:trPr>
        <w:tc>
          <w:tcPr>
            <w:tcW w:w="6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gridSpan w:val="3"/>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40" w:type="dxa"/>
            <w:vAlign w:val="bottom"/>
          </w:tcPr>
          <w:p>
            <w:pPr>
              <w:spacing w:after="0"/>
              <w:rPr>
                <w:sz w:val="12"/>
                <w:szCs w:val="12"/>
                <w:color w:val="auto"/>
              </w:rPr>
            </w:pPr>
          </w:p>
        </w:tc>
      </w:tr>
      <w:tr>
        <w:trPr>
          <w:trHeight w:val="178"/>
        </w:trPr>
        <w:tc>
          <w:tcPr>
            <w:tcW w:w="6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740" w:type="dxa"/>
            <w:vAlign w:val="bottom"/>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59.8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96.4</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138.7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374.7</w:t>
            </w:r>
          </w:p>
        </w:tc>
      </w:tr>
      <w:tr>
        <w:trPr>
          <w:trHeight w:val="156"/>
        </w:trPr>
        <w:tc>
          <w:tcPr>
            <w:tcW w:w="6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 of acquired intangible assets in cost of revenues</w:t>
            </w:r>
          </w:p>
        </w:tc>
        <w:tc>
          <w:tcPr>
            <w:tcW w:w="740" w:type="dxa"/>
            <w:vAlign w:val="bottom"/>
          </w:tcPr>
          <w:p>
            <w:pPr>
              <w:spacing w:after="0"/>
              <w:rPr>
                <w:sz w:val="13"/>
                <w:szCs w:val="13"/>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31.5</w:t>
            </w:r>
          </w:p>
        </w:tc>
      </w:tr>
      <w:tr>
        <w:trPr>
          <w:trHeight w:val="16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acquired intangible assets in operating expenses</w:t>
            </w:r>
          </w:p>
        </w:tc>
        <w:tc>
          <w:tcPr>
            <w:tcW w:w="7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44.3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42.2</w:t>
            </w:r>
          </w:p>
        </w:tc>
      </w:tr>
      <w:tr>
        <w:trPr>
          <w:trHeight w:val="155"/>
        </w:trPr>
        <w:tc>
          <w:tcPr>
            <w:tcW w:w="6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and other amortization</w:t>
            </w:r>
          </w:p>
        </w:tc>
        <w:tc>
          <w:tcPr>
            <w:tcW w:w="740" w:type="dxa"/>
            <w:vAlign w:val="bottom"/>
          </w:tcPr>
          <w:p>
            <w:pPr>
              <w:spacing w:after="0"/>
              <w:rPr>
                <w:sz w:val="13"/>
                <w:szCs w:val="13"/>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13.1</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44.1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33.8</w:t>
            </w:r>
          </w:p>
        </w:tc>
      </w:tr>
      <w:tr>
        <w:trPr>
          <w:trHeight w:val="16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income, net</w:t>
            </w:r>
          </w:p>
        </w:tc>
        <w:tc>
          <w:tcPr>
            <w:tcW w:w="7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(47.2)</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(59.7)</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(212.5)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(213.6)</w:t>
            </w:r>
          </w:p>
        </w:tc>
      </w:tr>
      <w:tr>
        <w:trPr>
          <w:trHeight w:val="162"/>
        </w:trPr>
        <w:tc>
          <w:tcPr>
            <w:tcW w:w="6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expense (income), net</w:t>
            </w:r>
            <w:r>
              <w:rPr>
                <w:rFonts w:ascii="Times New Roman" w:cs="Times New Roman" w:eastAsia="Times New Roman" w:hAnsi="Times New Roman"/>
                <w:sz w:val="14"/>
                <w:szCs w:val="14"/>
                <w:color w:val="auto"/>
                <w:vertAlign w:val="superscript"/>
              </w:rPr>
              <w:t>(1)</w:t>
            </w:r>
          </w:p>
        </w:tc>
        <w:tc>
          <w:tcPr>
            <w:tcW w:w="740" w:type="dxa"/>
            <w:vAlign w:val="bottom"/>
          </w:tcPr>
          <w:p>
            <w:pPr>
              <w:spacing w:after="0"/>
              <w:rPr>
                <w:sz w:val="14"/>
                <w:szCs w:val="14"/>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(5.4)</w:t>
            </w:r>
          </w:p>
        </w:tc>
      </w:tr>
      <w:tr>
        <w:trPr>
          <w:trHeight w:val="15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w:t>
            </w:r>
          </w:p>
        </w:tc>
        <w:tc>
          <w:tcPr>
            <w:tcW w:w="7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25.2</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36.3</w:t>
            </w:r>
          </w:p>
        </w:tc>
        <w:tc>
          <w:tcPr>
            <w:tcW w:w="1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71.4</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126.6</w:t>
            </w:r>
          </w:p>
        </w:tc>
      </w:tr>
      <w:tr>
        <w:trPr>
          <w:trHeight w:val="151"/>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EBITDA</w:t>
            </w:r>
          </w:p>
        </w:tc>
        <w:tc>
          <w:tcPr>
            <w:tcW w:w="74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72.9</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98.0</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123.0</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389.8</w:t>
            </w:r>
          </w:p>
        </w:tc>
      </w:tr>
      <w:tr>
        <w:trPr>
          <w:trHeight w:val="15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4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89.0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85.0</w:t>
            </w:r>
          </w:p>
        </w:tc>
      </w:tr>
      <w:tr>
        <w:trPr>
          <w:trHeight w:val="155"/>
        </w:trPr>
        <w:tc>
          <w:tcPr>
            <w:tcW w:w="6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Acquisition and integration related costs</w:t>
            </w:r>
          </w:p>
        </w:tc>
        <w:tc>
          <w:tcPr>
            <w:tcW w:w="740" w:type="dxa"/>
            <w:vAlign w:val="bottom"/>
          </w:tcPr>
          <w:p>
            <w:pPr>
              <w:spacing w:after="0"/>
              <w:rPr>
                <w:sz w:val="13"/>
                <w:szCs w:val="13"/>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12.9</w:t>
            </w:r>
          </w:p>
        </w:tc>
      </w:tr>
      <w:tr>
        <w:trPr>
          <w:trHeight w:val="16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Restructuring and related costs</w:t>
            </w:r>
          </w:p>
        </w:tc>
        <w:tc>
          <w:tcPr>
            <w:tcW w:w="7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4.1</w:t>
            </w:r>
          </w:p>
        </w:tc>
      </w:tr>
      <w:tr>
        <w:trPr>
          <w:trHeight w:val="155"/>
        </w:trPr>
        <w:tc>
          <w:tcPr>
            <w:tcW w:w="6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Settlements and impairments</w:t>
            </w:r>
          </w:p>
        </w:tc>
        <w:tc>
          <w:tcPr>
            <w:tcW w:w="74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spacing w:after="0"/>
              <w:rPr>
                <w:sz w:val="13"/>
                <w:szCs w:val="13"/>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(0.1)</w:t>
            </w:r>
          </w:p>
        </w:tc>
      </w:tr>
      <w:tr>
        <w:trPr>
          <w:trHeight w:val="158"/>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Adjusted EBITDA</w:t>
            </w:r>
          </w:p>
        </w:tc>
        <w:tc>
          <w:tcPr>
            <w:tcW w:w="74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111.9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130.1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240.8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491.7</w:t>
            </w:r>
          </w:p>
        </w:tc>
      </w:tr>
    </w:tbl>
    <w:p>
      <w:pPr>
        <w:spacing w:after="0" w:line="1" w:lineRule="exact"/>
        <w:rPr>
          <w:sz w:val="20"/>
          <w:szCs w:val="20"/>
          <w:color w:val="auto"/>
        </w:rPr>
      </w:pPr>
    </w:p>
    <w:p>
      <w:pPr>
        <w:ind w:left="100" w:hanging="87"/>
        <w:spacing w:after="0"/>
        <w:tabs>
          <w:tab w:leader="none" w:pos="100" w:val="left"/>
        </w:tabs>
        <w:numPr>
          <w:ilvl w:val="0"/>
          <w:numId w:val="6"/>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Includes $6.5 million and $28.6 million of amortization and depreciation expense associated with lessor activities for the three and twelve months ended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-74295</wp:posOffset>
            </wp:positionV>
            <wp:extent cx="328612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86125" cy="5715"/>
                    </a:xfrm>
                    <a:prstGeom prst="rect">
                      <a:avLst/>
                    </a:prstGeom>
                    <a:noFill/>
                  </pic:spPr>
                </pic:pic>
              </a:graphicData>
            </a:graphic>
          </wp:anchor>
        </w:drawing>
      </w:r>
    </w:p>
    <w:p>
      <w:pPr>
        <w:sectPr>
          <w:pgSz w:w="11900" w:h="16838" w:orient="portrait"/>
          <w:cols w:equalWidth="0" w:num="1">
            <w:col w:w="11280"/>
          </w:cols>
          <w:pgMar w:left="300" w:top="677"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1"/>
          <w:szCs w:val="11"/>
          <w:b w:val="1"/>
          <w:bCs w:val="1"/>
          <w:color w:val="auto"/>
        </w:rPr>
        <w:t>CoStar Group,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Condensed Consolidated Balance Sheets - Unaudited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4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68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5760" w:type="dxa"/>
            <w:vAlign w:val="bottom"/>
          </w:tcPr>
          <w:p>
            <w:pPr>
              <w:jc w:val="right"/>
              <w:ind w:right="3886"/>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40" w:type="dxa"/>
            <w:vAlign w:val="bottom"/>
            <w:vMerge w:val="continue"/>
          </w:tcPr>
          <w:p>
            <w:pPr>
              <w:spacing w:after="0"/>
              <w:rPr>
                <w:sz w:val="14"/>
                <w:szCs w:val="14"/>
                <w:color w:val="auto"/>
              </w:rPr>
            </w:pPr>
          </w:p>
        </w:tc>
        <w:tc>
          <w:tcPr>
            <w:tcW w:w="5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6800" w:type="dxa"/>
            <w:vAlign w:val="bottom"/>
            <w:gridSpan w:val="2"/>
            <w:shd w:val="clear" w:color="auto" w:fill="CCEEFF"/>
          </w:tcPr>
          <w:p>
            <w:pPr>
              <w:jc w:val="right"/>
              <w:ind w:right="90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4,681.0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5,215.9</w:t>
            </w:r>
          </w:p>
        </w:tc>
        <w:tc>
          <w:tcPr>
            <w:tcW w:w="0" w:type="dxa"/>
            <w:vAlign w:val="bottom"/>
          </w:tcPr>
          <w:p>
            <w:pPr>
              <w:spacing w:after="0"/>
              <w:rPr>
                <w:sz w:val="1"/>
                <w:szCs w:val="1"/>
                <w:color w:val="auto"/>
              </w:rPr>
            </w:pPr>
          </w:p>
        </w:tc>
      </w:tr>
      <w:tr>
        <w:trPr>
          <w:trHeight w:val="155"/>
        </w:trPr>
        <w:tc>
          <w:tcPr>
            <w:tcW w:w="2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Accounts receivable</w:t>
            </w:r>
          </w:p>
        </w:tc>
        <w:tc>
          <w:tcPr>
            <w:tcW w:w="5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213.2</w:t>
            </w: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Less: Allowance for credit losses</w:t>
            </w:r>
          </w:p>
        </w:tc>
        <w:tc>
          <w:tcPr>
            <w:tcW w:w="576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0" w:type="dxa"/>
            <w:vAlign w:val="bottom"/>
          </w:tcPr>
          <w:p>
            <w:pPr>
              <w:spacing w:after="0"/>
              <w:rPr>
                <w:sz w:val="1"/>
                <w:szCs w:val="1"/>
                <w:color w:val="auto"/>
              </w:rPr>
            </w:pPr>
          </w:p>
        </w:tc>
      </w:tr>
      <w:tr>
        <w:trPr>
          <w:trHeight w:val="151"/>
        </w:trPr>
        <w:tc>
          <w:tcPr>
            <w:tcW w:w="25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Accounts receivable, net</w:t>
            </w:r>
          </w:p>
        </w:tc>
        <w:tc>
          <w:tcPr>
            <w:tcW w:w="5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190.0</w:t>
            </w: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576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70.2</w:t>
            </w:r>
          </w:p>
        </w:tc>
        <w:tc>
          <w:tcPr>
            <w:tcW w:w="0" w:type="dxa"/>
            <w:vAlign w:val="bottom"/>
          </w:tcPr>
          <w:p>
            <w:pPr>
              <w:spacing w:after="0"/>
              <w:rPr>
                <w:sz w:val="1"/>
                <w:szCs w:val="1"/>
                <w:color w:val="auto"/>
              </w:rPr>
            </w:pPr>
          </w:p>
        </w:tc>
      </w:tr>
      <w:tr>
        <w:trPr>
          <w:trHeight w:val="151"/>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current assets</w:t>
            </w:r>
          </w:p>
        </w:tc>
        <w:tc>
          <w:tcPr>
            <w:tcW w:w="5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4,950.2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5,476.1</w:t>
            </w:r>
          </w:p>
        </w:tc>
        <w:tc>
          <w:tcPr>
            <w:tcW w:w="0" w:type="dxa"/>
            <w:vAlign w:val="bottom"/>
          </w:tcPr>
          <w:p>
            <w:pPr>
              <w:spacing w:after="0"/>
              <w:rPr>
                <w:sz w:val="1"/>
                <w:szCs w:val="1"/>
                <w:color w:val="auto"/>
              </w:rPr>
            </w:pPr>
          </w:p>
        </w:tc>
      </w:tr>
      <w:tr>
        <w:trPr>
          <w:trHeight w:val="178"/>
        </w:trPr>
        <w:tc>
          <w:tcPr>
            <w:tcW w:w="2540" w:type="dxa"/>
            <w:vAlign w:val="bottom"/>
            <w:shd w:val="clear" w:color="auto" w:fill="CCEEFF"/>
          </w:tcPr>
          <w:p>
            <w:pPr>
              <w:spacing w:after="0"/>
              <w:rPr>
                <w:sz w:val="15"/>
                <w:szCs w:val="15"/>
                <w:color w:val="auto"/>
              </w:rPr>
            </w:pPr>
          </w:p>
        </w:tc>
        <w:tc>
          <w:tcPr>
            <w:tcW w:w="57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Deferred income taxes, net</w:t>
            </w:r>
          </w:p>
        </w:tc>
        <w:tc>
          <w:tcPr>
            <w:tcW w:w="5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68"/>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5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1,014.9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472.2</w:t>
            </w:r>
          </w:p>
        </w:tc>
        <w:tc>
          <w:tcPr>
            <w:tcW w:w="0" w:type="dxa"/>
            <w:vAlign w:val="bottom"/>
          </w:tcPr>
          <w:p>
            <w:pPr>
              <w:spacing w:after="0"/>
              <w:rPr>
                <w:sz w:val="1"/>
                <w:szCs w:val="1"/>
                <w:color w:val="auto"/>
              </w:rPr>
            </w:pPr>
          </w:p>
        </w:tc>
      </w:tr>
      <w:tr>
        <w:trPr>
          <w:trHeight w:val="155"/>
        </w:trPr>
        <w:tc>
          <w:tcPr>
            <w:tcW w:w="2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Lease right-of-use assets</w:t>
            </w:r>
          </w:p>
        </w:tc>
        <w:tc>
          <w:tcPr>
            <w:tcW w:w="5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79.8</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Goodwill</w:t>
            </w:r>
          </w:p>
        </w:tc>
        <w:tc>
          <w:tcPr>
            <w:tcW w:w="5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2,527.6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2,386.2</w:t>
            </w:r>
          </w:p>
        </w:tc>
        <w:tc>
          <w:tcPr>
            <w:tcW w:w="0" w:type="dxa"/>
            <w:vAlign w:val="bottom"/>
          </w:tcPr>
          <w:p>
            <w:pPr>
              <w:spacing w:after="0"/>
              <w:rPr>
                <w:sz w:val="1"/>
                <w:szCs w:val="1"/>
                <w:color w:val="auto"/>
              </w:rPr>
            </w:pPr>
          </w:p>
        </w:tc>
      </w:tr>
      <w:tr>
        <w:trPr>
          <w:trHeight w:val="155"/>
        </w:trPr>
        <w:tc>
          <w:tcPr>
            <w:tcW w:w="2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Intangible assets, net</w:t>
            </w:r>
          </w:p>
        </w:tc>
        <w:tc>
          <w:tcPr>
            <w:tcW w:w="5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313.7</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Deferred commission costs, net</w:t>
            </w:r>
          </w:p>
        </w:tc>
        <w:tc>
          <w:tcPr>
            <w:tcW w:w="5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167.7</w:t>
            </w:r>
          </w:p>
        </w:tc>
        <w:tc>
          <w:tcPr>
            <w:tcW w:w="0" w:type="dxa"/>
            <w:vAlign w:val="bottom"/>
          </w:tcPr>
          <w:p>
            <w:pPr>
              <w:spacing w:after="0"/>
              <w:rPr>
                <w:sz w:val="1"/>
                <w:szCs w:val="1"/>
                <w:color w:val="auto"/>
              </w:rPr>
            </w:pPr>
          </w:p>
        </w:tc>
      </w:tr>
      <w:tr>
        <w:trPr>
          <w:trHeight w:val="155"/>
        </w:trPr>
        <w:tc>
          <w:tcPr>
            <w:tcW w:w="2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Deposits and other assets</w:t>
            </w:r>
          </w:p>
        </w:tc>
        <w:tc>
          <w:tcPr>
            <w:tcW w:w="57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0" w:type="dxa"/>
            <w:vAlign w:val="bottom"/>
          </w:tcPr>
          <w:p>
            <w:pPr>
              <w:spacing w:after="0"/>
              <w:rPr>
                <w:sz w:val="1"/>
                <w:szCs w:val="1"/>
                <w:color w:val="auto"/>
              </w:rPr>
            </w:pPr>
          </w:p>
        </w:tc>
      </w:tr>
      <w:tr>
        <w:trPr>
          <w:trHeight w:val="17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6800" w:type="dxa"/>
            <w:vAlign w:val="bottom"/>
            <w:gridSpan w:val="2"/>
            <w:shd w:val="clear" w:color="auto" w:fill="CCEEFF"/>
          </w:tcPr>
          <w:p>
            <w:pPr>
              <w:jc w:val="right"/>
              <w:ind w:right="90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9,256.8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8,919.7</w:t>
            </w:r>
          </w:p>
        </w:tc>
        <w:tc>
          <w:tcPr>
            <w:tcW w:w="0" w:type="dxa"/>
            <w:vAlign w:val="bottom"/>
          </w:tcPr>
          <w:p>
            <w:pPr>
              <w:spacing w:after="0"/>
              <w:rPr>
                <w:sz w:val="1"/>
                <w:szCs w:val="1"/>
                <w:color w:val="auto"/>
              </w:rPr>
            </w:pPr>
          </w:p>
        </w:tc>
      </w:tr>
      <w:tr>
        <w:trPr>
          <w:trHeight w:val="153"/>
        </w:trPr>
        <w:tc>
          <w:tcPr>
            <w:tcW w:w="2540" w:type="dxa"/>
            <w:vAlign w:val="bottom"/>
            <w:tcBorders>
              <w:top w:val="single" w:sz="8" w:color="CCEEFF"/>
            </w:tcBorders>
          </w:tcPr>
          <w:p>
            <w:pPr>
              <w:spacing w:after="0"/>
              <w:rPr>
                <w:sz w:val="13"/>
                <w:szCs w:val="13"/>
                <w:color w:val="auto"/>
              </w:rPr>
            </w:pPr>
          </w:p>
        </w:tc>
        <w:tc>
          <w:tcPr>
            <w:tcW w:w="5760" w:type="dxa"/>
            <w:vAlign w:val="bottom"/>
            <w:tcBorders>
              <w:top w:val="single" w:sz="8" w:color="CCEEFF"/>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spacing w:after="0"/>
              <w:rPr>
                <w:sz w:val="14"/>
                <w:szCs w:val="14"/>
                <w:color w:val="auto"/>
              </w:rPr>
            </w:pPr>
          </w:p>
        </w:tc>
        <w:tc>
          <w:tcPr>
            <w:tcW w:w="6800" w:type="dxa"/>
            <w:vAlign w:val="bottom"/>
            <w:gridSpan w:val="2"/>
            <w:shd w:val="clear" w:color="auto" w:fill="CCEEFF"/>
          </w:tcPr>
          <w:p>
            <w:pPr>
              <w:jc w:val="right"/>
              <w:ind w:right="3966"/>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5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Accounts payable</w:t>
            </w:r>
          </w:p>
        </w:tc>
        <w:tc>
          <w:tcPr>
            <w:tcW w:w="6800" w:type="dxa"/>
            <w:vAlign w:val="bottom"/>
            <w:gridSpan w:val="2"/>
            <w:shd w:val="clear" w:color="auto" w:fill="CCEEFF"/>
          </w:tcPr>
          <w:p>
            <w:pPr>
              <w:jc w:val="right"/>
              <w:ind w:right="90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0" w:type="dxa"/>
            <w:vAlign w:val="bottom"/>
          </w:tcPr>
          <w:p>
            <w:pPr>
              <w:spacing w:after="0"/>
              <w:rPr>
                <w:sz w:val="1"/>
                <w:szCs w:val="1"/>
                <w:color w:val="auto"/>
              </w:rPr>
            </w:pPr>
          </w:p>
        </w:tc>
      </w:tr>
      <w:tr>
        <w:trPr>
          <w:trHeight w:val="155"/>
        </w:trPr>
        <w:tc>
          <w:tcPr>
            <w:tcW w:w="2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Accrued wages and commissions</w:t>
            </w:r>
          </w:p>
        </w:tc>
        <w:tc>
          <w:tcPr>
            <w:tcW w:w="5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117.8</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5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163.0</w:t>
            </w:r>
          </w:p>
        </w:tc>
        <w:tc>
          <w:tcPr>
            <w:tcW w:w="0" w:type="dxa"/>
            <w:vAlign w:val="bottom"/>
          </w:tcPr>
          <w:p>
            <w:pPr>
              <w:spacing w:after="0"/>
              <w:rPr>
                <w:sz w:val="1"/>
                <w:szCs w:val="1"/>
                <w:color w:val="auto"/>
              </w:rPr>
            </w:pPr>
          </w:p>
        </w:tc>
      </w:tr>
      <w:tr>
        <w:trPr>
          <w:trHeight w:val="155"/>
        </w:trPr>
        <w:tc>
          <w:tcPr>
            <w:tcW w:w="2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Income taxes payable</w:t>
            </w:r>
          </w:p>
        </w:tc>
        <w:tc>
          <w:tcPr>
            <w:tcW w:w="5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Lease liabilities</w:t>
            </w:r>
          </w:p>
        </w:tc>
        <w:tc>
          <w:tcPr>
            <w:tcW w:w="5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0" w:type="dxa"/>
            <w:vAlign w:val="bottom"/>
          </w:tcPr>
          <w:p>
            <w:pPr>
              <w:spacing w:after="0"/>
              <w:rPr>
                <w:sz w:val="1"/>
                <w:szCs w:val="1"/>
                <w:color w:val="auto"/>
              </w:rPr>
            </w:pPr>
          </w:p>
        </w:tc>
      </w:tr>
      <w:tr>
        <w:trPr>
          <w:trHeight w:val="155"/>
        </w:trPr>
        <w:tc>
          <w:tcPr>
            <w:tcW w:w="2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Deferred revenue</w:t>
            </w:r>
          </w:p>
        </w:tc>
        <w:tc>
          <w:tcPr>
            <w:tcW w:w="57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104.2</w:t>
            </w:r>
          </w:p>
        </w:tc>
        <w:tc>
          <w:tcPr>
            <w:tcW w:w="0" w:type="dxa"/>
            <w:vAlign w:val="bottom"/>
          </w:tcPr>
          <w:p>
            <w:pPr>
              <w:spacing w:after="0"/>
              <w:rPr>
                <w:sz w:val="1"/>
                <w:szCs w:val="1"/>
                <w:color w:val="auto"/>
              </w:rPr>
            </w:pPr>
          </w:p>
        </w:tc>
      </w:tr>
      <w:tr>
        <w:trPr>
          <w:trHeight w:val="15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57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Long-term debt, net</w:t>
            </w:r>
          </w:p>
        </w:tc>
        <w:tc>
          <w:tcPr>
            <w:tcW w:w="5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990.5</w:t>
            </w:r>
          </w:p>
        </w:tc>
        <w:tc>
          <w:tcPr>
            <w:tcW w:w="0" w:type="dxa"/>
            <w:vAlign w:val="bottom"/>
          </w:tcPr>
          <w:p>
            <w:pPr>
              <w:spacing w:after="0"/>
              <w:rPr>
                <w:sz w:val="1"/>
                <w:szCs w:val="1"/>
                <w:color w:val="auto"/>
              </w:rPr>
            </w:pPr>
          </w:p>
        </w:tc>
      </w:tr>
      <w:tr>
        <w:trPr>
          <w:trHeight w:val="155"/>
        </w:trPr>
        <w:tc>
          <w:tcPr>
            <w:tcW w:w="2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Deferred income taxes, net</w:t>
            </w:r>
          </w:p>
        </w:tc>
        <w:tc>
          <w:tcPr>
            <w:tcW w:w="5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Income taxes payable</w:t>
            </w:r>
          </w:p>
        </w:tc>
        <w:tc>
          <w:tcPr>
            <w:tcW w:w="5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0" w:type="dxa"/>
            <w:vAlign w:val="bottom"/>
          </w:tcPr>
          <w:p>
            <w:pPr>
              <w:spacing w:after="0"/>
              <w:rPr>
                <w:sz w:val="1"/>
                <w:szCs w:val="1"/>
                <w:color w:val="auto"/>
              </w:rPr>
            </w:pPr>
          </w:p>
        </w:tc>
      </w:tr>
      <w:tr>
        <w:trPr>
          <w:trHeight w:val="155"/>
        </w:trPr>
        <w:tc>
          <w:tcPr>
            <w:tcW w:w="2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Lease and other long-term liabilities</w:t>
            </w:r>
          </w:p>
        </w:tc>
        <w:tc>
          <w:tcPr>
            <w:tcW w:w="57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79.9</w:t>
            </w:r>
          </w:p>
        </w:tc>
        <w:tc>
          <w:tcPr>
            <w:tcW w:w="0" w:type="dxa"/>
            <w:vAlign w:val="bottom"/>
          </w:tcPr>
          <w:p>
            <w:pPr>
              <w:spacing w:after="0"/>
              <w:rPr>
                <w:sz w:val="1"/>
                <w:szCs w:val="1"/>
                <w:color w:val="auto"/>
              </w:rPr>
            </w:pPr>
          </w:p>
        </w:tc>
      </w:tr>
      <w:tr>
        <w:trPr>
          <w:trHeight w:val="151"/>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liabilities</w:t>
            </w:r>
          </w:p>
        </w:tc>
        <w:tc>
          <w:tcPr>
            <w:tcW w:w="6800" w:type="dxa"/>
            <w:vAlign w:val="bottom"/>
            <w:gridSpan w:val="2"/>
            <w:shd w:val="clear" w:color="auto" w:fill="CCEEFF"/>
          </w:tcPr>
          <w:p>
            <w:pPr>
              <w:jc w:val="right"/>
              <w:ind w:right="90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1,703.3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1,581.1</w:t>
            </w:r>
          </w:p>
        </w:tc>
        <w:tc>
          <w:tcPr>
            <w:tcW w:w="0" w:type="dxa"/>
            <w:vAlign w:val="bottom"/>
          </w:tcPr>
          <w:p>
            <w:pPr>
              <w:spacing w:after="0"/>
              <w:rPr>
                <w:sz w:val="1"/>
                <w:szCs w:val="1"/>
                <w:color w:val="auto"/>
              </w:rPr>
            </w:pPr>
          </w:p>
        </w:tc>
      </w:tr>
      <w:tr>
        <w:trPr>
          <w:trHeight w:val="158"/>
        </w:trPr>
        <w:tc>
          <w:tcPr>
            <w:tcW w:w="254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576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7,553.5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7,338.6</w:t>
            </w:r>
          </w:p>
        </w:tc>
        <w:tc>
          <w:tcPr>
            <w:tcW w:w="0" w:type="dxa"/>
            <w:vAlign w:val="bottom"/>
          </w:tcPr>
          <w:p>
            <w:pPr>
              <w:spacing w:after="0"/>
              <w:rPr>
                <w:sz w:val="1"/>
                <w:szCs w:val="1"/>
                <w:color w:val="auto"/>
              </w:rPr>
            </w:pPr>
          </w:p>
        </w:tc>
      </w:tr>
      <w:tr>
        <w:trPr>
          <w:trHeight w:val="158"/>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6800" w:type="dxa"/>
            <w:vAlign w:val="bottom"/>
            <w:gridSpan w:val="2"/>
          </w:tcPr>
          <w:p>
            <w:pPr>
              <w:jc w:val="right"/>
              <w:ind w:right="90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9,256.8</w:t>
            </w:r>
          </w:p>
        </w:tc>
        <w:tc>
          <w:tcPr>
            <w:tcW w:w="10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8,919.7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77"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Operating activities: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Net income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Adjustments to reconcile net income to net cash provided by operating activities:</w:t>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Amortization of deferred commissions costs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Amortization of Senior Notes discount and issuance costs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Non-cash lease expense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Stock-based compensation expense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Deferred income taxes, net</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Credit loss expense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Other operating activities, net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Changes in operating assets and liabilities, net of acquisitions: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Accounts receivable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Prepaid expenses and other current assets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Deferred commissions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Accounts payable and other liabilities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Lease liabilities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Income taxes payable, net</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Deferred revenue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Other assets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Net cash provided by operating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Investing activities: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Proceeds from sale and settlement of investments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Proceeds from sale of property and equipment and other assets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Purchases of property, equipment, and other assets for new campuses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Purchases of property, equipment, and other assets</w:t>
      </w:r>
    </w:p>
    <w:p>
      <w:pPr>
        <w:spacing w:after="0" w:line="36" w:lineRule="exact"/>
        <w:rPr>
          <w:sz w:val="20"/>
          <w:szCs w:val="20"/>
          <w:color w:val="auto"/>
        </w:rPr>
      </w:pPr>
    </w:p>
    <w:p>
      <w:pPr>
        <w:ind w:right="1340" w:firstLine="108"/>
        <w:spacing w:after="0" w:line="333" w:lineRule="auto"/>
        <w:rPr>
          <w:sz w:val="20"/>
          <w:szCs w:val="20"/>
          <w:color w:val="auto"/>
        </w:rPr>
      </w:pPr>
      <w:r>
        <w:rPr>
          <w:rFonts w:ascii="Times New Roman" w:cs="Times New Roman" w:eastAsia="Times New Roman" w:hAnsi="Times New Roman"/>
          <w:sz w:val="11"/>
          <w:szCs w:val="11"/>
          <w:color w:val="auto"/>
        </w:rPr>
        <w:t>Cash paid for acquisitions, net of cash acquired Net cash (used in) investing activities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Financing activities: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Repurchase of restricted stock to satisfy tax withholding obligations</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Proceeds from exercise of stock options and employee stock purchase plan</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Payments of debt issuance costs</w:t>
      </w:r>
    </w:p>
    <w:p>
      <w:pPr>
        <w:spacing w:after="0" w:line="36" w:lineRule="exact"/>
        <w:rPr>
          <w:sz w:val="20"/>
          <w:szCs w:val="20"/>
          <w:color w:val="auto"/>
        </w:rPr>
      </w:pPr>
    </w:p>
    <w:p>
      <w:pPr>
        <w:ind w:right="1260" w:firstLine="108"/>
        <w:spacing w:after="0" w:line="390" w:lineRule="auto"/>
        <w:rPr>
          <w:sz w:val="20"/>
          <w:szCs w:val="20"/>
          <w:color w:val="auto"/>
        </w:rPr>
      </w:pPr>
      <w:r>
        <w:rPr>
          <w:rFonts w:ascii="Times New Roman" w:cs="Times New Roman" w:eastAsia="Times New Roman" w:hAnsi="Times New Roman"/>
          <w:sz w:val="10"/>
          <w:szCs w:val="10"/>
          <w:color w:val="auto"/>
        </w:rPr>
        <w:t>Principal repayments of finance lease obligations Net cash (used in) provided by financing activities</w:t>
      </w:r>
    </w:p>
    <w:p>
      <w:pPr>
        <w:spacing w:after="0" w:line="94" w:lineRule="exact"/>
        <w:rPr>
          <w:sz w:val="20"/>
          <w:szCs w:val="20"/>
          <w:color w:val="auto"/>
        </w:rPr>
      </w:pPr>
    </w:p>
    <w:p>
      <w:pPr>
        <w:ind w:right="440"/>
        <w:spacing w:after="0" w:line="315" w:lineRule="auto"/>
        <w:rPr>
          <w:sz w:val="20"/>
          <w:szCs w:val="20"/>
          <w:color w:val="auto"/>
        </w:rPr>
      </w:pPr>
      <w:r>
        <w:rPr>
          <w:rFonts w:ascii="Times New Roman" w:cs="Times New Roman" w:eastAsia="Times New Roman" w:hAnsi="Times New Roman"/>
          <w:sz w:val="11"/>
          <w:szCs w:val="11"/>
          <w:color w:val="auto"/>
        </w:rPr>
        <w:t>Effect of foreign currency exchange rates on cash and cash equivalents Net (decrease) increase in cash and cash equivalents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Cash and cash equivalents at beginning of year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Cash and cash equivalents at end of year</w:t>
      </w:r>
    </w:p>
    <w:p>
      <w:pPr>
        <w:spacing w:after="0" w:line="20" w:lineRule="exact"/>
        <w:rPr>
          <w:sz w:val="20"/>
          <w:szCs w:val="20"/>
          <w:color w:val="auto"/>
        </w:rPr>
      </w:pPr>
      <w:r>
        <w:rPr>
          <w:sz w:val="20"/>
          <w:szCs w:val="20"/>
          <w:color w:val="auto"/>
        </w:rPr>
        <w:br w:type="column"/>
      </w:r>
    </w:p>
    <w:p>
      <w:pPr>
        <w:jc w:val="center"/>
        <w:ind w:right="4160"/>
        <w:spacing w:after="0"/>
        <w:rPr>
          <w:sz w:val="20"/>
          <w:szCs w:val="20"/>
          <w:color w:val="auto"/>
        </w:rPr>
      </w:pPr>
      <w:r>
        <w:rPr>
          <w:rFonts w:ascii="Times New Roman" w:cs="Times New Roman" w:eastAsia="Times New Roman" w:hAnsi="Times New Roman"/>
          <w:sz w:val="11"/>
          <w:szCs w:val="11"/>
          <w:b w:val="1"/>
          <w:bCs w:val="1"/>
          <w:color w:val="auto"/>
        </w:rPr>
        <w:t>CoStar Group, Inc.</w:t>
      </w:r>
    </w:p>
    <w:p>
      <w:pPr>
        <w:spacing w:after="0" w:line="36" w:lineRule="exact"/>
        <w:rPr>
          <w:sz w:val="20"/>
          <w:szCs w:val="20"/>
          <w:color w:val="auto"/>
        </w:rPr>
      </w:pPr>
    </w:p>
    <w:p>
      <w:pPr>
        <w:jc w:val="center"/>
        <w:ind w:right="4160"/>
        <w:spacing w:after="0"/>
        <w:rPr>
          <w:sz w:val="20"/>
          <w:szCs w:val="20"/>
          <w:color w:val="auto"/>
        </w:rPr>
      </w:pPr>
      <w:r>
        <w:rPr>
          <w:rFonts w:ascii="Times New Roman" w:cs="Times New Roman" w:eastAsia="Times New Roman" w:hAnsi="Times New Roman"/>
          <w:sz w:val="10"/>
          <w:szCs w:val="10"/>
          <w:b w:val="1"/>
          <w:bCs w:val="1"/>
          <w:color w:val="auto"/>
        </w:rPr>
        <w:t>Condensed Consolidated Statements of Cash Flows - Unaudited</w:t>
      </w:r>
    </w:p>
    <w:p>
      <w:pPr>
        <w:spacing w:after="0" w:line="49"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11"/>
          <w:szCs w:val="11"/>
          <w:color w:val="auto"/>
        </w:rPr>
        <w:t>(in millions)</w:t>
      </w:r>
    </w:p>
    <w:p>
      <w:pPr>
        <w:spacing w:after="0" w:line="205" w:lineRule="exact"/>
        <w:rPr>
          <w:sz w:val="20"/>
          <w:szCs w:val="20"/>
          <w:color w:val="auto"/>
        </w:rPr>
      </w:pPr>
    </w:p>
    <w:p>
      <w:pPr>
        <w:jc w:val="center"/>
        <w:ind w:left="-3799"/>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4" w:lineRule="exact"/>
        <w:rPr>
          <w:sz w:val="20"/>
          <w:szCs w:val="20"/>
          <w:color w:val="auto"/>
        </w:rPr>
      </w:pPr>
    </w:p>
    <w:p>
      <w:pPr>
        <w:jc w:val="center"/>
        <w:ind w:left="-3799"/>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31" w:lineRule="exact"/>
        <w:rPr>
          <w:sz w:val="20"/>
          <w:szCs w:val="20"/>
          <w:color w:val="auto"/>
        </w:rPr>
      </w:pPr>
    </w:p>
    <w:tbl>
      <w:tblPr>
        <w:tblLayout w:type="fixed"/>
        <w:tblInd w:w="4140" w:type="dxa"/>
        <w:tblCellMar>
          <w:top w:w="0" w:type="dxa"/>
          <w:left w:w="0" w:type="dxa"/>
          <w:bottom w:w="0" w:type="dxa"/>
          <w:right w:w="0" w:type="dxa"/>
        </w:tblCellMar>
      </w:tblPr>
      <w:tr>
        <w:trPr>
          <w:trHeight w:val="149"/>
        </w:trPr>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98"/>
        </w:trPr>
        <w:tc>
          <w:tcPr>
            <w:tcW w:w="3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138.7</w:t>
            </w:r>
          </w:p>
        </w:tc>
        <w:tc>
          <w:tcPr>
            <w:tcW w:w="100" w:type="dxa"/>
            <w:vAlign w:val="bottom"/>
          </w:tcPr>
          <w:p>
            <w:pPr>
              <w:spacing w:after="0"/>
              <w:rPr>
                <w:sz w:val="24"/>
                <w:szCs w:val="24"/>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374.7</w:t>
            </w:r>
          </w:p>
        </w:tc>
      </w:tr>
      <w:tr>
        <w:trPr>
          <w:trHeight w:val="324"/>
        </w:trPr>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107.5</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95.2</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468"/>
        </w:trPr>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(120.2)</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69"/>
        </w:trPr>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44"/>
        </w:trPr>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489.5</w:t>
            </w:r>
          </w:p>
        </w:tc>
      </w:tr>
      <w:tr>
        <w:trPr>
          <w:trHeight w:val="468"/>
        </w:trPr>
        <w:tc>
          <w:tcPr>
            <w:tcW w:w="34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(117.5)</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w:t>
            </w:r>
          </w:p>
        </w:tc>
      </w:tr>
      <w:tr>
        <w:trPr>
          <w:trHeight w:val="169"/>
        </w:trPr>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(276.7)</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(99.6)</w:t>
            </w:r>
          </w:p>
        </w:tc>
      </w:tr>
      <w:tr>
        <w:trPr>
          <w:trHeight w:val="145"/>
        </w:trPr>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(238.6)</w:t>
            </w:r>
          </w:p>
        </w:tc>
      </w:tr>
      <w:tr>
        <w:trPr>
          <w:trHeight w:val="468"/>
        </w:trPr>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62"/>
        </w:trPr>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313"/>
        </w:trPr>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44"/>
        </w:trPr>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247.9</w:t>
            </w:r>
          </w:p>
        </w:tc>
      </w:tr>
      <w:tr>
        <w:trPr>
          <w:trHeight w:val="168"/>
        </w:trPr>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5,215.9</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4,968.0</w:t>
            </w:r>
          </w:p>
        </w:tc>
      </w:tr>
      <w:tr>
        <w:trPr>
          <w:trHeight w:val="151"/>
        </w:trPr>
        <w:tc>
          <w:tcPr>
            <w:tcW w:w="3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4,681.0</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5,215.9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-4217035</wp:posOffset>
            </wp:positionV>
            <wp:extent cx="713232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-4011295</wp:posOffset>
            </wp:positionV>
            <wp:extent cx="7132320"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-3805555</wp:posOffset>
            </wp:positionV>
            <wp:extent cx="713232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-3599815</wp:posOffset>
            </wp:positionV>
            <wp:extent cx="713232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-3394075</wp:posOffset>
            </wp:positionV>
            <wp:extent cx="713232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-3188335</wp:posOffset>
            </wp:positionV>
            <wp:extent cx="713232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144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-2994025</wp:posOffset>
            </wp:positionV>
            <wp:extent cx="713232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-2788285</wp:posOffset>
            </wp:positionV>
            <wp:extent cx="713232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-2582545</wp:posOffset>
            </wp:positionV>
            <wp:extent cx="71323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-2376805</wp:posOffset>
            </wp:positionV>
            <wp:extent cx="71323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-2171065</wp:posOffset>
            </wp:positionV>
            <wp:extent cx="7132320" cy="108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858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-1971040</wp:posOffset>
            </wp:positionV>
            <wp:extent cx="71323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-1765300</wp:posOffset>
            </wp:positionV>
            <wp:extent cx="71323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-1559560</wp:posOffset>
            </wp:positionV>
            <wp:extent cx="713232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-1353820</wp:posOffset>
            </wp:positionV>
            <wp:extent cx="7132320" cy="108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858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-1153795</wp:posOffset>
            </wp:positionV>
            <wp:extent cx="713232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-948055</wp:posOffset>
            </wp:positionV>
            <wp:extent cx="71323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-742315</wp:posOffset>
            </wp:positionV>
            <wp:extent cx="713232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-536575</wp:posOffset>
            </wp:positionV>
            <wp:extent cx="7132320" cy="91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9144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-342265</wp:posOffset>
            </wp:positionV>
            <wp:extent cx="7132320" cy="108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858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-130810</wp:posOffset>
            </wp:positionV>
            <wp:extent cx="713232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2">
            <w:col w:w="3500" w:space="640"/>
            <w:col w:w="7080"/>
          </w:cols>
          <w:pgMar w:left="340" w:top="67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1"/>
          <w:szCs w:val="11"/>
          <w:b w:val="1"/>
          <w:bCs w:val="1"/>
          <w:color w:val="auto"/>
        </w:rPr>
        <w:t>CoStar Group,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Disaggregated Revenues - Unaudited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51"/>
        </w:trPr>
        <w:tc>
          <w:tcPr>
            <w:tcW w:w="24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1"/>
        </w:trPr>
        <w:tc>
          <w:tcPr>
            <w:tcW w:w="24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North America</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North America</w:t>
            </w:r>
          </w:p>
        </w:tc>
        <w:tc>
          <w:tcPr>
            <w:tcW w:w="24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340" w:type="dxa"/>
            <w:vAlign w:val="bottom"/>
          </w:tcPr>
          <w:p>
            <w:pPr>
              <w:spacing w:after="0"/>
              <w:rPr>
                <w:sz w:val="13"/>
                <w:szCs w:val="13"/>
                <w:color w:val="auto"/>
              </w:rPr>
            </w:pPr>
          </w:p>
        </w:tc>
        <w:tc>
          <w:tcPr>
            <w:tcW w:w="1080" w:type="dxa"/>
            <w:vAlign w:val="bottom"/>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8"/>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CoStar</w:t>
            </w:r>
          </w:p>
        </w:tc>
        <w:tc>
          <w:tcPr>
            <w:tcW w:w="1080" w:type="dxa"/>
            <w:vAlign w:val="bottom"/>
            <w:tcBorders>
              <w:top w:val="single" w:sz="8" w:color="auto"/>
            </w:tcBorders>
            <w:shd w:val="clear" w:color="auto" w:fill="CCEEFF"/>
          </w:tcPr>
          <w:p>
            <w:pPr>
              <w:jc w:val="right"/>
              <w:ind w:right="9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6"/>
              </w:rPr>
              <w:t>243.7</w:t>
            </w:r>
          </w:p>
        </w:tc>
        <w:tc>
          <w:tcPr>
            <w:tcW w:w="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ind w:right="966"/>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227.3</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237.7</w:t>
            </w:r>
          </w:p>
        </w:tc>
      </w:tr>
      <w:tr>
        <w:trPr>
          <w:trHeight w:val="155"/>
        </w:trPr>
        <w:tc>
          <w:tcPr>
            <w:tcW w:w="2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Information Services</w:t>
            </w:r>
          </w:p>
        </w:tc>
        <w:tc>
          <w:tcPr>
            <w:tcW w:w="1080" w:type="dxa"/>
            <w:vAlign w:val="bottom"/>
          </w:tcPr>
          <w:p>
            <w:pPr>
              <w:spacing w:after="0"/>
              <w:rPr>
                <w:sz w:val="13"/>
                <w:szCs w:val="13"/>
                <w:color w:val="auto"/>
              </w:rPr>
            </w:pP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31.7</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w:t>
            </w:r>
          </w:p>
        </w:tc>
      </w:tr>
      <w:tr>
        <w:trPr>
          <w:trHeight w:val="16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Multifamily</w:t>
            </w: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6"/>
              </w:rPr>
              <w:t>276.5</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243.8</w:t>
            </w:r>
          </w:p>
        </w:tc>
      </w:tr>
      <w:tr>
        <w:trPr>
          <w:trHeight w:val="155"/>
        </w:trPr>
        <w:tc>
          <w:tcPr>
            <w:tcW w:w="2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LoopNet</w:t>
            </w:r>
          </w:p>
        </w:tc>
        <w:tc>
          <w:tcPr>
            <w:tcW w:w="1080" w:type="dxa"/>
            <w:vAlign w:val="bottom"/>
          </w:tcPr>
          <w:p>
            <w:pPr>
              <w:spacing w:after="0"/>
              <w:rPr>
                <w:sz w:val="13"/>
                <w:szCs w:val="13"/>
                <w:color w:val="auto"/>
              </w:rPr>
            </w:pP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69.2</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w:t>
            </w:r>
          </w:p>
        </w:tc>
      </w:tr>
      <w:tr>
        <w:trPr>
          <w:trHeight w:val="16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w:t>
            </w: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r>
      <w:tr>
        <w:trPr>
          <w:trHeight w:val="155"/>
        </w:trPr>
        <w:tc>
          <w:tcPr>
            <w:tcW w:w="2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Marketplaces</w:t>
            </w:r>
          </w:p>
        </w:tc>
        <w:tc>
          <w:tcPr>
            <w:tcW w:w="1080" w:type="dxa"/>
            <w:vAlign w:val="bottom"/>
          </w:tcPr>
          <w:p>
            <w:pPr>
              <w:spacing w:after="0"/>
              <w:rPr>
                <w:sz w:val="13"/>
                <w:szCs w:val="13"/>
                <w:color w:val="auto"/>
              </w:rPr>
            </w:pP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36.1</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w:t>
            </w:r>
          </w:p>
        </w:tc>
      </w:tr>
      <w:tr>
        <w:trPr>
          <w:trHeight w:val="173"/>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revenues</w:t>
            </w:r>
          </w:p>
        </w:tc>
        <w:tc>
          <w:tcPr>
            <w:tcW w:w="1080" w:type="dxa"/>
            <w:vAlign w:val="bottom"/>
            <w:tcBorders>
              <w:top w:val="single" w:sz="8" w:color="auto"/>
              <w:bottom w:val="single" w:sz="8" w:color="auto"/>
            </w:tcBorders>
            <w:shd w:val="clear" w:color="auto" w:fill="CCEEFF"/>
          </w:tcPr>
          <w:p>
            <w:pPr>
              <w:jc w:val="right"/>
              <w:ind w:right="94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6"/>
              </w:rPr>
              <w:t>674.5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ind w:right="966"/>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709.4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615.1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640.1</w:t>
            </w:r>
          </w:p>
        </w:tc>
      </w:tr>
    </w:tbl>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51"/>
        </w:trPr>
        <w:tc>
          <w:tcPr>
            <w:tcW w:w="2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1"/>
        </w:trPr>
        <w:tc>
          <w:tcPr>
            <w:tcW w:w="2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North America</w:t>
            </w:r>
          </w:p>
        </w:tc>
        <w:tc>
          <w:tcPr>
            <w:tcW w:w="22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320" w:type="dxa"/>
            <w:vAlign w:val="bottom"/>
          </w:tcPr>
          <w:p>
            <w:pPr>
              <w:spacing w:after="0"/>
              <w:rPr>
                <w:sz w:val="13"/>
                <w:szCs w:val="13"/>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North America</w:t>
            </w:r>
          </w:p>
        </w:tc>
        <w:tc>
          <w:tcPr>
            <w:tcW w:w="24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340" w:type="dxa"/>
            <w:vAlign w:val="bottom"/>
          </w:tcPr>
          <w:p>
            <w:pPr>
              <w:spacing w:after="0"/>
              <w:rPr>
                <w:sz w:val="13"/>
                <w:szCs w:val="13"/>
                <w:color w:val="auto"/>
              </w:rPr>
            </w:pPr>
          </w:p>
        </w:tc>
        <w:tc>
          <w:tcPr>
            <w:tcW w:w="1080" w:type="dxa"/>
            <w:vAlign w:val="bottom"/>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8"/>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CoStar</w:t>
            </w:r>
          </w:p>
        </w:tc>
        <w:tc>
          <w:tcPr>
            <w:tcW w:w="20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957.3</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1,020.5</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886.0</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925.2</w:t>
            </w:r>
          </w:p>
        </w:tc>
      </w:tr>
      <w:tr>
        <w:trPr>
          <w:trHeight w:val="155"/>
        </w:trPr>
        <w:tc>
          <w:tcPr>
            <w:tcW w:w="2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Information Services</w:t>
            </w:r>
          </w:p>
        </w:tc>
        <w:tc>
          <w:tcPr>
            <w:tcW w:w="20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115.2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170.9</w:t>
            </w:r>
          </w:p>
        </w:tc>
      </w:tr>
      <w:tr>
        <w:trPr>
          <w:trHeight w:val="16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Multifamily</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1,067.3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914.2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914.2</w:t>
            </w:r>
          </w:p>
        </w:tc>
      </w:tr>
      <w:tr>
        <w:trPr>
          <w:trHeight w:val="156"/>
        </w:trPr>
        <w:tc>
          <w:tcPr>
            <w:tcW w:w="2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LoopNet</w:t>
            </w:r>
          </w:p>
        </w:tc>
        <w:tc>
          <w:tcPr>
            <w:tcW w:w="20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270.9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264.8</w:t>
            </w:r>
          </w:p>
        </w:tc>
      </w:tr>
      <w:tr>
        <w:trPr>
          <w:trHeight w:val="16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w:t>
            </w:r>
          </w:p>
        </w:tc>
      </w:tr>
      <w:tr>
        <w:trPr>
          <w:trHeight w:val="156"/>
        </w:trPr>
        <w:tc>
          <w:tcPr>
            <w:tcW w:w="2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Marketplaces</w:t>
            </w:r>
          </w:p>
        </w:tc>
        <w:tc>
          <w:tcPr>
            <w:tcW w:w="20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130.2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w:t>
            </w:r>
          </w:p>
        </w:tc>
      </w:tr>
      <w:tr>
        <w:trPr>
          <w:trHeight w:val="173"/>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revenues</w:t>
            </w: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2,599.8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2,736.2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2,365.7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2,455.0</w:t>
            </w: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CoStar Group,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Results of Segments - Unaudited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3"/>
          </w:tcPr>
          <w:p>
            <w:pPr>
              <w:jc w:val="center"/>
              <w:ind w:left="486"/>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840" w:type="dxa"/>
            <w:vAlign w:val="bottom"/>
          </w:tcPr>
          <w:p>
            <w:pPr>
              <w:spacing w:after="0"/>
              <w:rPr>
                <w:sz w:val="11"/>
                <w:szCs w:val="11"/>
                <w:color w:val="auto"/>
              </w:rPr>
            </w:pPr>
          </w:p>
        </w:tc>
      </w:tr>
      <w:tr>
        <w:trPr>
          <w:trHeight w:val="142"/>
        </w:trPr>
        <w:tc>
          <w:tcPr>
            <w:tcW w:w="6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tcPr>
          <w:p>
            <w:pPr>
              <w:jc w:val="center"/>
              <w:ind w:left="506"/>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840" w:type="dxa"/>
            <w:vAlign w:val="bottom"/>
          </w:tcPr>
          <w:p>
            <w:pPr>
              <w:spacing w:after="0"/>
              <w:rPr>
                <w:sz w:val="12"/>
                <w:szCs w:val="12"/>
                <w:color w:val="auto"/>
              </w:rPr>
            </w:pPr>
          </w:p>
        </w:tc>
      </w:tr>
      <w:tr>
        <w:trPr>
          <w:trHeight w:val="173"/>
        </w:trPr>
        <w:tc>
          <w:tcPr>
            <w:tcW w:w="61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6"/>
        </w:trPr>
        <w:tc>
          <w:tcPr>
            <w:tcW w:w="6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EBITDA</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North America</w:t>
            </w:r>
          </w:p>
        </w:tc>
        <w:tc>
          <w:tcPr>
            <w:tcW w:w="76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center"/>
              <w:ind w:left="146"/>
              <w:spacing w:after="0"/>
              <w:rPr>
                <w:sz w:val="20"/>
                <w:szCs w:val="20"/>
                <w:color w:val="auto"/>
              </w:rPr>
            </w:pPr>
            <w:r>
              <w:rPr>
                <w:rFonts w:ascii="Times New Roman" w:cs="Times New Roman" w:eastAsia="Times New Roman" w:hAnsi="Times New Roman"/>
                <w:sz w:val="11"/>
                <w:szCs w:val="11"/>
                <w:color w:val="auto"/>
                <w:w w:val="93"/>
              </w:rPr>
              <w:t>84.1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181.5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403.0</w:t>
            </w:r>
          </w:p>
        </w:tc>
      </w:tr>
      <w:tr>
        <w:trPr>
          <w:trHeight w:val="155"/>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International</w:t>
            </w:r>
          </w:p>
        </w:tc>
        <w:tc>
          <w:tcPr>
            <w:tcW w:w="7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(11.2)</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1"/>
                <w:szCs w:val="11"/>
                <w:color w:val="auto"/>
                <w:w w:val="97"/>
              </w:rPr>
              <w:t>(58.5)</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w w:val="97"/>
              </w:rPr>
              <w:t>(13.2)</w:t>
            </w:r>
          </w:p>
        </w:tc>
      </w:tr>
      <w:tr>
        <w:trPr>
          <w:trHeight w:val="174"/>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EBITDA</w:t>
            </w:r>
          </w:p>
        </w:tc>
        <w:tc>
          <w:tcPr>
            <w:tcW w:w="760" w:type="dxa"/>
            <w:vAlign w:val="bottom"/>
            <w:tcBorders>
              <w:bottom w:val="single" w:sz="8" w:color="auto"/>
            </w:tcBorders>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center"/>
              <w:ind w:left="146"/>
              <w:spacing w:after="0"/>
              <w:rPr>
                <w:sz w:val="20"/>
                <w:szCs w:val="20"/>
                <w:color w:val="auto"/>
              </w:rPr>
            </w:pPr>
            <w:r>
              <w:rPr>
                <w:rFonts w:ascii="Times New Roman" w:cs="Times New Roman" w:eastAsia="Times New Roman" w:hAnsi="Times New Roman"/>
                <w:sz w:val="11"/>
                <w:szCs w:val="11"/>
                <w:color w:val="auto"/>
                <w:w w:val="93"/>
              </w:rPr>
              <w:t>72.9</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123.0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389.8</w:t>
            </w:r>
          </w:p>
        </w:tc>
      </w:tr>
    </w:tbl>
    <w:p>
      <w:pPr>
        <w:sectPr>
          <w:pgSz w:w="11900" w:h="16838" w:orient="portrait"/>
          <w:cols w:equalWidth="0" w:num="1">
            <w:col w:w="11280"/>
          </w:cols>
          <w:pgMar w:left="300" w:top="677" w:right="31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CoStar Group, Inc.</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Non-GAAP Financial Measures with Quarterly Results - Unaudited</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0" w:type="dxa"/>
            <w:vAlign w:val="bottom"/>
          </w:tcPr>
          <w:p>
            <w:pPr>
              <w:spacing w:after="0"/>
              <w:rPr>
                <w:sz w:val="12"/>
                <w:szCs w:val="12"/>
                <w:color w:val="auto"/>
              </w:rPr>
            </w:pPr>
          </w:p>
        </w:tc>
        <w:tc>
          <w:tcPr>
            <w:tcW w:w="41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Reconciliation of Net Income to EBITDA and Adjusted EBITDA</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0"/>
        </w:trPr>
        <w:tc>
          <w:tcPr>
            <w:tcW w:w="30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0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Q1</w:t>
            </w:r>
          </w:p>
        </w:tc>
        <w:tc>
          <w:tcPr>
            <w:tcW w:w="860" w:type="dxa"/>
            <w:vAlign w:val="bottom"/>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9"/>
              </w:rPr>
              <w:t>Q2</w:t>
            </w:r>
          </w:p>
        </w:tc>
        <w:tc>
          <w:tcPr>
            <w:tcW w:w="52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9"/>
              </w:rPr>
              <w:t>Q3</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Q4</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Q1</w:t>
            </w:r>
          </w:p>
        </w:tc>
        <w:tc>
          <w:tcPr>
            <w:tcW w:w="500" w:type="dxa"/>
            <w:vAlign w:val="bottom"/>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w w:val="99"/>
              </w:rPr>
              <w:t>Q2</w:t>
            </w:r>
          </w:p>
        </w:tc>
        <w:tc>
          <w:tcPr>
            <w:tcW w:w="860" w:type="dxa"/>
            <w:vAlign w:val="bottom"/>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w w:val="99"/>
              </w:rPr>
              <w:t>Q3</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Q4</w:t>
            </w:r>
          </w:p>
        </w:tc>
        <w:tc>
          <w:tcPr>
            <w:tcW w:w="0" w:type="dxa"/>
            <w:vAlign w:val="bottom"/>
          </w:tcPr>
          <w:p>
            <w:pPr>
              <w:spacing w:after="0"/>
              <w:rPr>
                <w:sz w:val="1"/>
                <w:szCs w:val="1"/>
                <w:color w:val="auto"/>
              </w:rPr>
            </w:pPr>
          </w:p>
        </w:tc>
      </w:tr>
      <w:tr>
        <w:trPr>
          <w:trHeight w:val="168"/>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3320" w:type="dxa"/>
            <w:vAlign w:val="bottom"/>
            <w:gridSpan w:val="2"/>
            <w:shd w:val="clear" w:color="auto" w:fill="CCEEFF"/>
          </w:tcPr>
          <w:p>
            <w:pPr>
              <w:jc w:val="center"/>
              <w:ind w:left="2546"/>
              <w:spacing w:after="0"/>
              <w:rPr>
                <w:sz w:val="20"/>
                <w:szCs w:val="20"/>
                <w:color w:val="auto"/>
              </w:rPr>
            </w:pPr>
            <w:r>
              <w:rPr>
                <w:rFonts w:ascii="Times New Roman" w:cs="Times New Roman" w:eastAsia="Times New Roman" w:hAnsi="Times New Roman"/>
                <w:sz w:val="11"/>
                <w:szCs w:val="11"/>
                <w:color w:val="auto"/>
                <w:w w:val="96"/>
              </w:rPr>
              <w:t>$87.1</w:t>
            </w:r>
          </w:p>
        </w:tc>
        <w:tc>
          <w:tcPr>
            <w:tcW w:w="860" w:type="dxa"/>
            <w:vAlign w:val="bottom"/>
            <w:shd w:val="clear" w:color="auto" w:fill="CCEEFF"/>
          </w:tcPr>
          <w:p>
            <w:pPr>
              <w:jc w:val="center"/>
              <w:ind w:right="126"/>
              <w:spacing w:after="0"/>
              <w:rPr>
                <w:sz w:val="20"/>
                <w:szCs w:val="20"/>
                <w:color w:val="auto"/>
              </w:rPr>
            </w:pPr>
            <w:r>
              <w:rPr>
                <w:rFonts w:ascii="Times New Roman" w:cs="Times New Roman" w:eastAsia="Times New Roman" w:hAnsi="Times New Roman"/>
                <w:sz w:val="11"/>
                <w:szCs w:val="11"/>
                <w:color w:val="auto"/>
                <w:w w:val="92"/>
              </w:rPr>
              <w:t>$100.5</w:t>
            </w:r>
          </w:p>
        </w:tc>
        <w:tc>
          <w:tcPr>
            <w:tcW w:w="520" w:type="dxa"/>
            <w:vAlign w:val="bottom"/>
            <w:shd w:val="clear" w:color="auto" w:fill="CCEEFF"/>
          </w:tcPr>
          <w:p>
            <w:pPr>
              <w:jc w:val="center"/>
              <w:ind w:right="106"/>
              <w:spacing w:after="0"/>
              <w:rPr>
                <w:sz w:val="20"/>
                <w:szCs w:val="20"/>
                <w:color w:val="auto"/>
              </w:rPr>
            </w:pPr>
            <w:r>
              <w:rPr>
                <w:rFonts w:ascii="Times New Roman" w:cs="Times New Roman" w:eastAsia="Times New Roman" w:hAnsi="Times New Roman"/>
                <w:sz w:val="11"/>
                <w:szCs w:val="11"/>
                <w:color w:val="auto"/>
                <w:w w:val="96"/>
              </w:rPr>
              <w:t>$90.6</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$96.4</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$6.7</w:t>
            </w:r>
          </w:p>
        </w:tc>
        <w:tc>
          <w:tcPr>
            <w:tcW w:w="500" w:type="dxa"/>
            <w:vAlign w:val="bottom"/>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6"/>
              </w:rPr>
              <w:t>$19.2</w:t>
            </w:r>
          </w:p>
        </w:tc>
        <w:tc>
          <w:tcPr>
            <w:tcW w:w="860" w:type="dxa"/>
            <w:vAlign w:val="bottom"/>
            <w:shd w:val="clear" w:color="auto" w:fill="CCEEFF"/>
          </w:tcPr>
          <w:p>
            <w:pPr>
              <w:jc w:val="center"/>
              <w:ind w:left="126"/>
              <w:spacing w:after="0"/>
              <w:rPr>
                <w:sz w:val="20"/>
                <w:szCs w:val="20"/>
                <w:color w:val="auto"/>
              </w:rPr>
            </w:pPr>
            <w:r>
              <w:rPr>
                <w:rFonts w:ascii="Times New Roman" w:cs="Times New Roman" w:eastAsia="Times New Roman" w:hAnsi="Times New Roman"/>
                <w:sz w:val="11"/>
                <w:szCs w:val="11"/>
                <w:color w:val="auto"/>
                <w:w w:val="96"/>
              </w:rPr>
              <w:t>$53.0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$59.8</w:t>
            </w:r>
          </w:p>
        </w:tc>
        <w:tc>
          <w:tcPr>
            <w:tcW w:w="0" w:type="dxa"/>
            <w:vAlign w:val="bottom"/>
          </w:tcPr>
          <w:p>
            <w:pPr>
              <w:spacing w:after="0"/>
              <w:rPr>
                <w:sz w:val="1"/>
                <w:szCs w:val="1"/>
                <w:color w:val="auto"/>
              </w:rPr>
            </w:pPr>
          </w:p>
        </w:tc>
      </w:tr>
      <w:tr>
        <w:trPr>
          <w:trHeight w:val="15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Amortization of acquired intangible assets</w:t>
            </w:r>
          </w:p>
        </w:tc>
        <w:tc>
          <w:tcPr>
            <w:tcW w:w="3320" w:type="dxa"/>
            <w:vAlign w:val="bottom"/>
            <w:gridSpan w:val="2"/>
          </w:tcPr>
          <w:p>
            <w:pPr>
              <w:jc w:val="center"/>
              <w:ind w:left="2546"/>
              <w:spacing w:after="0"/>
              <w:rPr>
                <w:sz w:val="20"/>
                <w:szCs w:val="20"/>
                <w:color w:val="auto"/>
              </w:rPr>
            </w:pPr>
            <w:r>
              <w:rPr>
                <w:rFonts w:ascii="Times New Roman" w:cs="Times New Roman" w:eastAsia="Times New Roman" w:hAnsi="Times New Roman"/>
                <w:sz w:val="11"/>
                <w:szCs w:val="11"/>
                <w:color w:val="auto"/>
              </w:rPr>
              <w:t>17.7</w:t>
            </w:r>
          </w:p>
        </w:tc>
        <w:tc>
          <w:tcPr>
            <w:tcW w:w="86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rPr>
              <w:t>18.0</w:t>
            </w:r>
          </w:p>
        </w:tc>
        <w:tc>
          <w:tcPr>
            <w:tcW w:w="52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rPr>
              <w:t>18.7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19.3</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19.8</w:t>
            </w:r>
          </w:p>
        </w:tc>
        <w:tc>
          <w:tcPr>
            <w:tcW w:w="5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rPr>
              <w:t>18.1</w:t>
            </w:r>
          </w:p>
        </w:tc>
        <w:tc>
          <w:tcPr>
            <w:tcW w:w="860" w:type="dxa"/>
            <w:vAlign w:val="bottom"/>
          </w:tcPr>
          <w:p>
            <w:pPr>
              <w:jc w:val="center"/>
              <w:ind w:left="126"/>
              <w:spacing w:after="0"/>
              <w:rPr>
                <w:sz w:val="20"/>
                <w:szCs w:val="20"/>
                <w:color w:val="auto"/>
              </w:rPr>
            </w:pPr>
            <w:r>
              <w:rPr>
                <w:rFonts w:ascii="Times New Roman" w:cs="Times New Roman" w:eastAsia="Times New Roman" w:hAnsi="Times New Roman"/>
                <w:sz w:val="11"/>
                <w:szCs w:val="11"/>
                <w:color w:val="auto"/>
              </w:rPr>
              <w:t>16.5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19.8</w:t>
            </w:r>
          </w:p>
        </w:tc>
        <w:tc>
          <w:tcPr>
            <w:tcW w:w="0" w:type="dxa"/>
            <w:vAlign w:val="bottom"/>
          </w:tcPr>
          <w:p>
            <w:pPr>
              <w:spacing w:after="0"/>
              <w:rPr>
                <w:sz w:val="1"/>
                <w:szCs w:val="1"/>
                <w:color w:val="auto"/>
              </w:rPr>
            </w:pPr>
          </w:p>
        </w:tc>
      </w:tr>
      <w:tr>
        <w:trPr>
          <w:trHeight w:val="16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Depreciation and other amortization</w:t>
            </w:r>
          </w:p>
        </w:tc>
        <w:tc>
          <w:tcPr>
            <w:tcW w:w="3320" w:type="dxa"/>
            <w:vAlign w:val="bottom"/>
            <w:gridSpan w:val="2"/>
            <w:shd w:val="clear" w:color="auto" w:fill="CCEEFF"/>
          </w:tcPr>
          <w:p>
            <w:pPr>
              <w:jc w:val="center"/>
              <w:ind w:left="2566"/>
              <w:spacing w:after="0"/>
              <w:rPr>
                <w:sz w:val="20"/>
                <w:szCs w:val="20"/>
                <w:color w:val="auto"/>
              </w:rPr>
            </w:pPr>
            <w:r>
              <w:rPr>
                <w:rFonts w:ascii="Times New Roman" w:cs="Times New Roman" w:eastAsia="Times New Roman" w:hAnsi="Times New Roman"/>
                <w:sz w:val="11"/>
                <w:szCs w:val="11"/>
                <w:color w:val="auto"/>
              </w:rPr>
              <w:t>7.9</w:t>
            </w:r>
          </w:p>
        </w:tc>
        <w:tc>
          <w:tcPr>
            <w:tcW w:w="860" w:type="dxa"/>
            <w:vAlign w:val="bottom"/>
            <w:shd w:val="clear" w:color="auto" w:fill="CCEEFF"/>
          </w:tcPr>
          <w:p>
            <w:pPr>
              <w:jc w:val="center"/>
              <w:ind w:right="126"/>
              <w:spacing w:after="0"/>
              <w:rPr>
                <w:sz w:val="20"/>
                <w:szCs w:val="20"/>
                <w:color w:val="auto"/>
              </w:rPr>
            </w:pPr>
            <w:r>
              <w:rPr>
                <w:rFonts w:ascii="Times New Roman" w:cs="Times New Roman" w:eastAsia="Times New Roman" w:hAnsi="Times New Roman"/>
                <w:sz w:val="11"/>
                <w:szCs w:val="11"/>
                <w:color w:val="auto"/>
                <w:w w:val="86"/>
              </w:rPr>
              <w:t>8.1</w:t>
            </w:r>
          </w:p>
        </w:tc>
        <w:tc>
          <w:tcPr>
            <w:tcW w:w="520" w:type="dxa"/>
            <w:vAlign w:val="bottom"/>
            <w:shd w:val="clear" w:color="auto" w:fill="CCEEFF"/>
          </w:tcPr>
          <w:p>
            <w:pPr>
              <w:jc w:val="center"/>
              <w:ind w:right="106"/>
              <w:spacing w:after="0"/>
              <w:rPr>
                <w:sz w:val="20"/>
                <w:szCs w:val="20"/>
                <w:color w:val="auto"/>
              </w:rPr>
            </w:pPr>
            <w:r>
              <w:rPr>
                <w:rFonts w:ascii="Times New Roman" w:cs="Times New Roman" w:eastAsia="Times New Roman" w:hAnsi="Times New Roman"/>
                <w:sz w:val="11"/>
                <w:szCs w:val="11"/>
                <w:color w:val="auto"/>
                <w:w w:val="86"/>
              </w:rPr>
              <w:t>8.4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9.4</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10.3</w:t>
            </w:r>
          </w:p>
        </w:tc>
        <w:tc>
          <w:tcPr>
            <w:tcW w:w="500" w:type="dxa"/>
            <w:vAlign w:val="bottom"/>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rPr>
              <w:t>10.1</w:t>
            </w:r>
          </w:p>
        </w:tc>
        <w:tc>
          <w:tcPr>
            <w:tcW w:w="860" w:type="dxa"/>
            <w:vAlign w:val="bottom"/>
            <w:shd w:val="clear" w:color="auto" w:fill="CCEEFF"/>
          </w:tcPr>
          <w:p>
            <w:pPr>
              <w:jc w:val="center"/>
              <w:ind w:left="126"/>
              <w:spacing w:after="0"/>
              <w:rPr>
                <w:sz w:val="20"/>
                <w:szCs w:val="20"/>
                <w:color w:val="auto"/>
              </w:rPr>
            </w:pPr>
            <w:r>
              <w:rPr>
                <w:rFonts w:ascii="Times New Roman" w:cs="Times New Roman" w:eastAsia="Times New Roman" w:hAnsi="Times New Roman"/>
                <w:sz w:val="11"/>
                <w:szCs w:val="11"/>
                <w:color w:val="auto"/>
              </w:rPr>
              <w:t>10.6</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13.1</w:t>
            </w:r>
          </w:p>
        </w:tc>
        <w:tc>
          <w:tcPr>
            <w:tcW w:w="0" w:type="dxa"/>
            <w:vAlign w:val="bottom"/>
          </w:tcPr>
          <w:p>
            <w:pPr>
              <w:spacing w:after="0"/>
              <w:rPr>
                <w:sz w:val="1"/>
                <w:szCs w:val="1"/>
                <w:color w:val="auto"/>
              </w:rPr>
            </w:pPr>
          </w:p>
        </w:tc>
      </w:tr>
      <w:tr>
        <w:trPr>
          <w:trHeight w:val="15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Interest income, net</w:t>
            </w:r>
          </w:p>
        </w:tc>
        <w:tc>
          <w:tcPr>
            <w:tcW w:w="3320" w:type="dxa"/>
            <w:vAlign w:val="bottom"/>
            <w:gridSpan w:val="2"/>
          </w:tcPr>
          <w:p>
            <w:pPr>
              <w:jc w:val="center"/>
              <w:ind w:left="2566"/>
              <w:spacing w:after="0"/>
              <w:rPr>
                <w:sz w:val="20"/>
                <w:szCs w:val="20"/>
                <w:color w:val="auto"/>
              </w:rPr>
            </w:pPr>
            <w:r>
              <w:rPr>
                <w:rFonts w:ascii="Times New Roman" w:cs="Times New Roman" w:eastAsia="Times New Roman" w:hAnsi="Times New Roman"/>
                <w:sz w:val="11"/>
                <w:szCs w:val="11"/>
                <w:color w:val="auto"/>
                <w:w w:val="97"/>
              </w:rPr>
              <w:t>(43.5)</w:t>
            </w:r>
          </w:p>
        </w:tc>
        <w:tc>
          <w:tcPr>
            <w:tcW w:w="86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w w:val="97"/>
              </w:rPr>
              <w:t>(51.9)</w:t>
            </w:r>
          </w:p>
        </w:tc>
        <w:tc>
          <w:tcPr>
            <w:tcW w:w="52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w w:val="97"/>
              </w:rPr>
              <w:t>(58.4)</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(59.7)</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(56.2)</w:t>
            </w:r>
          </w:p>
        </w:tc>
        <w:tc>
          <w:tcPr>
            <w:tcW w:w="50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7"/>
              </w:rPr>
              <w:t>(53.5)</w:t>
            </w:r>
          </w:p>
        </w:tc>
        <w:tc>
          <w:tcPr>
            <w:tcW w:w="86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7"/>
              </w:rPr>
              <w:t>(55.6)</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(47.2)</w:t>
            </w:r>
          </w:p>
        </w:tc>
        <w:tc>
          <w:tcPr>
            <w:tcW w:w="0" w:type="dxa"/>
            <w:vAlign w:val="bottom"/>
          </w:tcPr>
          <w:p>
            <w:pPr>
              <w:spacing w:after="0"/>
              <w:rPr>
                <w:sz w:val="1"/>
                <w:szCs w:val="1"/>
                <w:color w:val="auto"/>
              </w:rPr>
            </w:pPr>
          </w:p>
        </w:tc>
      </w:tr>
      <w:tr>
        <w:trPr>
          <w:trHeight w:val="16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 net</w:t>
            </w:r>
            <w:r>
              <w:rPr>
                <w:rFonts w:ascii="Times New Roman" w:cs="Times New Roman" w:eastAsia="Times New Roman" w:hAnsi="Times New Roman"/>
                <w:sz w:val="14"/>
                <w:szCs w:val="14"/>
                <w:color w:val="auto"/>
                <w:vertAlign w:val="superscript"/>
              </w:rPr>
              <w:t>(1)</w:t>
            </w:r>
          </w:p>
        </w:tc>
        <w:tc>
          <w:tcPr>
            <w:tcW w:w="3320" w:type="dxa"/>
            <w:vAlign w:val="bottom"/>
            <w:gridSpan w:val="2"/>
            <w:shd w:val="clear" w:color="auto" w:fill="CCEEFF"/>
          </w:tcPr>
          <w:p>
            <w:pPr>
              <w:jc w:val="center"/>
              <w:ind w:left="2546"/>
              <w:spacing w:after="0"/>
              <w:rPr>
                <w:sz w:val="20"/>
                <w:szCs w:val="20"/>
                <w:color w:val="auto"/>
              </w:rPr>
            </w:pPr>
            <w:r>
              <w:rPr>
                <w:rFonts w:ascii="Times New Roman" w:cs="Times New Roman" w:eastAsia="Times New Roman" w:hAnsi="Times New Roman"/>
                <w:sz w:val="11"/>
                <w:szCs w:val="11"/>
                <w:color w:val="auto"/>
                <w:w w:val="94"/>
              </w:rPr>
              <w:t>(0.6)</w:t>
            </w:r>
          </w:p>
        </w:tc>
        <w:tc>
          <w:tcPr>
            <w:tcW w:w="860" w:type="dxa"/>
            <w:vAlign w:val="bottom"/>
            <w:shd w:val="clear" w:color="auto" w:fill="CCEEFF"/>
          </w:tcPr>
          <w:p>
            <w:pPr>
              <w:jc w:val="center"/>
              <w:ind w:right="126"/>
              <w:spacing w:after="0"/>
              <w:rPr>
                <w:sz w:val="20"/>
                <w:szCs w:val="20"/>
                <w:color w:val="auto"/>
              </w:rPr>
            </w:pPr>
            <w:r>
              <w:rPr>
                <w:rFonts w:ascii="Times New Roman" w:cs="Times New Roman" w:eastAsia="Times New Roman" w:hAnsi="Times New Roman"/>
                <w:sz w:val="11"/>
                <w:szCs w:val="11"/>
                <w:color w:val="auto"/>
                <w:w w:val="94"/>
              </w:rPr>
              <w:t>(0.6)</w:t>
            </w:r>
          </w:p>
        </w:tc>
        <w:tc>
          <w:tcPr>
            <w:tcW w:w="520" w:type="dxa"/>
            <w:vAlign w:val="bottom"/>
            <w:shd w:val="clear" w:color="auto" w:fill="CCEEFF"/>
          </w:tcPr>
          <w:p>
            <w:pPr>
              <w:jc w:val="center"/>
              <w:ind w:right="106"/>
              <w:spacing w:after="0"/>
              <w:rPr>
                <w:sz w:val="20"/>
                <w:szCs w:val="20"/>
                <w:color w:val="auto"/>
              </w:rPr>
            </w:pPr>
            <w:r>
              <w:rPr>
                <w:rFonts w:ascii="Times New Roman" w:cs="Times New Roman" w:eastAsia="Times New Roman" w:hAnsi="Times New Roman"/>
                <w:sz w:val="11"/>
                <w:szCs w:val="11"/>
                <w:color w:val="auto"/>
                <w:w w:val="94"/>
              </w:rPr>
              <w:t>(0.5)</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4"/>
              </w:rPr>
              <w:t>(3.7)</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1.9</w:t>
            </w:r>
          </w:p>
        </w:tc>
        <w:tc>
          <w:tcPr>
            <w:tcW w:w="500" w:type="dxa"/>
            <w:vAlign w:val="bottom"/>
            <w:shd w:val="clear" w:color="auto" w:fill="CCEEFF"/>
          </w:tcPr>
          <w:p>
            <w:pPr>
              <w:jc w:val="center"/>
              <w:ind w:left="106"/>
              <w:spacing w:after="0"/>
              <w:rPr>
                <w:sz w:val="20"/>
                <w:szCs w:val="20"/>
                <w:color w:val="auto"/>
              </w:rPr>
            </w:pPr>
            <w:r>
              <w:rPr>
                <w:rFonts w:ascii="Times New Roman" w:cs="Times New Roman" w:eastAsia="Times New Roman" w:hAnsi="Times New Roman"/>
                <w:sz w:val="11"/>
                <w:szCs w:val="11"/>
                <w:color w:val="auto"/>
              </w:rPr>
              <w:t>1.5</w:t>
            </w:r>
          </w:p>
        </w:tc>
        <w:tc>
          <w:tcPr>
            <w:tcW w:w="860" w:type="dxa"/>
            <w:vAlign w:val="bottom"/>
            <w:shd w:val="clear" w:color="auto" w:fill="CCEEFF"/>
          </w:tcPr>
          <w:p>
            <w:pPr>
              <w:jc w:val="center"/>
              <w:ind w:left="106"/>
              <w:spacing w:after="0"/>
              <w:rPr>
                <w:sz w:val="20"/>
                <w:szCs w:val="20"/>
                <w:color w:val="auto"/>
              </w:rPr>
            </w:pPr>
            <w:r>
              <w:rPr>
                <w:rFonts w:ascii="Times New Roman" w:cs="Times New Roman" w:eastAsia="Times New Roman" w:hAnsi="Times New Roman"/>
                <w:sz w:val="11"/>
                <w:szCs w:val="11"/>
                <w:color w:val="auto"/>
              </w:rPr>
              <w:t>1.6</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55"/>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26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29.2</w:t>
            </w:r>
          </w:p>
        </w:tc>
        <w:tc>
          <w:tcPr>
            <w:tcW w:w="86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color w:val="auto"/>
              </w:rPr>
              <w:t>31.1</w:t>
            </w:r>
          </w:p>
        </w:tc>
        <w:tc>
          <w:tcPr>
            <w:tcW w:w="52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1"/>
                <w:szCs w:val="11"/>
                <w:color w:val="auto"/>
              </w:rPr>
              <w:t>29.9</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36.3</w:t>
            </w: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4.8</w:t>
            </w:r>
          </w:p>
        </w:tc>
        <w:tc>
          <w:tcPr>
            <w:tcW w:w="500" w:type="dxa"/>
            <w:vAlign w:val="bottom"/>
            <w:tcBorders>
              <w:bottom w:val="single" w:sz="8" w:color="auto"/>
            </w:tcBorders>
          </w:tcPr>
          <w:p>
            <w:pPr>
              <w:jc w:val="center"/>
              <w:ind w:left="86"/>
              <w:spacing w:after="0"/>
              <w:rPr>
                <w:sz w:val="20"/>
                <w:szCs w:val="20"/>
                <w:color w:val="auto"/>
              </w:rPr>
            </w:pPr>
            <w:r>
              <w:rPr>
                <w:rFonts w:ascii="Times New Roman" w:cs="Times New Roman" w:eastAsia="Times New Roman" w:hAnsi="Times New Roman"/>
                <w:sz w:val="11"/>
                <w:szCs w:val="11"/>
                <w:color w:val="auto"/>
              </w:rPr>
              <w:t>16.7</w:t>
            </w:r>
          </w:p>
        </w:tc>
        <w:tc>
          <w:tcPr>
            <w:tcW w:w="86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rPr>
              <w:t>24.7</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25.2</w:t>
            </w:r>
          </w:p>
        </w:tc>
        <w:tc>
          <w:tcPr>
            <w:tcW w:w="0" w:type="dxa"/>
            <w:vAlign w:val="bottom"/>
          </w:tcPr>
          <w:p>
            <w:pPr>
              <w:spacing w:after="0"/>
              <w:rPr>
                <w:sz w:val="1"/>
                <w:szCs w:val="1"/>
                <w:color w:val="auto"/>
              </w:rPr>
            </w:pPr>
          </w:p>
        </w:tc>
      </w:tr>
      <w:tr>
        <w:trPr>
          <w:trHeight w:val="158"/>
        </w:trPr>
        <w:tc>
          <w:tcPr>
            <w:tcW w:w="30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1"/>
                <w:szCs w:val="11"/>
                <w:color w:val="auto"/>
              </w:rPr>
              <w:t>EBITDA</w:t>
            </w:r>
            <w:r>
              <w:rPr>
                <w:rFonts w:ascii="Times New Roman" w:cs="Times New Roman" w:eastAsia="Times New Roman" w:hAnsi="Times New Roman"/>
                <w:sz w:val="14"/>
                <w:szCs w:val="14"/>
                <w:color w:val="auto"/>
                <w:vertAlign w:val="superscript"/>
              </w:rPr>
              <w:t>(2)</w:t>
            </w:r>
          </w:p>
        </w:tc>
        <w:tc>
          <w:tcPr>
            <w:tcW w:w="262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$97.8</w:t>
            </w:r>
          </w:p>
        </w:tc>
        <w:tc>
          <w:tcPr>
            <w:tcW w:w="860" w:type="dxa"/>
            <w:vAlign w:val="bottom"/>
            <w:tcBorders>
              <w:bottom w:val="single" w:sz="8" w:color="auto"/>
            </w:tcBorders>
            <w:shd w:val="clear" w:color="auto" w:fill="CCEEFF"/>
          </w:tcPr>
          <w:p>
            <w:pPr>
              <w:jc w:val="center"/>
              <w:ind w:right="126"/>
              <w:spacing w:after="0"/>
              <w:rPr>
                <w:sz w:val="20"/>
                <w:szCs w:val="20"/>
                <w:color w:val="auto"/>
              </w:rPr>
            </w:pPr>
            <w:r>
              <w:rPr>
                <w:rFonts w:ascii="Times New Roman" w:cs="Times New Roman" w:eastAsia="Times New Roman" w:hAnsi="Times New Roman"/>
                <w:sz w:val="11"/>
                <w:szCs w:val="11"/>
                <w:color w:val="auto"/>
                <w:w w:val="92"/>
              </w:rPr>
              <w:t>$105.2</w:t>
            </w:r>
          </w:p>
        </w:tc>
        <w:tc>
          <w:tcPr>
            <w:tcW w:w="520" w:type="dxa"/>
            <w:vAlign w:val="bottom"/>
            <w:tcBorders>
              <w:bottom w:val="single" w:sz="8" w:color="auto"/>
            </w:tcBorders>
            <w:shd w:val="clear" w:color="auto" w:fill="CCEEFF"/>
          </w:tcPr>
          <w:p>
            <w:pPr>
              <w:jc w:val="center"/>
              <w:ind w:right="106"/>
              <w:spacing w:after="0"/>
              <w:rPr>
                <w:sz w:val="20"/>
                <w:szCs w:val="20"/>
                <w:color w:val="auto"/>
              </w:rPr>
            </w:pPr>
            <w:r>
              <w:rPr>
                <w:rFonts w:ascii="Times New Roman" w:cs="Times New Roman" w:eastAsia="Times New Roman" w:hAnsi="Times New Roman"/>
                <w:sz w:val="11"/>
                <w:szCs w:val="11"/>
                <w:color w:val="auto"/>
                <w:w w:val="96"/>
              </w:rPr>
              <w:t>$88.7</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$98.0</w:t>
            </w:r>
          </w:p>
        </w:tc>
        <w:tc>
          <w:tcPr>
            <w:tcW w:w="12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$(12.7)</w:t>
            </w:r>
          </w:p>
        </w:tc>
        <w:tc>
          <w:tcPr>
            <w:tcW w:w="500" w:type="dxa"/>
            <w:vAlign w:val="bottom"/>
            <w:tcBorders>
              <w:bottom w:val="single" w:sz="8" w:color="auto"/>
            </w:tcBorders>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6"/>
              </w:rPr>
              <w:t>$12.1</w:t>
            </w:r>
          </w:p>
        </w:tc>
        <w:tc>
          <w:tcPr>
            <w:tcW w:w="860" w:type="dxa"/>
            <w:vAlign w:val="bottom"/>
            <w:tcBorders>
              <w:bottom w:val="single" w:sz="8" w:color="auto"/>
            </w:tcBorders>
            <w:shd w:val="clear" w:color="auto" w:fill="CCEEFF"/>
          </w:tcPr>
          <w:p>
            <w:pPr>
              <w:jc w:val="center"/>
              <w:ind w:left="126"/>
              <w:spacing w:after="0"/>
              <w:rPr>
                <w:sz w:val="20"/>
                <w:szCs w:val="20"/>
                <w:color w:val="auto"/>
              </w:rPr>
            </w:pPr>
            <w:r>
              <w:rPr>
                <w:rFonts w:ascii="Times New Roman" w:cs="Times New Roman" w:eastAsia="Times New Roman" w:hAnsi="Times New Roman"/>
                <w:sz w:val="11"/>
                <w:szCs w:val="11"/>
                <w:color w:val="auto"/>
                <w:w w:val="96"/>
              </w:rPr>
              <w:t>$50.8</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$72.9</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3320" w:type="dxa"/>
            <w:vAlign w:val="bottom"/>
            <w:gridSpan w:val="2"/>
          </w:tcPr>
          <w:p>
            <w:pPr>
              <w:jc w:val="center"/>
              <w:ind w:left="2546"/>
              <w:spacing w:after="0"/>
              <w:rPr>
                <w:sz w:val="20"/>
                <w:szCs w:val="20"/>
                <w:color w:val="auto"/>
              </w:rPr>
            </w:pPr>
            <w:r>
              <w:rPr>
                <w:rFonts w:ascii="Times New Roman" w:cs="Times New Roman" w:eastAsia="Times New Roman" w:hAnsi="Times New Roman"/>
                <w:sz w:val="11"/>
                <w:szCs w:val="11"/>
                <w:color w:val="auto"/>
              </w:rPr>
              <w:t>20.0</w:t>
            </w:r>
          </w:p>
        </w:tc>
        <w:tc>
          <w:tcPr>
            <w:tcW w:w="86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rPr>
              <w:t>21.8</w:t>
            </w:r>
          </w:p>
        </w:tc>
        <w:tc>
          <w:tcPr>
            <w:tcW w:w="52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rPr>
              <w:t>21.9</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21.2</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22.8</w:t>
            </w:r>
          </w:p>
        </w:tc>
        <w:tc>
          <w:tcPr>
            <w:tcW w:w="5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rPr>
              <w:t>22.7</w:t>
            </w:r>
          </w:p>
        </w:tc>
        <w:tc>
          <w:tcPr>
            <w:tcW w:w="860" w:type="dxa"/>
            <w:vAlign w:val="bottom"/>
          </w:tcPr>
          <w:p>
            <w:pPr>
              <w:jc w:val="center"/>
              <w:ind w:left="126"/>
              <w:spacing w:after="0"/>
              <w:rPr>
                <w:sz w:val="20"/>
                <w:szCs w:val="20"/>
                <w:color w:val="auto"/>
              </w:rPr>
            </w:pPr>
            <w:r>
              <w:rPr>
                <w:rFonts w:ascii="Times New Roman" w:cs="Times New Roman" w:eastAsia="Times New Roman" w:hAnsi="Times New Roman"/>
                <w:sz w:val="11"/>
                <w:szCs w:val="11"/>
                <w:color w:val="auto"/>
              </w:rPr>
              <w:t>21.8</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21.8</w:t>
            </w:r>
          </w:p>
        </w:tc>
        <w:tc>
          <w:tcPr>
            <w:tcW w:w="0" w:type="dxa"/>
            <w:vAlign w:val="bottom"/>
          </w:tcPr>
          <w:p>
            <w:pPr>
              <w:spacing w:after="0"/>
              <w:rPr>
                <w:sz w:val="1"/>
                <w:szCs w:val="1"/>
                <w:color w:val="auto"/>
              </w:rPr>
            </w:pPr>
          </w:p>
        </w:tc>
      </w:tr>
      <w:tr>
        <w:trPr>
          <w:trHeight w:val="16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Acquisition and integration related costs</w:t>
            </w:r>
          </w:p>
        </w:tc>
        <w:tc>
          <w:tcPr>
            <w:tcW w:w="3320" w:type="dxa"/>
            <w:vAlign w:val="bottom"/>
            <w:gridSpan w:val="2"/>
            <w:shd w:val="clear" w:color="auto" w:fill="CCEEFF"/>
          </w:tcPr>
          <w:p>
            <w:pPr>
              <w:jc w:val="center"/>
              <w:ind w:left="2566"/>
              <w:spacing w:after="0"/>
              <w:rPr>
                <w:sz w:val="20"/>
                <w:szCs w:val="20"/>
                <w:color w:val="auto"/>
              </w:rPr>
            </w:pPr>
            <w:r>
              <w:rPr>
                <w:rFonts w:ascii="Times New Roman" w:cs="Times New Roman" w:eastAsia="Times New Roman" w:hAnsi="Times New Roman"/>
                <w:sz w:val="11"/>
                <w:szCs w:val="11"/>
                <w:color w:val="auto"/>
              </w:rPr>
              <w:t>1.7</w:t>
            </w:r>
          </w:p>
        </w:tc>
        <w:tc>
          <w:tcPr>
            <w:tcW w:w="860" w:type="dxa"/>
            <w:vAlign w:val="bottom"/>
            <w:shd w:val="clear" w:color="auto" w:fill="CCEEFF"/>
          </w:tcPr>
          <w:p>
            <w:pPr>
              <w:jc w:val="center"/>
              <w:ind w:right="126"/>
              <w:spacing w:after="0"/>
              <w:rPr>
                <w:sz w:val="20"/>
                <w:szCs w:val="20"/>
                <w:color w:val="auto"/>
              </w:rPr>
            </w:pPr>
            <w:r>
              <w:rPr>
                <w:rFonts w:ascii="Times New Roman" w:cs="Times New Roman" w:eastAsia="Times New Roman" w:hAnsi="Times New Roman"/>
                <w:sz w:val="11"/>
                <w:szCs w:val="11"/>
                <w:color w:val="auto"/>
                <w:w w:val="94"/>
              </w:rPr>
              <w:t>(0.2)</w:t>
            </w:r>
          </w:p>
        </w:tc>
        <w:tc>
          <w:tcPr>
            <w:tcW w:w="520" w:type="dxa"/>
            <w:vAlign w:val="bottom"/>
            <w:shd w:val="clear" w:color="auto" w:fill="CCEEFF"/>
          </w:tcPr>
          <w:p>
            <w:pPr>
              <w:jc w:val="center"/>
              <w:ind w:right="106"/>
              <w:spacing w:after="0"/>
              <w:rPr>
                <w:sz w:val="20"/>
                <w:szCs w:val="20"/>
                <w:color w:val="auto"/>
              </w:rPr>
            </w:pPr>
            <w:r>
              <w:rPr>
                <w:rFonts w:ascii="Times New Roman" w:cs="Times New Roman" w:eastAsia="Times New Roman" w:hAnsi="Times New Roman"/>
                <w:sz w:val="11"/>
                <w:szCs w:val="11"/>
                <w:color w:val="auto"/>
                <w:w w:val="86"/>
              </w:rPr>
              <w:t>0.8</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10.7</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2.3</w:t>
            </w:r>
          </w:p>
        </w:tc>
        <w:tc>
          <w:tcPr>
            <w:tcW w:w="500" w:type="dxa"/>
            <w:vAlign w:val="bottom"/>
            <w:shd w:val="clear" w:color="auto" w:fill="CCEEFF"/>
          </w:tcPr>
          <w:p>
            <w:pPr>
              <w:jc w:val="center"/>
              <w:ind w:left="106"/>
              <w:spacing w:after="0"/>
              <w:rPr>
                <w:sz w:val="20"/>
                <w:szCs w:val="20"/>
                <w:color w:val="auto"/>
              </w:rPr>
            </w:pPr>
            <w:r>
              <w:rPr>
                <w:rFonts w:ascii="Times New Roman" w:cs="Times New Roman" w:eastAsia="Times New Roman" w:hAnsi="Times New Roman"/>
                <w:sz w:val="11"/>
                <w:szCs w:val="11"/>
                <w:color w:val="auto"/>
              </w:rPr>
              <w:t>6.0</w:t>
            </w:r>
          </w:p>
        </w:tc>
        <w:tc>
          <w:tcPr>
            <w:tcW w:w="860" w:type="dxa"/>
            <w:vAlign w:val="bottom"/>
            <w:shd w:val="clear" w:color="auto" w:fill="CCEEFF"/>
          </w:tcPr>
          <w:p>
            <w:pPr>
              <w:jc w:val="center"/>
              <w:ind w:left="106"/>
              <w:spacing w:after="0"/>
              <w:rPr>
                <w:sz w:val="20"/>
                <w:szCs w:val="20"/>
                <w:color w:val="auto"/>
              </w:rPr>
            </w:pPr>
            <w:r>
              <w:rPr>
                <w:rFonts w:ascii="Times New Roman" w:cs="Times New Roman" w:eastAsia="Times New Roman" w:hAnsi="Times New Roman"/>
                <w:sz w:val="11"/>
                <w:szCs w:val="11"/>
                <w:color w:val="auto"/>
              </w:rPr>
              <w:t>4.4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16.7</w:t>
            </w:r>
          </w:p>
        </w:tc>
        <w:tc>
          <w:tcPr>
            <w:tcW w:w="0" w:type="dxa"/>
            <w:vAlign w:val="bottom"/>
          </w:tcPr>
          <w:p>
            <w:pPr>
              <w:spacing w:after="0"/>
              <w:rPr>
                <w:sz w:val="1"/>
                <w:szCs w:val="1"/>
                <w:color w:val="auto"/>
              </w:rPr>
            </w:pPr>
          </w:p>
        </w:tc>
      </w:tr>
      <w:tr>
        <w:trPr>
          <w:trHeight w:val="15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Restructuring and related costs</w:t>
            </w:r>
          </w:p>
        </w:tc>
        <w:tc>
          <w:tcPr>
            <w:tcW w:w="3320" w:type="dxa"/>
            <w:vAlign w:val="bottom"/>
            <w:gridSpan w:val="2"/>
          </w:tcPr>
          <w:p>
            <w:pPr>
              <w:jc w:val="center"/>
              <w:ind w:left="2566"/>
              <w:spacing w:after="0"/>
              <w:rPr>
                <w:sz w:val="20"/>
                <w:szCs w:val="20"/>
                <w:color w:val="auto"/>
              </w:rPr>
            </w:pPr>
            <w:r>
              <w:rPr>
                <w:rFonts w:ascii="Times New Roman" w:cs="Times New Roman" w:eastAsia="Times New Roman" w:hAnsi="Times New Roman"/>
                <w:sz w:val="11"/>
                <w:szCs w:val="11"/>
                <w:color w:val="auto"/>
              </w:rPr>
              <w:t>3.4</w:t>
            </w:r>
          </w:p>
        </w:tc>
        <w:tc>
          <w:tcPr>
            <w:tcW w:w="86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w w:val="94"/>
              </w:rPr>
              <w:t>(0.1)</w:t>
            </w:r>
          </w:p>
        </w:tc>
        <w:tc>
          <w:tcPr>
            <w:tcW w:w="52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w w:val="86"/>
              </w:rPr>
              <w:t>0.5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0.2</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rPr>
              <w:t>0.2</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Settlements and impairments</w:t>
            </w:r>
          </w:p>
        </w:tc>
        <w:tc>
          <w:tcPr>
            <w:tcW w:w="26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4"/>
              </w:rPr>
              <w:t>(0.1)</w:t>
            </w:r>
          </w:p>
        </w:tc>
        <w:tc>
          <w:tcPr>
            <w:tcW w:w="860" w:type="dxa"/>
            <w:vAlign w:val="bottom"/>
            <w:tcBorders>
              <w:bottom w:val="single" w:sz="8" w:color="auto"/>
            </w:tcBorders>
            <w:shd w:val="clear" w:color="auto" w:fill="CCEEFF"/>
          </w:tcPr>
          <w:p>
            <w:pPr>
              <w:jc w:val="center"/>
              <w:ind w:right="1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CEEFF"/>
          </w:tcPr>
          <w:p>
            <w:pPr>
              <w:jc w:val="center"/>
              <w:ind w:right="1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500" w:type="dxa"/>
            <w:vAlign w:val="bottom"/>
            <w:tcBorders>
              <w:bottom w:val="single" w:sz="8" w:color="auto"/>
            </w:tcBorders>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center"/>
              <w:ind w:left="126"/>
              <w:spacing w:after="0"/>
              <w:rPr>
                <w:sz w:val="20"/>
                <w:szCs w:val="20"/>
                <w:color w:val="auto"/>
              </w:rPr>
            </w:pPr>
            <w:r>
              <w:rPr>
                <w:rFonts w:ascii="Times New Roman" w:cs="Times New Roman" w:eastAsia="Times New Roman" w:hAnsi="Times New Roman"/>
                <w:sz w:val="11"/>
                <w:szCs w:val="11"/>
                <w:color w:val="auto"/>
                <w:w w:val="94"/>
              </w:rPr>
              <w:t>(1.3)</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158"/>
        </w:trPr>
        <w:tc>
          <w:tcPr>
            <w:tcW w:w="3000" w:type="dxa"/>
            <w:vAlign w:val="bottom"/>
          </w:tcPr>
          <w:p>
            <w:pPr>
              <w:spacing w:after="0" w:line="157" w:lineRule="exact"/>
              <w:rPr>
                <w:sz w:val="20"/>
                <w:szCs w:val="20"/>
                <w:color w:val="auto"/>
              </w:rPr>
            </w:pPr>
            <w:r>
              <w:rPr>
                <w:rFonts w:ascii="Times New Roman" w:cs="Times New Roman" w:eastAsia="Times New Roman" w:hAnsi="Times New Roman"/>
                <w:sz w:val="11"/>
                <w:szCs w:val="11"/>
                <w:color w:val="auto"/>
              </w:rPr>
              <w:t>Adjusted EBITDA</w:t>
            </w:r>
            <w:r>
              <w:rPr>
                <w:rFonts w:ascii="Times New Roman" w:cs="Times New Roman" w:eastAsia="Times New Roman" w:hAnsi="Times New Roman"/>
                <w:sz w:val="14"/>
                <w:szCs w:val="14"/>
                <w:color w:val="auto"/>
                <w:vertAlign w:val="superscript"/>
              </w:rPr>
              <w:t>(2)</w:t>
            </w:r>
          </w:p>
        </w:tc>
        <w:tc>
          <w:tcPr>
            <w:tcW w:w="3320" w:type="dxa"/>
            <w:vAlign w:val="bottom"/>
            <w:gridSpan w:val="2"/>
          </w:tcPr>
          <w:p>
            <w:pPr>
              <w:jc w:val="center"/>
              <w:ind w:left="2566"/>
              <w:spacing w:after="0"/>
              <w:rPr>
                <w:sz w:val="20"/>
                <w:szCs w:val="20"/>
                <w:color w:val="auto"/>
              </w:rPr>
            </w:pPr>
            <w:r>
              <w:rPr>
                <w:rFonts w:ascii="Times New Roman" w:cs="Times New Roman" w:eastAsia="Times New Roman" w:hAnsi="Times New Roman"/>
                <w:sz w:val="11"/>
                <w:szCs w:val="11"/>
                <w:color w:val="auto"/>
                <w:w w:val="99"/>
              </w:rPr>
              <w:t>$122.9</w:t>
            </w:r>
          </w:p>
        </w:tc>
        <w:tc>
          <w:tcPr>
            <w:tcW w:w="860" w:type="dxa"/>
            <w:vAlign w:val="bottom"/>
          </w:tcPr>
          <w:p>
            <w:pPr>
              <w:jc w:val="center"/>
              <w:ind w:right="126"/>
              <w:spacing w:after="0"/>
              <w:rPr>
                <w:sz w:val="20"/>
                <w:szCs w:val="20"/>
                <w:color w:val="auto"/>
              </w:rPr>
            </w:pPr>
            <w:r>
              <w:rPr>
                <w:rFonts w:ascii="Times New Roman" w:cs="Times New Roman" w:eastAsia="Times New Roman" w:hAnsi="Times New Roman"/>
                <w:sz w:val="11"/>
                <w:szCs w:val="11"/>
                <w:color w:val="auto"/>
                <w:w w:val="92"/>
              </w:rPr>
              <w:t>$126.8</w:t>
            </w:r>
          </w:p>
        </w:tc>
        <w:tc>
          <w:tcPr>
            <w:tcW w:w="52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w w:val="92"/>
              </w:rPr>
              <w:t>$111.9</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$130.1</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$12.4</w:t>
            </w:r>
          </w:p>
        </w:tc>
        <w:tc>
          <w:tcPr>
            <w:tcW w:w="5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6"/>
              </w:rPr>
              <w:t>$40.8</w:t>
            </w:r>
          </w:p>
        </w:tc>
        <w:tc>
          <w:tcPr>
            <w:tcW w:w="860" w:type="dxa"/>
            <w:vAlign w:val="bottom"/>
          </w:tcPr>
          <w:p>
            <w:pPr>
              <w:jc w:val="center"/>
              <w:ind w:left="126"/>
              <w:spacing w:after="0"/>
              <w:rPr>
                <w:sz w:val="20"/>
                <w:szCs w:val="20"/>
                <w:color w:val="auto"/>
              </w:rPr>
            </w:pPr>
            <w:r>
              <w:rPr>
                <w:rFonts w:ascii="Times New Roman" w:cs="Times New Roman" w:eastAsia="Times New Roman" w:hAnsi="Times New Roman"/>
                <w:sz w:val="11"/>
                <w:szCs w:val="11"/>
                <w:color w:val="auto"/>
                <w:w w:val="96"/>
              </w:rPr>
              <w:t>$75.9</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$111.9</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__________________________</w:t>
            </w:r>
          </w:p>
        </w:tc>
        <w:tc>
          <w:tcPr>
            <w:tcW w:w="2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000" w:type="dxa"/>
            <w:vAlign w:val="bottom"/>
            <w:vMerge w:val="continue"/>
          </w:tcPr>
          <w:p>
            <w:pPr>
              <w:spacing w:after="0"/>
              <w:rPr>
                <w:sz w:val="10"/>
                <w:szCs w:val="10"/>
                <w:color w:val="auto"/>
              </w:rPr>
            </w:pPr>
          </w:p>
        </w:tc>
        <w:tc>
          <w:tcPr>
            <w:tcW w:w="2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00" w:hanging="96"/>
        <w:spacing w:after="0"/>
        <w:tabs>
          <w:tab w:leader="none" w:pos="100" w:val="left"/>
        </w:tabs>
        <w:numPr>
          <w:ilvl w:val="0"/>
          <w:numId w:val="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$5.5 million, $8.3 million, $8.3 million, and $6.5 million of amortization and depreciation expense associated with lessor activities for the three months ended March 31, 2024, June 30, 2024, September 30, 2024, and December 31, 2024, respectively.</w:t>
      </w:r>
    </w:p>
    <w:p>
      <w:pPr>
        <w:spacing w:after="0" w:line="37" w:lineRule="exact"/>
        <w:rPr>
          <w:rFonts w:ascii="Times New Roman" w:cs="Times New Roman" w:eastAsia="Times New Roman" w:hAnsi="Times New Roman"/>
          <w:sz w:val="12"/>
          <w:szCs w:val="12"/>
          <w:color w:val="auto"/>
          <w:vertAlign w:val="superscript"/>
        </w:rPr>
      </w:pPr>
    </w:p>
    <w:p>
      <w:pPr>
        <w:ind w:left="100" w:hanging="96"/>
        <w:spacing w:after="0" w:line="201" w:lineRule="auto"/>
        <w:tabs>
          <w:tab w:leader="none" w:pos="100" w:val="left"/>
        </w:tabs>
        <w:numPr>
          <w:ilvl w:val="0"/>
          <w:numId w:val="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Totals may not foot due to rounding.</w:t>
      </w:r>
    </w:p>
    <w:p>
      <w:pPr>
        <w:sectPr>
          <w:pgSz w:w="11900" w:h="16838" w:orient="portrait"/>
          <w:cols w:equalWidth="0" w:num="1">
            <w:col w:w="11300"/>
          </w:cols>
          <w:pgMar w:left="300" w:top="67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Net income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Amortization of acquired intangible assets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Depreciation and other amortization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Interest income, net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Other (income) expense, net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Income tax (benefit) expense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Acquisition and integration related costs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Adjusted EBITDA</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1"/>
          <w:szCs w:val="11"/>
          <w:b w:val="1"/>
          <w:bCs w:val="1"/>
          <w:color w:val="auto"/>
        </w:rPr>
        <w:t>CoStar Group, Inc.</w:t>
      </w:r>
    </w:p>
    <w:p>
      <w:pPr>
        <w:spacing w:after="0" w:line="36"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1"/>
          <w:szCs w:val="11"/>
          <w:b w:val="1"/>
          <w:bCs w:val="1"/>
          <w:color w:val="auto"/>
        </w:rPr>
        <w:t>Reconciliation of Forward-Looking Guidance - Unaudited</w:t>
      </w:r>
    </w:p>
    <w:p>
      <w:pPr>
        <w:spacing w:after="0" w:line="38"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1"/>
          <w:szCs w:val="11"/>
          <w:color w:val="auto"/>
        </w:rPr>
        <w:t>(in millions)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Reconciliation of Forward-Looking Guidance, Net Income to Adjusted EBITDA</w:t>
      </w:r>
    </w:p>
    <w:p>
      <w:pPr>
        <w:spacing w:after="0" w:line="207" w:lineRule="exact"/>
        <w:rPr>
          <w:sz w:val="20"/>
          <w:szCs w:val="20"/>
          <w:color w:val="auto"/>
        </w:rPr>
      </w:pPr>
    </w:p>
    <w:tbl>
      <w:tblPr>
        <w:tblLayout w:type="fixed"/>
        <w:tblInd w:w="2320" w:type="dxa"/>
        <w:tblCellMar>
          <w:top w:w="0" w:type="dxa"/>
          <w:left w:w="0" w:type="dxa"/>
          <w:bottom w:w="0" w:type="dxa"/>
          <w:right w:w="0" w:type="dxa"/>
        </w:tblCellMar>
      </w:tblPr>
      <w:tr>
        <w:trPr>
          <w:trHeight w:val="142"/>
        </w:trPr>
        <w:tc>
          <w:tcPr>
            <w:tcW w:w="800" w:type="dxa"/>
            <w:vAlign w:val="bottom"/>
          </w:tcPr>
          <w:p>
            <w:pPr>
              <w:spacing w:after="0"/>
              <w:rPr>
                <w:sz w:val="12"/>
                <w:szCs w:val="12"/>
                <w:color w:val="auto"/>
              </w:rPr>
            </w:pPr>
          </w:p>
        </w:tc>
        <w:tc>
          <w:tcPr>
            <w:tcW w:w="1400" w:type="dxa"/>
            <w:vAlign w:val="bottom"/>
            <w:gridSpan w:val="3"/>
          </w:tcPr>
          <w:p>
            <w:pPr>
              <w:jc w:val="center"/>
              <w:ind w:right="406"/>
              <w:spacing w:after="0"/>
              <w:rPr>
                <w:sz w:val="20"/>
                <w:szCs w:val="20"/>
                <w:color w:val="auto"/>
              </w:rPr>
            </w:pPr>
            <w:r>
              <w:rPr>
                <w:rFonts w:ascii="Times New Roman" w:cs="Times New Roman" w:eastAsia="Times New Roman" w:hAnsi="Times New Roman"/>
                <w:sz w:val="11"/>
                <w:szCs w:val="11"/>
                <w:b w:val="1"/>
                <w:bCs w:val="1"/>
                <w:color w:val="auto"/>
              </w:rPr>
              <w:t>Guidance Range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Guidance Range</w:t>
            </w:r>
          </w:p>
        </w:tc>
        <w:tc>
          <w:tcPr>
            <w:tcW w:w="760" w:type="dxa"/>
            <w:vAlign w:val="bottom"/>
          </w:tcPr>
          <w:p>
            <w:pPr>
              <w:spacing w:after="0"/>
              <w:rPr>
                <w:sz w:val="12"/>
                <w:szCs w:val="12"/>
                <w:color w:val="auto"/>
              </w:rPr>
            </w:pPr>
          </w:p>
        </w:tc>
      </w:tr>
      <w:tr>
        <w:trPr>
          <w:trHeight w:val="162"/>
        </w:trPr>
        <w:tc>
          <w:tcPr>
            <w:tcW w:w="2200" w:type="dxa"/>
            <w:vAlign w:val="bottom"/>
            <w:gridSpan w:val="4"/>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7"/>
              </w:rPr>
              <w:t>For the Three Months Ending</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 the Year Ending</w:t>
            </w:r>
          </w:p>
        </w:tc>
        <w:tc>
          <w:tcPr>
            <w:tcW w:w="76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1400" w:type="dxa"/>
            <w:vAlign w:val="bottom"/>
            <w:gridSpan w:val="3"/>
          </w:tcPr>
          <w:p>
            <w:pPr>
              <w:jc w:val="center"/>
              <w:ind w:right="406"/>
              <w:spacing w:after="0"/>
              <w:rPr>
                <w:sz w:val="20"/>
                <w:szCs w:val="20"/>
                <w:color w:val="auto"/>
              </w:rPr>
            </w:pPr>
            <w:r>
              <w:rPr>
                <w:rFonts w:ascii="Times New Roman" w:cs="Times New Roman" w:eastAsia="Times New Roman" w:hAnsi="Times New Roman"/>
                <w:sz w:val="11"/>
                <w:szCs w:val="11"/>
                <w:b w:val="1"/>
                <w:bCs w:val="1"/>
                <w:color w:val="auto"/>
                <w:w w:val="95"/>
              </w:rPr>
              <w:t>March 31, 2025</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December 31, 2025</w:t>
            </w:r>
          </w:p>
        </w:tc>
        <w:tc>
          <w:tcPr>
            <w:tcW w:w="760" w:type="dxa"/>
            <w:vAlign w:val="bottom"/>
          </w:tcPr>
          <w:p>
            <w:pPr>
              <w:spacing w:after="0"/>
              <w:rPr>
                <w:sz w:val="14"/>
                <w:szCs w:val="14"/>
                <w:color w:val="auto"/>
              </w:rPr>
            </w:pPr>
          </w:p>
        </w:tc>
      </w:tr>
      <w:tr>
        <w:trPr>
          <w:trHeight w:val="169"/>
        </w:trPr>
        <w:tc>
          <w:tcPr>
            <w:tcW w:w="8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Low</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High</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Low</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High</w:t>
            </w:r>
          </w:p>
        </w:tc>
      </w:tr>
      <w:tr>
        <w:trPr>
          <w:trHeight w:val="144"/>
        </w:trPr>
        <w:tc>
          <w:tcPr>
            <w:tcW w:w="8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w:t>
            </w:r>
          </w:p>
        </w:tc>
      </w:tr>
      <w:tr>
        <w:trPr>
          <w:trHeight w:val="162"/>
        </w:trPr>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r>
      <w:tr>
        <w:trPr>
          <w:trHeight w:val="162"/>
        </w:trPr>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r>
      <w:tr>
        <w:trPr>
          <w:trHeight w:val="162"/>
        </w:trPr>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r>
      <w:tr>
        <w:trPr>
          <w:trHeight w:val="162"/>
        </w:trPr>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62"/>
        </w:trPr>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r>
      <w:tr>
        <w:trPr>
          <w:trHeight w:val="162"/>
        </w:trPr>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w:t>
            </w:r>
          </w:p>
        </w:tc>
      </w:tr>
      <w:tr>
        <w:trPr>
          <w:trHeight w:val="169"/>
        </w:trPr>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51"/>
        </w:trPr>
        <w:tc>
          <w:tcPr>
            <w:tcW w:w="80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76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375</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405</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-959485</wp:posOffset>
            </wp:positionV>
            <wp:extent cx="7166610" cy="108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6610" cy="10858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-748030</wp:posOffset>
            </wp:positionV>
            <wp:extent cx="716661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6610" cy="102870"/>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-542290</wp:posOffset>
            </wp:positionV>
            <wp:extent cx="716661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6610" cy="102870"/>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-336550</wp:posOffset>
            </wp:positionV>
            <wp:extent cx="716661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102870"/>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-130810</wp:posOffset>
            </wp:positionV>
            <wp:extent cx="716661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6610" cy="120015"/>
                    </a:xfrm>
                    <a:prstGeom prst="rect">
                      <a:avLst/>
                    </a:prstGeom>
                    <a:noFill/>
                  </pic:spPr>
                </pic:pic>
              </a:graphicData>
            </a:graphic>
          </wp:anchor>
        </w:drawing>
      </w:r>
    </w:p>
    <w:p>
      <w:pPr>
        <w:sectPr>
          <w:pgSz w:w="11900" w:h="16838" w:orient="portrait"/>
          <w:cols w:equalWidth="0" w:num="2">
            <w:col w:w="3080" w:space="720"/>
            <w:col w:w="7500"/>
          </w:cols>
          <w:pgMar w:left="300" w:top="677" w:right="299" w:bottom="1440" w:gutter="0" w:footer="0" w:header="0"/>
          <w:type w:val="continuous"/>
        </w:sectPr>
      </w:pPr>
    </w:p>
    <w:bookmarkStart w:id="12" w:name="page13"/>
    <w:bookmarkEnd w:id="12"/>
    <w:p>
      <w:pPr>
        <w:ind w:left="8"/>
        <w:spacing w:after="0"/>
        <w:rPr>
          <w:sz w:val="20"/>
          <w:szCs w:val="20"/>
          <w:color w:val="auto"/>
        </w:rPr>
      </w:pPr>
      <w:r>
        <w:rPr>
          <w:rFonts w:ascii="Times New Roman" w:cs="Times New Roman" w:eastAsia="Times New Roman" w:hAnsi="Times New Roman"/>
          <w:sz w:val="13"/>
          <w:szCs w:val="13"/>
          <w:b w:val="1"/>
          <w:bCs w:val="1"/>
          <w:color w:val="auto"/>
        </w:rPr>
        <w:t>Investor Relations:</w:t>
      </w:r>
    </w:p>
    <w:p>
      <w:pPr>
        <w:spacing w:after="0" w:line="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Rich Simonelli</w:t>
      </w:r>
    </w:p>
    <w:p>
      <w:pPr>
        <w:spacing w:after="0" w:line="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Head of Investor Relations</w:t>
      </w:r>
    </w:p>
    <w:p>
      <w:pPr>
        <w:spacing w:after="0" w:line="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CoStar Group Investor Relations</w:t>
      </w:r>
    </w:p>
    <w:p>
      <w:pPr>
        <w:spacing w:after="0" w:line="8" w:lineRule="exact"/>
        <w:rPr>
          <w:sz w:val="20"/>
          <w:szCs w:val="20"/>
          <w:color w:val="auto"/>
        </w:rPr>
      </w:pPr>
    </w:p>
    <w:p>
      <w:pPr>
        <w:ind w:left="8" w:right="10260" w:hanging="8"/>
        <w:spacing w:after="0" w:line="315" w:lineRule="auto"/>
        <w:tabs>
          <w:tab w:leader="none" w:pos="32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346-5649 getrich@costar.com</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News Media:</w:t>
      </w:r>
    </w:p>
    <w:p>
      <w:pPr>
        <w:spacing w:after="0" w:line="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Matthew Blocher</w:t>
      </w:r>
    </w:p>
    <w:p>
      <w:pPr>
        <w:spacing w:after="0" w:line="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Vice President</w:t>
      </w:r>
    </w:p>
    <w:p>
      <w:pPr>
        <w:spacing w:after="0" w:line="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CoStar Group Corporate Marketing &amp; Communications</w:t>
      </w:r>
    </w:p>
    <w:p>
      <w:pPr>
        <w:spacing w:after="0" w:line="8" w:lineRule="exact"/>
        <w:rPr>
          <w:sz w:val="20"/>
          <w:szCs w:val="20"/>
          <w:color w:val="auto"/>
        </w:rPr>
      </w:pPr>
    </w:p>
    <w:p>
      <w:pPr>
        <w:ind w:left="8" w:right="10120" w:hanging="8"/>
        <w:spacing w:after="0" w:line="280" w:lineRule="auto"/>
        <w:tabs>
          <w:tab w:leader="none" w:pos="327"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346-6775 mblocher@costar.com</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u w:val="single" w:color="auto"/>
          <w:color w:val="auto"/>
        </w:rPr>
        <w:t>About CoStar Group</w:t>
      </w:r>
    </w:p>
    <w:p>
      <w:pPr>
        <w:spacing w:after="0" w:line="2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3"/>
          <w:szCs w:val="13"/>
          <w:color w:val="auto"/>
        </w:rPr>
        <w:t>CoStar Group (NASDAQ: CSGP) is the global leader in commercial real estate information, analytics, and online marketplaces. Founded in 1986, CoStar Group is dedicated to digitizing the world’s real estate, empowering all people to discover properties, insights, and connections that improve their businesses and lives.</w:t>
      </w:r>
    </w:p>
    <w:p>
      <w:pPr>
        <w:spacing w:after="0" w:line="137"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3"/>
          <w:szCs w:val="13"/>
          <w:color w:val="auto"/>
        </w:rPr>
        <w:t>CoStar Group’s major brands include CoStar, a leading global provider of commercial real estate data, analytics and news; LoopNet, the most trafficked commercial real estate marketplace; Apartments.com, the leading platform for apartment rentals; and Homes.com, the fastest-growing residential real estate marketplace. CoStar Group’s industry-leading brands include STR, a global leader in hospitality data and benchmarking, Ten-X, an online platform for commercial real estate auctions and negotiated bids and OnTheMarket, a leading residential property portal in the United Kingdom.</w:t>
      </w:r>
    </w:p>
    <w:p>
      <w:pPr>
        <w:spacing w:after="0" w:line="134"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3"/>
          <w:szCs w:val="13"/>
          <w:color w:val="auto"/>
        </w:rPr>
        <w:t>CoStar Group’s websites attracted over 134 million average monthly unique visitors in the fourth quarter of 2024, serving clients around the world. Headquartered in Arlington, Virginia, CoStar Group is committed to transforming the real estate industry through innovative technology and comprehensive market intelligence. From time to time, we plan to utilize our corporate website as a channel of distribution for material company information. For more information, visit CoStarGroup.com.</w:t>
      </w:r>
    </w:p>
    <w:p>
      <w:pPr>
        <w:spacing w:after="0" w:line="126" w:lineRule="exact"/>
        <w:rPr>
          <w:sz w:val="20"/>
          <w:szCs w:val="20"/>
          <w:color w:val="auto"/>
        </w:rPr>
      </w:pPr>
    </w:p>
    <w:p>
      <w:pPr>
        <w:jc w:val="both"/>
        <w:ind w:left="8"/>
        <w:spacing w:after="0" w:line="287" w:lineRule="auto"/>
        <w:rPr>
          <w:sz w:val="20"/>
          <w:szCs w:val="20"/>
          <w:color w:val="auto"/>
        </w:rPr>
      </w:pPr>
      <w:r>
        <w:rPr>
          <w:rFonts w:ascii="Times New Roman" w:cs="Times New Roman" w:eastAsia="Times New Roman" w:hAnsi="Times New Roman"/>
          <w:sz w:val="8"/>
          <w:szCs w:val="8"/>
          <w:color w:val="auto"/>
        </w:rPr>
        <w:t>This news release and the Company’s earnings conference call contain “forward-looking statements” within the meaning of the Private Securities Litigation Reform Act of 1995. Such statements include, but are not limited to, statements about CoStar Group's plans, objectives, expectations, beliefs and intentions and other statements including words such as “hope,” “anticipate,” “may,” “likely,” “might,” “believe,” “expect,” “observe,” “consider,” “think,” “intend,” “envision,” “will,” “should,” “could,” “would,” “plan,” “target,” “estimate,” “predict,” “continue,” “commit” and “potential” or the negative of these terms or other comparable terminology. Such statements are based upon the current beliefs and expectations of management of CoStar Group and are subject to many risks and uncertainties. Actual results may differ materially from the results anticipated in the forward-looking statements and the assumptions and estimates used as a basis for the forward-looking statements. The following factors, among others, could cause or contribute to such differences: our inability to attract and retain new clients; our inability to successfully develop and introduce new or upgraded information, analytics, and online marketplace services; our inability to compete successfully against existing or future competitors in attracting advertisers and in general; the effects of fluctuations and market cyclicality; the effects of global economic uncertainties and downturns or a downturn or consolidation in the real estate industry; our inability to hire qualified persons for, or retain and continue to develop our sales force, or unproductivity of our sales force; our inability to retain and attract highly capable management and operating personnel; the downward pressure that our internal and external investments may place on our operating margins; our inability to increase brand awareness; 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 our inability to attract new advertisers; our inability to successfully identify, finance, integrate, and/or manage costs related to acquisitions; our inability to complete certain strategic transactions if a proposed transaction is subject to review or approval by regulatory authorities pursuant to applicable laws or regulations; our inability to complete the acquisition of Matterport, Inc. (“Matterport”) or otherwise realize the benefits of the pending Matterport acquisition; the effects of cyberattacks and security vulnerabilities, and technical problems or disruptions; the significant costs associated with undertaking a large infrastructure project to build out our campus in Richmond, Virginia; our inability to generate increased revenues from our current or future geographic expansion plans; the risks related to acceptance of credit cards and debit cards and facilitation of other customer payments; the effects of climate related events and other events beyond our control; the effects related to attention to environmental, social and governance matters; our inability to obtain and maintain accurate, comprehensive, or reliable data; our inability to obtain and maintain stable data feeds, or disruption of our data feeds; our inability to enforce or defend our ownership and use of intellectual property; the effects of use of new and evolving technologies, including artificial intelligence, on our ability to protect our data and intellectual property from misappropriation by third parties; our inability to defend against potential legal liability for collecting, displaying, or distributing information; our inability to obtain or retain listings from real estate brokers, agents, property owners, and apartment property managers; our inability to maintain or establish relationships with third-party listing providers; our inability to comply with the rules and compliance requirements of Multiple Listing Services; the risks related to international operations; the effects of foreign currency exchange rate fluctuations; our indebtedness; the effects of a lowering or withdrawal of the ratings assigned to our debt securities by rating</w:t>
      </w:r>
    </w:p>
    <w:p>
      <w:pPr>
        <w:spacing w:after="0" w:line="200" w:lineRule="exact"/>
        <w:rPr>
          <w:sz w:val="20"/>
          <w:szCs w:val="20"/>
          <w:color w:val="auto"/>
        </w:rPr>
      </w:pPr>
    </w:p>
    <w:p>
      <w:pPr>
        <w:jc w:val="both"/>
        <w:ind w:left="8"/>
        <w:spacing w:after="0" w:line="221" w:lineRule="auto"/>
        <w:rPr>
          <w:sz w:val="20"/>
          <w:szCs w:val="20"/>
          <w:color w:val="auto"/>
        </w:rPr>
      </w:pPr>
      <w:r>
        <w:rPr>
          <w:rFonts w:ascii="Times New Roman" w:cs="Times New Roman" w:eastAsia="Times New Roman" w:hAnsi="Times New Roman"/>
          <w:sz w:val="10"/>
          <w:szCs w:val="10"/>
          <w:color w:val="auto"/>
        </w:rPr>
        <w:t>agencies; the effects of any actual or perceived failure to comply with privacy laws and standards; the effects of changes in tax laws, regulations, or fiscal and tax policies; the effects of third-party claims, litigation, regulatory proceedings, or government investigations; and risks related to return on investment. More information about potential factors that could cause results to differ materially from those anticipated in the forward-looking statements include, but are not limited to, those stated in CoStar Group’s filings</w:t>
      </w:r>
    </w:p>
    <w:p>
      <w:pPr>
        <w:sectPr>
          <w:pgSz w:w="11900" w:h="16838" w:orient="portrait"/>
          <w:cols w:equalWidth="0" w:num="1">
            <w:col w:w="11308"/>
          </w:cols>
          <w:pgMar w:left="292" w:top="636" w:right="299" w:bottom="1440" w:gutter="0" w:footer="0" w:header="0"/>
        </w:sectPr>
      </w:pPr>
    </w:p>
    <w:bookmarkStart w:id="13" w:name="page14"/>
    <w:bookmarkEnd w:id="13"/>
    <w:p>
      <w:pPr>
        <w:jc w:val="both"/>
        <w:spacing w:after="0" w:line="236" w:lineRule="auto"/>
        <w:rPr>
          <w:sz w:val="20"/>
          <w:szCs w:val="20"/>
          <w:color w:val="auto"/>
        </w:rPr>
      </w:pPr>
      <w:r>
        <w:rPr>
          <w:rFonts w:ascii="Times New Roman" w:cs="Times New Roman" w:eastAsia="Times New Roman" w:hAnsi="Times New Roman"/>
          <w:sz w:val="10"/>
          <w:szCs w:val="10"/>
          <w:color w:val="auto"/>
        </w:rPr>
        <w:t>from time to time with the Securities and Exchange Commission (the “SEC”), including in CoStar Group’s Annual Reports on Form 10-K and Quarterly Reports on Form 10-Q, each of which is filed with the SEC, including in the “Risk Factors” section of those filings, as well as CoStar Group’s other filings with the SEC (including Current Reports on Form 8-K) available at the SEC’s website (www.sec.gov). All forward-looking statements are based on information available to CoStar Group on the date hereof, and CoStar Group assumes no obligation to update or revise any forward-looking statements, whether as a result of new information, future events or otherwise, except as required by applicable law.</w:t>
      </w:r>
    </w:p>
    <w:p>
      <w:pPr>
        <w:sectPr>
          <w:pgSz w:w="11900" w:h="16838" w:orient="portrait"/>
          <w:cols w:equalWidth="0" w:num="1">
            <w:col w:w="11300"/>
          </w:cols>
          <w:pgMar w:left="300" w:top="638" w:right="299" w:bottom="1440" w:gutter="0" w:footer="0" w:header="0"/>
        </w:sectPr>
      </w:pPr>
    </w:p>
    <w:bookmarkStart w:id="14" w:name="page15"/>
    <w:bookmarkEnd w:id="14"/>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202"/>
    </w:lvl>
  </w:abstractNum>
  <w:abstractNum w:abstractNumId="8">
    <w:nsid w:val="5BD062C2"/>
    <w:multiLevelType w:val="hybridMultilevel"/>
    <w:lvl w:ilvl="0">
      <w:lvlJc w:val="left"/>
      <w:lvlText w:val="(%1)"/>
      <w:numFmt w:val="decimal"/>
      <w:start w:val="2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2025-02-18T15:17:36Z</dcterms:created>
  <dcterms:modified xsi:type="dcterms:W3CDTF">2025-02-18T15:17:36Z</dcterms:modified>
</cp:coreProperties>
</file>