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37.jpeg" ContentType="image/jpeg"/>
  <Override PartName="/word/media/image25.jpeg" ContentType="image/jpeg"/>
  <Override PartName="/word/media/image104.jpeg" ContentType="image/jpeg"/>
  <Override PartName="/word/media/image84.jpeg" ContentType="image/jpeg"/>
  <Override PartName="/word/media/image4.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55.jpeg" ContentType="image/jpeg"/>
  <Override PartName="/word/media/image7.jpeg" ContentType="image/jpeg"/>
  <Override PartName="/word/media/image129.jpeg" ContentType="image/jpeg"/>
  <Override PartName="/word/media/image56.jpeg" ContentType="image/jpeg"/>
  <Override PartName="/word/media/image87.jpeg" ContentType="image/jpeg"/>
  <Override PartName="/word/media/image107.jpeg" ContentType="image/jpeg"/>
  <Override PartName="/word/media/image28.jpeg" ContentType="image/jpeg"/>
  <Override PartName="/word/media/image11.jpeg" ContentType="image/jpeg"/>
  <Override PartName="/word/media/image57.jpeg" ContentType="image/jpeg"/>
  <Override PartName="/word/media/image58.jpeg" ContentType="image/jpeg"/>
  <Override PartName="/word/media/image42.jpeg" ContentType="image/jpeg"/>
  <Override PartName="/word/media/image59.jpeg" ContentType="image/jpeg"/>
  <Override PartName="/word/media/image6.jpeg" ContentType="image/jpeg"/>
  <Override PartName="/word/media/image128.jpeg" ContentType="image/jpeg"/>
  <Override PartName="/word/media/image54.jpeg" ContentType="image/jpeg"/>
  <Override PartName="/word/media/image130.jpeg" ContentType="image/jpeg"/>
  <Override PartName="/word/media/image51.jpeg" ContentType="image/jpeg"/>
  <Override PartName="/word/media/image53.jpeg" ContentType="image/jpeg"/>
  <Override PartName="/word/media/image132.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media/image113.jpeg" ContentType="image/jpeg"/>
  <Override PartName="/word/media/image114.jpeg" ContentType="image/jpeg"/>
  <Override PartName="/word/media/image115.jpeg" ContentType="image/jpeg"/>
  <Override PartName="/word/media/image121.jpeg" ContentType="image/jpeg"/>
  <Override PartName="/word/media/image1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3159ddef14a.htm"/>
        <w:bookmarkStart w:id="1" w:name="ksd903159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0" w:after="0"/>
        <w:jc w:val="center"/>
        <w:rPr>
          <w:rFonts w:ascii="ARIAL" w:hAnsi="ARIAL"/>
          <w:b/>
          <w:sz w:val="24"/>
        </w:rPr>
      </w:pPr>
      <w:r>
        <w:rPr>
          <w:rFonts w:ascii="ARIAL" w:hAnsi="ARIAL"/>
          <w:b/>
          <w:sz w:val="24"/>
        </w:rPr>
        <w:t xml:space="preserve">Proxy Statement Pursuant to Section 14(a) of </w:t>
      </w:r>
    </w:p>
    <w:p>
      <w:pPr>
        <w:pStyle w:val="TextBody"/>
        <w:bidi w:val="0"/>
        <w:spacing w:before="0" w:after="0"/>
        <w:jc w:val="center"/>
        <w:rPr>
          <w:rFonts w:ascii="ARIAL" w:hAnsi="ARIAL"/>
          <w:b/>
          <w:sz w:val="24"/>
        </w:rPr>
      </w:pPr>
      <w:r>
        <w:rPr>
          <w:rFonts w:ascii="ARIAL" w:hAnsi="ARIAL"/>
          <w:b/>
          <w:sz w:val="24"/>
        </w:rPr>
        <w:t xml:space="preserve">the 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18"/>
        </w:rPr>
      </w:pPr>
      <w:r>
        <w:rPr>
          <w:rFonts w:ascii="ARIAL" w:hAnsi="ARIAL"/>
          <w:sz w:val="18"/>
        </w:rPr>
        <w:t>Filed by the Registrant </w:t>
      </w:r>
    </w:p>
    <w:p>
      <w:pPr>
        <w:pStyle w:val="TextBody"/>
        <w:bidi w:val="0"/>
        <w:spacing w:before="240" w:after="0"/>
        <w:jc w:val="left"/>
        <w:rPr/>
      </w:pPr>
      <w:r>
        <w:rPr/>
        <w:t>☒</w:t>
      </w:r>
    </w:p>
    <w:p>
      <w:pPr>
        <w:pStyle w:val="TextBody"/>
        <w:bidi w:val="0"/>
        <w:spacing w:before="240" w:after="0"/>
        <w:jc w:val="left"/>
        <w:rPr>
          <w:rFonts w:ascii="ARIAL" w:hAnsi="ARIAL"/>
          <w:sz w:val="18"/>
        </w:rPr>
      </w:pPr>
      <w:r>
        <w:rPr>
          <w:rFonts w:ascii="ARIAL" w:hAnsi="ARIAL"/>
          <w:sz w:val="18"/>
        </w:rPr>
        <w:t>Filed by a party other than the Registrant </w:t>
      </w:r>
    </w:p>
    <w:p>
      <w:pPr>
        <w:pStyle w:val="TextBody"/>
        <w:bidi w:val="0"/>
        <w:spacing w:before="240" w:after="0"/>
        <w:jc w:val="left"/>
        <w:rPr/>
      </w:pPr>
      <w:r>
        <w:rPr/>
        <w:t>☐</w:t>
      </w:r>
    </w:p>
    <w:p>
      <w:pPr>
        <w:pStyle w:val="TextBody"/>
        <w:bidi w:val="0"/>
        <w:spacing w:before="480" w:after="0"/>
        <w:jc w:val="left"/>
        <w:rPr>
          <w:rFonts w:ascii="ARIAL" w:hAnsi="ARIAL"/>
          <w:sz w:val="18"/>
        </w:rPr>
      </w:pPr>
      <w:r>
        <w:rPr>
          <w:rFonts w:ascii="ARIAL" w:hAnsi="ARIAL"/>
          <w:sz w:val="18"/>
        </w:rPr>
        <w:t xml:space="preserve">Check the appropriate box: </w:t>
      </w:r>
    </w:p>
    <w:p>
      <w:pPr>
        <w:pStyle w:val="TextBody"/>
        <w:bidi w:val="0"/>
        <w:spacing w:before="0" w:after="0"/>
        <w:jc w:val="left"/>
        <w:rPr/>
      </w:pPr>
      <w:r>
        <w:rPr/>
        <w:t> </w:t>
      </w:r>
    </w:p>
    <w:tbl>
      <w:tblPr>
        <w:tblW w:w="7218" w:type="dxa"/>
        <w:jc w:val="left"/>
        <w:tblInd w:w="0" w:type="dxa"/>
        <w:tblLayout w:type="fixed"/>
        <w:tblCellMar>
          <w:top w:w="0" w:type="dxa"/>
          <w:left w:w="0" w:type="dxa"/>
          <w:bottom w:w="0" w:type="dxa"/>
          <w:right w:w="0" w:type="dxa"/>
        </w:tblCellMar>
      </w:tblPr>
      <w:tblGrid>
        <w:gridCol w:w="245"/>
        <w:gridCol w:w="23"/>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973"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0"/>
              <w:jc w:val="left"/>
              <w:rPr>
                <w:b/>
              </w:rPr>
            </w:pPr>
            <w:r>
              <w:rPr>
                <w:b/>
              </w:rPr>
              <w:t xml:space="preserve">Confidential, for Use of the Commission Only (as permitted by Rule </w:t>
            </w:r>
          </w:p>
          <w:p>
            <w:pPr>
              <w:pStyle w:val="TableContents"/>
              <w:bidi w:val="0"/>
              <w:spacing w:before="0" w:after="0"/>
              <w:jc w:val="left"/>
              <w:rPr>
                <w:b/>
              </w:rPr>
            </w:pPr>
            <w:r>
              <w:rPr>
                <w:b/>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973"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973"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973"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pPr>
            <w:r>
              <w:rPr/>
              <w:t>§240.14a-12</w:t>
            </w:r>
          </w:p>
        </w:tc>
      </w:tr>
    </w:tbl>
    <w:p>
      <w:pPr>
        <w:pStyle w:val="TextBody"/>
        <w:bidi w:val="0"/>
        <w:spacing w:before="480" w:after="0"/>
        <w:jc w:val="center"/>
        <w:rPr>
          <w:rFonts w:ascii="ARIAL" w:hAnsi="ARIAL"/>
          <w:b/>
          <w:sz w:val="48"/>
        </w:rPr>
      </w:pPr>
      <w:r>
        <w:rPr>
          <w:rFonts w:ascii="ARIAL" w:hAnsi="ARIAL"/>
          <w:b/>
          <w:sz w:val="48"/>
        </w:rPr>
        <w:t xml:space="preserve">COSTAR GROUP, INC.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48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before="120" w:after="0"/>
        <w:jc w:val="left"/>
        <w:rPr>
          <w:rFonts w:ascii="ARIAL" w:hAnsi="ARIAL"/>
          <w:sz w:val="18"/>
        </w:rPr>
      </w:pPr>
      <w:r>
        <w:rPr>
          <w:rFonts w:ascii="ARIAL" w:hAnsi="ARIAL"/>
          <w:sz w:val="18"/>
        </w:rPr>
        <w:t xml:space="preserve">Payment of Filing Fee (Check all boxes that apply): </w:t>
      </w:r>
    </w:p>
    <w:p>
      <w:pPr>
        <w:pStyle w:val="TextBody"/>
        <w:bidi w:val="0"/>
        <w:spacing w:before="0" w:after="0"/>
        <w:jc w:val="left"/>
        <w:rPr/>
      </w:pPr>
      <w:r>
        <w:rPr/>
        <w:t> </w:t>
      </w:r>
    </w:p>
    <w:tbl>
      <w:tblPr>
        <w:tblW w:w="7998" w:type="dxa"/>
        <w:jc w:val="left"/>
        <w:tblInd w:w="0" w:type="dxa"/>
        <w:tblLayout w:type="fixed"/>
        <w:tblCellMar>
          <w:top w:w="0" w:type="dxa"/>
          <w:left w:w="0" w:type="dxa"/>
          <w:bottom w:w="0" w:type="dxa"/>
          <w:right w:w="0" w:type="dxa"/>
        </w:tblCellMar>
      </w:tblPr>
      <w:tblGrid>
        <w:gridCol w:w="245"/>
        <w:gridCol w:w="23"/>
        <w:gridCol w:w="7730"/>
      </w:tblGrid>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73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7730"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753"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7730"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753"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7730"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pPr>
            <w:r>
              <w:rPr/>
              <w:t>14a-6(i)(1)</w:t>
            </w:r>
          </w:p>
          <w:p>
            <w:pPr>
              <w:pStyle w:val="TableContents"/>
              <w:bidi w:val="0"/>
              <w:spacing w:before="0" w:after="0"/>
              <w:jc w:val="left"/>
              <w:rPr/>
            </w:pPr>
            <w:r>
              <w:rPr/>
              <w:t xml:space="preserve">and </w:t>
            </w:r>
          </w:p>
          <w:p>
            <w:pPr>
              <w:pStyle w:val="TableContents"/>
              <w:bidi w:val="0"/>
              <w:spacing w:before="0" w:after="0"/>
              <w:jc w:val="left"/>
              <w:rPr/>
            </w:pPr>
            <w:r>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229600" cy="10515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105156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810500" cy="2286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228600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904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ARIAL" w:hAnsi="ARIAL"/>
                <w:sz w:val="24"/>
              </w:rPr>
            </w:pPr>
            <w:r>
              <w:rPr>
                <w:rFonts w:ascii="ARIAL" w:hAnsi="ARIAL"/>
                <w:sz w:val="24"/>
              </w:rPr>
              <w:t>OUR</w:t>
            </w:r>
          </w:p>
          <w:p>
            <w:pPr>
              <w:pStyle w:val="TableContents"/>
              <w:bidi w:val="0"/>
              <w:spacing w:before="0" w:after="20"/>
              <w:jc w:val="left"/>
              <w:rPr>
                <w:rFonts w:ascii="ARIAL" w:hAnsi="ARIAL"/>
                <w:b/>
                <w:sz w:val="24"/>
              </w:rPr>
            </w:pPr>
            <w:r>
              <w:rPr>
                <w:rFonts w:ascii="ARIAL" w:hAnsi="ARIAL"/>
                <w:b/>
                <w:sz w:val="24"/>
              </w:rPr>
              <w:t>MISSION</w:t>
            </w:r>
          </w:p>
        </w:tc>
        <w:tc>
          <w:tcPr>
            <w:tcW w:w="120"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283"/>
              <w:jc w:val="left"/>
              <w:rPr/>
            </w:pPr>
            <w:r>
              <w:rPr/>
              <w:t>We are digitizing the world’s real estate, empowering all people to discover properties, insights, and connections that improve their businesses and lives.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20" w:after="0"/>
        <w:jc w:val="left"/>
        <w:rPr>
          <w:rFonts w:ascii="ARIAL" w:hAnsi="ARIAL"/>
          <w:sz w:val="24"/>
        </w:rPr>
      </w:pPr>
      <w:r>
        <w:rPr>
          <w:rFonts w:ascii="ARIAL" w:hAnsi="ARIAL"/>
          <w:sz w:val="24"/>
        </w:rPr>
        <w:t xml:space="preserve">OUR </w:t>
      </w:r>
    </w:p>
    <w:p>
      <w:pPr>
        <w:pStyle w:val="TextBody"/>
        <w:bidi w:val="0"/>
        <w:spacing w:before="0" w:after="0"/>
        <w:jc w:val="left"/>
        <w:rPr>
          <w:rFonts w:ascii="ARIAL" w:hAnsi="ARIAL"/>
          <w:b/>
          <w:sz w:val="24"/>
        </w:rPr>
      </w:pPr>
      <w:r>
        <w:rPr>
          <w:rFonts w:ascii="ARIAL" w:hAnsi="ARIAL"/>
          <w:b/>
          <w:sz w:val="24"/>
        </w:rPr>
        <w:t xml:space="preserve">VALUES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3110230" cy="3726815"/>
                <wp:effectExtent l="0" t="0" r="0" b="0"/>
                <wp:wrapSquare wrapText="right"/>
                <wp:docPr id="3" name="Frame1"/>
                <a:graphic xmlns:a="http://schemas.openxmlformats.org/drawingml/2006/main">
                  <a:graphicData uri="http://schemas.microsoft.com/office/word/2010/wordprocessingShape">
                    <wps:wsp>
                      <wps:cNvSpPr txBox="1"/>
                      <wps:spPr>
                        <a:xfrm>
                          <a:off x="0" y="0"/>
                          <a:ext cx="3110230" cy="3726815"/>
                        </a:xfrm>
                        <a:prstGeom prst="rect"/>
                        <a:solidFill>
                          <a:srgbClr val="FFFFFF"/>
                        </a:solidFill>
                      </wps:spPr>
                      <wps:txbx>
                        <w:txbxContent>
                          <w:p>
                            <w:pPr>
                              <w:pStyle w:val="TextBody"/>
                              <w:bidi w:val="0"/>
                              <w:spacing w:before="0" w:after="0"/>
                              <w:jc w:val="left"/>
                              <w:rPr>
                                <w:rFonts w:ascii="ARIAL" w:hAnsi="ARIAL"/>
                                <w:b/>
                                <w:sz w:val="19"/>
                              </w:rPr>
                            </w:pPr>
                            <w:r>
                              <w:rPr>
                                <w:rFonts w:ascii="ARIAL" w:hAnsi="ARIAL"/>
                                <w:b/>
                                <w:sz w:val="19"/>
                              </w:rPr>
                              <w:t xml:space="preserve">Integrity </w:t>
                            </w:r>
                          </w:p>
                          <w:p>
                            <w:pPr>
                              <w:pStyle w:val="TextBody"/>
                              <w:bidi w:val="0"/>
                              <w:spacing w:before="60" w:after="0"/>
                              <w:jc w:val="left"/>
                              <w:rPr>
                                <w:rFonts w:ascii="ARIAL" w:hAnsi="ARIAL"/>
                                <w:sz w:val="18"/>
                              </w:rPr>
                            </w:pPr>
                            <w:r>
                              <w:rPr>
                                <w:rFonts w:ascii="ARIAL" w:hAnsi="ARIAL"/>
                                <w:sz w:val="18"/>
                              </w:rPr>
                              <w:t xml:space="preserve">We uphold the highest ethical standards at all times. We earn our colleagues’, customers’, and stakeholders’ trust by saying and doing the right thing. </w:t>
                            </w:r>
                          </w:p>
                          <w:p>
                            <w:pPr>
                              <w:pStyle w:val="TextBody"/>
                              <w:bidi w:val="0"/>
                              <w:spacing w:before="240" w:after="0"/>
                              <w:jc w:val="left"/>
                              <w:rPr>
                                <w:rFonts w:ascii="ARIAL" w:hAnsi="ARIAL"/>
                                <w:b/>
                                <w:sz w:val="19"/>
                              </w:rPr>
                            </w:pPr>
                            <w:r>
                              <w:rPr>
                                <w:rFonts w:ascii="ARIAL" w:hAnsi="ARIAL"/>
                                <w:b/>
                                <w:sz w:val="19"/>
                              </w:rPr>
                              <w:t xml:space="preserve">Respect for the Individual </w:t>
                            </w:r>
                          </w:p>
                          <w:p>
                            <w:pPr>
                              <w:pStyle w:val="TextBody"/>
                              <w:bidi w:val="0"/>
                              <w:spacing w:before="60" w:after="0"/>
                              <w:jc w:val="left"/>
                              <w:rPr>
                                <w:rFonts w:ascii="ARIAL" w:hAnsi="ARIAL"/>
                                <w:sz w:val="18"/>
                              </w:rPr>
                            </w:pPr>
                            <w:r>
                              <w:rPr>
                                <w:rFonts w:ascii="ARIAL" w:hAnsi="ARIAL"/>
                                <w:sz w:val="18"/>
                              </w:rPr>
                              <w:t xml:space="preserve">We value diversity and cherish uniqueness. We are inclusive always. CoStar is for all people, without exception. We recognize that the thoughts and feelings of others are as important and valuable as our own. </w:t>
                            </w:r>
                          </w:p>
                          <w:p>
                            <w:pPr>
                              <w:pStyle w:val="TextBody"/>
                              <w:bidi w:val="0"/>
                              <w:spacing w:before="240" w:after="0"/>
                              <w:jc w:val="left"/>
                              <w:rPr>
                                <w:rFonts w:ascii="ARIAL" w:hAnsi="ARIAL"/>
                                <w:b/>
                                <w:sz w:val="19"/>
                              </w:rPr>
                            </w:pPr>
                            <w:r>
                              <w:rPr>
                                <w:rFonts w:ascii="ARIAL" w:hAnsi="ARIAL"/>
                                <w:b/>
                                <w:sz w:val="19"/>
                              </w:rPr>
                              <w:t xml:space="preserve">Work-Life Balance </w:t>
                            </w:r>
                          </w:p>
                          <w:p>
                            <w:pPr>
                              <w:pStyle w:val="TextBody"/>
                              <w:bidi w:val="0"/>
                              <w:spacing w:before="60" w:after="0"/>
                              <w:jc w:val="left"/>
                              <w:rPr>
                                <w:rFonts w:ascii="ARIAL" w:hAnsi="ARIAL"/>
                                <w:sz w:val="18"/>
                              </w:rPr>
                            </w:pPr>
                            <w:r>
                              <w:rPr>
                                <w:rFonts w:ascii="ARIAL" w:hAnsi="ARIAL"/>
                                <w:sz w:val="18"/>
                              </w:rPr>
                              <w:t xml:space="preserve">We work hard and take pride in our professional accomplishments. We are committed to creating value for our customers, while still recognizing the need to have a sacrosanct place for our personal lives and families. </w:t>
                            </w:r>
                          </w:p>
                          <w:p>
                            <w:pPr>
                              <w:pStyle w:val="TextBody"/>
                              <w:bidi w:val="0"/>
                              <w:spacing w:before="240" w:after="0"/>
                              <w:jc w:val="left"/>
                              <w:rPr>
                                <w:rFonts w:ascii="ARIAL" w:hAnsi="ARIAL"/>
                                <w:b/>
                                <w:sz w:val="19"/>
                              </w:rPr>
                            </w:pPr>
                            <w:r>
                              <w:rPr>
                                <w:rFonts w:ascii="ARIAL" w:hAnsi="ARIAL"/>
                                <w:b/>
                                <w:sz w:val="19"/>
                              </w:rPr>
                              <w:t xml:space="preserve">Cohesive Innovation </w:t>
                            </w:r>
                          </w:p>
                          <w:p>
                            <w:pPr>
                              <w:pStyle w:val="TextBody"/>
                              <w:bidi w:val="0"/>
                              <w:spacing w:before="60" w:after="0"/>
                              <w:jc w:val="left"/>
                              <w:rPr>
                                <w:rFonts w:ascii="ARIAL" w:hAnsi="ARIAL"/>
                                <w:sz w:val="18"/>
                              </w:rPr>
                            </w:pPr>
                            <w:r>
                              <w:rPr>
                                <w:rFonts w:ascii="ARIAL" w:hAnsi="ARIAL"/>
                                <w:sz w:val="18"/>
                              </w:rPr>
                              <w:t xml:space="preserve">We create products of vital utility, delivering information and tools that are critical to the success of our customers and industry. Our solutions mobilize individuals to enable them to make confident, intelligent decisions. </w:t>
                            </w:r>
                          </w:p>
                          <w:p>
                            <w:pPr>
                              <w:pStyle w:val="TextBody"/>
                              <w:bidi w:val="0"/>
                              <w:spacing w:before="240" w:after="0"/>
                              <w:jc w:val="left"/>
                              <w:rPr>
                                <w:rFonts w:ascii="ARIAL" w:hAnsi="ARIAL"/>
                                <w:b/>
                                <w:sz w:val="19"/>
                              </w:rPr>
                            </w:pPr>
                            <w:r>
                              <w:rPr>
                                <w:rFonts w:ascii="ARIAL" w:hAnsi="ARIAL"/>
                                <w:b/>
                                <w:sz w:val="19"/>
                              </w:rPr>
                              <w:t xml:space="preserve">Embrace and Drive Change </w:t>
                            </w:r>
                          </w:p>
                          <w:p>
                            <w:pPr>
                              <w:pStyle w:val="TextBody"/>
                              <w:bidi w:val="0"/>
                              <w:spacing w:before="60" w:after="0"/>
                              <w:jc w:val="left"/>
                              <w:rPr>
                                <w:rFonts w:ascii="ARIAL" w:hAnsi="ARIAL"/>
                                <w:sz w:val="18"/>
                              </w:rPr>
                            </w:pPr>
                            <w:r>
                              <w:rPr>
                                <w:rFonts w:ascii="ARIAL" w:hAnsi="ARIAL"/>
                                <w:sz w:val="18"/>
                              </w:rPr>
                              <w:t xml:space="preserve">At our core we are about change. We challenge the status quo and constantly seek a better way.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3.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19"/>
                        </w:rPr>
                      </w:pPr>
                      <w:r>
                        <w:rPr>
                          <w:rFonts w:ascii="ARIAL" w:hAnsi="ARIAL"/>
                          <w:b/>
                          <w:sz w:val="19"/>
                        </w:rPr>
                        <w:t xml:space="preserve">Integrity </w:t>
                      </w:r>
                    </w:p>
                    <w:p>
                      <w:pPr>
                        <w:pStyle w:val="TextBody"/>
                        <w:bidi w:val="0"/>
                        <w:spacing w:before="60" w:after="0"/>
                        <w:jc w:val="left"/>
                        <w:rPr>
                          <w:rFonts w:ascii="ARIAL" w:hAnsi="ARIAL"/>
                          <w:sz w:val="18"/>
                        </w:rPr>
                      </w:pPr>
                      <w:r>
                        <w:rPr>
                          <w:rFonts w:ascii="ARIAL" w:hAnsi="ARIAL"/>
                          <w:sz w:val="18"/>
                        </w:rPr>
                        <w:t xml:space="preserve">We uphold the highest ethical standards at all times. We earn our colleagues’, customers’, and stakeholders’ trust by saying and doing the right thing. </w:t>
                      </w:r>
                    </w:p>
                    <w:p>
                      <w:pPr>
                        <w:pStyle w:val="TextBody"/>
                        <w:bidi w:val="0"/>
                        <w:spacing w:before="240" w:after="0"/>
                        <w:jc w:val="left"/>
                        <w:rPr>
                          <w:rFonts w:ascii="ARIAL" w:hAnsi="ARIAL"/>
                          <w:b/>
                          <w:sz w:val="19"/>
                        </w:rPr>
                      </w:pPr>
                      <w:r>
                        <w:rPr>
                          <w:rFonts w:ascii="ARIAL" w:hAnsi="ARIAL"/>
                          <w:b/>
                          <w:sz w:val="19"/>
                        </w:rPr>
                        <w:t xml:space="preserve">Respect for the Individual </w:t>
                      </w:r>
                    </w:p>
                    <w:p>
                      <w:pPr>
                        <w:pStyle w:val="TextBody"/>
                        <w:bidi w:val="0"/>
                        <w:spacing w:before="60" w:after="0"/>
                        <w:jc w:val="left"/>
                        <w:rPr>
                          <w:rFonts w:ascii="ARIAL" w:hAnsi="ARIAL"/>
                          <w:sz w:val="18"/>
                        </w:rPr>
                      </w:pPr>
                      <w:r>
                        <w:rPr>
                          <w:rFonts w:ascii="ARIAL" w:hAnsi="ARIAL"/>
                          <w:sz w:val="18"/>
                        </w:rPr>
                        <w:t xml:space="preserve">We value diversity and cherish uniqueness. We are inclusive always. CoStar is for all people, without exception. We recognize that the thoughts and feelings of others are as important and valuable as our own. </w:t>
                      </w:r>
                    </w:p>
                    <w:p>
                      <w:pPr>
                        <w:pStyle w:val="TextBody"/>
                        <w:bidi w:val="0"/>
                        <w:spacing w:before="240" w:after="0"/>
                        <w:jc w:val="left"/>
                        <w:rPr>
                          <w:rFonts w:ascii="ARIAL" w:hAnsi="ARIAL"/>
                          <w:b/>
                          <w:sz w:val="19"/>
                        </w:rPr>
                      </w:pPr>
                      <w:r>
                        <w:rPr>
                          <w:rFonts w:ascii="ARIAL" w:hAnsi="ARIAL"/>
                          <w:b/>
                          <w:sz w:val="19"/>
                        </w:rPr>
                        <w:t xml:space="preserve">Work-Life Balance </w:t>
                      </w:r>
                    </w:p>
                    <w:p>
                      <w:pPr>
                        <w:pStyle w:val="TextBody"/>
                        <w:bidi w:val="0"/>
                        <w:spacing w:before="60" w:after="0"/>
                        <w:jc w:val="left"/>
                        <w:rPr>
                          <w:rFonts w:ascii="ARIAL" w:hAnsi="ARIAL"/>
                          <w:sz w:val="18"/>
                        </w:rPr>
                      </w:pPr>
                      <w:r>
                        <w:rPr>
                          <w:rFonts w:ascii="ARIAL" w:hAnsi="ARIAL"/>
                          <w:sz w:val="18"/>
                        </w:rPr>
                        <w:t xml:space="preserve">We work hard and take pride in our professional accomplishments. We are committed to creating value for our customers, while still recognizing the need to have a sacrosanct place for our personal lives and families. </w:t>
                      </w:r>
                    </w:p>
                    <w:p>
                      <w:pPr>
                        <w:pStyle w:val="TextBody"/>
                        <w:bidi w:val="0"/>
                        <w:spacing w:before="240" w:after="0"/>
                        <w:jc w:val="left"/>
                        <w:rPr>
                          <w:rFonts w:ascii="ARIAL" w:hAnsi="ARIAL"/>
                          <w:b/>
                          <w:sz w:val="19"/>
                        </w:rPr>
                      </w:pPr>
                      <w:r>
                        <w:rPr>
                          <w:rFonts w:ascii="ARIAL" w:hAnsi="ARIAL"/>
                          <w:b/>
                          <w:sz w:val="19"/>
                        </w:rPr>
                        <w:t xml:space="preserve">Cohesive Innovation </w:t>
                      </w:r>
                    </w:p>
                    <w:p>
                      <w:pPr>
                        <w:pStyle w:val="TextBody"/>
                        <w:bidi w:val="0"/>
                        <w:spacing w:before="60" w:after="0"/>
                        <w:jc w:val="left"/>
                        <w:rPr>
                          <w:rFonts w:ascii="ARIAL" w:hAnsi="ARIAL"/>
                          <w:sz w:val="18"/>
                        </w:rPr>
                      </w:pPr>
                      <w:r>
                        <w:rPr>
                          <w:rFonts w:ascii="ARIAL" w:hAnsi="ARIAL"/>
                          <w:sz w:val="18"/>
                        </w:rPr>
                        <w:t xml:space="preserve">We create products of vital utility, delivering information and tools that are critical to the success of our customers and industry. Our solutions mobilize individuals to enable them to make confident, intelligent decisions. </w:t>
                      </w:r>
                    </w:p>
                    <w:p>
                      <w:pPr>
                        <w:pStyle w:val="TextBody"/>
                        <w:bidi w:val="0"/>
                        <w:spacing w:before="240" w:after="0"/>
                        <w:jc w:val="left"/>
                        <w:rPr>
                          <w:rFonts w:ascii="ARIAL" w:hAnsi="ARIAL"/>
                          <w:b/>
                          <w:sz w:val="19"/>
                        </w:rPr>
                      </w:pPr>
                      <w:r>
                        <w:rPr>
                          <w:rFonts w:ascii="ARIAL" w:hAnsi="ARIAL"/>
                          <w:b/>
                          <w:sz w:val="19"/>
                        </w:rPr>
                        <w:t xml:space="preserve">Embrace and Drive Change </w:t>
                      </w:r>
                    </w:p>
                    <w:p>
                      <w:pPr>
                        <w:pStyle w:val="TextBody"/>
                        <w:bidi w:val="0"/>
                        <w:spacing w:before="60" w:after="0"/>
                        <w:jc w:val="left"/>
                        <w:rPr>
                          <w:rFonts w:ascii="ARIAL" w:hAnsi="ARIAL"/>
                          <w:sz w:val="18"/>
                        </w:rPr>
                      </w:pPr>
                      <w:r>
                        <w:rPr>
                          <w:rFonts w:ascii="ARIAL" w:hAnsi="ARIAL"/>
                          <w:sz w:val="18"/>
                        </w:rPr>
                        <w:t xml:space="preserve">At our core we are about change. We challenge the status quo and constantly seek a better way. </w:t>
                      </w:r>
                    </w:p>
                  </w:txbxContent>
                </v:textbox>
                <w10:wrap type="square" side="right"/>
              </v:rect>
            </w:pict>
          </mc:Fallback>
        </mc:AlternateConten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3175000" cy="4033520"/>
                <wp:effectExtent l="0" t="0" r="0" b="0"/>
                <wp:wrapSquare wrapText="right"/>
                <wp:docPr id="4" name="Frame2"/>
                <a:graphic xmlns:a="http://schemas.openxmlformats.org/drawingml/2006/main">
                  <a:graphicData uri="http://schemas.microsoft.com/office/word/2010/wordprocessingShape">
                    <wps:wsp>
                      <wps:cNvSpPr txBox="1"/>
                      <wps:spPr>
                        <a:xfrm>
                          <a:off x="0" y="0"/>
                          <a:ext cx="3175000" cy="4033520"/>
                        </a:xfrm>
                        <a:prstGeom prst="rect"/>
                        <a:solidFill>
                          <a:srgbClr val="FFFFFF"/>
                        </a:solidFill>
                      </wps:spPr>
                      <wps:txbx>
                        <w:txbxContent>
                          <w:p>
                            <w:pPr>
                              <w:pStyle w:val="TextBody"/>
                              <w:bidi w:val="0"/>
                              <w:spacing w:before="0" w:after="0"/>
                              <w:jc w:val="left"/>
                              <w:rPr>
                                <w:rFonts w:ascii="ARIAL" w:hAnsi="ARIAL"/>
                                <w:b/>
                                <w:sz w:val="19"/>
                              </w:rPr>
                            </w:pPr>
                            <w:r>
                              <w:rPr>
                                <w:rFonts w:ascii="ARIAL" w:hAnsi="ARIAL"/>
                                <w:b/>
                                <w:sz w:val="19"/>
                              </w:rPr>
                              <w:t xml:space="preserve">Build Awesome Things </w:t>
                            </w:r>
                          </w:p>
                          <w:p>
                            <w:pPr>
                              <w:pStyle w:val="TextBody"/>
                              <w:bidi w:val="0"/>
                              <w:spacing w:before="60" w:after="0"/>
                              <w:jc w:val="left"/>
                              <w:rPr>
                                <w:rFonts w:ascii="ARIAL" w:hAnsi="ARIAL"/>
                                <w:sz w:val="18"/>
                              </w:rPr>
                            </w:pPr>
                            <w:r>
                              <w:rPr>
                                <w:rFonts w:ascii="ARIAL" w:hAnsi="ARIAL"/>
                                <w:sz w:val="18"/>
                              </w:rPr>
                              <w:t xml:space="preserve">We work passionately to design and build awe-inspiring, beautiful products that delight and improve the lives of billions of people. We know that design matters. </w:t>
                            </w:r>
                          </w:p>
                          <w:p>
                            <w:pPr>
                              <w:pStyle w:val="TextBody"/>
                              <w:bidi w:val="0"/>
                              <w:spacing w:before="240" w:after="0"/>
                              <w:jc w:val="left"/>
                              <w:rPr>
                                <w:rFonts w:ascii="ARIAL" w:hAnsi="ARIAL"/>
                                <w:b/>
                                <w:sz w:val="19"/>
                              </w:rPr>
                            </w:pPr>
                            <w:r>
                              <w:rPr>
                                <w:rFonts w:ascii="ARIAL" w:hAnsi="ARIAL"/>
                                <w:b/>
                                <w:sz w:val="19"/>
                              </w:rPr>
                              <w:t xml:space="preserve">Keep the Customer at the Center of All We Do </w:t>
                            </w:r>
                          </w:p>
                          <w:p>
                            <w:pPr>
                              <w:pStyle w:val="TextBody"/>
                              <w:bidi w:val="0"/>
                              <w:spacing w:before="60" w:after="0"/>
                              <w:jc w:val="left"/>
                              <w:rPr>
                                <w:rFonts w:ascii="ARIAL" w:hAnsi="ARIAL"/>
                                <w:sz w:val="18"/>
                              </w:rPr>
                            </w:pPr>
                            <w:r>
                              <w:rPr>
                                <w:rFonts w:ascii="ARIAL" w:hAnsi="ARIAL"/>
                                <w:sz w:val="18"/>
                              </w:rPr>
                              <w:t xml:space="preserve">We succeed only when our customers succeed. We treat each of our customers the way we would prefer to be treated when buying a product or service. We invest in and enjoy the strong bonds and long-lasting, authentic friendships built with our customers. </w:t>
                            </w:r>
                          </w:p>
                          <w:p>
                            <w:pPr>
                              <w:pStyle w:val="TextBody"/>
                              <w:bidi w:val="0"/>
                              <w:spacing w:before="240" w:after="0"/>
                              <w:jc w:val="left"/>
                              <w:rPr>
                                <w:rFonts w:ascii="ARIAL" w:hAnsi="ARIAL"/>
                                <w:b/>
                                <w:sz w:val="19"/>
                              </w:rPr>
                            </w:pPr>
                            <w:r>
                              <w:rPr>
                                <w:rFonts w:ascii="ARIAL" w:hAnsi="ARIAL"/>
                                <w:b/>
                                <w:sz w:val="19"/>
                              </w:rPr>
                              <w:t xml:space="preserve">The Best Teams Anywhere </w:t>
                            </w:r>
                          </w:p>
                          <w:p>
                            <w:pPr>
                              <w:pStyle w:val="TextBody"/>
                              <w:bidi w:val="0"/>
                              <w:spacing w:before="60" w:after="0"/>
                              <w:jc w:val="left"/>
                              <w:rPr>
                                <w:rFonts w:ascii="ARIAL" w:hAnsi="ARIAL"/>
                                <w:sz w:val="18"/>
                              </w:rPr>
                            </w:pPr>
                            <w:r>
                              <w:rPr>
                                <w:rFonts w:ascii="ARIAL" w:hAnsi="ARIAL"/>
                                <w:sz w:val="18"/>
                              </w:rPr>
                              <w:t xml:space="preserve">We hire the best. We work and learn alongside exceptionally talented peers who are passionate about building the best possible workplace and taking our business to great heights. We have a zero-tolerance policy for jerks. </w:t>
                            </w:r>
                          </w:p>
                          <w:p>
                            <w:pPr>
                              <w:pStyle w:val="TextBody"/>
                              <w:bidi w:val="0"/>
                              <w:spacing w:before="240" w:after="0"/>
                              <w:jc w:val="left"/>
                              <w:rPr>
                                <w:rFonts w:ascii="ARIAL" w:hAnsi="ARIAL"/>
                                <w:b/>
                                <w:sz w:val="19"/>
                              </w:rPr>
                            </w:pPr>
                            <w:r>
                              <w:rPr>
                                <w:rFonts w:ascii="ARIAL" w:hAnsi="ARIAL"/>
                                <w:b/>
                                <w:sz w:val="19"/>
                              </w:rPr>
                              <w:t xml:space="preserve">Continuous Learning </w:t>
                            </w:r>
                          </w:p>
                          <w:p>
                            <w:pPr>
                              <w:pStyle w:val="TextBody"/>
                              <w:bidi w:val="0"/>
                              <w:spacing w:before="60" w:after="0"/>
                              <w:jc w:val="left"/>
                              <w:rPr>
                                <w:rFonts w:ascii="ARIAL" w:hAnsi="ARIAL"/>
                                <w:sz w:val="18"/>
                              </w:rPr>
                            </w:pPr>
                            <w:r>
                              <w:rPr>
                                <w:rFonts w:ascii="ARIAL" w:hAnsi="ARIAL"/>
                                <w:sz w:val="18"/>
                              </w:rPr>
                              <w:t xml:space="preserve">We are curious. We want to learn, grow, and better ourselves. We view mistakes as a necessary part of learning. Through the expertise we develop, we are better partners to our clients, stockholders, communities, and colleagues. </w:t>
                            </w:r>
                          </w:p>
                          <w:p>
                            <w:pPr>
                              <w:pStyle w:val="TextBody"/>
                              <w:bidi w:val="0"/>
                              <w:spacing w:before="240" w:after="0"/>
                              <w:jc w:val="left"/>
                              <w:rPr>
                                <w:rFonts w:ascii="ARIAL" w:hAnsi="ARIAL"/>
                                <w:b/>
                                <w:sz w:val="19"/>
                              </w:rPr>
                            </w:pPr>
                            <w:r>
                              <w:rPr>
                                <w:rFonts w:ascii="ARIAL" w:hAnsi="ARIAL"/>
                                <w:b/>
                                <w:sz w:val="19"/>
                              </w:rPr>
                              <w:t xml:space="preserve">Be Collaborative </w:t>
                            </w:r>
                          </w:p>
                          <w:p>
                            <w:pPr>
                              <w:pStyle w:val="TextBody"/>
                              <w:bidi w:val="0"/>
                              <w:spacing w:before="60" w:after="0"/>
                              <w:jc w:val="left"/>
                              <w:rPr>
                                <w:rFonts w:ascii="ARIAL" w:hAnsi="ARIAL"/>
                                <w:sz w:val="18"/>
                              </w:rPr>
                            </w:pPr>
                            <w:r>
                              <w:rPr>
                                <w:rFonts w:ascii="ARIAL" w:hAnsi="ARIAL"/>
                                <w:sz w:val="18"/>
                              </w:rPr>
                              <w:t xml:space="preserve">We are all part of the bigger team, and we are at our best when we communicate, empathize, and collaborate.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7.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19"/>
                        </w:rPr>
                      </w:pPr>
                      <w:r>
                        <w:rPr>
                          <w:rFonts w:ascii="ARIAL" w:hAnsi="ARIAL"/>
                          <w:b/>
                          <w:sz w:val="19"/>
                        </w:rPr>
                        <w:t xml:space="preserve">Build Awesome Things </w:t>
                      </w:r>
                    </w:p>
                    <w:p>
                      <w:pPr>
                        <w:pStyle w:val="TextBody"/>
                        <w:bidi w:val="0"/>
                        <w:spacing w:before="60" w:after="0"/>
                        <w:jc w:val="left"/>
                        <w:rPr>
                          <w:rFonts w:ascii="ARIAL" w:hAnsi="ARIAL"/>
                          <w:sz w:val="18"/>
                        </w:rPr>
                      </w:pPr>
                      <w:r>
                        <w:rPr>
                          <w:rFonts w:ascii="ARIAL" w:hAnsi="ARIAL"/>
                          <w:sz w:val="18"/>
                        </w:rPr>
                        <w:t xml:space="preserve">We work passionately to design and build awe-inspiring, beautiful products that delight and improve the lives of billions of people. We know that design matters. </w:t>
                      </w:r>
                    </w:p>
                    <w:p>
                      <w:pPr>
                        <w:pStyle w:val="TextBody"/>
                        <w:bidi w:val="0"/>
                        <w:spacing w:before="240" w:after="0"/>
                        <w:jc w:val="left"/>
                        <w:rPr>
                          <w:rFonts w:ascii="ARIAL" w:hAnsi="ARIAL"/>
                          <w:b/>
                          <w:sz w:val="19"/>
                        </w:rPr>
                      </w:pPr>
                      <w:r>
                        <w:rPr>
                          <w:rFonts w:ascii="ARIAL" w:hAnsi="ARIAL"/>
                          <w:b/>
                          <w:sz w:val="19"/>
                        </w:rPr>
                        <w:t xml:space="preserve">Keep the Customer at the Center of All We Do </w:t>
                      </w:r>
                    </w:p>
                    <w:p>
                      <w:pPr>
                        <w:pStyle w:val="TextBody"/>
                        <w:bidi w:val="0"/>
                        <w:spacing w:before="60" w:after="0"/>
                        <w:jc w:val="left"/>
                        <w:rPr>
                          <w:rFonts w:ascii="ARIAL" w:hAnsi="ARIAL"/>
                          <w:sz w:val="18"/>
                        </w:rPr>
                      </w:pPr>
                      <w:r>
                        <w:rPr>
                          <w:rFonts w:ascii="ARIAL" w:hAnsi="ARIAL"/>
                          <w:sz w:val="18"/>
                        </w:rPr>
                        <w:t xml:space="preserve">We succeed only when our customers succeed. We treat each of our customers the way we would prefer to be treated when buying a product or service. We invest in and enjoy the strong bonds and long-lasting, authentic friendships built with our customers. </w:t>
                      </w:r>
                    </w:p>
                    <w:p>
                      <w:pPr>
                        <w:pStyle w:val="TextBody"/>
                        <w:bidi w:val="0"/>
                        <w:spacing w:before="240" w:after="0"/>
                        <w:jc w:val="left"/>
                        <w:rPr>
                          <w:rFonts w:ascii="ARIAL" w:hAnsi="ARIAL"/>
                          <w:b/>
                          <w:sz w:val="19"/>
                        </w:rPr>
                      </w:pPr>
                      <w:r>
                        <w:rPr>
                          <w:rFonts w:ascii="ARIAL" w:hAnsi="ARIAL"/>
                          <w:b/>
                          <w:sz w:val="19"/>
                        </w:rPr>
                        <w:t xml:space="preserve">The Best Teams Anywhere </w:t>
                      </w:r>
                    </w:p>
                    <w:p>
                      <w:pPr>
                        <w:pStyle w:val="TextBody"/>
                        <w:bidi w:val="0"/>
                        <w:spacing w:before="60" w:after="0"/>
                        <w:jc w:val="left"/>
                        <w:rPr>
                          <w:rFonts w:ascii="ARIAL" w:hAnsi="ARIAL"/>
                          <w:sz w:val="18"/>
                        </w:rPr>
                      </w:pPr>
                      <w:r>
                        <w:rPr>
                          <w:rFonts w:ascii="ARIAL" w:hAnsi="ARIAL"/>
                          <w:sz w:val="18"/>
                        </w:rPr>
                        <w:t xml:space="preserve">We hire the best. We work and learn alongside exceptionally talented peers who are passionate about building the best possible workplace and taking our business to great heights. We have a zero-tolerance policy for jerks. </w:t>
                      </w:r>
                    </w:p>
                    <w:p>
                      <w:pPr>
                        <w:pStyle w:val="TextBody"/>
                        <w:bidi w:val="0"/>
                        <w:spacing w:before="240" w:after="0"/>
                        <w:jc w:val="left"/>
                        <w:rPr>
                          <w:rFonts w:ascii="ARIAL" w:hAnsi="ARIAL"/>
                          <w:b/>
                          <w:sz w:val="19"/>
                        </w:rPr>
                      </w:pPr>
                      <w:r>
                        <w:rPr>
                          <w:rFonts w:ascii="ARIAL" w:hAnsi="ARIAL"/>
                          <w:b/>
                          <w:sz w:val="19"/>
                        </w:rPr>
                        <w:t xml:space="preserve">Continuous Learning </w:t>
                      </w:r>
                    </w:p>
                    <w:p>
                      <w:pPr>
                        <w:pStyle w:val="TextBody"/>
                        <w:bidi w:val="0"/>
                        <w:spacing w:before="60" w:after="0"/>
                        <w:jc w:val="left"/>
                        <w:rPr>
                          <w:rFonts w:ascii="ARIAL" w:hAnsi="ARIAL"/>
                          <w:sz w:val="18"/>
                        </w:rPr>
                      </w:pPr>
                      <w:r>
                        <w:rPr>
                          <w:rFonts w:ascii="ARIAL" w:hAnsi="ARIAL"/>
                          <w:sz w:val="18"/>
                        </w:rPr>
                        <w:t xml:space="preserve">We are curious. We want to learn, grow, and better ourselves. We view mistakes as a necessary part of learning. Through the expertise we develop, we are better partners to our clients, stockholders, communities, and colleagues. </w:t>
                      </w:r>
                    </w:p>
                    <w:p>
                      <w:pPr>
                        <w:pStyle w:val="TextBody"/>
                        <w:bidi w:val="0"/>
                        <w:spacing w:before="240" w:after="0"/>
                        <w:jc w:val="left"/>
                        <w:rPr>
                          <w:rFonts w:ascii="ARIAL" w:hAnsi="ARIAL"/>
                          <w:b/>
                          <w:sz w:val="19"/>
                        </w:rPr>
                      </w:pPr>
                      <w:r>
                        <w:rPr>
                          <w:rFonts w:ascii="ARIAL" w:hAnsi="ARIAL"/>
                          <w:b/>
                          <w:sz w:val="19"/>
                        </w:rPr>
                        <w:t xml:space="preserve">Be Collaborative </w:t>
                      </w:r>
                    </w:p>
                    <w:p>
                      <w:pPr>
                        <w:pStyle w:val="TextBody"/>
                        <w:bidi w:val="0"/>
                        <w:spacing w:before="60" w:after="0"/>
                        <w:jc w:val="left"/>
                        <w:rPr>
                          <w:rFonts w:ascii="ARIAL" w:hAnsi="ARIAL"/>
                          <w:sz w:val="18"/>
                        </w:rPr>
                      </w:pPr>
                      <w:r>
                        <w:rPr>
                          <w:rFonts w:ascii="ARIAL" w:hAnsi="ARIAL"/>
                          <w:sz w:val="18"/>
                        </w:rPr>
                        <w:t xml:space="preserve">We are all part of the bigger team, and we are at our best when we communicate, empathize, and collaborate. </w:t>
                      </w:r>
                    </w:p>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color w:val="0054BA"/>
                <w:sz w:val="14"/>
              </w:rPr>
              <w:t>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0"/>
        </w:rPr>
      </w:pPr>
      <w:r>
        <w:rPr>
          <w:rFonts w:ascii="ARIAL" w:hAnsi="ARIAL"/>
          <w:b/>
          <w:sz w:val="60"/>
        </w:rPr>
        <w:t xml:space="preserve">MESSAGE FROM OUR FOUNDER AND CHIEF EXECUTIVE OFFICER </w:t>
      </w:r>
    </w:p>
    <w:p>
      <w:pPr>
        <w:pStyle w:val="TextBody"/>
        <w:bidi w:val="0"/>
        <w:spacing w:before="720" w:after="0"/>
        <w:jc w:val="left"/>
        <w:rPr>
          <w:rFonts w:ascii="ARIAL" w:hAnsi="ARIAL"/>
          <w:sz w:val="18"/>
        </w:rPr>
      </w:pPr>
      <w:r>
        <w:rPr>
          <w:rFonts w:ascii="ARIAL" w:hAnsi="ARIAL"/>
          <w:sz w:val="18"/>
        </w:rPr>
        <w:t xml:space="preserve">Dear Fellow Stockholders,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3175000" cy="7198360"/>
                <wp:effectExtent l="0" t="0" r="0" b="0"/>
                <wp:wrapSquare wrapText="right"/>
                <wp:docPr id="6" name="Frame4"/>
                <a:graphic xmlns:a="http://schemas.openxmlformats.org/drawingml/2006/main">
                  <a:graphicData uri="http://schemas.microsoft.com/office/word/2010/wordprocessingShape">
                    <wps:wsp>
                      <wps:cNvSpPr txBox="1"/>
                      <wps:spPr>
                        <a:xfrm>
                          <a:off x="0" y="0"/>
                          <a:ext cx="3175000" cy="719836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of developing and expanding industry-leading platforms through disciplined acquisitions and organic investments. </w:t>
                            </w:r>
                          </w:p>
                          <w:p>
                            <w:pPr>
                              <w:pStyle w:val="TextBody"/>
                              <w:bidi w:val="0"/>
                              <w:spacing w:before="120" w:after="0"/>
                              <w:jc w:val="left"/>
                              <w:rPr>
                                <w:rFonts w:ascii="ARIAL" w:hAnsi="ARIAL"/>
                                <w:sz w:val="18"/>
                              </w:rPr>
                            </w:pPr>
                            <w:r>
                              <w:rPr>
                                <w:rFonts w:ascii="ARIAL" w:hAnsi="ARIAL"/>
                                <w:sz w:val="18"/>
                              </w:rPr>
                              <w:t xml:space="preserve">In particular, Homes.com has reached an inflection point. With the bulk of the investment phase complete, Homes.com is generating positive network effects across our ecosystem, contributing to improved performance at Apartments.com and enabling broader technology integration, including advancements in AI. </w:t>
                            </w:r>
                          </w:p>
                          <w:p>
                            <w:pPr>
                              <w:pStyle w:val="TextBody"/>
                              <w:bidi w:val="0"/>
                              <w:spacing w:before="120" w:after="0"/>
                              <w:jc w:val="left"/>
                              <w:rPr>
                                <w:rFonts w:ascii="ARIAL" w:hAnsi="ARIAL"/>
                                <w:sz w:val="18"/>
                              </w:rPr>
                            </w:pPr>
                            <w:r>
                              <w:rPr>
                                <w:rFonts w:ascii="ARIAL" w:hAnsi="ARIAL"/>
                                <w:sz w:val="18"/>
                              </w:rPr>
                              <w:t xml:space="preserve">In February 2026, we launched Homes Ai – the most sophisticated vertical AI application in real estate. We believe this innovation marks a new era for our business that will allow us to transform each of our platforms and meaningfully differentiate CoStar Group from the rest of the industry. We see meaningful opportunities to extend our Homes Ai and broader AI capabilities across our portfolio – including Apartments.com, CoStar, LoopNet, Land.com, and BizBuySell – ushering in what we believe will be a new era of intelligent, conversational real estate discovery. </w:t>
                            </w:r>
                          </w:p>
                          <w:p>
                            <w:pPr>
                              <w:pStyle w:val="TextBody"/>
                              <w:bidi w:val="0"/>
                              <w:spacing w:before="120" w:after="0"/>
                              <w:jc w:val="left"/>
                              <w:rPr>
                                <w:rFonts w:ascii="ARIAL" w:hAnsi="ARIAL"/>
                                <w:sz w:val="18"/>
                              </w:rPr>
                            </w:pPr>
                            <w:r>
                              <w:rPr>
                                <w:rFonts w:ascii="ARIAL" w:hAnsi="ARIAL"/>
                                <w:sz w:val="18"/>
                              </w:rPr>
                              <w:t xml:space="preserve">As we execute against our strategy, we are committed to being disciplined in our capital allocation and mindful of near-term stockholder returns. To that end, we completed the prior $500 million share repurchase authorization on an accelerated timeframe and the Board authorized a new $1.5 billion share repurchase program. </w:t>
                            </w:r>
                          </w:p>
                          <w:p>
                            <w:pPr>
                              <w:pStyle w:val="TextBody"/>
                              <w:bidi w:val="0"/>
                              <w:spacing w:before="120" w:after="0"/>
                              <w:jc w:val="left"/>
                              <w:rPr>
                                <w:rFonts w:ascii="ARIAL" w:hAnsi="ARIAL"/>
                                <w:sz w:val="18"/>
                              </w:rPr>
                            </w:pPr>
                            <w:r>
                              <w:rPr>
                                <w:rFonts w:ascii="ARIAL" w:hAnsi="ARIAL"/>
                                <w:sz w:val="18"/>
                              </w:rPr>
                              <w:t xml:space="preserve">CoStar Group’s operational and financial achievements would not have been possible without the hard work and dedication of our talented global team of over 8,000 employees. During the year, 13% of employees moved into new roles within the Company, and we maintained an average monthly retention rate of 99%. We are grateful for their continued contributions and commitment to CoStar Group. </w:t>
                            </w:r>
                          </w:p>
                          <w:p>
                            <w:pPr>
                              <w:pStyle w:val="TextBody"/>
                              <w:bidi w:val="0"/>
                              <w:spacing w:before="120" w:after="0"/>
                              <w:jc w:val="left"/>
                              <w:rPr>
                                <w:rFonts w:ascii="ARIAL" w:hAnsi="ARIAL"/>
                                <w:sz w:val="18"/>
                              </w:rPr>
                            </w:pPr>
                            <w:r>
                              <w:rPr>
                                <w:rFonts w:ascii="ARIAL" w:hAnsi="ARIAL"/>
                                <w:sz w:val="18"/>
                              </w:rPr>
                              <w:t xml:space="preserve">Our focus remains on increasing long-term stockholder value, and we look forward to continued stockholder engagement as we work to advance our next chapter. Thank you for your ongoing support and investment in CoStar Group. </w:t>
                            </w:r>
                          </w:p>
                          <w:p>
                            <w:pPr>
                              <w:pStyle w:val="TextBody"/>
                              <w:bidi w:val="0"/>
                              <w:spacing w:before="160" w:after="0"/>
                              <w:jc w:val="left"/>
                              <w:rPr>
                                <w:rFonts w:ascii="ARIAL" w:hAnsi="ARIAL"/>
                                <w:sz w:val="18"/>
                              </w:rPr>
                            </w:pPr>
                            <w:r>
                              <w:rPr>
                                <w:rFonts w:ascii="ARIAL" w:hAnsi="ARIAL"/>
                                <w:sz w:val="18"/>
                              </w:rPr>
                              <w:t xml:space="preserve">Sincerely, </w:t>
                            </w:r>
                          </w:p>
                          <w:p>
                            <w:pPr>
                              <w:pStyle w:val="TextBody"/>
                              <w:bidi w:val="0"/>
                              <w:spacing w:before="0" w:after="0"/>
                              <w:jc w:val="left"/>
                              <w:rPr/>
                            </w:pPr>
                            <w:r>
                              <w:rPr/>
                              <w:t> </w:t>
                            </w:r>
                          </w:p>
                          <w:tbl>
                            <w:tblPr>
                              <w:tblW w:w="4827" w:type="dxa"/>
                              <w:jc w:val="left"/>
                              <w:tblInd w:w="0" w:type="dxa"/>
                              <w:tblLayout w:type="fixed"/>
                              <w:tblCellMar>
                                <w:top w:w="0" w:type="dxa"/>
                                <w:left w:w="0" w:type="dxa"/>
                                <w:bottom w:w="0" w:type="dxa"/>
                                <w:right w:w="0" w:type="dxa"/>
                              </w:tblCellMar>
                            </w:tblPr>
                            <w:tblGrid>
                              <w:gridCol w:w="1822"/>
                              <w:gridCol w:w="60"/>
                              <w:gridCol w:w="2945"/>
                            </w:tblGrid>
                            <w:tr>
                              <w:trPr/>
                              <w:tc>
                                <w:tcPr>
                                  <w:tcW w:w="1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1822" w:type="dxa"/>
                                  <w:tcBorders/>
                                  <w:vAlign w:val="center"/>
                                </w:tcPr>
                                <w:p>
                                  <w:pPr>
                                    <w:pStyle w:val="TableContents"/>
                                    <w:bidi w:val="0"/>
                                    <w:spacing w:before="0" w:after="283"/>
                                    <w:jc w:val="left"/>
                                    <w:rPr/>
                                  </w:pPr>
                                  <w:r>
                                    <w:rPr/>
                                    <w:drawing>
                                      <wp:inline distT="0" distB="0" distL="0" distR="0">
                                        <wp:extent cx="1109345" cy="111379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109345" cy="11137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pPr>
                                  <w:r>
                                    <w:rPr/>
                                    <w:drawing>
                                      <wp:inline distT="0" distB="0" distL="0" distR="0">
                                        <wp:extent cx="1815465" cy="61214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815465" cy="6121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ANDREW C. FLORANCE</w:t>
                                  </w:r>
                                </w:p>
                                <w:p>
                                  <w:pPr>
                                    <w:pStyle w:val="TableContents"/>
                                    <w:bidi w:val="0"/>
                                    <w:spacing w:before="0" w:after="0"/>
                                    <w:jc w:val="left"/>
                                    <w:rPr>
                                      <w:rFonts w:ascii="ARIAL" w:hAnsi="ARIAL"/>
                                      <w:sz w:val="19"/>
                                    </w:rPr>
                                  </w:pPr>
                                  <w:r>
                                    <w:rPr>
                                      <w:rFonts w:ascii="ARIAL" w:hAnsi="ARIAL"/>
                                      <w:sz w:val="19"/>
                                    </w:rPr>
                                    <w:t>Founder, Chief Executive Officer,</w:t>
                                  </w:r>
                                </w:p>
                                <w:p>
                                  <w:pPr>
                                    <w:pStyle w:val="TableContents"/>
                                    <w:bidi w:val="0"/>
                                    <w:spacing w:before="0" w:after="20"/>
                                    <w:jc w:val="left"/>
                                    <w:rPr>
                                      <w:rFonts w:ascii="ARIAL" w:hAnsi="ARIAL"/>
                                      <w:sz w:val="18"/>
                                    </w:rPr>
                                  </w:pPr>
                                  <w:r>
                                    <w:rPr>
                                      <w:rFonts w:ascii="ARIAL" w:hAnsi="ARIAL"/>
                                      <w:sz w:val="18"/>
                                    </w:rPr>
                                    <w:t>and Director</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6.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of developing and expanding industry-leading platforms through disciplined acquisitions and organic investments. </w:t>
                      </w:r>
                    </w:p>
                    <w:p>
                      <w:pPr>
                        <w:pStyle w:val="TextBody"/>
                        <w:bidi w:val="0"/>
                        <w:spacing w:before="120" w:after="0"/>
                        <w:jc w:val="left"/>
                        <w:rPr>
                          <w:rFonts w:ascii="ARIAL" w:hAnsi="ARIAL"/>
                          <w:sz w:val="18"/>
                        </w:rPr>
                      </w:pPr>
                      <w:r>
                        <w:rPr>
                          <w:rFonts w:ascii="ARIAL" w:hAnsi="ARIAL"/>
                          <w:sz w:val="18"/>
                        </w:rPr>
                        <w:t xml:space="preserve">In particular, Homes.com has reached an inflection point. With the bulk of the investment phase complete, Homes.com is generating positive network effects across our ecosystem, contributing to improved performance at Apartments.com and enabling broader technology integration, including advancements in AI. </w:t>
                      </w:r>
                    </w:p>
                    <w:p>
                      <w:pPr>
                        <w:pStyle w:val="TextBody"/>
                        <w:bidi w:val="0"/>
                        <w:spacing w:before="120" w:after="0"/>
                        <w:jc w:val="left"/>
                        <w:rPr>
                          <w:rFonts w:ascii="ARIAL" w:hAnsi="ARIAL"/>
                          <w:sz w:val="18"/>
                        </w:rPr>
                      </w:pPr>
                      <w:r>
                        <w:rPr>
                          <w:rFonts w:ascii="ARIAL" w:hAnsi="ARIAL"/>
                          <w:sz w:val="18"/>
                        </w:rPr>
                        <w:t xml:space="preserve">In February 2026, we launched Homes Ai – the most sophisticated vertical AI application in real estate. We believe this innovation marks a new era for our business that will allow us to transform each of our platforms and meaningfully differentiate CoStar Group from the rest of the industry. We see meaningful opportunities to extend our Homes Ai and broader AI capabilities across our portfolio – including Apartments.com, CoStar, LoopNet, Land.com, and BizBuySell – ushering in what we believe will be a new era of intelligent, conversational real estate discovery. </w:t>
                      </w:r>
                    </w:p>
                    <w:p>
                      <w:pPr>
                        <w:pStyle w:val="TextBody"/>
                        <w:bidi w:val="0"/>
                        <w:spacing w:before="120" w:after="0"/>
                        <w:jc w:val="left"/>
                        <w:rPr>
                          <w:rFonts w:ascii="ARIAL" w:hAnsi="ARIAL"/>
                          <w:sz w:val="18"/>
                        </w:rPr>
                      </w:pPr>
                      <w:r>
                        <w:rPr>
                          <w:rFonts w:ascii="ARIAL" w:hAnsi="ARIAL"/>
                          <w:sz w:val="18"/>
                        </w:rPr>
                        <w:t xml:space="preserve">As we execute against our strategy, we are committed to being disciplined in our capital allocation and mindful of near-term stockholder returns. To that end, we completed the prior $500 million share repurchase authorization on an accelerated timeframe and the Board authorized a new $1.5 billion share repurchase program. </w:t>
                      </w:r>
                    </w:p>
                    <w:p>
                      <w:pPr>
                        <w:pStyle w:val="TextBody"/>
                        <w:bidi w:val="0"/>
                        <w:spacing w:before="120" w:after="0"/>
                        <w:jc w:val="left"/>
                        <w:rPr>
                          <w:rFonts w:ascii="ARIAL" w:hAnsi="ARIAL"/>
                          <w:sz w:val="18"/>
                        </w:rPr>
                      </w:pPr>
                      <w:r>
                        <w:rPr>
                          <w:rFonts w:ascii="ARIAL" w:hAnsi="ARIAL"/>
                          <w:sz w:val="18"/>
                        </w:rPr>
                        <w:t xml:space="preserve">CoStar Group’s operational and financial achievements would not have been possible without the hard work and dedication of our talented global team of over 8,000 employees. During the year, 13% of employees moved into new roles within the Company, and we maintained an average monthly retention rate of 99%. We are grateful for their continued contributions and commitment to CoStar Group. </w:t>
                      </w:r>
                    </w:p>
                    <w:p>
                      <w:pPr>
                        <w:pStyle w:val="TextBody"/>
                        <w:bidi w:val="0"/>
                        <w:spacing w:before="120" w:after="0"/>
                        <w:jc w:val="left"/>
                        <w:rPr>
                          <w:rFonts w:ascii="ARIAL" w:hAnsi="ARIAL"/>
                          <w:sz w:val="18"/>
                        </w:rPr>
                      </w:pPr>
                      <w:r>
                        <w:rPr>
                          <w:rFonts w:ascii="ARIAL" w:hAnsi="ARIAL"/>
                          <w:sz w:val="18"/>
                        </w:rPr>
                        <w:t xml:space="preserve">Our focus remains on increasing long-term stockholder value, and we look forward to continued stockholder engagement as we work to advance our next chapter. Thank you for your ongoing support and investment in CoStar Group. </w:t>
                      </w:r>
                    </w:p>
                    <w:p>
                      <w:pPr>
                        <w:pStyle w:val="TextBody"/>
                        <w:bidi w:val="0"/>
                        <w:spacing w:before="160" w:after="0"/>
                        <w:jc w:val="left"/>
                        <w:rPr>
                          <w:rFonts w:ascii="ARIAL" w:hAnsi="ARIAL"/>
                          <w:sz w:val="18"/>
                        </w:rPr>
                      </w:pPr>
                      <w:r>
                        <w:rPr>
                          <w:rFonts w:ascii="ARIAL" w:hAnsi="ARIAL"/>
                          <w:sz w:val="18"/>
                        </w:rPr>
                        <w:t xml:space="preserve">Sincerely, </w:t>
                      </w:r>
                    </w:p>
                    <w:p>
                      <w:pPr>
                        <w:pStyle w:val="TextBody"/>
                        <w:bidi w:val="0"/>
                        <w:spacing w:before="0" w:after="0"/>
                        <w:jc w:val="left"/>
                        <w:rPr/>
                      </w:pPr>
                      <w:r>
                        <w:rPr/>
                        <w:t> </w:t>
                      </w:r>
                    </w:p>
                    <w:tbl>
                      <w:tblPr>
                        <w:tblW w:w="4827" w:type="dxa"/>
                        <w:jc w:val="left"/>
                        <w:tblInd w:w="0" w:type="dxa"/>
                        <w:tblLayout w:type="fixed"/>
                        <w:tblCellMar>
                          <w:top w:w="0" w:type="dxa"/>
                          <w:left w:w="0" w:type="dxa"/>
                          <w:bottom w:w="0" w:type="dxa"/>
                          <w:right w:w="0" w:type="dxa"/>
                        </w:tblCellMar>
                      </w:tblPr>
                      <w:tblGrid>
                        <w:gridCol w:w="1822"/>
                        <w:gridCol w:w="60"/>
                        <w:gridCol w:w="2945"/>
                      </w:tblGrid>
                      <w:tr>
                        <w:trPr/>
                        <w:tc>
                          <w:tcPr>
                            <w:tcW w:w="1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1822" w:type="dxa"/>
                            <w:tcBorders/>
                            <w:vAlign w:val="center"/>
                          </w:tcPr>
                          <w:p>
                            <w:pPr>
                              <w:pStyle w:val="TableContents"/>
                              <w:bidi w:val="0"/>
                              <w:spacing w:before="0" w:after="283"/>
                              <w:jc w:val="left"/>
                              <w:rPr/>
                            </w:pPr>
                            <w:r>
                              <w:rPr/>
                              <w:drawing>
                                <wp:inline distT="0" distB="0" distL="0" distR="0">
                                  <wp:extent cx="1109345" cy="111379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1109345" cy="11137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pPr>
                            <w:r>
                              <w:rPr/>
                              <w:drawing>
                                <wp:inline distT="0" distB="0" distL="0" distR="0">
                                  <wp:extent cx="1815465" cy="61214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1815465" cy="6121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ANDREW C. FLORANCE</w:t>
                            </w:r>
                          </w:p>
                          <w:p>
                            <w:pPr>
                              <w:pStyle w:val="TableContents"/>
                              <w:bidi w:val="0"/>
                              <w:spacing w:before="0" w:after="0"/>
                              <w:jc w:val="left"/>
                              <w:rPr>
                                <w:rFonts w:ascii="ARIAL" w:hAnsi="ARIAL"/>
                                <w:sz w:val="19"/>
                              </w:rPr>
                            </w:pPr>
                            <w:r>
                              <w:rPr>
                                <w:rFonts w:ascii="ARIAL" w:hAnsi="ARIAL"/>
                                <w:sz w:val="19"/>
                              </w:rPr>
                              <w:t>Founder, Chief Executive Officer,</w:t>
                            </w:r>
                          </w:p>
                          <w:p>
                            <w:pPr>
                              <w:pStyle w:val="TableContents"/>
                              <w:bidi w:val="0"/>
                              <w:spacing w:before="0" w:after="20"/>
                              <w:jc w:val="left"/>
                              <w:rPr>
                                <w:rFonts w:ascii="ARIAL" w:hAnsi="ARIAL"/>
                                <w:sz w:val="18"/>
                              </w:rPr>
                            </w:pPr>
                            <w:r>
                              <w:rPr>
                                <w:rFonts w:ascii="ARIAL" w:hAnsi="ARIAL"/>
                                <w:sz w:val="18"/>
                              </w:rPr>
                              <w:t>and Director</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3110230" cy="7248525"/>
                <wp:effectExtent l="0" t="0" r="0" b="0"/>
                <wp:wrapSquare wrapText="right"/>
                <wp:docPr id="11" name="Frame3"/>
                <a:graphic xmlns:a="http://schemas.openxmlformats.org/drawingml/2006/main">
                  <a:graphicData uri="http://schemas.microsoft.com/office/word/2010/wordprocessingShape">
                    <wps:wsp>
                      <wps:cNvSpPr txBox="1"/>
                      <wps:spPr>
                        <a:xfrm>
                          <a:off x="0" y="0"/>
                          <a:ext cx="3110230" cy="7248525"/>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2025 was a pivotal year for CoStar Group, as we continued to execute on our proven value creation playbook and strengthen our global leadership in the digital transformation of the $300+ trillion real estate industry. We have a strong foundation and continue to expand and evolve our platforms to drive our next chapter of profitable growth and margin expansion. </w:t>
                            </w:r>
                          </w:p>
                          <w:p>
                            <w:pPr>
                              <w:pStyle w:val="TextBody"/>
                              <w:bidi w:val="0"/>
                              <w:spacing w:before="120" w:after="0"/>
                              <w:jc w:val="left"/>
                              <w:rPr>
                                <w:rFonts w:ascii="ARIAL" w:hAnsi="ARIAL"/>
                                <w:sz w:val="18"/>
                              </w:rPr>
                            </w:pPr>
                            <w:r>
                              <w:rPr>
                                <w:rFonts w:ascii="ARIAL" w:hAnsi="ARIAL"/>
                                <w:sz w:val="18"/>
                              </w:rPr>
                              <w:t xml:space="preserve">Our core businesses are profitable, stable, and growing – underscored by our 59th consecutive quarter of double-digit revenue growth in the fourth quarter of 2025. In 2025, we achieved record revenue of $3.2 billion, an increase of 19% over 2024. Adjusted EBITDA for 2025 surged 83% to $442 million, reflecting the immense operating leverage inherent in our platform as we transition from a phase of major investment to one of profitable growth. </w:t>
                            </w:r>
                          </w:p>
                          <w:p>
                            <w:pPr>
                              <w:pStyle w:val="TextBody"/>
                              <w:bidi w:val="0"/>
                              <w:spacing w:before="120" w:after="0"/>
                              <w:jc w:val="left"/>
                              <w:rPr>
                                <w:rFonts w:ascii="ARIAL" w:hAnsi="ARIAL"/>
                                <w:sz w:val="18"/>
                              </w:rPr>
                            </w:pPr>
                            <w:r>
                              <w:rPr>
                                <w:rFonts w:ascii="ARIAL" w:hAnsi="ARIAL"/>
                                <w:sz w:val="18"/>
                              </w:rPr>
                              <w:t xml:space="preserve">I am particularly proud of the progress we are seeing with Homes.com. The platform now attracted 35,000 agent subscribers – 76% of whom are on annual contracts – generating over $100 million in annualized run-rate revenue. In just two years, Homes.com has become the fastest-growing residential real estate portal network in the U.S., reaching more than 2.1 billion views and 108 million average monthly unique visitors in 2025. </w:t>
                            </w:r>
                          </w:p>
                          <w:p>
                            <w:pPr>
                              <w:pStyle w:val="TextBody"/>
                              <w:bidi w:val="0"/>
                              <w:spacing w:before="120" w:after="0"/>
                              <w:jc w:val="left"/>
                              <w:rPr>
                                <w:rFonts w:ascii="ARIAL" w:hAnsi="ARIAL"/>
                                <w:b/>
                                <w:sz w:val="24"/>
                              </w:rPr>
                            </w:pPr>
                            <w:r>
                              <w:rPr>
                                <w:rFonts w:ascii="ARIAL" w:hAnsi="ARIAL"/>
                                <w:b/>
                                <w:sz w:val="24"/>
                              </w:rPr>
                              <w:t xml:space="preserve">Delivering on Our Proven Value Creation Strategy </w:t>
                            </w:r>
                          </w:p>
                          <w:p>
                            <w:pPr>
                              <w:pStyle w:val="TextBody"/>
                              <w:bidi w:val="0"/>
                              <w:spacing w:before="120" w:after="0"/>
                              <w:jc w:val="left"/>
                              <w:rPr>
                                <w:rFonts w:ascii="ARIAL" w:hAnsi="ARIAL"/>
                                <w:sz w:val="18"/>
                              </w:rPr>
                            </w:pPr>
                            <w:r>
                              <w:rPr>
                                <w:rFonts w:ascii="ARIAL" w:hAnsi="ARIAL"/>
                                <w:sz w:val="18"/>
                              </w:rPr>
                              <w:t xml:space="preserve">Following recommendations from the Capital Allocation Committee and a comprehensive Board review in 2025, we implemented key business, financial, and governance initiatives focused on accelerating profitability for Homes.com, making disciplined investments in our core platforms, delivering incremental capital returns to stockholders, aligning executive compensation with stockholders’ interests, strengthening corporate governance, and enhancing investor transparency. Our strategic plan has been informed by extensive stockholder engagement, which is integral to the success of the Company. Since the start of 2026, I have greatly valued meeting with 500 stockholders around the world. We appreciate your continued support and feedback. </w:t>
                            </w:r>
                          </w:p>
                          <w:p>
                            <w:pPr>
                              <w:pStyle w:val="TextBody"/>
                              <w:bidi w:val="0"/>
                              <w:spacing w:before="120" w:after="0"/>
                              <w:jc w:val="left"/>
                              <w:rPr>
                                <w:rFonts w:ascii="ARIAL" w:hAnsi="ARIAL"/>
                                <w:sz w:val="18"/>
                              </w:rPr>
                            </w:pPr>
                            <w:r>
                              <w:rPr>
                                <w:rFonts w:ascii="ARIAL" w:hAnsi="ARIAL"/>
                                <w:sz w:val="18"/>
                              </w:rPr>
                              <w:t xml:space="preserve">We continue to invest in expanding our commercial product offerings, including the addition of real estate lease benchmarking, a loan origination module, new homes construction information and analytics, hospitality profit/loss benchmarking, and further international expansion. In 2025, we acquired Matterport, the global leader in 3D digital twin technology, and Domain, one of Australia’s most recognized and trusted property platforms. </w:t>
                            </w:r>
                          </w:p>
                          <w:p>
                            <w:pPr>
                              <w:pStyle w:val="TextBody"/>
                              <w:bidi w:val="0"/>
                              <w:spacing w:before="120" w:after="0"/>
                              <w:jc w:val="left"/>
                              <w:rPr>
                                <w:rFonts w:ascii="ARIAL" w:hAnsi="ARIAL"/>
                                <w:sz w:val="18"/>
                              </w:rPr>
                            </w:pPr>
                            <w:r>
                              <w:rPr>
                                <w:rFonts w:ascii="ARIAL" w:hAnsi="ARIAL"/>
                                <w:sz w:val="18"/>
                              </w:rPr>
                              <w:t xml:space="preserve">These investments enable us to enhance and better execute our proven value creation playbook to unlock the tremendous value of our digital ecosystem and build upon our deep history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0.7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2025 was a pivotal year for CoStar Group, as we continued to execute on our proven value creation playbook and strengthen our global leadership in the digital transformation of the $300+ trillion real estate industry. We have a strong foundation and continue to expand and evolve our platforms to drive our next chapter of profitable growth and margin expansion. </w:t>
                      </w:r>
                    </w:p>
                    <w:p>
                      <w:pPr>
                        <w:pStyle w:val="TextBody"/>
                        <w:bidi w:val="0"/>
                        <w:spacing w:before="120" w:after="0"/>
                        <w:jc w:val="left"/>
                        <w:rPr>
                          <w:rFonts w:ascii="ARIAL" w:hAnsi="ARIAL"/>
                          <w:sz w:val="18"/>
                        </w:rPr>
                      </w:pPr>
                      <w:r>
                        <w:rPr>
                          <w:rFonts w:ascii="ARIAL" w:hAnsi="ARIAL"/>
                          <w:sz w:val="18"/>
                        </w:rPr>
                        <w:t xml:space="preserve">Our core businesses are profitable, stable, and growing – underscored by our 59th consecutive quarter of double-digit revenue growth in the fourth quarter of 2025. In 2025, we achieved record revenue of $3.2 billion, an increase of 19% over 2024. Adjusted EBITDA for 2025 surged 83% to $442 million, reflecting the immense operating leverage inherent in our platform as we transition from a phase of major investment to one of profitable growth. </w:t>
                      </w:r>
                    </w:p>
                    <w:p>
                      <w:pPr>
                        <w:pStyle w:val="TextBody"/>
                        <w:bidi w:val="0"/>
                        <w:spacing w:before="120" w:after="0"/>
                        <w:jc w:val="left"/>
                        <w:rPr>
                          <w:rFonts w:ascii="ARIAL" w:hAnsi="ARIAL"/>
                          <w:sz w:val="18"/>
                        </w:rPr>
                      </w:pPr>
                      <w:r>
                        <w:rPr>
                          <w:rFonts w:ascii="ARIAL" w:hAnsi="ARIAL"/>
                          <w:sz w:val="18"/>
                        </w:rPr>
                        <w:t xml:space="preserve">I am particularly proud of the progress we are seeing with Homes.com. The platform now attracted 35,000 agent subscribers – 76% of whom are on annual contracts – generating over $100 million in annualized run-rate revenue. In just two years, Homes.com has become the fastest-growing residential real estate portal network in the U.S., reaching more than 2.1 billion views and 108 million average monthly unique visitors in 2025. </w:t>
                      </w:r>
                    </w:p>
                    <w:p>
                      <w:pPr>
                        <w:pStyle w:val="TextBody"/>
                        <w:bidi w:val="0"/>
                        <w:spacing w:before="120" w:after="0"/>
                        <w:jc w:val="left"/>
                        <w:rPr>
                          <w:rFonts w:ascii="ARIAL" w:hAnsi="ARIAL"/>
                          <w:b/>
                          <w:sz w:val="24"/>
                        </w:rPr>
                      </w:pPr>
                      <w:r>
                        <w:rPr>
                          <w:rFonts w:ascii="ARIAL" w:hAnsi="ARIAL"/>
                          <w:b/>
                          <w:sz w:val="24"/>
                        </w:rPr>
                        <w:t xml:space="preserve">Delivering on Our Proven Value Creation Strategy </w:t>
                      </w:r>
                    </w:p>
                    <w:p>
                      <w:pPr>
                        <w:pStyle w:val="TextBody"/>
                        <w:bidi w:val="0"/>
                        <w:spacing w:before="120" w:after="0"/>
                        <w:jc w:val="left"/>
                        <w:rPr>
                          <w:rFonts w:ascii="ARIAL" w:hAnsi="ARIAL"/>
                          <w:sz w:val="18"/>
                        </w:rPr>
                      </w:pPr>
                      <w:r>
                        <w:rPr>
                          <w:rFonts w:ascii="ARIAL" w:hAnsi="ARIAL"/>
                          <w:sz w:val="18"/>
                        </w:rPr>
                        <w:t xml:space="preserve">Following recommendations from the Capital Allocation Committee and a comprehensive Board review in 2025, we implemented key business, financial, and governance initiatives focused on accelerating profitability for Homes.com, making disciplined investments in our core platforms, delivering incremental capital returns to stockholders, aligning executive compensation with stockholders’ interests, strengthening corporate governance, and enhancing investor transparency. Our strategic plan has been informed by extensive stockholder engagement, which is integral to the success of the Company. Since the start of 2026, I have greatly valued meeting with 500 stockholders around the world. We appreciate your continued support and feedback. </w:t>
                      </w:r>
                    </w:p>
                    <w:p>
                      <w:pPr>
                        <w:pStyle w:val="TextBody"/>
                        <w:bidi w:val="0"/>
                        <w:spacing w:before="120" w:after="0"/>
                        <w:jc w:val="left"/>
                        <w:rPr>
                          <w:rFonts w:ascii="ARIAL" w:hAnsi="ARIAL"/>
                          <w:sz w:val="18"/>
                        </w:rPr>
                      </w:pPr>
                      <w:r>
                        <w:rPr>
                          <w:rFonts w:ascii="ARIAL" w:hAnsi="ARIAL"/>
                          <w:sz w:val="18"/>
                        </w:rPr>
                        <w:t xml:space="preserve">We continue to invest in expanding our commercial product offerings, including the addition of real estate lease benchmarking, a loan origination module, new homes construction information and analytics, hospitality profit/loss benchmarking, and further international expansion. In 2025, we acquired Matterport, the global leader in 3D digital twin technology, and Domain, one of Australia’s most recognized and trusted property platforms. </w:t>
                      </w:r>
                    </w:p>
                    <w:p>
                      <w:pPr>
                        <w:pStyle w:val="TextBody"/>
                        <w:bidi w:val="0"/>
                        <w:spacing w:before="120" w:after="0"/>
                        <w:jc w:val="left"/>
                        <w:rPr>
                          <w:rFonts w:ascii="ARIAL" w:hAnsi="ARIAL"/>
                          <w:sz w:val="18"/>
                        </w:rPr>
                      </w:pPr>
                      <w:r>
                        <w:rPr>
                          <w:rFonts w:ascii="ARIAL" w:hAnsi="ARIAL"/>
                          <w:sz w:val="18"/>
                        </w:rPr>
                        <w:t xml:space="preserve">These investments enable us to enhance and better execute our proven value creation playbook to unlock the tremendous value of our digital ecosystem and build upon our deep history </w:t>
                      </w:r>
                    </w:p>
                  </w:txbxContent>
                </v:textbox>
                <w10:wrap type="square" side="right"/>
              </v:rect>
            </w:pict>
          </mc:Fallback>
        </mc:AlternateConten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1505"/>
        <w:gridCol w:w="120"/>
        <w:gridCol w:w="180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right"/>
              <w:rPr>
                <w:rFonts w:ascii="ARIAL" w:hAnsi="ARIAL"/>
                <w:sz w:val="14"/>
              </w:rPr>
            </w:pPr>
            <w:r>
              <w:rPr>
                <w:rFonts w:ascii="ARIAL" w:hAnsi="ARIAL"/>
                <w:sz w:val="14"/>
              </w:rPr>
              <w:t>2026 PROXY STATEMENT 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r>
        <w:rPr>
          <w:rFonts w:ascii="ARIAL" w:hAnsi="ARIAL"/>
          <w:b/>
          <w:sz w:val="64"/>
        </w:rPr>
        <w:t xml:space="preserve">MESSAGE FROM OUR </w:t>
      </w:r>
    </w:p>
    <w:p>
      <w:pPr>
        <w:pStyle w:val="TextBody"/>
        <w:bidi w:val="0"/>
        <w:spacing w:before="0" w:after="0"/>
        <w:jc w:val="left"/>
        <w:rPr>
          <w:rFonts w:ascii="ARIAL" w:hAnsi="ARIAL"/>
          <w:b/>
          <w:sz w:val="64"/>
        </w:rPr>
      </w:pPr>
      <w:r>
        <w:rPr>
          <w:rFonts w:ascii="ARIAL" w:hAnsi="ARIAL"/>
          <w:b/>
          <w:sz w:val="64"/>
        </w:rPr>
        <w:t xml:space="preserve">BOARD CHAIR </w:t>
      </w:r>
    </w:p>
    <w:p>
      <w:pPr>
        <w:pStyle w:val="TextBody"/>
        <w:bidi w:val="0"/>
        <w:spacing w:before="480" w:after="0"/>
        <w:jc w:val="left"/>
        <w:rPr>
          <w:rFonts w:ascii="ARIAL" w:hAnsi="ARIAL"/>
          <w:sz w:val="18"/>
        </w:rPr>
      </w:pPr>
      <w:r>
        <w:rPr>
          <w:rFonts w:ascii="ARIAL" w:hAnsi="ARIAL"/>
          <w:sz w:val="18"/>
        </w:rPr>
        <w:t xml:space="preserve">Dear Fellow Stockholders, </w:t>
      </w:r>
    </w:p>
    <w:p>
      <w:pPr>
        <w:pStyle w:val="TextBody"/>
        <w:bidi w:val="0"/>
        <w:spacing w:before="160" w:after="0"/>
        <w:jc w:val="left"/>
        <w:rPr>
          <w:rFonts w:ascii="ARIAL" w:hAnsi="ARIAL"/>
          <w:sz w:val="18"/>
        </w:rPr>
      </w:pPr>
      <w:r>
        <w:rPr>
          <w:rFonts w:ascii="ARIAL" w:hAnsi="ARIAL"/>
          <w:sz w:val="18"/>
        </w:rPr>
        <w:t xml:space="preserve">It is an honor to serve as Chair of the Board of Directors of CoStar Group, alongside a deeply engaged and experienced group of directors. Our Board is actively engaged in overseeing management and supporting long-term value creation on your behalf. </w:t>
      </w:r>
    </w:p>
    <w:p>
      <w:pPr>
        <w:pStyle w:val="TextBody"/>
        <w:bidi w:val="0"/>
        <w:spacing w:before="160" w:after="0"/>
        <w:jc w:val="left"/>
        <w:rPr>
          <w:rFonts w:ascii="ARIAL" w:hAnsi="ARIAL"/>
          <w:sz w:val="18"/>
        </w:rPr>
      </w:pPr>
      <w:r>
        <w:rPr>
          <w:rFonts w:ascii="ARIAL" w:hAnsi="ARIAL"/>
          <w:sz w:val="18"/>
        </w:rPr>
        <w:t xml:space="preserve">Over the past year, our Board focused on three priorities that we heard matter most to our stockholders: aligning executive compensation with pay-for-performance, disciplined capital allocation, and sustained investment in strategic initiatives to drive durable long-term value creation. </w:t>
      </w:r>
    </w:p>
    <w:p>
      <w:pPr>
        <w:pStyle w:val="TextBody"/>
        <w:bidi w:val="0"/>
        <w:spacing w:before="160" w:after="0"/>
        <w:jc w:val="left"/>
        <w:rPr>
          <w:rFonts w:ascii="ARIAL" w:hAnsi="ARIAL"/>
          <w:b/>
          <w:sz w:val="24"/>
        </w:rPr>
      </w:pPr>
      <w:r>
        <w:rPr>
          <w:rFonts w:ascii="ARIAL" w:hAnsi="ARIAL"/>
          <w:b/>
          <w:sz w:val="24"/>
        </w:rPr>
        <w:t xml:space="preserve">Meaningful Stockholder Engagement and Executive Compensation Alignment </w:t>
      </w:r>
    </w:p>
    <w:p>
      <w:pPr>
        <w:pStyle w:val="TextBody"/>
        <w:bidi w:val="0"/>
        <w:spacing w:before="160" w:after="0"/>
        <w:jc w:val="left"/>
        <w:rPr>
          <w:rFonts w:ascii="ARIAL" w:hAnsi="ARIAL"/>
          <w:sz w:val="18"/>
        </w:rPr>
      </w:pPr>
      <w:r>
        <w:rPr>
          <w:rFonts w:ascii="ARIAL" w:hAnsi="ARIAL"/>
          <w:sz w:val="18"/>
        </w:rPr>
        <w:t xml:space="preserve">Following the annual meeting of stockholders in 2025, Robert Musslewhite, Chair of our Compensation Committee, and/or I, met personally with 100% of the Company’s top 50 stockholders that responded to the Company’s outreach and agreed to discuss our executive compensation program. </w:t>
      </w:r>
    </w:p>
    <w:p>
      <w:pPr>
        <w:pStyle w:val="TextBody"/>
        <w:bidi w:val="0"/>
        <w:spacing w:before="160" w:after="0"/>
        <w:jc w:val="left"/>
        <w:rPr>
          <w:rFonts w:ascii="ARIAL" w:hAnsi="ARIAL"/>
          <w:sz w:val="18"/>
        </w:rPr>
      </w:pPr>
      <w:r>
        <w:rPr>
          <w:rFonts w:ascii="ARIAL" w:hAnsi="ARIAL"/>
          <w:sz w:val="18"/>
        </w:rPr>
        <w:t xml:space="preserve">Stockholders we met with emphasized the importance of rigorous performance alignment, transparency, and accountability. In response, the Board—led by the Compensation Committee—redesigned our 2026 executive compensation program with more rigorous, predominantly quantitative performance goals, a simplified structure, and clearer pay-for-performance alignment. </w:t>
      </w:r>
    </w:p>
    <w:p>
      <w:pPr>
        <w:pStyle w:val="TextBody"/>
        <w:bidi w:val="0"/>
        <w:spacing w:before="160" w:after="0"/>
        <w:jc w:val="left"/>
        <w:rPr>
          <w:rFonts w:ascii="ARIAL" w:hAnsi="ARIAL"/>
          <w:sz w:val="18"/>
        </w:rPr>
      </w:pPr>
      <w:r>
        <w:rPr>
          <w:rFonts w:ascii="ARIAL" w:hAnsi="ARIAL"/>
          <w:sz w:val="18"/>
        </w:rPr>
        <w:t xml:space="preserve">The Board will continue to assess the program regularly and engage with stockholders to ensure it remains fit for purpose. </w:t>
      </w:r>
    </w:p>
    <w:p>
      <w:pPr>
        <w:pStyle w:val="TextBody"/>
        <w:bidi w:val="0"/>
        <w:spacing w:before="160" w:after="0"/>
        <w:jc w:val="left"/>
        <w:rPr>
          <w:rFonts w:ascii="ARIAL" w:hAnsi="ARIAL"/>
          <w:b/>
          <w:sz w:val="24"/>
        </w:rPr>
      </w:pPr>
      <w:r>
        <w:rPr>
          <w:rFonts w:ascii="ARIAL" w:hAnsi="ARIAL"/>
          <w:b/>
          <w:sz w:val="24"/>
        </w:rPr>
        <w:t xml:space="preserve">Disciplined Capital Allocation and Strategic Oversight </w:t>
      </w:r>
    </w:p>
    <w:p>
      <w:pPr>
        <w:pStyle w:val="TextBody"/>
        <w:bidi w:val="0"/>
        <w:spacing w:before="160" w:after="0"/>
        <w:jc w:val="left"/>
        <w:rPr>
          <w:rFonts w:ascii="ARIAL" w:hAnsi="ARIAL"/>
          <w:sz w:val="18"/>
        </w:rPr>
      </w:pPr>
      <w:r>
        <w:rPr>
          <w:rFonts w:ascii="ARIAL" w:hAnsi="ARIAL"/>
          <w:sz w:val="18"/>
        </w:rPr>
        <w:t xml:space="preserve">The Board maintained close oversight of capital allocation throughout 2025, informed by recommendations of the Capital Allocation Committee, as CoStar Group continues to scale its platforms and pursue opportunities to expand its leadership across commercial and residential real estate globally. </w:t>
      </w:r>
    </w:p>
    <w:p>
      <w:pPr>
        <w:pStyle w:val="TextBody"/>
        <w:bidi w:val="0"/>
        <w:spacing w:before="160" w:after="0"/>
        <w:jc w:val="left"/>
        <w:rPr>
          <w:rFonts w:ascii="ARIAL" w:hAnsi="ARIAL"/>
          <w:sz w:val="18"/>
        </w:rPr>
      </w:pPr>
      <w:r>
        <w:rPr>
          <w:rFonts w:ascii="ARIAL" w:hAnsi="ARIAL"/>
          <w:sz w:val="18"/>
        </w:rPr>
        <w:t xml:space="preserve">After careful evaluation, the Board supports disciplined investment in Homes.com to advance our long-term strategic direction and strengthen our position in the residential marketplace. </w:t>
      </w:r>
    </w:p>
    <w:p>
      <w:pPr>
        <w:pStyle w:val="TextBody"/>
        <w:bidi w:val="0"/>
        <w:spacing w:before="160" w:after="0"/>
        <w:jc w:val="left"/>
        <w:rPr>
          <w:rFonts w:ascii="ARIAL" w:hAnsi="ARIAL"/>
          <w:b/>
          <w:sz w:val="24"/>
        </w:rPr>
      </w:pPr>
      <w:r>
        <w:rPr>
          <w:rFonts w:ascii="ARIAL" w:hAnsi="ARIAL"/>
          <w:b/>
          <w:sz w:val="24"/>
        </w:rPr>
        <w:t xml:space="preserve">Collaborative Board–Management Partnership </w:t>
      </w:r>
    </w:p>
    <w:p>
      <w:pPr>
        <w:pStyle w:val="TextBody"/>
        <w:bidi w:val="0"/>
        <w:spacing w:before="160" w:after="0"/>
        <w:jc w:val="left"/>
        <w:rPr>
          <w:rFonts w:ascii="ARIAL" w:hAnsi="ARIAL"/>
          <w:sz w:val="18"/>
        </w:rPr>
      </w:pPr>
      <w:r>
        <w:rPr>
          <w:rFonts w:ascii="ARIAL" w:hAnsi="ARIAL"/>
          <w:sz w:val="18"/>
        </w:rPr>
        <w:t xml:space="preserve">Throughout these efforts, the Board has worked in close partnership with our founder-led management team—providing oversight, strategic guidance, and support, while respecting management’s role in day-to-day execution. This collaborative relationship is a defining strength of our governance approach and positions the Company well for continued success. </w:t>
      </w:r>
    </w:p>
    <w:p>
      <w:pPr>
        <w:pStyle w:val="TextBody"/>
        <w:bidi w:val="0"/>
        <w:spacing w:before="160" w:after="0"/>
        <w:jc w:val="left"/>
        <w:rPr>
          <w:rFonts w:ascii="ARIAL" w:hAnsi="ARIAL"/>
          <w:b/>
          <w:sz w:val="24"/>
        </w:rPr>
      </w:pPr>
      <w:r>
        <w:rPr>
          <w:rFonts w:ascii="ARIAL" w:hAnsi="ARIAL"/>
          <w:b/>
          <w:sz w:val="24"/>
        </w:rPr>
        <w:t xml:space="preserve">Board Refreshment and Ongoing Governance Evolution </w:t>
      </w:r>
    </w:p>
    <w:p>
      <w:pPr>
        <w:pStyle w:val="TextBody"/>
        <w:bidi w:val="0"/>
        <w:spacing w:before="160" w:after="0"/>
        <w:jc w:val="left"/>
        <w:rPr>
          <w:rFonts w:ascii="ARIAL" w:hAnsi="ARIAL"/>
          <w:sz w:val="18"/>
        </w:rPr>
      </w:pPr>
      <w:r>
        <w:rPr>
          <w:rFonts w:ascii="ARIAL" w:hAnsi="ARIAL"/>
          <w:sz w:val="18"/>
        </w:rPr>
        <w:t xml:space="preserve">The Board remains focused on ensuring we have the right skills, perspectives, and experience to guide the Company’s strategy. As a result of our ongoing refreshment efforts, half of our directors have joined within the past three years. </w:t>
      </w:r>
    </w:p>
    <w:p>
      <w:pPr>
        <w:pStyle w:val="TextBody"/>
        <w:bidi w:val="0"/>
        <w:spacing w:before="160" w:after="0"/>
        <w:jc w:val="left"/>
        <w:rPr>
          <w:rFonts w:ascii="ARIAL" w:hAnsi="ARIAL"/>
          <w:sz w:val="18"/>
        </w:rPr>
      </w:pPr>
      <w:r>
        <w:rPr>
          <w:rFonts w:ascii="ARIAL" w:hAnsi="ARIAL"/>
          <w:sz w:val="18"/>
        </w:rPr>
        <w:t xml:space="preserve">The Board remains firmly committed to strong governance, active stockholder engagement, and disciplined oversight of strategy, compensation, and capital allocation. </w:t>
      </w:r>
    </w:p>
    <w:p>
      <w:pPr>
        <w:pStyle w:val="TextBody"/>
        <w:bidi w:val="0"/>
        <w:spacing w:before="160" w:after="0"/>
        <w:jc w:val="left"/>
        <w:rPr>
          <w:rFonts w:ascii="ARIAL" w:hAnsi="ARIAL"/>
          <w:sz w:val="18"/>
        </w:rPr>
      </w:pPr>
      <w:r>
        <w:rPr>
          <w:rFonts w:ascii="ARIAL" w:hAnsi="ARIAL"/>
          <w:sz w:val="18"/>
        </w:rPr>
        <w:t xml:space="preserve">On behalf of the Board, thank you for your continued trust and investment in CoStar Group. We respectfully ask for your support on the proposals presented at this year’s Annual Meeting. </w:t>
      </w:r>
    </w:p>
    <w:p>
      <w:pPr>
        <w:pStyle w:val="TextBody"/>
        <w:bidi w:val="0"/>
        <w:spacing w:before="120" w:after="0"/>
        <w:jc w:val="left"/>
        <w:rPr>
          <w:rFonts w:ascii="ARIAL" w:hAnsi="ARIAL"/>
          <w:sz w:val="18"/>
        </w:rPr>
      </w:pPr>
      <w:r>
        <w:rPr>
          <w:rFonts w:ascii="ARIAL" w:hAnsi="ARIAL"/>
          <w:sz w:val="18"/>
        </w:rPr>
        <w:t xml:space="preserve">Sincerely, </w:t>
      </w:r>
    </w:p>
    <w:p>
      <w:pPr>
        <w:pStyle w:val="TextBody"/>
        <w:bidi w:val="0"/>
        <w:spacing w:before="0" w:after="0"/>
        <w:jc w:val="left"/>
        <w:rPr/>
      </w:pPr>
      <w:r>
        <w:rPr/>
        <w:t> </w:t>
      </w:r>
    </w:p>
    <w:tbl>
      <w:tblPr>
        <w:tblW w:w="4816" w:type="dxa"/>
        <w:jc w:val="left"/>
        <w:tblInd w:w="0" w:type="dxa"/>
        <w:tblLayout w:type="fixed"/>
        <w:tblCellMar>
          <w:top w:w="0" w:type="dxa"/>
          <w:left w:w="0" w:type="dxa"/>
          <w:bottom w:w="0" w:type="dxa"/>
          <w:right w:w="0" w:type="dxa"/>
        </w:tblCellMar>
      </w:tblPr>
      <w:tblGrid>
        <w:gridCol w:w="1822"/>
        <w:gridCol w:w="60"/>
        <w:gridCol w:w="2934"/>
      </w:tblGrid>
      <w:tr>
        <w:trPr/>
        <w:tc>
          <w:tcPr>
            <w:tcW w:w="1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r>
      <w:tr>
        <w:trPr/>
        <w:tc>
          <w:tcPr>
            <w:tcW w:w="1822" w:type="dxa"/>
            <w:tcBorders/>
            <w:vAlign w:val="center"/>
          </w:tcPr>
          <w:p>
            <w:pPr>
              <w:pStyle w:val="TableContents"/>
              <w:bidi w:val="0"/>
              <w:spacing w:before="0" w:after="283"/>
              <w:jc w:val="left"/>
              <w:rPr/>
            </w:pPr>
            <w:r>
              <w:rPr/>
              <w:drawing>
                <wp:inline distT="0" distB="0" distL="0" distR="0">
                  <wp:extent cx="1109345" cy="111379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0"/>
                          <a:stretch>
                            <a:fillRect/>
                          </a:stretch>
                        </pic:blipFill>
                        <pic:spPr bwMode="auto">
                          <a:xfrm>
                            <a:off x="0" y="0"/>
                            <a:ext cx="1109345" cy="11137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0"/>
              <w:jc w:val="left"/>
              <w:rPr/>
            </w:pPr>
            <w:r>
              <w:rPr/>
              <w:drawing>
                <wp:inline distT="0" distB="0" distL="0" distR="0">
                  <wp:extent cx="1815465" cy="56515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1"/>
                          <a:stretch>
                            <a:fillRect/>
                          </a:stretch>
                        </pic:blipFill>
                        <pic:spPr bwMode="auto">
                          <a:xfrm>
                            <a:off x="0" y="0"/>
                            <a:ext cx="1815465" cy="565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LOUISE S. SAMS</w:t>
            </w:r>
          </w:p>
          <w:p>
            <w:pPr>
              <w:pStyle w:val="TableContents"/>
              <w:bidi w:val="0"/>
              <w:spacing w:before="0" w:after="0"/>
              <w:jc w:val="left"/>
              <w:rPr>
                <w:rFonts w:ascii="ARIAL" w:hAnsi="ARIAL"/>
                <w:sz w:val="18"/>
              </w:rPr>
            </w:pPr>
            <w:r>
              <w:rPr>
                <w:rFonts w:ascii="ARIAL" w:hAnsi="ARIAL"/>
                <w:sz w:val="18"/>
              </w:rPr>
              <w:t>Board Chair, CoStar Group, Inc.</w:t>
            </w:r>
          </w:p>
          <w:p>
            <w:pPr>
              <w:pStyle w:val="TableContents"/>
              <w:bidi w:val="0"/>
              <w:spacing w:before="0" w:after="20"/>
              <w:jc w:val="left"/>
              <w:rPr/>
            </w:pPr>
            <w:r>
              <w:rPr/>
              <w:t>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1505"/>
        <w:gridCol w:w="120"/>
        <w:gridCol w:w="180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right"/>
              <w:rPr>
                <w:rFonts w:ascii="ARIAL" w:hAnsi="ARIAL"/>
                <w:sz w:val="14"/>
              </w:rPr>
            </w:pPr>
            <w:r>
              <w:rPr>
                <w:rFonts w:ascii="ARIAL" w:hAnsi="ARIAL"/>
                <w:sz w:val="14"/>
              </w:rPr>
              <w:t>2026 PROXY STATEMENT 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r>
        <w:rPr>
          <w:rFonts w:ascii="ARIAL" w:hAnsi="ARIAL"/>
          <w:b/>
          <w:sz w:val="64"/>
        </w:rPr>
        <w:t xml:space="preserve">NOTICE OF 2026 ANNUAL MEETING OF STOCKHOLDERS </w:t>
      </w:r>
    </w:p>
    <w:p>
      <w:pPr>
        <w:pStyle w:val="TextBody"/>
        <w:bidi w:val="0"/>
        <w:spacing w:before="0" w:after="0"/>
        <w:jc w:val="left"/>
        <w:rPr/>
      </w:pPr>
      <w:r>
        <w:rPr/>
        <w:t> </w:t>
      </w:r>
    </w:p>
    <w:tbl>
      <w:tblPr>
        <w:tblW w:w="7820" w:type="dxa"/>
        <w:jc w:val="left"/>
        <w:tblInd w:w="0" w:type="dxa"/>
        <w:tblLayout w:type="fixed"/>
        <w:tblCellMar>
          <w:top w:w="0" w:type="dxa"/>
          <w:left w:w="0" w:type="dxa"/>
          <w:bottom w:w="0" w:type="dxa"/>
          <w:right w:w="0" w:type="dxa"/>
        </w:tblCellMar>
      </w:tblPr>
      <w:tblGrid>
        <w:gridCol w:w="7820"/>
      </w:tblGrid>
      <w:tr>
        <w:trPr/>
        <w:tc>
          <w:tcPr>
            <w:tcW w:w="7820" w:type="dxa"/>
            <w:tcBorders/>
            <w:vAlign w:val="center"/>
          </w:tcPr>
          <w:p>
            <w:pPr>
              <w:pStyle w:val="TableContents"/>
              <w:bidi w:val="0"/>
              <w:spacing w:before="0" w:after="283"/>
              <w:jc w:val="left"/>
              <w:rPr>
                <w:sz w:val="4"/>
                <w:szCs w:val="4"/>
              </w:rPr>
            </w:pPr>
            <w:r>
              <w:rPr>
                <w:sz w:val="4"/>
                <w:szCs w:val="4"/>
              </w:rPr>
            </w:r>
          </w:p>
        </w:tc>
      </w:tr>
      <w:tr>
        <w:trPr/>
        <w:tc>
          <w:tcPr>
            <w:tcW w:w="7820" w:type="dxa"/>
            <w:tcBorders>
              <w:top w:val="single" w:sz="8" w:space="0" w:color="0054BA"/>
              <w:left w:val="single" w:sz="8" w:space="0" w:color="0054BA"/>
              <w:bottom w:val="single" w:sz="8" w:space="0" w:color="0054BA"/>
              <w:right w:val="single" w:sz="8" w:space="0" w:color="0054BA"/>
            </w:tcBorders>
            <w:tcMar>
              <w:top w:w="28" w:type="dxa"/>
              <w:left w:w="160" w:type="dxa"/>
              <w:bottom w:w="240"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54BA"/>
                <w:sz w:val="30"/>
              </w:rPr>
            </w:pPr>
            <w:r>
              <w:rPr>
                <w:rFonts w:ascii="ARIAL" w:hAnsi="ARIAL"/>
                <w:b/>
                <w:color w:val="0054BA"/>
                <w:sz w:val="30"/>
              </w:rPr>
              <w:t>TUESDAY, JUNE 23, 2026 | 10:00 A.M., EASTERN TIME</w:t>
            </w:r>
          </w:p>
          <w:p>
            <w:pPr>
              <w:pStyle w:val="TableContents"/>
              <w:bidi w:val="0"/>
              <w:spacing w:before="0" w:after="0"/>
              <w:jc w:val="left"/>
              <w:rPr/>
            </w:pPr>
            <w:r>
              <w:rPr/>
              <w:t> </w:t>
            </w:r>
          </w:p>
          <w:p>
            <w:pPr>
              <w:pStyle w:val="TableContents"/>
              <w:bidi w:val="0"/>
              <w:spacing w:before="0" w:after="20"/>
              <w:jc w:val="center"/>
              <w:rPr>
                <w:rFonts w:ascii="ARIAL" w:hAnsi="ARIAL"/>
                <w:sz w:val="19"/>
              </w:rPr>
            </w:pPr>
            <w:r>
              <w:rPr>
                <w:rFonts w:ascii="ARIAL" w:hAnsi="ARIAL"/>
                <w:sz w:val="19"/>
              </w:rPr>
              <w:t xml:space="preserve">Exclusively online at </w:t>
            </w:r>
            <w:r>
              <w:rPr>
                <w:rFonts w:ascii="ARIAL" w:hAnsi="ARIAL"/>
                <w:b/>
                <w:sz w:val="19"/>
              </w:rPr>
              <w:t>www.virtualshareholdermeeting.com/CSGP2026</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2073275" cy="7289800"/>
                <wp:effectExtent l="0" t="0" r="0" b="0"/>
                <wp:wrapSquare wrapText="right"/>
                <wp:docPr id="16" name="Frame5"/>
                <a:graphic xmlns:a="http://schemas.openxmlformats.org/drawingml/2006/main">
                  <a:graphicData uri="http://schemas.microsoft.com/office/word/2010/wordprocessingShape">
                    <wps:wsp>
                      <wps:cNvSpPr txBox="1"/>
                      <wps:spPr>
                        <a:xfrm>
                          <a:off x="0" y="0"/>
                          <a:ext cx="2073275" cy="728980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Items of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0"/>
                                    <w:jc w:val="left"/>
                                    <w:rPr>
                                      <w:rFonts w:ascii="ARIAL" w:hAnsi="ARIAL"/>
                                      <w:sz w:val="18"/>
                                    </w:rPr>
                                  </w:pPr>
                                  <w:r>
                                    <w:rPr>
                                      <w:rFonts w:ascii="ARIAL" w:hAnsi="ARIAL"/>
                                      <w:sz w:val="18"/>
                                    </w:rPr>
                                    <w:t xml:space="preserve">To elect eight nominees named in the attached proxy statement to serve on our Board of Directors for a one-year term expiring at the 2027 Annual Meeting of Stockholders;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215"/>
                              <w:gridCol w:w="9935"/>
                            </w:tblGrid>
                            <w:tr>
                              <w:trPr/>
                              <w:tc>
                                <w:tcPr>
                                  <w:tcW w:w="215"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left"/>
                                    <w:rPr>
                                      <w:rFonts w:ascii="ARIAL" w:hAnsi="ARIAL"/>
                                      <w:sz w:val="18"/>
                                    </w:rPr>
                                  </w:pPr>
                                  <w:r>
                                    <w:rPr>
                                      <w:rFonts w:ascii="ARIAL" w:hAnsi="ARIAL"/>
                                      <w:sz w:val="18"/>
                                    </w:rPr>
                                    <w:t xml:space="preserve">To ratify the appointment of Ernst &amp; Young LLP as the Company’s independent registered public accounting firm for 2026;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215"/>
                              <w:gridCol w:w="8840"/>
                            </w:tblGrid>
                            <w:tr>
                              <w:trPr/>
                              <w:tc>
                                <w:tcPr>
                                  <w:tcW w:w="215" w:type="dxa"/>
                                  <w:tcBorders/>
                                  <w:vAlign w:val="center"/>
                                </w:tcPr>
                                <w:p>
                                  <w:pPr>
                                    <w:pStyle w:val="TableContents"/>
                                    <w:bidi w:val="0"/>
                                    <w:spacing w:before="0" w:after="283"/>
                                    <w:jc w:val="left"/>
                                    <w:rPr/>
                                  </w:pPr>
                                  <w:r>
                                    <w:rPr/>
                                    <w:t>3.</w:t>
                                  </w:r>
                                </w:p>
                              </w:tc>
                              <w:tc>
                                <w:tcPr>
                                  <w:tcW w:w="8840" w:type="dxa"/>
                                  <w:tcBorders/>
                                  <w:vAlign w:val="center"/>
                                </w:tcPr>
                                <w:p>
                                  <w:pPr>
                                    <w:pStyle w:val="TableContents"/>
                                    <w:bidi w:val="0"/>
                                    <w:spacing w:before="0" w:after="0"/>
                                    <w:jc w:val="left"/>
                                    <w:rPr>
                                      <w:rFonts w:ascii="ARIAL" w:hAnsi="ARIAL"/>
                                      <w:sz w:val="18"/>
                                    </w:rPr>
                                  </w:pPr>
                                  <w:r>
                                    <w:rPr>
                                      <w:rFonts w:ascii="ARIAL" w:hAnsi="ARIAL"/>
                                      <w:sz w:val="18"/>
                                    </w:rPr>
                                    <w:t xml:space="preserve">To approve, on a non-binding advisory basis, the compensation of the Company’s named executive officers;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215"/>
                              <w:gridCol w:w="6335"/>
                            </w:tblGrid>
                            <w:tr>
                              <w:trPr/>
                              <w:tc>
                                <w:tcPr>
                                  <w:tcW w:w="215" w:type="dxa"/>
                                  <w:tcBorders/>
                                  <w:vAlign w:val="center"/>
                                </w:tcPr>
                                <w:p>
                                  <w:pPr>
                                    <w:pStyle w:val="TableContents"/>
                                    <w:bidi w:val="0"/>
                                    <w:spacing w:before="0" w:after="283"/>
                                    <w:jc w:val="left"/>
                                    <w:rPr/>
                                  </w:pPr>
                                  <w:r>
                                    <w:rPr/>
                                    <w:t>4.</w:t>
                                  </w:r>
                                </w:p>
                              </w:tc>
                              <w:tc>
                                <w:tcPr>
                                  <w:tcW w:w="6335" w:type="dxa"/>
                                  <w:tcBorders/>
                                  <w:vAlign w:val="center"/>
                                </w:tcPr>
                                <w:p>
                                  <w:pPr>
                                    <w:pStyle w:val="TableContents"/>
                                    <w:bidi w:val="0"/>
                                    <w:spacing w:before="0" w:after="0"/>
                                    <w:jc w:val="left"/>
                                    <w:rPr>
                                      <w:rFonts w:ascii="ARIAL" w:hAnsi="ARIAL"/>
                                      <w:sz w:val="18"/>
                                    </w:rPr>
                                  </w:pPr>
                                  <w:r>
                                    <w:rPr>
                                      <w:rFonts w:ascii="ARIAL" w:hAnsi="ARIAL"/>
                                      <w:sz w:val="18"/>
                                    </w:rPr>
                                    <w:t xml:space="preserve">To approve the CoStar Group, Inc. 2026 Employee Stock Purchase Plan; and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215"/>
                              <w:gridCol w:w="6410"/>
                            </w:tblGrid>
                            <w:tr>
                              <w:trPr/>
                              <w:tc>
                                <w:tcPr>
                                  <w:tcW w:w="215" w:type="dxa"/>
                                  <w:tcBorders/>
                                  <w:vAlign w:val="center"/>
                                </w:tcPr>
                                <w:p>
                                  <w:pPr>
                                    <w:pStyle w:val="TableContents"/>
                                    <w:bidi w:val="0"/>
                                    <w:spacing w:before="0" w:after="283"/>
                                    <w:jc w:val="left"/>
                                    <w:rPr/>
                                  </w:pPr>
                                  <w:r>
                                    <w:rPr/>
                                    <w:t>5.</w:t>
                                  </w:r>
                                </w:p>
                              </w:tc>
                              <w:tc>
                                <w:tcPr>
                                  <w:tcW w:w="6410" w:type="dxa"/>
                                  <w:tcBorders/>
                                  <w:vAlign w:val="center"/>
                                </w:tcPr>
                                <w:p>
                                  <w:pPr>
                                    <w:pStyle w:val="TableContents"/>
                                    <w:bidi w:val="0"/>
                                    <w:spacing w:before="0" w:after="0"/>
                                    <w:jc w:val="left"/>
                                    <w:rPr>
                                      <w:rFonts w:ascii="ARIAL" w:hAnsi="ARIAL"/>
                                      <w:sz w:val="18"/>
                                    </w:rPr>
                                  </w:pPr>
                                  <w:r>
                                    <w:rPr>
                                      <w:rFonts w:ascii="ARIAL" w:hAnsi="ARIAL"/>
                                      <w:sz w:val="18"/>
                                    </w:rPr>
                                    <w:t xml:space="preserve">To transact any other business properly presented before the Annual Meeting. </w:t>
                                  </w:r>
                                </w:p>
                              </w:tc>
                            </w:tr>
                          </w:tbl>
                          <w:p>
                            <w:pPr>
                              <w:pStyle w:val="TextBody"/>
                              <w:bidi w:val="0"/>
                              <w:spacing w:before="360" w:after="0"/>
                              <w:jc w:val="left"/>
                              <w:rPr>
                                <w:rFonts w:ascii="ARIAL" w:hAnsi="ARIAL"/>
                                <w:b/>
                                <w:sz w:val="18"/>
                              </w:rPr>
                            </w:pPr>
                            <w:r>
                              <w:rPr>
                                <w:rFonts w:ascii="ARIAL" w:hAnsi="ARIAL"/>
                                <w:b/>
                                <w:sz w:val="18"/>
                              </w:rPr>
                              <w:t xml:space="preserve">Review your proxy statement and vote in one of three ways: </w:t>
                            </w:r>
                          </w:p>
                          <w:p>
                            <w:pPr>
                              <w:pStyle w:val="TextBody"/>
                              <w:bidi w:val="0"/>
                              <w:spacing w:before="0" w:after="0"/>
                              <w:jc w:val="left"/>
                              <w:rPr/>
                            </w:pPr>
                            <w:r>
                              <w:rPr/>
                              <w:t> </w:t>
                            </w:r>
                          </w:p>
                          <w:tbl>
                            <w:tblPr>
                              <w:tblW w:w="8624" w:type="dxa"/>
                              <w:jc w:val="left"/>
                              <w:tblInd w:w="0" w:type="dxa"/>
                              <w:shd w:fill="DAEDFA" w:val="clear"/>
                              <w:tblLayout w:type="fixed"/>
                              <w:tblCellMar>
                                <w:top w:w="0" w:type="dxa"/>
                                <w:left w:w="0" w:type="dxa"/>
                                <w:bottom w:w="0" w:type="dxa"/>
                                <w:right w:w="0" w:type="dxa"/>
                              </w:tblCellMar>
                            </w:tblPr>
                            <w:tblGrid>
                              <w:gridCol w:w="395"/>
                              <w:gridCol w:w="60"/>
                              <w:gridCol w:w="814"/>
                              <w:gridCol w:w="120"/>
                              <w:gridCol w:w="7235"/>
                            </w:tblGrid>
                            <w:tr>
                              <w:trPr/>
                              <w:tc>
                                <w:tcPr>
                                  <w:tcW w:w="395"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sz w:val="4"/>
                                      <w:szCs w:val="4"/>
                                    </w:rPr>
                                  </w:pPr>
                                  <w:r>
                                    <w:rPr>
                                      <w:sz w:val="4"/>
                                      <w:szCs w:val="4"/>
                                    </w:rPr>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sz w:val="4"/>
                                      <w:szCs w:val="4"/>
                                    </w:rPr>
                                  </w:pPr>
                                  <w:r>
                                    <w:rPr>
                                      <w:sz w:val="4"/>
                                      <w:szCs w:val="4"/>
                                    </w:rPr>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center"/>
                                    <w:rPr/>
                                  </w:pPr>
                                  <w:r>
                                    <w:rPr/>
                                    <w:drawing>
                                      <wp:inline distT="0" distB="0" distL="0" distR="0">
                                        <wp:extent cx="429260" cy="45339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3"/>
                                                <a:stretch>
                                                  <a:fillRect/>
                                                </a:stretch>
                                              </pic:blipFill>
                                              <pic:spPr bwMode="auto">
                                                <a:xfrm>
                                                  <a:off x="0" y="0"/>
                                                  <a:ext cx="429260" cy="453390"/>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0"/>
                                    <w:jc w:val="left"/>
                                    <w:rPr>
                                      <w:rFonts w:ascii="ARIAL" w:hAnsi="ARIAL"/>
                                      <w:b/>
                                      <w:sz w:val="24"/>
                                    </w:rPr>
                                  </w:pPr>
                                  <w:r>
                                    <w:rPr>
                                      <w:rFonts w:ascii="ARIAL" w:hAnsi="ARIAL"/>
                                      <w:b/>
                                      <w:sz w:val="24"/>
                                    </w:rPr>
                                    <w:t>Internet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Visit the website on your proxy card or voting instruction form</w:t>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r>
                              <w:trPr/>
                              <w:tc>
                                <w:tcPr>
                                  <w:tcW w:w="395"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center"/>
                                    <w:rPr/>
                                  </w:pPr>
                                  <w:r>
                                    <w:rPr/>
                                    <w:drawing>
                                      <wp:inline distT="0" distB="0" distL="0" distR="0">
                                        <wp:extent cx="293370" cy="46228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4"/>
                                                <a:stretch>
                                                  <a:fillRect/>
                                                </a:stretch>
                                              </pic:blipFill>
                                              <pic:spPr bwMode="auto">
                                                <a:xfrm>
                                                  <a:off x="0" y="0"/>
                                                  <a:ext cx="293370" cy="462280"/>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0"/>
                                    <w:jc w:val="left"/>
                                    <w:rPr>
                                      <w:rFonts w:ascii="ARIAL" w:hAnsi="ARIAL"/>
                                      <w:b/>
                                      <w:sz w:val="24"/>
                                    </w:rPr>
                                  </w:pPr>
                                  <w:r>
                                    <w:rPr>
                                      <w:rFonts w:ascii="ARIAL" w:hAnsi="ARIAL"/>
                                      <w:b/>
                                      <w:sz w:val="24"/>
                                    </w:rPr>
                                    <w:t>By Telephone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Call the telephone number on your proxy card or voting instruction form</w:t>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center"/>
                                    <w:rPr/>
                                  </w:pPr>
                                  <w:r>
                                    <w:rPr/>
                                    <w:drawing>
                                      <wp:inline distT="0" distB="0" distL="0" distR="0">
                                        <wp:extent cx="478790" cy="43878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5"/>
                                                <a:stretch>
                                                  <a:fillRect/>
                                                </a:stretch>
                                              </pic:blipFill>
                                              <pic:spPr bwMode="auto">
                                                <a:xfrm>
                                                  <a:off x="0" y="0"/>
                                                  <a:ext cx="478790" cy="438785"/>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0"/>
                                    <w:jc w:val="left"/>
                                    <w:rPr>
                                      <w:rFonts w:ascii="ARIAL" w:hAnsi="ARIAL"/>
                                      <w:b/>
                                      <w:sz w:val="24"/>
                                    </w:rPr>
                                  </w:pPr>
                                  <w:r>
                                    <w:rPr>
                                      <w:rFonts w:ascii="ARIAL" w:hAnsi="ARIAL"/>
                                      <w:b/>
                                      <w:sz w:val="24"/>
                                    </w:rPr>
                                    <w:t>By Mail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Sign, date, and return your proxy card or voting instruction form in the enclosed envelope</w:t>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57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Items of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0"/>
                              <w:jc w:val="left"/>
                              <w:rPr>
                                <w:rFonts w:ascii="ARIAL" w:hAnsi="ARIAL"/>
                                <w:sz w:val="18"/>
                              </w:rPr>
                            </w:pPr>
                            <w:r>
                              <w:rPr>
                                <w:rFonts w:ascii="ARIAL" w:hAnsi="ARIAL"/>
                                <w:sz w:val="18"/>
                              </w:rPr>
                              <w:t xml:space="preserve">To elect eight nominees named in the attached proxy statement to serve on our Board of Directors for a one-year term expiring at the 2027 Annual Meeting of Stockholders;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215"/>
                        <w:gridCol w:w="9935"/>
                      </w:tblGrid>
                      <w:tr>
                        <w:trPr/>
                        <w:tc>
                          <w:tcPr>
                            <w:tcW w:w="215"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left"/>
                              <w:rPr>
                                <w:rFonts w:ascii="ARIAL" w:hAnsi="ARIAL"/>
                                <w:sz w:val="18"/>
                              </w:rPr>
                            </w:pPr>
                            <w:r>
                              <w:rPr>
                                <w:rFonts w:ascii="ARIAL" w:hAnsi="ARIAL"/>
                                <w:sz w:val="18"/>
                              </w:rPr>
                              <w:t xml:space="preserve">To ratify the appointment of Ernst &amp; Young LLP as the Company’s independent registered public accounting firm for 2026;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215"/>
                        <w:gridCol w:w="8840"/>
                      </w:tblGrid>
                      <w:tr>
                        <w:trPr/>
                        <w:tc>
                          <w:tcPr>
                            <w:tcW w:w="215" w:type="dxa"/>
                            <w:tcBorders/>
                            <w:vAlign w:val="center"/>
                          </w:tcPr>
                          <w:p>
                            <w:pPr>
                              <w:pStyle w:val="TableContents"/>
                              <w:bidi w:val="0"/>
                              <w:spacing w:before="0" w:after="283"/>
                              <w:jc w:val="left"/>
                              <w:rPr/>
                            </w:pPr>
                            <w:r>
                              <w:rPr/>
                              <w:t>3.</w:t>
                            </w:r>
                          </w:p>
                        </w:tc>
                        <w:tc>
                          <w:tcPr>
                            <w:tcW w:w="8840" w:type="dxa"/>
                            <w:tcBorders/>
                            <w:vAlign w:val="center"/>
                          </w:tcPr>
                          <w:p>
                            <w:pPr>
                              <w:pStyle w:val="TableContents"/>
                              <w:bidi w:val="0"/>
                              <w:spacing w:before="0" w:after="0"/>
                              <w:jc w:val="left"/>
                              <w:rPr>
                                <w:rFonts w:ascii="ARIAL" w:hAnsi="ARIAL"/>
                                <w:sz w:val="18"/>
                              </w:rPr>
                            </w:pPr>
                            <w:r>
                              <w:rPr>
                                <w:rFonts w:ascii="ARIAL" w:hAnsi="ARIAL"/>
                                <w:sz w:val="18"/>
                              </w:rPr>
                              <w:t xml:space="preserve">To approve, on a non-binding advisory basis, the compensation of the Company’s named executive officers;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215"/>
                        <w:gridCol w:w="6335"/>
                      </w:tblGrid>
                      <w:tr>
                        <w:trPr/>
                        <w:tc>
                          <w:tcPr>
                            <w:tcW w:w="215" w:type="dxa"/>
                            <w:tcBorders/>
                            <w:vAlign w:val="center"/>
                          </w:tcPr>
                          <w:p>
                            <w:pPr>
                              <w:pStyle w:val="TableContents"/>
                              <w:bidi w:val="0"/>
                              <w:spacing w:before="0" w:after="283"/>
                              <w:jc w:val="left"/>
                              <w:rPr/>
                            </w:pPr>
                            <w:r>
                              <w:rPr/>
                              <w:t>4.</w:t>
                            </w:r>
                          </w:p>
                        </w:tc>
                        <w:tc>
                          <w:tcPr>
                            <w:tcW w:w="6335" w:type="dxa"/>
                            <w:tcBorders/>
                            <w:vAlign w:val="center"/>
                          </w:tcPr>
                          <w:p>
                            <w:pPr>
                              <w:pStyle w:val="TableContents"/>
                              <w:bidi w:val="0"/>
                              <w:spacing w:before="0" w:after="0"/>
                              <w:jc w:val="left"/>
                              <w:rPr>
                                <w:rFonts w:ascii="ARIAL" w:hAnsi="ARIAL"/>
                                <w:sz w:val="18"/>
                              </w:rPr>
                            </w:pPr>
                            <w:r>
                              <w:rPr>
                                <w:rFonts w:ascii="ARIAL" w:hAnsi="ARIAL"/>
                                <w:sz w:val="18"/>
                              </w:rPr>
                              <w:t xml:space="preserve">To approve the CoStar Group, Inc. 2026 Employee Stock Purchase Plan; and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215"/>
                        <w:gridCol w:w="6410"/>
                      </w:tblGrid>
                      <w:tr>
                        <w:trPr/>
                        <w:tc>
                          <w:tcPr>
                            <w:tcW w:w="215" w:type="dxa"/>
                            <w:tcBorders/>
                            <w:vAlign w:val="center"/>
                          </w:tcPr>
                          <w:p>
                            <w:pPr>
                              <w:pStyle w:val="TableContents"/>
                              <w:bidi w:val="0"/>
                              <w:spacing w:before="0" w:after="283"/>
                              <w:jc w:val="left"/>
                              <w:rPr/>
                            </w:pPr>
                            <w:r>
                              <w:rPr/>
                              <w:t>5.</w:t>
                            </w:r>
                          </w:p>
                        </w:tc>
                        <w:tc>
                          <w:tcPr>
                            <w:tcW w:w="6410" w:type="dxa"/>
                            <w:tcBorders/>
                            <w:vAlign w:val="center"/>
                          </w:tcPr>
                          <w:p>
                            <w:pPr>
                              <w:pStyle w:val="TableContents"/>
                              <w:bidi w:val="0"/>
                              <w:spacing w:before="0" w:after="0"/>
                              <w:jc w:val="left"/>
                              <w:rPr>
                                <w:rFonts w:ascii="ARIAL" w:hAnsi="ARIAL"/>
                                <w:sz w:val="18"/>
                              </w:rPr>
                            </w:pPr>
                            <w:r>
                              <w:rPr>
                                <w:rFonts w:ascii="ARIAL" w:hAnsi="ARIAL"/>
                                <w:sz w:val="18"/>
                              </w:rPr>
                              <w:t xml:space="preserve">To transact any other business properly presented before the Annual Meeting. </w:t>
                            </w:r>
                          </w:p>
                        </w:tc>
                      </w:tr>
                    </w:tbl>
                    <w:p>
                      <w:pPr>
                        <w:pStyle w:val="TextBody"/>
                        <w:bidi w:val="0"/>
                        <w:spacing w:before="360" w:after="0"/>
                        <w:jc w:val="left"/>
                        <w:rPr>
                          <w:rFonts w:ascii="ARIAL" w:hAnsi="ARIAL"/>
                          <w:b/>
                          <w:sz w:val="18"/>
                        </w:rPr>
                      </w:pPr>
                      <w:r>
                        <w:rPr>
                          <w:rFonts w:ascii="ARIAL" w:hAnsi="ARIAL"/>
                          <w:b/>
                          <w:sz w:val="18"/>
                        </w:rPr>
                        <w:t xml:space="preserve">Review your proxy statement and vote in one of three ways: </w:t>
                      </w:r>
                    </w:p>
                    <w:p>
                      <w:pPr>
                        <w:pStyle w:val="TextBody"/>
                        <w:bidi w:val="0"/>
                        <w:spacing w:before="0" w:after="0"/>
                        <w:jc w:val="left"/>
                        <w:rPr/>
                      </w:pPr>
                      <w:r>
                        <w:rPr/>
                        <w:t> </w:t>
                      </w:r>
                    </w:p>
                    <w:tbl>
                      <w:tblPr>
                        <w:tblW w:w="8624" w:type="dxa"/>
                        <w:jc w:val="left"/>
                        <w:tblInd w:w="0" w:type="dxa"/>
                        <w:shd w:fill="DAEDFA" w:val="clear"/>
                        <w:tblLayout w:type="fixed"/>
                        <w:tblCellMar>
                          <w:top w:w="0" w:type="dxa"/>
                          <w:left w:w="0" w:type="dxa"/>
                          <w:bottom w:w="0" w:type="dxa"/>
                          <w:right w:w="0" w:type="dxa"/>
                        </w:tblCellMar>
                      </w:tblPr>
                      <w:tblGrid>
                        <w:gridCol w:w="395"/>
                        <w:gridCol w:w="60"/>
                        <w:gridCol w:w="814"/>
                        <w:gridCol w:w="120"/>
                        <w:gridCol w:w="7235"/>
                      </w:tblGrid>
                      <w:tr>
                        <w:trPr/>
                        <w:tc>
                          <w:tcPr>
                            <w:tcW w:w="395"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sz w:val="4"/>
                                <w:szCs w:val="4"/>
                              </w:rPr>
                            </w:pPr>
                            <w:r>
                              <w:rPr>
                                <w:sz w:val="4"/>
                                <w:szCs w:val="4"/>
                              </w:rPr>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sz w:val="4"/>
                                <w:szCs w:val="4"/>
                              </w:rPr>
                            </w:pPr>
                            <w:r>
                              <w:rPr>
                                <w:sz w:val="4"/>
                                <w:szCs w:val="4"/>
                              </w:rPr>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center"/>
                              <w:rPr/>
                            </w:pPr>
                            <w:r>
                              <w:rPr/>
                              <w:drawing>
                                <wp:inline distT="0" distB="0" distL="0" distR="0">
                                  <wp:extent cx="429260" cy="45339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6"/>
                                          <a:stretch>
                                            <a:fillRect/>
                                          </a:stretch>
                                        </pic:blipFill>
                                        <pic:spPr bwMode="auto">
                                          <a:xfrm>
                                            <a:off x="0" y="0"/>
                                            <a:ext cx="429260" cy="453390"/>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0"/>
                              <w:jc w:val="left"/>
                              <w:rPr>
                                <w:rFonts w:ascii="ARIAL" w:hAnsi="ARIAL"/>
                                <w:b/>
                                <w:sz w:val="24"/>
                              </w:rPr>
                            </w:pPr>
                            <w:r>
                              <w:rPr>
                                <w:rFonts w:ascii="ARIAL" w:hAnsi="ARIAL"/>
                                <w:b/>
                                <w:sz w:val="24"/>
                              </w:rPr>
                              <w:t>Internet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Visit the website on your proxy card or voting instruction form</w:t>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r>
                        <w:trPr/>
                        <w:tc>
                          <w:tcPr>
                            <w:tcW w:w="395"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center"/>
                              <w:rPr/>
                            </w:pPr>
                            <w:r>
                              <w:rPr/>
                              <w:drawing>
                                <wp:inline distT="0" distB="0" distL="0" distR="0">
                                  <wp:extent cx="293370" cy="46228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7"/>
                                          <a:stretch>
                                            <a:fillRect/>
                                          </a:stretch>
                                        </pic:blipFill>
                                        <pic:spPr bwMode="auto">
                                          <a:xfrm>
                                            <a:off x="0" y="0"/>
                                            <a:ext cx="293370" cy="462280"/>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0"/>
                              <w:jc w:val="left"/>
                              <w:rPr>
                                <w:rFonts w:ascii="ARIAL" w:hAnsi="ARIAL"/>
                                <w:b/>
                                <w:sz w:val="24"/>
                              </w:rPr>
                            </w:pPr>
                            <w:r>
                              <w:rPr>
                                <w:rFonts w:ascii="ARIAL" w:hAnsi="ARIAL"/>
                                <w:b/>
                                <w:sz w:val="24"/>
                              </w:rPr>
                              <w:t>By Telephone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Call the telephone number on your proxy card or voting instruction form</w:t>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center"/>
                              <w:rPr/>
                            </w:pPr>
                            <w:r>
                              <w:rPr/>
                              <w:drawing>
                                <wp:inline distT="0" distB="0" distL="0" distR="0">
                                  <wp:extent cx="478790" cy="438785"/>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8"/>
                                          <a:stretch>
                                            <a:fillRect/>
                                          </a:stretch>
                                        </pic:blipFill>
                                        <pic:spPr bwMode="auto">
                                          <a:xfrm>
                                            <a:off x="0" y="0"/>
                                            <a:ext cx="478790" cy="438785"/>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0"/>
                              <w:jc w:val="left"/>
                              <w:rPr>
                                <w:rFonts w:ascii="ARIAL" w:hAnsi="ARIAL"/>
                                <w:b/>
                                <w:sz w:val="24"/>
                              </w:rPr>
                            </w:pPr>
                            <w:r>
                              <w:rPr>
                                <w:rFonts w:ascii="ARIAL" w:hAnsi="ARIAL"/>
                                <w:b/>
                                <w:sz w:val="24"/>
                              </w:rPr>
                              <w:t>By Mail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Sign, date, and return your proxy card or voting instruction form in the enclosed envelope</w:t>
                            </w:r>
                          </w:p>
                        </w:tc>
                      </w:tr>
                      <w:tr>
                        <w:trPr/>
                        <w:tc>
                          <w:tcPr>
                            <w:tcW w:w="395" w:type="dxa"/>
                            <w:tcBorders/>
                            <w:shd w:fill="DAEDFA" w:val="clear"/>
                            <w:vAlign w:val="center"/>
                          </w:tcPr>
                          <w:p>
                            <w:pPr>
                              <w:pStyle w:val="TableContents"/>
                              <w:bidi w:val="0"/>
                              <w:spacing w:before="0" w:after="283"/>
                              <w:jc w:val="left"/>
                              <w:rPr/>
                            </w:pPr>
                            <w:r>
                              <w:rPr/>
                              <w:t> </w:t>
                            </w:r>
                          </w:p>
                        </w:tc>
                        <w:tc>
                          <w:tcPr>
                            <w:tcW w:w="60" w:type="dxa"/>
                            <w:tcBorders/>
                            <w:shd w:fill="DAEDFA" w:val="clear"/>
                            <w:vAlign w:val="center"/>
                          </w:tcPr>
                          <w:p>
                            <w:pPr>
                              <w:pStyle w:val="TableContents"/>
                              <w:bidi w:val="0"/>
                              <w:spacing w:before="0" w:after="283"/>
                              <w:jc w:val="left"/>
                              <w:rPr/>
                            </w:pPr>
                            <w:r>
                              <w:rPr/>
                              <w:t> </w:t>
                            </w:r>
                          </w:p>
                        </w:tc>
                        <w:tc>
                          <w:tcPr>
                            <w:tcW w:w="814"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7235" w:type="dxa"/>
                            <w:tcBorders/>
                            <w:shd w:fill="DAED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211955" cy="8518525"/>
                <wp:effectExtent l="0" t="0" r="0" b="0"/>
                <wp:wrapSquare wrapText="right"/>
                <wp:docPr id="23" name="Frame6"/>
                <a:graphic xmlns:a="http://schemas.openxmlformats.org/drawingml/2006/main">
                  <a:graphicData uri="http://schemas.microsoft.com/office/word/2010/wordprocessingShape">
                    <wps:wsp>
                      <wps:cNvSpPr txBox="1"/>
                      <wps:spPr>
                        <a:xfrm>
                          <a:off x="0" y="0"/>
                          <a:ext cx="4211955" cy="8518525"/>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Proposals to be Voted on and Board </w:t>
                            </w:r>
                          </w:p>
                          <w:p>
                            <w:pPr>
                              <w:pStyle w:val="TextBody"/>
                              <w:bidi w:val="0"/>
                              <w:spacing w:before="0" w:after="0"/>
                              <w:jc w:val="left"/>
                              <w:rPr>
                                <w:rFonts w:ascii="ARIAL" w:hAnsi="ARIAL"/>
                                <w:b/>
                                <w:sz w:val="24"/>
                              </w:rPr>
                            </w:pPr>
                            <w:r>
                              <w:rPr>
                                <w:rFonts w:ascii="ARIAL" w:hAnsi="ARIAL"/>
                                <w:b/>
                                <w:sz w:val="24"/>
                              </w:rPr>
                              <w:t xml:space="preserve">Voting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60"/>
                              <w:gridCol w:w="6487"/>
                              <w:gridCol w:w="60"/>
                              <w:gridCol w:w="2495"/>
                              <w:gridCol w:w="60"/>
                              <w:gridCol w:w="783"/>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6807" w:type="dxa"/>
                                  <w:gridSpan w:val="3"/>
                                  <w:tcBorders/>
                                  <w:shd w:fill="0054BA" w:val="clear"/>
                                  <w:vAlign w:val="center"/>
                                </w:tcPr>
                                <w:p>
                                  <w:pPr>
                                    <w:pStyle w:val="TableContents"/>
                                    <w:bidi w:val="0"/>
                                    <w:spacing w:before="0" w:after="283"/>
                                    <w:jc w:val="left"/>
                                    <w:rPr>
                                      <w:sz w:val="4"/>
                                      <w:szCs w:val="4"/>
                                    </w:rPr>
                                  </w:pPr>
                                  <w:r>
                                    <w:rPr>
                                      <w:sz w:val="4"/>
                                      <w:szCs w:val="4"/>
                                    </w:rPr>
                                  </w:r>
                                </w:p>
                              </w:tc>
                              <w:tc>
                                <w:tcPr>
                                  <w:tcW w:w="2555" w:type="dxa"/>
                                  <w:gridSpan w:val="2"/>
                                  <w:tcBorders/>
                                  <w:shd w:fill="0054BA" w:val="clear"/>
                                  <w:vAlign w:val="center"/>
                                </w:tcPr>
                                <w:p>
                                  <w:pPr>
                                    <w:pStyle w:val="TableContents"/>
                                    <w:bidi w:val="0"/>
                                    <w:spacing w:before="0" w:after="283"/>
                                    <w:jc w:val="left"/>
                                    <w:rPr>
                                      <w:sz w:val="4"/>
                                      <w:szCs w:val="4"/>
                                    </w:rPr>
                                  </w:pPr>
                                  <w:r>
                                    <w:rPr>
                                      <w:sz w:val="4"/>
                                      <w:szCs w:val="4"/>
                                    </w:rPr>
                                  </w:r>
                                </w:p>
                              </w:tc>
                              <w:tc>
                                <w:tcPr>
                                  <w:tcW w:w="843"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6807" w:type="dxa"/>
                                  <w:gridSpan w:val="3"/>
                                  <w:tcBorders/>
                                  <w:shd w:fill="0054BA" w:val="clear"/>
                                  <w:vAlign w:val="center"/>
                                </w:tcPr>
                                <w:p>
                                  <w:pPr>
                                    <w:pStyle w:val="TableContents"/>
                                    <w:bidi w:val="0"/>
                                    <w:spacing w:before="0" w:after="0"/>
                                    <w:jc w:val="left"/>
                                    <w:rPr>
                                      <w:rFonts w:ascii="ARIAL" w:hAnsi="ARIAL"/>
                                      <w:b/>
                                      <w:color w:val="FFFFFF"/>
                                      <w:sz w:val="18"/>
                                    </w:rPr>
                                  </w:pPr>
                                  <w:r>
                                    <w:rPr>
                                      <w:rFonts w:ascii="ARIAL" w:hAnsi="ARIAL"/>
                                      <w:b/>
                                      <w:color w:val="FFFFFF"/>
                                      <w:sz w:val="18"/>
                                    </w:rPr>
                                    <w:t>PROPOSAL</w:t>
                                  </w:r>
                                </w:p>
                              </w:tc>
                              <w:tc>
                                <w:tcPr>
                                  <w:tcW w:w="60" w:type="dxa"/>
                                  <w:tcBorders/>
                                  <w:shd w:fill="0054BA" w:val="clear"/>
                                  <w:vAlign w:val="center"/>
                                </w:tcPr>
                                <w:p>
                                  <w:pPr>
                                    <w:pStyle w:val="TableContents"/>
                                    <w:bidi w:val="0"/>
                                    <w:spacing w:before="0" w:after="283"/>
                                    <w:jc w:val="left"/>
                                    <w:rPr/>
                                  </w:pPr>
                                  <w:r>
                                    <w:rPr/>
                                    <w:t> </w:t>
                                  </w:r>
                                </w:p>
                              </w:tc>
                              <w:tc>
                                <w:tcPr>
                                  <w:tcW w:w="2495" w:type="dxa"/>
                                  <w:tcBorders/>
                                  <w:shd w:fill="0054BA" w:val="clear"/>
                                  <w:vAlign w:val="center"/>
                                </w:tcPr>
                                <w:p>
                                  <w:pPr>
                                    <w:pStyle w:val="TableContents"/>
                                    <w:bidi w:val="0"/>
                                    <w:spacing w:before="0" w:after="283"/>
                                    <w:jc w:val="center"/>
                                    <w:rPr>
                                      <w:b/>
                                      <w:color w:val="FFFFFF"/>
                                    </w:rPr>
                                  </w:pPr>
                                  <w:r>
                                    <w:rPr>
                                      <w:b/>
                                      <w:color w:val="FFFFFF"/>
                                    </w:rPr>
                                    <w:t>RECOMMENDATION</w:t>
                                    <w:br/>
                                    <w:t>OF THE BOARD</w:t>
                                  </w:r>
                                </w:p>
                              </w:tc>
                              <w:tc>
                                <w:tcPr>
                                  <w:tcW w:w="60" w:type="dxa"/>
                                  <w:tcBorders/>
                                  <w:shd w:fill="0054BA" w:val="clear"/>
                                  <w:vAlign w:val="center"/>
                                </w:tcPr>
                                <w:p>
                                  <w:pPr>
                                    <w:pStyle w:val="TableContents"/>
                                    <w:bidi w:val="0"/>
                                    <w:spacing w:before="0" w:after="283"/>
                                    <w:jc w:val="left"/>
                                    <w:rPr/>
                                  </w:pPr>
                                  <w:r>
                                    <w:rPr/>
                                    <w:t> </w:t>
                                  </w:r>
                                </w:p>
                              </w:tc>
                              <w:tc>
                                <w:tcPr>
                                  <w:tcW w:w="783" w:type="dxa"/>
                                  <w:tcBorders/>
                                  <w:shd w:fill="0054BA" w:val="clear"/>
                                  <w:vAlign w:val="center"/>
                                </w:tcPr>
                                <w:p>
                                  <w:pPr>
                                    <w:pStyle w:val="TableContents"/>
                                    <w:bidi w:val="0"/>
                                    <w:spacing w:before="0" w:after="283"/>
                                    <w:jc w:val="center"/>
                                    <w:rPr>
                                      <w:b/>
                                      <w:color w:val="FFFFFF"/>
                                    </w:rPr>
                                  </w:pPr>
                                  <w:r>
                                    <w:rPr>
                                      <w:b/>
                                      <w:color w:val="FFFFFF"/>
                                    </w:rPr>
                                    <w:t>PAGE </w:t>
                                  </w:r>
                                </w:p>
                              </w:tc>
                            </w:tr>
                            <w:tr>
                              <w:trPr/>
                              <w:tc>
                                <w:tcPr>
                                  <w:tcW w:w="260" w:type="dxa"/>
                                  <w:tcBorders/>
                                  <w:vAlign w:val="center"/>
                                </w:tcPr>
                                <w:p>
                                  <w:pPr>
                                    <w:pStyle w:val="TableContents"/>
                                    <w:bidi w:val="0"/>
                                    <w:spacing w:before="0" w:after="283"/>
                                    <w:jc w:val="left"/>
                                    <w:rPr>
                                      <w:sz w:val="4"/>
                                      <w:szCs w:val="4"/>
                                    </w:rPr>
                                  </w:pPr>
                                  <w:r>
                                    <w:rPr>
                                      <w:sz w:val="4"/>
                                      <w:szCs w:val="4"/>
                                    </w:rPr>
                                  </w:r>
                                </w:p>
                              </w:tc>
                              <w:tc>
                                <w:tcPr>
                                  <w:tcW w:w="6547"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843"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40"/>
                                    </w:rPr>
                                  </w:pPr>
                                  <w:r>
                                    <w:rPr>
                                      <w:rFonts w:ascii="ARIAL" w:hAnsi="ARIAL"/>
                                      <w:b/>
                                      <w:color w:val="0054BA"/>
                                      <w:sz w:val="40"/>
                                    </w:rP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87" w:type="dxa"/>
                                  <w:tcBorders>
                                    <w:bottom w:val="single" w:sz="6" w:space="0" w:color="000000"/>
                                  </w:tcBorders>
                                  <w:tcMar>
                                    <w:bottom w:w="100" w:type="dxa"/>
                                  </w:tcMar>
                                  <w:vAlign w:val="center"/>
                                </w:tcPr>
                                <w:p>
                                  <w:pPr>
                                    <w:pStyle w:val="TableContents"/>
                                    <w:bidi w:val="0"/>
                                    <w:spacing w:before="0" w:after="283"/>
                                    <w:jc w:val="left"/>
                                    <w:rPr/>
                                  </w:pPr>
                                  <w:r>
                                    <w:rPr/>
                                    <w:t>Election of eight director nominees named in this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100" w:type="dxa"/>
                                  </w:tcMar>
                                  <w:vAlign w:val="center"/>
                                </w:tcPr>
                                <w:p>
                                  <w:pPr>
                                    <w:pStyle w:val="TableContents"/>
                                    <w:bidi w:val="0"/>
                                    <w:spacing w:before="0" w:after="283"/>
                                    <w:jc w:val="center"/>
                                    <w:rPr/>
                                  </w:pPr>
                                  <w:r>
                                    <w:rPr>
                                      <w:b/>
                                      <w:color w:val="0054BA"/>
                                    </w:rPr>
                                    <w:t>FOR </w:t>
                                  </w:r>
                                  <w:r>
                                    <w:rPr/>
                                    <w:t>each of</w:t>
                                    <w:br/>
                                    <w:t>the nominees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 w:type="dxa"/>
                                  <w:tcBorders>
                                    <w:bottom w:val="single" w:sz="6" w:space="0" w:color="000000"/>
                                  </w:tcBorders>
                                  <w:tcMar>
                                    <w:bottom w:w="100" w:type="dxa"/>
                                  </w:tcMar>
                                  <w:vAlign w:val="center"/>
                                </w:tcPr>
                                <w:p>
                                  <w:pPr>
                                    <w:pStyle w:val="TableContents"/>
                                    <w:bidi w:val="0"/>
                                    <w:spacing w:before="0" w:after="283"/>
                                    <w:jc w:val="center"/>
                                    <w:rPr/>
                                  </w:pPr>
                                  <w:r>
                                    <w:rPr/>
                                    <w:t>14</w:t>
                                  </w:r>
                                </w:p>
                              </w:tc>
                            </w:tr>
                            <w:tr>
                              <w:trPr/>
                              <w:tc>
                                <w:tcPr>
                                  <w:tcW w:w="260" w:type="dxa"/>
                                  <w:tcBorders/>
                                  <w:vAlign w:val="center"/>
                                </w:tcPr>
                                <w:p>
                                  <w:pPr>
                                    <w:pStyle w:val="TableContents"/>
                                    <w:bidi w:val="0"/>
                                    <w:spacing w:before="0" w:after="283"/>
                                    <w:jc w:val="left"/>
                                    <w:rPr>
                                      <w:sz w:val="4"/>
                                      <w:szCs w:val="4"/>
                                    </w:rPr>
                                  </w:pPr>
                                  <w:r>
                                    <w:rPr>
                                      <w:sz w:val="4"/>
                                      <w:szCs w:val="4"/>
                                    </w:rPr>
                                  </w:r>
                                </w:p>
                              </w:tc>
                              <w:tc>
                                <w:tcPr>
                                  <w:tcW w:w="6547"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843"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40"/>
                                    </w:rPr>
                                  </w:pPr>
                                  <w:r>
                                    <w:rPr>
                                      <w:rFonts w:ascii="ARIAL" w:hAnsi="ARIAL"/>
                                      <w:b/>
                                      <w:color w:val="0054BA"/>
                                      <w:sz w:val="40"/>
                                    </w:rPr>
                                    <w:t>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87" w:type="dxa"/>
                                  <w:tcBorders>
                                    <w:bottom w:val="single" w:sz="6" w:space="0" w:color="000000"/>
                                  </w:tcBorders>
                                  <w:tcMar>
                                    <w:bottom w:w="100" w:type="dxa"/>
                                  </w:tcMar>
                                  <w:vAlign w:val="center"/>
                                </w:tcPr>
                                <w:p>
                                  <w:pPr>
                                    <w:pStyle w:val="TableContents"/>
                                    <w:bidi w:val="0"/>
                                    <w:spacing w:before="0" w:after="283"/>
                                    <w:jc w:val="left"/>
                                    <w:rPr/>
                                  </w:pPr>
                                  <w:r>
                                    <w:rPr/>
                                    <w:t>Ratification of the appointment of Ernst &amp; Young LLP as the Company’s independent auditor for 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54BA"/>
                                      <w:sz w:val="18"/>
                                    </w:rPr>
                                  </w:pPr>
                                  <w:r>
                                    <w:rPr>
                                      <w:rFonts w:ascii="ARIAL" w:hAnsi="ARIAL"/>
                                      <w:b/>
                                      <w:color w:val="0054BA"/>
                                      <w:sz w:val="18"/>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39</w:t>
                                  </w:r>
                                </w:p>
                              </w:tc>
                            </w:tr>
                            <w:tr>
                              <w:trPr/>
                              <w:tc>
                                <w:tcPr>
                                  <w:tcW w:w="260" w:type="dxa"/>
                                  <w:tcBorders/>
                                  <w:vAlign w:val="center"/>
                                </w:tcPr>
                                <w:p>
                                  <w:pPr>
                                    <w:pStyle w:val="TableContents"/>
                                    <w:bidi w:val="0"/>
                                    <w:spacing w:before="0" w:after="283"/>
                                    <w:jc w:val="left"/>
                                    <w:rPr>
                                      <w:sz w:val="4"/>
                                      <w:szCs w:val="4"/>
                                    </w:rPr>
                                  </w:pPr>
                                  <w:r>
                                    <w:rPr>
                                      <w:sz w:val="4"/>
                                      <w:szCs w:val="4"/>
                                    </w:rPr>
                                  </w:r>
                                </w:p>
                              </w:tc>
                              <w:tc>
                                <w:tcPr>
                                  <w:tcW w:w="6547"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843"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40"/>
                                    </w:rPr>
                                  </w:pPr>
                                  <w:r>
                                    <w:rPr>
                                      <w:rFonts w:ascii="ARIAL" w:hAnsi="ARIAL"/>
                                      <w:b/>
                                      <w:color w:val="0054BA"/>
                                      <w:sz w:val="40"/>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87" w:type="dxa"/>
                                  <w:tcBorders>
                                    <w:bottom w:val="single" w:sz="6" w:space="0" w:color="000000"/>
                                  </w:tcBorders>
                                  <w:tcMar>
                                    <w:bottom w:w="100" w:type="dxa"/>
                                  </w:tcMar>
                                  <w:vAlign w:val="center"/>
                                </w:tcPr>
                                <w:p>
                                  <w:pPr>
                                    <w:pStyle w:val="TableContents"/>
                                    <w:bidi w:val="0"/>
                                    <w:spacing w:before="0" w:after="283"/>
                                    <w:jc w:val="left"/>
                                    <w:rPr/>
                                  </w:pPr>
                                  <w:r>
                                    <w:rPr/>
                                    <w:t>Non-binding Advisory vote to approve the compensation of the named executive officers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54BA"/>
                                      <w:sz w:val="18"/>
                                    </w:rPr>
                                  </w:pPr>
                                  <w:r>
                                    <w:rPr>
                                      <w:rFonts w:ascii="ARIAL" w:hAnsi="ARIAL"/>
                                      <w:b/>
                                      <w:color w:val="0054BA"/>
                                      <w:sz w:val="18"/>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42</w:t>
                                  </w:r>
                                </w:p>
                              </w:tc>
                            </w:tr>
                            <w:tr>
                              <w:trPr/>
                              <w:tc>
                                <w:tcPr>
                                  <w:tcW w:w="260" w:type="dxa"/>
                                  <w:tcBorders/>
                                  <w:vAlign w:val="center"/>
                                </w:tcPr>
                                <w:p>
                                  <w:pPr>
                                    <w:pStyle w:val="TableContents"/>
                                    <w:bidi w:val="0"/>
                                    <w:spacing w:before="0" w:after="283"/>
                                    <w:jc w:val="left"/>
                                    <w:rPr>
                                      <w:sz w:val="4"/>
                                      <w:szCs w:val="4"/>
                                    </w:rPr>
                                  </w:pPr>
                                  <w:r>
                                    <w:rPr>
                                      <w:sz w:val="4"/>
                                      <w:szCs w:val="4"/>
                                    </w:rPr>
                                  </w:r>
                                </w:p>
                              </w:tc>
                              <w:tc>
                                <w:tcPr>
                                  <w:tcW w:w="6547"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843"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40"/>
                                    </w:rPr>
                                  </w:pPr>
                                  <w:r>
                                    <w:rPr>
                                      <w:rFonts w:ascii="ARIAL" w:hAnsi="ARIAL"/>
                                      <w:b/>
                                      <w:color w:val="0054BA"/>
                                      <w:sz w:val="40"/>
                                    </w:rP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87" w:type="dxa"/>
                                  <w:tcBorders>
                                    <w:bottom w:val="single" w:sz="6" w:space="0" w:color="000000"/>
                                  </w:tcBorders>
                                  <w:tcMar>
                                    <w:bottom w:w="100" w:type="dxa"/>
                                  </w:tcMar>
                                  <w:vAlign w:val="center"/>
                                </w:tcPr>
                                <w:p>
                                  <w:pPr>
                                    <w:pStyle w:val="TableContents"/>
                                    <w:bidi w:val="0"/>
                                    <w:spacing w:before="0" w:after="283"/>
                                    <w:jc w:val="left"/>
                                    <w:rPr/>
                                  </w:pPr>
                                  <w:r>
                                    <w:rPr/>
                                    <w:t>Approval of the CoStar Group, Inc. 2026 Employee Stock Purchase Plan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54BA"/>
                                      <w:sz w:val="18"/>
                                    </w:rPr>
                                  </w:pPr>
                                  <w:r>
                                    <w:rPr>
                                      <w:rFonts w:ascii="ARIAL" w:hAnsi="ARIAL"/>
                                      <w:b/>
                                      <w:color w:val="0054BA"/>
                                      <w:sz w:val="18"/>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88</w:t>
                                  </w:r>
                                </w:p>
                              </w:tc>
                            </w:tr>
                          </w:tbl>
                          <w:p>
                            <w:pPr>
                              <w:pStyle w:val="TextBody"/>
                              <w:bidi w:val="0"/>
                              <w:spacing w:before="120" w:after="0"/>
                              <w:jc w:val="left"/>
                              <w:rPr>
                                <w:rFonts w:ascii="ARIAL" w:hAnsi="ARIAL"/>
                                <w:b/>
                                <w:sz w:val="24"/>
                              </w:rPr>
                            </w:pPr>
                            <w:r>
                              <w:rPr>
                                <w:rFonts w:ascii="ARIAL" w:hAnsi="ARIAL"/>
                                <w:b/>
                                <w:sz w:val="24"/>
                              </w:rPr>
                              <w:t xml:space="preserve">Record Date </w:t>
                            </w:r>
                          </w:p>
                          <w:p>
                            <w:pPr>
                              <w:pStyle w:val="TextBody"/>
                              <w:bidi w:val="0"/>
                              <w:spacing w:before="40" w:after="0"/>
                              <w:jc w:val="left"/>
                              <w:rPr>
                                <w:rFonts w:ascii="ARIAL" w:hAnsi="ARIAL"/>
                                <w:sz w:val="18"/>
                              </w:rPr>
                            </w:pPr>
                            <w:r>
                              <w:rPr>
                                <w:rFonts w:ascii="ARIAL" w:hAnsi="ARIAL"/>
                                <w:sz w:val="18"/>
                              </w:rPr>
                              <w:t xml:space="preserve">The Board of Directors has fixed Monday, April 27, 2026, as the record date for determining stockholders entitled to receive notice of and to vote at the Annual Meeting (or any adjournment or postponement of it). Only stockholders of record at the close of business on that date are entitled to notice of and to vote at the Annual Meeting. </w:t>
                            </w:r>
                          </w:p>
                          <w:p>
                            <w:pPr>
                              <w:pStyle w:val="TextBody"/>
                              <w:bidi w:val="0"/>
                              <w:spacing w:before="120" w:after="0"/>
                              <w:jc w:val="left"/>
                              <w:rPr>
                                <w:rFonts w:ascii="ARIAL" w:hAnsi="ARIAL"/>
                                <w:b/>
                                <w:sz w:val="24"/>
                              </w:rPr>
                            </w:pPr>
                            <w:r>
                              <w:rPr>
                                <w:rFonts w:ascii="ARIAL" w:hAnsi="ARIAL"/>
                                <w:b/>
                                <w:sz w:val="24"/>
                              </w:rPr>
                              <w:t xml:space="preserve">Participation in Virtual Annual Meeting </w:t>
                            </w:r>
                          </w:p>
                          <w:p>
                            <w:pPr>
                              <w:pStyle w:val="TextBody"/>
                              <w:bidi w:val="0"/>
                              <w:spacing w:before="40" w:after="0"/>
                              <w:jc w:val="left"/>
                              <w:rPr>
                                <w:rFonts w:ascii="ARIAL" w:hAnsi="ARIAL"/>
                                <w:sz w:val="18"/>
                              </w:rPr>
                            </w:pPr>
                            <w:r>
                              <w:rPr>
                                <w:rFonts w:ascii="ARIAL" w:hAnsi="ARIAL"/>
                                <w:sz w:val="18"/>
                              </w:rPr>
                              <w:t xml:space="preserve">We are pleased to invite you to participate in our Annual Meeting, which will be conducted exclusively online at www.virtualshareholdermeeting.com/CSGP2026. Please see “Other Information” beginning on page 92 of this Proxy Statement for additional information. </w:t>
                            </w:r>
                          </w:p>
                          <w:p>
                            <w:pPr>
                              <w:pStyle w:val="TextBody"/>
                              <w:bidi w:val="0"/>
                              <w:spacing w:before="120" w:after="0"/>
                              <w:jc w:val="left"/>
                              <w:rPr>
                                <w:rFonts w:ascii="ARIAL" w:hAnsi="ARIAL"/>
                                <w:b/>
                                <w:sz w:val="24"/>
                              </w:rPr>
                            </w:pPr>
                            <w:r>
                              <w:rPr>
                                <w:rFonts w:ascii="ARIAL" w:hAnsi="ARIAL"/>
                                <w:b/>
                                <w:sz w:val="24"/>
                              </w:rPr>
                              <w:t xml:space="preserve">Voting </w:t>
                            </w:r>
                          </w:p>
                          <w:p>
                            <w:pPr>
                              <w:pStyle w:val="TextBody"/>
                              <w:bidi w:val="0"/>
                              <w:spacing w:before="40" w:after="0"/>
                              <w:jc w:val="left"/>
                              <w:rPr>
                                <w:rFonts w:ascii="ARIAL" w:hAnsi="ARIAL"/>
                                <w:sz w:val="18"/>
                              </w:rPr>
                            </w:pPr>
                            <w:r>
                              <w:rPr>
                                <w:rFonts w:ascii="ARIAL" w:hAnsi="ARIAL"/>
                                <w:sz w:val="18"/>
                              </w:rPr>
                              <w:t xml:space="preserve">Your vote is very important to us. Please act as soon as possible to vote your shares, even if you plan to participate in the Annual Meeting. For specific instructions on how to vote your shares, please see “Other Information” beginning on page 92 of this Proxy Statement. </w:t>
                            </w:r>
                          </w:p>
                          <w:p>
                            <w:pPr>
                              <w:pStyle w:val="TextBody"/>
                              <w:bidi w:val="0"/>
                              <w:spacing w:before="80" w:after="0"/>
                              <w:jc w:val="left"/>
                              <w:rPr>
                                <w:rFonts w:ascii="ARIAL" w:hAnsi="ARIAL"/>
                                <w:sz w:val="18"/>
                              </w:rPr>
                            </w:pPr>
                            <w:r>
                              <w:rPr>
                                <w:rFonts w:ascii="ARIAL" w:hAnsi="ARIAL"/>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969645" cy="446405"/>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9"/>
                                          <a:stretch>
                                            <a:fillRect/>
                                          </a:stretch>
                                        </pic:blipFill>
                                        <pic:spPr bwMode="auto">
                                          <a:xfrm>
                                            <a:off x="0" y="0"/>
                                            <a:ext cx="969645" cy="446405"/>
                                          </a:xfrm>
                                          <a:prstGeom prst="rect">
                                            <a:avLst/>
                                          </a:prstGeom>
                                        </pic:spPr>
                                      </pic:pic>
                                    </a:graphicData>
                                  </a:graphic>
                                </wp:inline>
                              </w:drawing>
                            </w:r>
                            <w:r>
                              <w:rPr/>
                              <w:t xml:space="preserve"> </w:t>
                            </w:r>
                          </w:p>
                          <w:p>
                            <w:pPr>
                              <w:pStyle w:val="TextBody"/>
                              <w:bidi w:val="0"/>
                              <w:spacing w:before="40" w:after="0"/>
                              <w:jc w:val="left"/>
                              <w:rPr>
                                <w:rFonts w:ascii="ARIAL" w:hAnsi="ARIAL"/>
                                <w:sz w:val="18"/>
                              </w:rPr>
                            </w:pPr>
                            <w:r>
                              <w:rPr>
                                <w:rFonts w:ascii="ARIAL" w:hAnsi="ARIAL"/>
                                <w:b/>
                                <w:sz w:val="18"/>
                              </w:rPr>
                              <w:t>Gene Boxer</w:t>
                            </w:r>
                            <w:r>
                              <w:rPr>
                                <w:rFonts w:ascii="ARIAL" w:hAnsi="ARIAL"/>
                                <w:sz w:val="18"/>
                              </w:rPr>
                              <w:t xml:space="preserve"> </w:t>
                            </w:r>
                          </w:p>
                          <w:p>
                            <w:pPr>
                              <w:pStyle w:val="TextBody"/>
                              <w:bidi w:val="0"/>
                              <w:spacing w:before="0" w:after="0"/>
                              <w:jc w:val="left"/>
                              <w:rPr>
                                <w:rFonts w:ascii="ARIAL" w:hAnsi="ARIAL"/>
                                <w:sz w:val="18"/>
                              </w:rPr>
                            </w:pPr>
                            <w:r>
                              <w:rPr>
                                <w:rFonts w:ascii="ARIAL" w:hAnsi="ARIAL"/>
                                <w:sz w:val="18"/>
                              </w:rPr>
                              <w:t xml:space="preserve">General Counsel and Corporate Secretary </w:t>
                            </w:r>
                          </w:p>
                          <w:p>
                            <w:pPr>
                              <w:pStyle w:val="TextBody"/>
                              <w:bidi w:val="0"/>
                              <w:spacing w:before="0" w:after="0"/>
                              <w:jc w:val="left"/>
                              <w:rPr>
                                <w:rFonts w:ascii="ARIAL" w:hAnsi="ARIAL"/>
                                <w:sz w:val="18"/>
                              </w:rPr>
                            </w:pPr>
                            <w:r>
                              <w:rPr>
                                <w:rFonts w:ascii="ARIAL" w:hAnsi="ARIAL"/>
                                <w:sz w:val="18"/>
                              </w:rPr>
                              <w:t xml:space="preserve">April 30, 2026 </w:t>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670.75pt;mso-wrap-distance-left:0pt;mso-wrap-distance-right:0pt;mso-wrap-distance-top:0pt;mso-wrap-distance-bottom:0pt;margin-top:0pt;mso-position-vertical:top;mso-position-vertical-relative:text;margin-left:163.25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Proposals to be Voted on and Board </w:t>
                      </w:r>
                    </w:p>
                    <w:p>
                      <w:pPr>
                        <w:pStyle w:val="TextBody"/>
                        <w:bidi w:val="0"/>
                        <w:spacing w:before="0" w:after="0"/>
                        <w:jc w:val="left"/>
                        <w:rPr>
                          <w:rFonts w:ascii="ARIAL" w:hAnsi="ARIAL"/>
                          <w:b/>
                          <w:sz w:val="24"/>
                        </w:rPr>
                      </w:pPr>
                      <w:r>
                        <w:rPr>
                          <w:rFonts w:ascii="ARIAL" w:hAnsi="ARIAL"/>
                          <w:b/>
                          <w:sz w:val="24"/>
                        </w:rPr>
                        <w:t xml:space="preserve">Voting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60"/>
                        <w:gridCol w:w="6487"/>
                        <w:gridCol w:w="60"/>
                        <w:gridCol w:w="2495"/>
                        <w:gridCol w:w="60"/>
                        <w:gridCol w:w="783"/>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6807" w:type="dxa"/>
                            <w:gridSpan w:val="3"/>
                            <w:tcBorders/>
                            <w:shd w:fill="0054BA" w:val="clear"/>
                            <w:vAlign w:val="center"/>
                          </w:tcPr>
                          <w:p>
                            <w:pPr>
                              <w:pStyle w:val="TableContents"/>
                              <w:bidi w:val="0"/>
                              <w:spacing w:before="0" w:after="283"/>
                              <w:jc w:val="left"/>
                              <w:rPr>
                                <w:sz w:val="4"/>
                                <w:szCs w:val="4"/>
                              </w:rPr>
                            </w:pPr>
                            <w:r>
                              <w:rPr>
                                <w:sz w:val="4"/>
                                <w:szCs w:val="4"/>
                              </w:rPr>
                            </w:r>
                          </w:p>
                        </w:tc>
                        <w:tc>
                          <w:tcPr>
                            <w:tcW w:w="2555" w:type="dxa"/>
                            <w:gridSpan w:val="2"/>
                            <w:tcBorders/>
                            <w:shd w:fill="0054BA" w:val="clear"/>
                            <w:vAlign w:val="center"/>
                          </w:tcPr>
                          <w:p>
                            <w:pPr>
                              <w:pStyle w:val="TableContents"/>
                              <w:bidi w:val="0"/>
                              <w:spacing w:before="0" w:after="283"/>
                              <w:jc w:val="left"/>
                              <w:rPr>
                                <w:sz w:val="4"/>
                                <w:szCs w:val="4"/>
                              </w:rPr>
                            </w:pPr>
                            <w:r>
                              <w:rPr>
                                <w:sz w:val="4"/>
                                <w:szCs w:val="4"/>
                              </w:rPr>
                            </w:r>
                          </w:p>
                        </w:tc>
                        <w:tc>
                          <w:tcPr>
                            <w:tcW w:w="843"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6807" w:type="dxa"/>
                            <w:gridSpan w:val="3"/>
                            <w:tcBorders/>
                            <w:shd w:fill="0054BA" w:val="clear"/>
                            <w:vAlign w:val="center"/>
                          </w:tcPr>
                          <w:p>
                            <w:pPr>
                              <w:pStyle w:val="TableContents"/>
                              <w:bidi w:val="0"/>
                              <w:spacing w:before="0" w:after="0"/>
                              <w:jc w:val="left"/>
                              <w:rPr>
                                <w:rFonts w:ascii="ARIAL" w:hAnsi="ARIAL"/>
                                <w:b/>
                                <w:color w:val="FFFFFF"/>
                                <w:sz w:val="18"/>
                              </w:rPr>
                            </w:pPr>
                            <w:r>
                              <w:rPr>
                                <w:rFonts w:ascii="ARIAL" w:hAnsi="ARIAL"/>
                                <w:b/>
                                <w:color w:val="FFFFFF"/>
                                <w:sz w:val="18"/>
                              </w:rPr>
                              <w:t>PROPOSAL</w:t>
                            </w:r>
                          </w:p>
                        </w:tc>
                        <w:tc>
                          <w:tcPr>
                            <w:tcW w:w="60" w:type="dxa"/>
                            <w:tcBorders/>
                            <w:shd w:fill="0054BA" w:val="clear"/>
                            <w:vAlign w:val="center"/>
                          </w:tcPr>
                          <w:p>
                            <w:pPr>
                              <w:pStyle w:val="TableContents"/>
                              <w:bidi w:val="0"/>
                              <w:spacing w:before="0" w:after="283"/>
                              <w:jc w:val="left"/>
                              <w:rPr/>
                            </w:pPr>
                            <w:r>
                              <w:rPr/>
                              <w:t> </w:t>
                            </w:r>
                          </w:p>
                        </w:tc>
                        <w:tc>
                          <w:tcPr>
                            <w:tcW w:w="2495" w:type="dxa"/>
                            <w:tcBorders/>
                            <w:shd w:fill="0054BA" w:val="clear"/>
                            <w:vAlign w:val="center"/>
                          </w:tcPr>
                          <w:p>
                            <w:pPr>
                              <w:pStyle w:val="TableContents"/>
                              <w:bidi w:val="0"/>
                              <w:spacing w:before="0" w:after="283"/>
                              <w:jc w:val="center"/>
                              <w:rPr>
                                <w:b/>
                                <w:color w:val="FFFFFF"/>
                              </w:rPr>
                            </w:pPr>
                            <w:r>
                              <w:rPr>
                                <w:b/>
                                <w:color w:val="FFFFFF"/>
                              </w:rPr>
                              <w:t>RECOMMENDATION</w:t>
                              <w:br/>
                              <w:t>OF THE BOARD</w:t>
                            </w:r>
                          </w:p>
                        </w:tc>
                        <w:tc>
                          <w:tcPr>
                            <w:tcW w:w="60" w:type="dxa"/>
                            <w:tcBorders/>
                            <w:shd w:fill="0054BA" w:val="clear"/>
                            <w:vAlign w:val="center"/>
                          </w:tcPr>
                          <w:p>
                            <w:pPr>
                              <w:pStyle w:val="TableContents"/>
                              <w:bidi w:val="0"/>
                              <w:spacing w:before="0" w:after="283"/>
                              <w:jc w:val="left"/>
                              <w:rPr/>
                            </w:pPr>
                            <w:r>
                              <w:rPr/>
                              <w:t> </w:t>
                            </w:r>
                          </w:p>
                        </w:tc>
                        <w:tc>
                          <w:tcPr>
                            <w:tcW w:w="783" w:type="dxa"/>
                            <w:tcBorders/>
                            <w:shd w:fill="0054BA" w:val="clear"/>
                            <w:vAlign w:val="center"/>
                          </w:tcPr>
                          <w:p>
                            <w:pPr>
                              <w:pStyle w:val="TableContents"/>
                              <w:bidi w:val="0"/>
                              <w:spacing w:before="0" w:after="283"/>
                              <w:jc w:val="center"/>
                              <w:rPr>
                                <w:b/>
                                <w:color w:val="FFFFFF"/>
                              </w:rPr>
                            </w:pPr>
                            <w:r>
                              <w:rPr>
                                <w:b/>
                                <w:color w:val="FFFFFF"/>
                              </w:rPr>
                              <w:t>PAGE </w:t>
                            </w:r>
                          </w:p>
                        </w:tc>
                      </w:tr>
                      <w:tr>
                        <w:trPr/>
                        <w:tc>
                          <w:tcPr>
                            <w:tcW w:w="260" w:type="dxa"/>
                            <w:tcBorders/>
                            <w:vAlign w:val="center"/>
                          </w:tcPr>
                          <w:p>
                            <w:pPr>
                              <w:pStyle w:val="TableContents"/>
                              <w:bidi w:val="0"/>
                              <w:spacing w:before="0" w:after="283"/>
                              <w:jc w:val="left"/>
                              <w:rPr>
                                <w:sz w:val="4"/>
                                <w:szCs w:val="4"/>
                              </w:rPr>
                            </w:pPr>
                            <w:r>
                              <w:rPr>
                                <w:sz w:val="4"/>
                                <w:szCs w:val="4"/>
                              </w:rPr>
                            </w:r>
                          </w:p>
                        </w:tc>
                        <w:tc>
                          <w:tcPr>
                            <w:tcW w:w="6547"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843"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40"/>
                              </w:rPr>
                            </w:pPr>
                            <w:r>
                              <w:rPr>
                                <w:rFonts w:ascii="ARIAL" w:hAnsi="ARIAL"/>
                                <w:b/>
                                <w:color w:val="0054BA"/>
                                <w:sz w:val="40"/>
                              </w:rP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87" w:type="dxa"/>
                            <w:tcBorders>
                              <w:bottom w:val="single" w:sz="6" w:space="0" w:color="000000"/>
                            </w:tcBorders>
                            <w:tcMar>
                              <w:bottom w:w="100" w:type="dxa"/>
                            </w:tcMar>
                            <w:vAlign w:val="center"/>
                          </w:tcPr>
                          <w:p>
                            <w:pPr>
                              <w:pStyle w:val="TableContents"/>
                              <w:bidi w:val="0"/>
                              <w:spacing w:before="0" w:after="283"/>
                              <w:jc w:val="left"/>
                              <w:rPr/>
                            </w:pPr>
                            <w:r>
                              <w:rPr/>
                              <w:t>Election of eight director nominees named in this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100" w:type="dxa"/>
                            </w:tcMar>
                            <w:vAlign w:val="center"/>
                          </w:tcPr>
                          <w:p>
                            <w:pPr>
                              <w:pStyle w:val="TableContents"/>
                              <w:bidi w:val="0"/>
                              <w:spacing w:before="0" w:after="283"/>
                              <w:jc w:val="center"/>
                              <w:rPr/>
                            </w:pPr>
                            <w:r>
                              <w:rPr>
                                <w:b/>
                                <w:color w:val="0054BA"/>
                              </w:rPr>
                              <w:t>FOR </w:t>
                            </w:r>
                            <w:r>
                              <w:rPr/>
                              <w:t>each of</w:t>
                              <w:br/>
                              <w:t>the nominees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 w:type="dxa"/>
                            <w:tcBorders>
                              <w:bottom w:val="single" w:sz="6" w:space="0" w:color="000000"/>
                            </w:tcBorders>
                            <w:tcMar>
                              <w:bottom w:w="100" w:type="dxa"/>
                            </w:tcMar>
                            <w:vAlign w:val="center"/>
                          </w:tcPr>
                          <w:p>
                            <w:pPr>
                              <w:pStyle w:val="TableContents"/>
                              <w:bidi w:val="0"/>
                              <w:spacing w:before="0" w:after="283"/>
                              <w:jc w:val="center"/>
                              <w:rPr/>
                            </w:pPr>
                            <w:r>
                              <w:rPr/>
                              <w:t>14</w:t>
                            </w:r>
                          </w:p>
                        </w:tc>
                      </w:tr>
                      <w:tr>
                        <w:trPr/>
                        <w:tc>
                          <w:tcPr>
                            <w:tcW w:w="260" w:type="dxa"/>
                            <w:tcBorders/>
                            <w:vAlign w:val="center"/>
                          </w:tcPr>
                          <w:p>
                            <w:pPr>
                              <w:pStyle w:val="TableContents"/>
                              <w:bidi w:val="0"/>
                              <w:spacing w:before="0" w:after="283"/>
                              <w:jc w:val="left"/>
                              <w:rPr>
                                <w:sz w:val="4"/>
                                <w:szCs w:val="4"/>
                              </w:rPr>
                            </w:pPr>
                            <w:r>
                              <w:rPr>
                                <w:sz w:val="4"/>
                                <w:szCs w:val="4"/>
                              </w:rPr>
                            </w:r>
                          </w:p>
                        </w:tc>
                        <w:tc>
                          <w:tcPr>
                            <w:tcW w:w="6547"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843"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40"/>
                              </w:rPr>
                            </w:pPr>
                            <w:r>
                              <w:rPr>
                                <w:rFonts w:ascii="ARIAL" w:hAnsi="ARIAL"/>
                                <w:b/>
                                <w:color w:val="0054BA"/>
                                <w:sz w:val="40"/>
                              </w:rPr>
                              <w:t>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87" w:type="dxa"/>
                            <w:tcBorders>
                              <w:bottom w:val="single" w:sz="6" w:space="0" w:color="000000"/>
                            </w:tcBorders>
                            <w:tcMar>
                              <w:bottom w:w="100" w:type="dxa"/>
                            </w:tcMar>
                            <w:vAlign w:val="center"/>
                          </w:tcPr>
                          <w:p>
                            <w:pPr>
                              <w:pStyle w:val="TableContents"/>
                              <w:bidi w:val="0"/>
                              <w:spacing w:before="0" w:after="283"/>
                              <w:jc w:val="left"/>
                              <w:rPr/>
                            </w:pPr>
                            <w:r>
                              <w:rPr/>
                              <w:t>Ratification of the appointment of Ernst &amp; Young LLP as the Company’s independent auditor for 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54BA"/>
                                <w:sz w:val="18"/>
                              </w:rPr>
                            </w:pPr>
                            <w:r>
                              <w:rPr>
                                <w:rFonts w:ascii="ARIAL" w:hAnsi="ARIAL"/>
                                <w:b/>
                                <w:color w:val="0054BA"/>
                                <w:sz w:val="18"/>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39</w:t>
                            </w:r>
                          </w:p>
                        </w:tc>
                      </w:tr>
                      <w:tr>
                        <w:trPr/>
                        <w:tc>
                          <w:tcPr>
                            <w:tcW w:w="260" w:type="dxa"/>
                            <w:tcBorders/>
                            <w:vAlign w:val="center"/>
                          </w:tcPr>
                          <w:p>
                            <w:pPr>
                              <w:pStyle w:val="TableContents"/>
                              <w:bidi w:val="0"/>
                              <w:spacing w:before="0" w:after="283"/>
                              <w:jc w:val="left"/>
                              <w:rPr>
                                <w:sz w:val="4"/>
                                <w:szCs w:val="4"/>
                              </w:rPr>
                            </w:pPr>
                            <w:r>
                              <w:rPr>
                                <w:sz w:val="4"/>
                                <w:szCs w:val="4"/>
                              </w:rPr>
                            </w:r>
                          </w:p>
                        </w:tc>
                        <w:tc>
                          <w:tcPr>
                            <w:tcW w:w="6547"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843"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40"/>
                              </w:rPr>
                            </w:pPr>
                            <w:r>
                              <w:rPr>
                                <w:rFonts w:ascii="ARIAL" w:hAnsi="ARIAL"/>
                                <w:b/>
                                <w:color w:val="0054BA"/>
                                <w:sz w:val="40"/>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87" w:type="dxa"/>
                            <w:tcBorders>
                              <w:bottom w:val="single" w:sz="6" w:space="0" w:color="000000"/>
                            </w:tcBorders>
                            <w:tcMar>
                              <w:bottom w:w="100" w:type="dxa"/>
                            </w:tcMar>
                            <w:vAlign w:val="center"/>
                          </w:tcPr>
                          <w:p>
                            <w:pPr>
                              <w:pStyle w:val="TableContents"/>
                              <w:bidi w:val="0"/>
                              <w:spacing w:before="0" w:after="283"/>
                              <w:jc w:val="left"/>
                              <w:rPr/>
                            </w:pPr>
                            <w:r>
                              <w:rPr/>
                              <w:t>Non-binding Advisory vote to approve the compensation of the named executive officers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54BA"/>
                                <w:sz w:val="18"/>
                              </w:rPr>
                            </w:pPr>
                            <w:r>
                              <w:rPr>
                                <w:rFonts w:ascii="ARIAL" w:hAnsi="ARIAL"/>
                                <w:b/>
                                <w:color w:val="0054BA"/>
                                <w:sz w:val="18"/>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42</w:t>
                            </w:r>
                          </w:p>
                        </w:tc>
                      </w:tr>
                      <w:tr>
                        <w:trPr/>
                        <w:tc>
                          <w:tcPr>
                            <w:tcW w:w="260" w:type="dxa"/>
                            <w:tcBorders/>
                            <w:vAlign w:val="center"/>
                          </w:tcPr>
                          <w:p>
                            <w:pPr>
                              <w:pStyle w:val="TableContents"/>
                              <w:bidi w:val="0"/>
                              <w:spacing w:before="0" w:after="283"/>
                              <w:jc w:val="left"/>
                              <w:rPr>
                                <w:sz w:val="4"/>
                                <w:szCs w:val="4"/>
                              </w:rPr>
                            </w:pPr>
                            <w:r>
                              <w:rPr>
                                <w:sz w:val="4"/>
                                <w:szCs w:val="4"/>
                              </w:rPr>
                            </w:r>
                          </w:p>
                        </w:tc>
                        <w:tc>
                          <w:tcPr>
                            <w:tcW w:w="6547"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843"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40"/>
                              </w:rPr>
                            </w:pPr>
                            <w:r>
                              <w:rPr>
                                <w:rFonts w:ascii="ARIAL" w:hAnsi="ARIAL"/>
                                <w:b/>
                                <w:color w:val="0054BA"/>
                                <w:sz w:val="40"/>
                              </w:rP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87" w:type="dxa"/>
                            <w:tcBorders>
                              <w:bottom w:val="single" w:sz="6" w:space="0" w:color="000000"/>
                            </w:tcBorders>
                            <w:tcMar>
                              <w:bottom w:w="100" w:type="dxa"/>
                            </w:tcMar>
                            <w:vAlign w:val="center"/>
                          </w:tcPr>
                          <w:p>
                            <w:pPr>
                              <w:pStyle w:val="TableContents"/>
                              <w:bidi w:val="0"/>
                              <w:spacing w:before="0" w:after="283"/>
                              <w:jc w:val="left"/>
                              <w:rPr/>
                            </w:pPr>
                            <w:r>
                              <w:rPr/>
                              <w:t>Approval of the CoStar Group, Inc. 2026 Employee Stock Purchase Plan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54BA"/>
                                <w:sz w:val="18"/>
                              </w:rPr>
                            </w:pPr>
                            <w:r>
                              <w:rPr>
                                <w:rFonts w:ascii="ARIAL" w:hAnsi="ARIAL"/>
                                <w:b/>
                                <w:color w:val="0054BA"/>
                                <w:sz w:val="18"/>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88</w:t>
                            </w:r>
                          </w:p>
                        </w:tc>
                      </w:tr>
                    </w:tbl>
                    <w:p>
                      <w:pPr>
                        <w:pStyle w:val="TextBody"/>
                        <w:bidi w:val="0"/>
                        <w:spacing w:before="120" w:after="0"/>
                        <w:jc w:val="left"/>
                        <w:rPr>
                          <w:rFonts w:ascii="ARIAL" w:hAnsi="ARIAL"/>
                          <w:b/>
                          <w:sz w:val="24"/>
                        </w:rPr>
                      </w:pPr>
                      <w:r>
                        <w:rPr>
                          <w:rFonts w:ascii="ARIAL" w:hAnsi="ARIAL"/>
                          <w:b/>
                          <w:sz w:val="24"/>
                        </w:rPr>
                        <w:t xml:space="preserve">Record Date </w:t>
                      </w:r>
                    </w:p>
                    <w:p>
                      <w:pPr>
                        <w:pStyle w:val="TextBody"/>
                        <w:bidi w:val="0"/>
                        <w:spacing w:before="40" w:after="0"/>
                        <w:jc w:val="left"/>
                        <w:rPr>
                          <w:rFonts w:ascii="ARIAL" w:hAnsi="ARIAL"/>
                          <w:sz w:val="18"/>
                        </w:rPr>
                      </w:pPr>
                      <w:r>
                        <w:rPr>
                          <w:rFonts w:ascii="ARIAL" w:hAnsi="ARIAL"/>
                          <w:sz w:val="18"/>
                        </w:rPr>
                        <w:t xml:space="preserve">The Board of Directors has fixed Monday, April 27, 2026, as the record date for determining stockholders entitled to receive notice of and to vote at the Annual Meeting (or any adjournment or postponement of it). Only stockholders of record at the close of business on that date are entitled to notice of and to vote at the Annual Meeting. </w:t>
                      </w:r>
                    </w:p>
                    <w:p>
                      <w:pPr>
                        <w:pStyle w:val="TextBody"/>
                        <w:bidi w:val="0"/>
                        <w:spacing w:before="120" w:after="0"/>
                        <w:jc w:val="left"/>
                        <w:rPr>
                          <w:rFonts w:ascii="ARIAL" w:hAnsi="ARIAL"/>
                          <w:b/>
                          <w:sz w:val="24"/>
                        </w:rPr>
                      </w:pPr>
                      <w:r>
                        <w:rPr>
                          <w:rFonts w:ascii="ARIAL" w:hAnsi="ARIAL"/>
                          <w:b/>
                          <w:sz w:val="24"/>
                        </w:rPr>
                        <w:t xml:space="preserve">Participation in Virtual Annual Meeting </w:t>
                      </w:r>
                    </w:p>
                    <w:p>
                      <w:pPr>
                        <w:pStyle w:val="TextBody"/>
                        <w:bidi w:val="0"/>
                        <w:spacing w:before="40" w:after="0"/>
                        <w:jc w:val="left"/>
                        <w:rPr>
                          <w:rFonts w:ascii="ARIAL" w:hAnsi="ARIAL"/>
                          <w:sz w:val="18"/>
                        </w:rPr>
                      </w:pPr>
                      <w:r>
                        <w:rPr>
                          <w:rFonts w:ascii="ARIAL" w:hAnsi="ARIAL"/>
                          <w:sz w:val="18"/>
                        </w:rPr>
                        <w:t xml:space="preserve">We are pleased to invite you to participate in our Annual Meeting, which will be conducted exclusively online at www.virtualshareholdermeeting.com/CSGP2026. Please see “Other Information” beginning on page 92 of this Proxy Statement for additional information. </w:t>
                      </w:r>
                    </w:p>
                    <w:p>
                      <w:pPr>
                        <w:pStyle w:val="TextBody"/>
                        <w:bidi w:val="0"/>
                        <w:spacing w:before="120" w:after="0"/>
                        <w:jc w:val="left"/>
                        <w:rPr>
                          <w:rFonts w:ascii="ARIAL" w:hAnsi="ARIAL"/>
                          <w:b/>
                          <w:sz w:val="24"/>
                        </w:rPr>
                      </w:pPr>
                      <w:r>
                        <w:rPr>
                          <w:rFonts w:ascii="ARIAL" w:hAnsi="ARIAL"/>
                          <w:b/>
                          <w:sz w:val="24"/>
                        </w:rPr>
                        <w:t xml:space="preserve">Voting </w:t>
                      </w:r>
                    </w:p>
                    <w:p>
                      <w:pPr>
                        <w:pStyle w:val="TextBody"/>
                        <w:bidi w:val="0"/>
                        <w:spacing w:before="40" w:after="0"/>
                        <w:jc w:val="left"/>
                        <w:rPr>
                          <w:rFonts w:ascii="ARIAL" w:hAnsi="ARIAL"/>
                          <w:sz w:val="18"/>
                        </w:rPr>
                      </w:pPr>
                      <w:r>
                        <w:rPr>
                          <w:rFonts w:ascii="ARIAL" w:hAnsi="ARIAL"/>
                          <w:sz w:val="18"/>
                        </w:rPr>
                        <w:t xml:space="preserve">Your vote is very important to us. Please act as soon as possible to vote your shares, even if you plan to participate in the Annual Meeting. For specific instructions on how to vote your shares, please see “Other Information” beginning on page 92 of this Proxy Statement. </w:t>
                      </w:r>
                    </w:p>
                    <w:p>
                      <w:pPr>
                        <w:pStyle w:val="TextBody"/>
                        <w:bidi w:val="0"/>
                        <w:spacing w:before="80" w:after="0"/>
                        <w:jc w:val="left"/>
                        <w:rPr>
                          <w:rFonts w:ascii="ARIAL" w:hAnsi="ARIAL"/>
                          <w:sz w:val="18"/>
                        </w:rPr>
                      </w:pPr>
                      <w:r>
                        <w:rPr>
                          <w:rFonts w:ascii="ARIAL" w:hAnsi="ARIAL"/>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969645" cy="44640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20"/>
                                    <a:stretch>
                                      <a:fillRect/>
                                    </a:stretch>
                                  </pic:blipFill>
                                  <pic:spPr bwMode="auto">
                                    <a:xfrm>
                                      <a:off x="0" y="0"/>
                                      <a:ext cx="969645" cy="446405"/>
                                    </a:xfrm>
                                    <a:prstGeom prst="rect">
                                      <a:avLst/>
                                    </a:prstGeom>
                                  </pic:spPr>
                                </pic:pic>
                              </a:graphicData>
                            </a:graphic>
                          </wp:inline>
                        </w:drawing>
                      </w:r>
                      <w:r>
                        <w:rPr/>
                        <w:t xml:space="preserve"> </w:t>
                      </w:r>
                    </w:p>
                    <w:p>
                      <w:pPr>
                        <w:pStyle w:val="TextBody"/>
                        <w:bidi w:val="0"/>
                        <w:spacing w:before="40" w:after="0"/>
                        <w:jc w:val="left"/>
                        <w:rPr>
                          <w:rFonts w:ascii="ARIAL" w:hAnsi="ARIAL"/>
                          <w:sz w:val="18"/>
                        </w:rPr>
                      </w:pPr>
                      <w:r>
                        <w:rPr>
                          <w:rFonts w:ascii="ARIAL" w:hAnsi="ARIAL"/>
                          <w:b/>
                          <w:sz w:val="18"/>
                        </w:rPr>
                        <w:t>Gene Boxer</w:t>
                      </w:r>
                      <w:r>
                        <w:rPr>
                          <w:rFonts w:ascii="ARIAL" w:hAnsi="ARIAL"/>
                          <w:sz w:val="18"/>
                        </w:rPr>
                        <w:t xml:space="preserve"> </w:t>
                      </w:r>
                    </w:p>
                    <w:p>
                      <w:pPr>
                        <w:pStyle w:val="TextBody"/>
                        <w:bidi w:val="0"/>
                        <w:spacing w:before="0" w:after="0"/>
                        <w:jc w:val="left"/>
                        <w:rPr>
                          <w:rFonts w:ascii="ARIAL" w:hAnsi="ARIAL"/>
                          <w:sz w:val="18"/>
                        </w:rPr>
                      </w:pPr>
                      <w:r>
                        <w:rPr>
                          <w:rFonts w:ascii="ARIAL" w:hAnsi="ARIAL"/>
                          <w:sz w:val="18"/>
                        </w:rPr>
                        <w:t xml:space="preserve">General Counsel and Corporate Secretary </w:t>
                      </w:r>
                    </w:p>
                    <w:p>
                      <w:pPr>
                        <w:pStyle w:val="TextBody"/>
                        <w:bidi w:val="0"/>
                        <w:spacing w:before="0" w:after="0"/>
                        <w:jc w:val="left"/>
                        <w:rPr>
                          <w:rFonts w:ascii="ARIAL" w:hAnsi="ARIAL"/>
                          <w:sz w:val="18"/>
                        </w:rPr>
                      </w:pPr>
                      <w:r>
                        <w:rPr>
                          <w:rFonts w:ascii="ARIAL" w:hAnsi="ARIAL"/>
                          <w:sz w:val="18"/>
                        </w:rPr>
                        <w:t xml:space="preserve">April 30, 2026 </w:t>
                      </w:r>
                    </w:p>
                  </w:txbxContent>
                </v:textbox>
                <w10:wrap type="square" side="right"/>
              </v:rect>
            </w:pict>
          </mc:Fallback>
        </mc:AlternateConten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2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4"/>
        </w:rPr>
      </w:pPr>
      <w:r>
        <w:rPr>
          <w:rFonts w:ascii="ARIAL" w:hAnsi="ARIAL"/>
          <w:b/>
          <w:sz w:val="14"/>
        </w:rPr>
        <w:t>IMPORTANT NOTICE REGARDING THE AVAILABILITY OF PROXY MATERIALS FOR THE STOCKHOLDER MEETING TO BE HELD ON JUNE 23, 2026:</w:t>
      </w:r>
      <w:r>
        <w:rPr>
          <w:rFonts w:ascii="ARIAL" w:hAnsi="ARIAL"/>
          <w:sz w:val="14"/>
        </w:rPr>
        <w:t xml:space="preserve"> The Notice of Meeting and this Proxy Statement, as well as our Annual Report to Stockholders (the “2025 Annual Report”), are available on our corporate website at https://investors.costargroup.com/financials-filings. We are furnishing proxy materials to some of our stockholders through the Internet instead of through the mail. On or about April 30, 2026, we mailed to stockholders as of the record date a Notice of Internet Availability of Proxy Materials (the “Notice”). The Notice tells you how to access this Proxy Statement and our 2025 Annual Report, as well as how to submit your proxy over the Internet. If you received the Notice and would still like to receive a printed copy of our proxy materials, please follow the instructions in the Notice. </w:t>
      </w:r>
    </w:p>
    <w:p>
      <w:pPr>
        <w:pStyle w:val="TextBody"/>
        <w:bidi w:val="0"/>
        <w:spacing w:before="0" w:after="0"/>
        <w:jc w:val="left"/>
        <w:rPr/>
      </w:pPr>
      <w:r>
        <w:rPr/>
        <w:t>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2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bookmarkStart w:id="2" w:name="toc"/>
      <w:bookmarkEnd w:id="2"/>
      <w:r>
        <w:rPr>
          <w:rFonts w:ascii="ARIAL" w:hAnsi="ARIAL"/>
          <w:b/>
          <w:sz w:val="64"/>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3110230" cy="9972040"/>
                <wp:effectExtent l="0" t="0" r="0" b="0"/>
                <wp:wrapSquare wrapText="right"/>
                <wp:docPr id="28" name="Frame7"/>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7905" w:type="dxa"/>
                              <w:jc w:val="left"/>
                              <w:tblInd w:w="0" w:type="dxa"/>
                              <w:tblLayout w:type="fixed"/>
                              <w:tblCellMar>
                                <w:top w:w="0" w:type="dxa"/>
                                <w:left w:w="0" w:type="dxa"/>
                                <w:bottom w:w="0" w:type="dxa"/>
                                <w:right w:w="0" w:type="dxa"/>
                              </w:tblCellMar>
                            </w:tblPr>
                            <w:tblGrid>
                              <w:gridCol w:w="75"/>
                              <w:gridCol w:w="260"/>
                              <w:gridCol w:w="60"/>
                              <w:gridCol w:w="120"/>
                              <w:gridCol w:w="60"/>
                              <w:gridCol w:w="260"/>
                              <w:gridCol w:w="60"/>
                              <w:gridCol w:w="120"/>
                              <w:gridCol w:w="689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9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0" w:type="dxa"/>
                                  <w:gridSpan w:val="4"/>
                                  <w:tcBorders/>
                                  <w:vAlign w:val="center"/>
                                </w:tcPr>
                                <w:p>
                                  <w:pPr>
                                    <w:pStyle w:val="TableContents"/>
                                    <w:bidi w:val="0"/>
                                    <w:spacing w:before="0" w:after="283"/>
                                    <w:jc w:val="left"/>
                                    <w:rPr/>
                                  </w:pPr>
                                  <w:hyperlink w:anchor="toc903159_1">
                                    <w:r>
                                      <w:rPr>
                                        <w:rStyle w:val="InternetLink"/>
                                      </w:rPr>
                                      <w:t>Glossary of Terms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751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0" w:type="dxa"/>
                                  <w:gridSpan w:val="4"/>
                                  <w:tcBorders/>
                                  <w:vAlign w:val="center"/>
                                </w:tcPr>
                                <w:p>
                                  <w:pPr>
                                    <w:pStyle w:val="TableContents"/>
                                    <w:bidi w:val="0"/>
                                    <w:spacing w:before="0" w:after="283"/>
                                    <w:jc w:val="left"/>
                                    <w:rPr/>
                                  </w:pPr>
                                  <w:hyperlink w:anchor="toc903159_2">
                                    <w:r>
                                      <w:rPr>
                                        <w:rStyle w:val="InternetLink"/>
                                      </w:rPr>
                                      <w:t>Proxy Summary</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751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0" w:type="dxa"/>
                                  <w:gridSpan w:val="4"/>
                                  <w:tcBorders/>
                                  <w:vAlign w:val="center"/>
                                </w:tcPr>
                                <w:p>
                                  <w:pPr>
                                    <w:pStyle w:val="TableContents"/>
                                    <w:bidi w:val="0"/>
                                    <w:spacing w:before="0" w:after="283"/>
                                    <w:jc w:val="left"/>
                                    <w:rPr/>
                                  </w:pPr>
                                  <w:hyperlink w:anchor="toc903159_3">
                                    <w:r>
                                      <w:rPr>
                                        <w:rStyle w:val="InternetLink"/>
                                      </w:rPr>
                                      <w:t>Proxy Statement</w:t>
                                    </w:r>
                                  </w:hyperlink>
                                </w:p>
                              </w:tc>
                            </w:tr>
                            <w:tr>
                              <w:trPr/>
                              <w:tc>
                                <w:tcPr>
                                  <w:tcW w:w="75" w:type="dxa"/>
                                  <w:tcBorders/>
                                  <w:shd w:fill="ECF6FC" w:val="clear"/>
                                  <w:vAlign w:val="center"/>
                                </w:tcPr>
                                <w:p>
                                  <w:pPr>
                                    <w:pStyle w:val="TableContents"/>
                                    <w:bidi w:val="0"/>
                                    <w:spacing w:before="0" w:after="283"/>
                                    <w:jc w:val="left"/>
                                    <w:rPr/>
                                  </w:pPr>
                                  <w:r>
                                    <w:rPr/>
                                    <w:t> </w:t>
                                  </w:r>
                                </w:p>
                              </w:tc>
                              <w:tc>
                                <w:tcPr>
                                  <w:tcW w:w="260" w:type="dxa"/>
                                  <w:tcBorders/>
                                  <w:shd w:fill="ECF6FC" w:val="clear"/>
                                  <w:vAlign w:val="center"/>
                                </w:tcPr>
                                <w:p>
                                  <w:pPr>
                                    <w:pStyle w:val="TableContents"/>
                                    <w:bidi w:val="0"/>
                                    <w:spacing w:before="0" w:after="283"/>
                                    <w:jc w:val="right"/>
                                    <w:rPr/>
                                  </w:pPr>
                                  <w:r>
                                    <w:rPr/>
                                    <w:t>14</w:t>
                                  </w:r>
                                </w:p>
                              </w:tc>
                              <w:tc>
                                <w:tcPr>
                                  <w:tcW w:w="60" w:type="dxa"/>
                                  <w:tcBorders/>
                                  <w:shd w:fill="ECF6FC" w:val="clear"/>
                                  <w:vAlign w:val="center"/>
                                </w:tcPr>
                                <w:p>
                                  <w:pPr>
                                    <w:pStyle w:val="TableContents"/>
                                    <w:bidi w:val="0"/>
                                    <w:spacing w:before="0" w:after="283"/>
                                    <w:jc w:val="left"/>
                                    <w:rPr/>
                                  </w:pPr>
                                  <w:r>
                                    <w:rPr/>
                                    <w:t> </w:t>
                                  </w:r>
                                </w:p>
                              </w:tc>
                              <w:tc>
                                <w:tcPr>
                                  <w:tcW w:w="120" w:type="dxa"/>
                                  <w:tcBorders/>
                                  <w:shd w:fill="ECF6FC" w:val="clear"/>
                                  <w:vAlign w:val="center"/>
                                </w:tcPr>
                                <w:p>
                                  <w:pPr>
                                    <w:pStyle w:val="TableContents"/>
                                    <w:bidi w:val="0"/>
                                    <w:spacing w:before="0" w:after="283"/>
                                    <w:jc w:val="left"/>
                                    <w:rPr/>
                                  </w:pPr>
                                  <w:r>
                                    <w:rPr/>
                                    <w:t>  </w:t>
                                  </w:r>
                                </w:p>
                              </w:tc>
                              <w:tc>
                                <w:tcPr>
                                  <w:tcW w:w="60" w:type="dxa"/>
                                  <w:tcBorders/>
                                  <w:shd w:fill="ECF6FC" w:val="clear"/>
                                  <w:vAlign w:val="center"/>
                                </w:tcPr>
                                <w:p>
                                  <w:pPr>
                                    <w:pStyle w:val="TableContents"/>
                                    <w:bidi w:val="0"/>
                                    <w:spacing w:before="0" w:after="283"/>
                                    <w:jc w:val="left"/>
                                    <w:rPr/>
                                  </w:pPr>
                                  <w:r>
                                    <w:rPr/>
                                    <w:t> </w:t>
                                  </w:r>
                                </w:p>
                              </w:tc>
                              <w:tc>
                                <w:tcPr>
                                  <w:tcW w:w="7330" w:type="dxa"/>
                                  <w:gridSpan w:val="4"/>
                                  <w:tcBorders/>
                                  <w:shd w:fill="ECF6FC" w:val="clear"/>
                                  <w:vAlign w:val="center"/>
                                </w:tcPr>
                                <w:p>
                                  <w:pPr>
                                    <w:pStyle w:val="TableContents"/>
                                    <w:bidi w:val="0"/>
                                    <w:spacing w:before="0" w:after="283"/>
                                    <w:jc w:val="left"/>
                                    <w:rPr/>
                                  </w:pPr>
                                  <w:hyperlink w:anchor="toc903159_4">
                                    <w:r>
                                      <w:rPr>
                                        <w:rStyle w:val="InternetLink"/>
                                      </w:rPr>
                                      <w:t>Proposal 1 – Election of Directors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5">
                                    <w:r>
                                      <w:rPr>
                                        <w:rStyle w:val="InternetLink"/>
                                      </w:rPr>
                                      <w:t>Board Composition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6">
                                    <w:r>
                                      <w:rPr>
                                        <w:rStyle w:val="InternetLink"/>
                                      </w:rPr>
                                      <w:t>Board and Committee Evaluation Process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7">
                                    <w:r>
                                      <w:rPr>
                                        <w:rStyle w:val="InternetLink"/>
                                      </w:rPr>
                                      <w:t>Director Nominees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8">
                                    <w:r>
                                      <w:rPr>
                                        <w:rStyle w:val="InternetLink"/>
                                      </w:rPr>
                                      <w:t>Board Leadership Structure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9">
                                    <w:r>
                                      <w:rPr>
                                        <w:rStyle w:val="InternetLink"/>
                                      </w:rPr>
                                      <w:t>The Board’s Role in Risk Oversight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1">
                                    <w:r>
                                      <w:rPr>
                                        <w:rStyle w:val="InternetLink"/>
                                      </w:rPr>
                                      <w:t>Board Committees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2">
                                    <w:r>
                                      <w:rPr>
                                        <w:rStyle w:val="InternetLink"/>
                                      </w:rPr>
                                      <w:t>Corporate Governance Overview</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3">
                                    <w:r>
                                      <w:rPr>
                                        <w:rStyle w:val="InternetLink"/>
                                      </w:rPr>
                                      <w:t>Director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4">
                                    <w:r>
                                      <w:rPr>
                                        <w:rStyle w:val="InternetLink"/>
                                      </w:rPr>
                                      <w:t>Director Stock Ownership Policy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5">
                                    <w:r>
                                      <w:rPr>
                                        <w:rStyle w:val="InternetLink"/>
                                      </w:rPr>
                                      <w:t>Certain Relationships and Related Party Transactions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6">
                                    <w:r>
                                      <w:rPr>
                                        <w:rStyle w:val="InternetLink"/>
                                      </w:rPr>
                                      <w:t>Executive Officers</w:t>
                                    </w:r>
                                  </w:hyperlink>
                                </w:p>
                              </w:tc>
                            </w:tr>
                            <w:tr>
                              <w:trPr/>
                              <w:tc>
                                <w:tcPr>
                                  <w:tcW w:w="75" w:type="dxa"/>
                                  <w:tcBorders/>
                                  <w:shd w:fill="ECF6FC" w:val="clear"/>
                                  <w:vAlign w:val="center"/>
                                </w:tcPr>
                                <w:p>
                                  <w:pPr>
                                    <w:pStyle w:val="TableContents"/>
                                    <w:bidi w:val="0"/>
                                    <w:spacing w:before="0" w:after="283"/>
                                    <w:jc w:val="left"/>
                                    <w:rPr/>
                                  </w:pPr>
                                  <w:r>
                                    <w:rPr/>
                                    <w:t> </w:t>
                                  </w:r>
                                </w:p>
                              </w:tc>
                              <w:tc>
                                <w:tcPr>
                                  <w:tcW w:w="260" w:type="dxa"/>
                                  <w:tcBorders/>
                                  <w:shd w:fill="ECF6FC" w:val="clear"/>
                                  <w:vAlign w:val="center"/>
                                </w:tcPr>
                                <w:p>
                                  <w:pPr>
                                    <w:pStyle w:val="TableContents"/>
                                    <w:bidi w:val="0"/>
                                    <w:spacing w:before="0" w:after="283"/>
                                    <w:jc w:val="right"/>
                                    <w:rPr/>
                                  </w:pPr>
                                  <w:r>
                                    <w:rPr/>
                                    <w:t>39</w:t>
                                  </w:r>
                                </w:p>
                              </w:tc>
                              <w:tc>
                                <w:tcPr>
                                  <w:tcW w:w="60" w:type="dxa"/>
                                  <w:tcBorders/>
                                  <w:shd w:fill="ECF6FC" w:val="clear"/>
                                  <w:vAlign w:val="center"/>
                                </w:tcPr>
                                <w:p>
                                  <w:pPr>
                                    <w:pStyle w:val="TableContents"/>
                                    <w:bidi w:val="0"/>
                                    <w:spacing w:before="0" w:after="283"/>
                                    <w:jc w:val="left"/>
                                    <w:rPr/>
                                  </w:pPr>
                                  <w:r>
                                    <w:rPr/>
                                    <w:t> </w:t>
                                  </w:r>
                                </w:p>
                              </w:tc>
                              <w:tc>
                                <w:tcPr>
                                  <w:tcW w:w="120" w:type="dxa"/>
                                  <w:tcBorders/>
                                  <w:shd w:fill="ECF6FC" w:val="clear"/>
                                  <w:vAlign w:val="center"/>
                                </w:tcPr>
                                <w:p>
                                  <w:pPr>
                                    <w:pStyle w:val="TableContents"/>
                                    <w:bidi w:val="0"/>
                                    <w:spacing w:before="0" w:after="283"/>
                                    <w:jc w:val="left"/>
                                    <w:rPr/>
                                  </w:pPr>
                                  <w:r>
                                    <w:rPr/>
                                    <w:t>  </w:t>
                                  </w:r>
                                </w:p>
                              </w:tc>
                              <w:tc>
                                <w:tcPr>
                                  <w:tcW w:w="60" w:type="dxa"/>
                                  <w:tcBorders/>
                                  <w:shd w:fill="ECF6FC" w:val="clear"/>
                                  <w:vAlign w:val="center"/>
                                </w:tcPr>
                                <w:p>
                                  <w:pPr>
                                    <w:pStyle w:val="TableContents"/>
                                    <w:bidi w:val="0"/>
                                    <w:spacing w:before="0" w:after="283"/>
                                    <w:jc w:val="left"/>
                                    <w:rPr/>
                                  </w:pPr>
                                  <w:hyperlink w:anchor="toc903159_17">
                                    <w:r>
                                      <w:rPr>
                                        <w:rStyle w:val="InternetLink"/>
                                      </w:rPr>
                                      <w:t> </w:t>
                                    </w:r>
                                  </w:hyperlink>
                                </w:p>
                              </w:tc>
                              <w:tc>
                                <w:tcPr>
                                  <w:tcW w:w="7330" w:type="dxa"/>
                                  <w:gridSpan w:val="4"/>
                                  <w:tcBorders/>
                                  <w:shd w:fill="ECF6FC" w:val="clear"/>
                                  <w:vAlign w:val="center"/>
                                </w:tcPr>
                                <w:p>
                                  <w:pPr>
                                    <w:pStyle w:val="TableContents"/>
                                    <w:bidi w:val="0"/>
                                    <w:spacing w:before="0" w:after="283"/>
                                    <w:jc w:val="left"/>
                                    <w:rPr/>
                                  </w:pPr>
                                  <w:hyperlink w:anchor="toc903159_17">
                                    <w:r>
                                      <w:rPr>
                                        <w:rStyle w:val="InternetLink"/>
                                      </w:rPr>
                                      <w:t>Proposal 2 – Ratification of the Appointment of</w:t>
                                      <w:br/>
                                      <w:t>Independent Registered Public Accounting Firm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8">
                                    <w:r>
                                      <w:rPr>
                                        <w:rStyle w:val="InternetLink"/>
                                      </w:rPr>
                                      <w:t>Ernst &amp; Young LLP Fees and Services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9">
                                    <w:r>
                                      <w:rPr>
                                        <w:rStyle w:val="InternetLink"/>
                                      </w:rPr>
                                      <w:t>Audit Committee Pre-Approval Policy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20">
                                    <w:r>
                                      <w:rPr>
                                        <w:rStyle w:val="InternetLink"/>
                                      </w:rPr>
                                      <w:t>Report of the Audit Committee</w:t>
                                    </w:r>
                                  </w:hyperlink>
                                </w:p>
                              </w:tc>
                            </w:tr>
                            <w:tr>
                              <w:trPr/>
                              <w:tc>
                                <w:tcPr>
                                  <w:tcW w:w="75" w:type="dxa"/>
                                  <w:tcBorders/>
                                  <w:shd w:fill="ECF6FC" w:val="clear"/>
                                  <w:vAlign w:val="center"/>
                                </w:tcPr>
                                <w:p>
                                  <w:pPr>
                                    <w:pStyle w:val="TableContents"/>
                                    <w:bidi w:val="0"/>
                                    <w:spacing w:before="0" w:after="283"/>
                                    <w:jc w:val="left"/>
                                    <w:rPr/>
                                  </w:pPr>
                                  <w:r>
                                    <w:rPr/>
                                    <w:t> </w:t>
                                  </w:r>
                                </w:p>
                              </w:tc>
                              <w:tc>
                                <w:tcPr>
                                  <w:tcW w:w="260" w:type="dxa"/>
                                  <w:tcBorders/>
                                  <w:shd w:fill="ECF6FC" w:val="clear"/>
                                  <w:vAlign w:val="center"/>
                                </w:tcPr>
                                <w:p>
                                  <w:pPr>
                                    <w:pStyle w:val="TableContents"/>
                                    <w:bidi w:val="0"/>
                                    <w:spacing w:before="0" w:after="283"/>
                                    <w:jc w:val="right"/>
                                    <w:rPr/>
                                  </w:pPr>
                                  <w:r>
                                    <w:rPr/>
                                    <w:t>42</w:t>
                                  </w:r>
                                </w:p>
                              </w:tc>
                              <w:tc>
                                <w:tcPr>
                                  <w:tcW w:w="60" w:type="dxa"/>
                                  <w:tcBorders/>
                                  <w:shd w:fill="ECF6FC" w:val="clear"/>
                                  <w:vAlign w:val="center"/>
                                </w:tcPr>
                                <w:p>
                                  <w:pPr>
                                    <w:pStyle w:val="TableContents"/>
                                    <w:bidi w:val="0"/>
                                    <w:spacing w:before="0" w:after="283"/>
                                    <w:jc w:val="left"/>
                                    <w:rPr/>
                                  </w:pPr>
                                  <w:r>
                                    <w:rPr/>
                                    <w:t> </w:t>
                                  </w:r>
                                </w:p>
                              </w:tc>
                              <w:tc>
                                <w:tcPr>
                                  <w:tcW w:w="120" w:type="dxa"/>
                                  <w:tcBorders/>
                                  <w:shd w:fill="ECF6FC" w:val="clear"/>
                                  <w:vAlign w:val="center"/>
                                </w:tcPr>
                                <w:p>
                                  <w:pPr>
                                    <w:pStyle w:val="TableContents"/>
                                    <w:bidi w:val="0"/>
                                    <w:spacing w:before="0" w:after="283"/>
                                    <w:jc w:val="left"/>
                                    <w:rPr/>
                                  </w:pPr>
                                  <w:r>
                                    <w:rPr/>
                                    <w:t>  </w:t>
                                  </w:r>
                                </w:p>
                              </w:tc>
                              <w:tc>
                                <w:tcPr>
                                  <w:tcW w:w="60" w:type="dxa"/>
                                  <w:tcBorders/>
                                  <w:shd w:fill="ECF6FC" w:val="clear"/>
                                  <w:vAlign w:val="center"/>
                                </w:tcPr>
                                <w:p>
                                  <w:pPr>
                                    <w:pStyle w:val="TableContents"/>
                                    <w:bidi w:val="0"/>
                                    <w:spacing w:before="0" w:after="283"/>
                                    <w:jc w:val="left"/>
                                    <w:rPr/>
                                  </w:pPr>
                                  <w:hyperlink w:anchor="toc903159_21">
                                    <w:r>
                                      <w:rPr>
                                        <w:rStyle w:val="InternetLink"/>
                                      </w:rPr>
                                      <w:t> </w:t>
                                    </w:r>
                                  </w:hyperlink>
                                </w:p>
                              </w:tc>
                              <w:tc>
                                <w:tcPr>
                                  <w:tcW w:w="7330" w:type="dxa"/>
                                  <w:gridSpan w:val="4"/>
                                  <w:tcBorders/>
                                  <w:shd w:fill="ECF6FC" w:val="clear"/>
                                  <w:vAlign w:val="center"/>
                                </w:tcPr>
                                <w:p>
                                  <w:pPr>
                                    <w:pStyle w:val="TableContents"/>
                                    <w:bidi w:val="0"/>
                                    <w:spacing w:before="0" w:after="283"/>
                                    <w:jc w:val="left"/>
                                    <w:rPr/>
                                  </w:pPr>
                                  <w:hyperlink w:anchor="toc903159_21">
                                    <w:r>
                                      <w:rPr>
                                        <w:rStyle w:val="InternetLink"/>
                                      </w:rPr>
                                      <w:t>Proposal 3 – Advisory Resolution to Approve</w:t>
                                      <w:br/>
                                      <w:t>Executive Compensation</w:t>
                                    </w:r>
                                  </w:hyperlink>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0" w:type="dxa"/>
                                  <w:gridSpan w:val="4"/>
                                  <w:tcBorders/>
                                  <w:vAlign w:val="center"/>
                                </w:tcPr>
                                <w:p>
                                  <w:pPr>
                                    <w:pStyle w:val="TableContents"/>
                                    <w:bidi w:val="0"/>
                                    <w:spacing w:before="0" w:after="283"/>
                                    <w:jc w:val="left"/>
                                    <w:rPr/>
                                  </w:pPr>
                                  <w:hyperlink w:anchor="toc903159_22">
                                    <w:r>
                                      <w:rPr>
                                        <w:rStyle w:val="InternetLink"/>
                                      </w:rPr>
                                      <w:t>Compensation Discussion and Analysis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x903159_101">
                                    <w:r>
                                      <w:rPr>
                                        <w:rStyle w:val="InternetLink"/>
                                      </w:rPr>
                                      <w:t>2025 Business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23">
                                    <w:r>
                                      <w:rPr>
                                        <w:rStyle w:val="InternetLink"/>
                                      </w:rPr>
                                      <w:t>Executive Compensation Philosophy, Program Objectives, and Practices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25">
                                    <w:r>
                                      <w:rPr>
                                        <w:rStyle w:val="InternetLink"/>
                                      </w:rPr>
                                      <w:t>Pay for Performance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x903159_104">
                                    <w:r>
                                      <w:rPr>
                                        <w:rStyle w:val="InternetLink"/>
                                      </w:rPr>
                                      <w:t>How Executive Compensation Decisions are Made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x903159_105">
                                    <w:r>
                                      <w:rPr>
                                        <w:rStyle w:val="InternetLink"/>
                                      </w:rPr>
                                      <w:t>Executive Compensation Design and Award Decisions for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28">
                                    <w:r>
                                      <w:rPr>
                                        <w:rStyle w:val="InternetLink"/>
                                      </w:rPr>
                                      <w:t>Equity Incentive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30">
                                    <w:r>
                                      <w:rPr>
                                        <w:rStyle w:val="InternetLink"/>
                                      </w:rPr>
                                      <w:t>Company Compensation Policies and Practices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0">
                                    <w:r>
                                      <w:rPr>
                                        <w:rStyle w:val="InternetLink"/>
                                      </w:rPr>
                                      <w:t>Risk Assessment in Compensation Programs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34">
                                    <w:r>
                                      <w:rPr>
                                        <w:rStyle w:val="InternetLink"/>
                                      </w:rPr>
                                      <w:t>Employment Agreements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41">
                                    <w:r>
                                      <w:rPr>
                                        <w:rStyle w:val="InternetLink"/>
                                      </w:rPr>
                                      <w:t>Executive Severance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31">
                                    <w:r>
                                      <w:rPr>
                                        <w:rStyle w:val="InternetLink"/>
                                      </w:rPr>
                                      <w:t>Compensation Committee Report</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7905" w:type="dxa"/>
                        <w:jc w:val="left"/>
                        <w:tblInd w:w="0" w:type="dxa"/>
                        <w:tblLayout w:type="fixed"/>
                        <w:tblCellMar>
                          <w:top w:w="0" w:type="dxa"/>
                          <w:left w:w="0" w:type="dxa"/>
                          <w:bottom w:w="0" w:type="dxa"/>
                          <w:right w:w="0" w:type="dxa"/>
                        </w:tblCellMar>
                      </w:tblPr>
                      <w:tblGrid>
                        <w:gridCol w:w="75"/>
                        <w:gridCol w:w="260"/>
                        <w:gridCol w:w="60"/>
                        <w:gridCol w:w="120"/>
                        <w:gridCol w:w="60"/>
                        <w:gridCol w:w="260"/>
                        <w:gridCol w:w="60"/>
                        <w:gridCol w:w="120"/>
                        <w:gridCol w:w="689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9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0" w:type="dxa"/>
                            <w:gridSpan w:val="4"/>
                            <w:tcBorders/>
                            <w:vAlign w:val="center"/>
                          </w:tcPr>
                          <w:p>
                            <w:pPr>
                              <w:pStyle w:val="TableContents"/>
                              <w:bidi w:val="0"/>
                              <w:spacing w:before="0" w:after="283"/>
                              <w:jc w:val="left"/>
                              <w:rPr/>
                            </w:pPr>
                            <w:hyperlink w:anchor="toc903159_1">
                              <w:r>
                                <w:rPr>
                                  <w:rStyle w:val="InternetLink"/>
                                </w:rPr>
                                <w:t>Glossary of Terms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751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0" w:type="dxa"/>
                            <w:gridSpan w:val="4"/>
                            <w:tcBorders/>
                            <w:vAlign w:val="center"/>
                          </w:tcPr>
                          <w:p>
                            <w:pPr>
                              <w:pStyle w:val="TableContents"/>
                              <w:bidi w:val="0"/>
                              <w:spacing w:before="0" w:after="283"/>
                              <w:jc w:val="left"/>
                              <w:rPr/>
                            </w:pPr>
                            <w:hyperlink w:anchor="toc903159_2">
                              <w:r>
                                <w:rPr>
                                  <w:rStyle w:val="InternetLink"/>
                                </w:rPr>
                                <w:t>Proxy Summary</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751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0" w:type="dxa"/>
                            <w:gridSpan w:val="4"/>
                            <w:tcBorders/>
                            <w:vAlign w:val="center"/>
                          </w:tcPr>
                          <w:p>
                            <w:pPr>
                              <w:pStyle w:val="TableContents"/>
                              <w:bidi w:val="0"/>
                              <w:spacing w:before="0" w:after="283"/>
                              <w:jc w:val="left"/>
                              <w:rPr/>
                            </w:pPr>
                            <w:hyperlink w:anchor="toc903159_3">
                              <w:r>
                                <w:rPr>
                                  <w:rStyle w:val="InternetLink"/>
                                </w:rPr>
                                <w:t>Proxy Statement</w:t>
                              </w:r>
                            </w:hyperlink>
                          </w:p>
                        </w:tc>
                      </w:tr>
                      <w:tr>
                        <w:trPr/>
                        <w:tc>
                          <w:tcPr>
                            <w:tcW w:w="75" w:type="dxa"/>
                            <w:tcBorders/>
                            <w:shd w:fill="ECF6FC" w:val="clear"/>
                            <w:vAlign w:val="center"/>
                          </w:tcPr>
                          <w:p>
                            <w:pPr>
                              <w:pStyle w:val="TableContents"/>
                              <w:bidi w:val="0"/>
                              <w:spacing w:before="0" w:after="283"/>
                              <w:jc w:val="left"/>
                              <w:rPr/>
                            </w:pPr>
                            <w:r>
                              <w:rPr/>
                              <w:t> </w:t>
                            </w:r>
                          </w:p>
                        </w:tc>
                        <w:tc>
                          <w:tcPr>
                            <w:tcW w:w="260" w:type="dxa"/>
                            <w:tcBorders/>
                            <w:shd w:fill="ECF6FC" w:val="clear"/>
                            <w:vAlign w:val="center"/>
                          </w:tcPr>
                          <w:p>
                            <w:pPr>
                              <w:pStyle w:val="TableContents"/>
                              <w:bidi w:val="0"/>
                              <w:spacing w:before="0" w:after="283"/>
                              <w:jc w:val="right"/>
                              <w:rPr/>
                            </w:pPr>
                            <w:r>
                              <w:rPr/>
                              <w:t>14</w:t>
                            </w:r>
                          </w:p>
                        </w:tc>
                        <w:tc>
                          <w:tcPr>
                            <w:tcW w:w="60" w:type="dxa"/>
                            <w:tcBorders/>
                            <w:shd w:fill="ECF6FC" w:val="clear"/>
                            <w:vAlign w:val="center"/>
                          </w:tcPr>
                          <w:p>
                            <w:pPr>
                              <w:pStyle w:val="TableContents"/>
                              <w:bidi w:val="0"/>
                              <w:spacing w:before="0" w:after="283"/>
                              <w:jc w:val="left"/>
                              <w:rPr/>
                            </w:pPr>
                            <w:r>
                              <w:rPr/>
                              <w:t> </w:t>
                            </w:r>
                          </w:p>
                        </w:tc>
                        <w:tc>
                          <w:tcPr>
                            <w:tcW w:w="120" w:type="dxa"/>
                            <w:tcBorders/>
                            <w:shd w:fill="ECF6FC" w:val="clear"/>
                            <w:vAlign w:val="center"/>
                          </w:tcPr>
                          <w:p>
                            <w:pPr>
                              <w:pStyle w:val="TableContents"/>
                              <w:bidi w:val="0"/>
                              <w:spacing w:before="0" w:after="283"/>
                              <w:jc w:val="left"/>
                              <w:rPr/>
                            </w:pPr>
                            <w:r>
                              <w:rPr/>
                              <w:t>  </w:t>
                            </w:r>
                          </w:p>
                        </w:tc>
                        <w:tc>
                          <w:tcPr>
                            <w:tcW w:w="60" w:type="dxa"/>
                            <w:tcBorders/>
                            <w:shd w:fill="ECF6FC" w:val="clear"/>
                            <w:vAlign w:val="center"/>
                          </w:tcPr>
                          <w:p>
                            <w:pPr>
                              <w:pStyle w:val="TableContents"/>
                              <w:bidi w:val="0"/>
                              <w:spacing w:before="0" w:after="283"/>
                              <w:jc w:val="left"/>
                              <w:rPr/>
                            </w:pPr>
                            <w:r>
                              <w:rPr/>
                              <w:t> </w:t>
                            </w:r>
                          </w:p>
                        </w:tc>
                        <w:tc>
                          <w:tcPr>
                            <w:tcW w:w="7330" w:type="dxa"/>
                            <w:gridSpan w:val="4"/>
                            <w:tcBorders/>
                            <w:shd w:fill="ECF6FC" w:val="clear"/>
                            <w:vAlign w:val="center"/>
                          </w:tcPr>
                          <w:p>
                            <w:pPr>
                              <w:pStyle w:val="TableContents"/>
                              <w:bidi w:val="0"/>
                              <w:spacing w:before="0" w:after="283"/>
                              <w:jc w:val="left"/>
                              <w:rPr/>
                            </w:pPr>
                            <w:hyperlink w:anchor="toc903159_4">
                              <w:r>
                                <w:rPr>
                                  <w:rStyle w:val="InternetLink"/>
                                </w:rPr>
                                <w:t>Proposal 1 – Election of Directors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5">
                              <w:r>
                                <w:rPr>
                                  <w:rStyle w:val="InternetLink"/>
                                </w:rPr>
                                <w:t>Board Composition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6">
                              <w:r>
                                <w:rPr>
                                  <w:rStyle w:val="InternetLink"/>
                                </w:rPr>
                                <w:t>Board and Committee Evaluation Process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7">
                              <w:r>
                                <w:rPr>
                                  <w:rStyle w:val="InternetLink"/>
                                </w:rPr>
                                <w:t>Director Nominees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8">
                              <w:r>
                                <w:rPr>
                                  <w:rStyle w:val="InternetLink"/>
                                </w:rPr>
                                <w:t>Board Leadership Structure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9">
                              <w:r>
                                <w:rPr>
                                  <w:rStyle w:val="InternetLink"/>
                                </w:rPr>
                                <w:t>The Board’s Role in Risk Oversight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1">
                              <w:r>
                                <w:rPr>
                                  <w:rStyle w:val="InternetLink"/>
                                </w:rPr>
                                <w:t>Board Committees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2">
                              <w:r>
                                <w:rPr>
                                  <w:rStyle w:val="InternetLink"/>
                                </w:rPr>
                                <w:t>Corporate Governance Overview</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3">
                              <w:r>
                                <w:rPr>
                                  <w:rStyle w:val="InternetLink"/>
                                </w:rPr>
                                <w:t>Director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4">
                              <w:r>
                                <w:rPr>
                                  <w:rStyle w:val="InternetLink"/>
                                </w:rPr>
                                <w:t>Director Stock Ownership Policy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5">
                              <w:r>
                                <w:rPr>
                                  <w:rStyle w:val="InternetLink"/>
                                </w:rPr>
                                <w:t>Certain Relationships and Related Party Transactions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6">
                              <w:r>
                                <w:rPr>
                                  <w:rStyle w:val="InternetLink"/>
                                </w:rPr>
                                <w:t>Executive Officers</w:t>
                              </w:r>
                            </w:hyperlink>
                          </w:p>
                        </w:tc>
                      </w:tr>
                      <w:tr>
                        <w:trPr/>
                        <w:tc>
                          <w:tcPr>
                            <w:tcW w:w="75" w:type="dxa"/>
                            <w:tcBorders/>
                            <w:shd w:fill="ECF6FC" w:val="clear"/>
                            <w:vAlign w:val="center"/>
                          </w:tcPr>
                          <w:p>
                            <w:pPr>
                              <w:pStyle w:val="TableContents"/>
                              <w:bidi w:val="0"/>
                              <w:spacing w:before="0" w:after="283"/>
                              <w:jc w:val="left"/>
                              <w:rPr/>
                            </w:pPr>
                            <w:r>
                              <w:rPr/>
                              <w:t> </w:t>
                            </w:r>
                          </w:p>
                        </w:tc>
                        <w:tc>
                          <w:tcPr>
                            <w:tcW w:w="260" w:type="dxa"/>
                            <w:tcBorders/>
                            <w:shd w:fill="ECF6FC" w:val="clear"/>
                            <w:vAlign w:val="center"/>
                          </w:tcPr>
                          <w:p>
                            <w:pPr>
                              <w:pStyle w:val="TableContents"/>
                              <w:bidi w:val="0"/>
                              <w:spacing w:before="0" w:after="283"/>
                              <w:jc w:val="right"/>
                              <w:rPr/>
                            </w:pPr>
                            <w:r>
                              <w:rPr/>
                              <w:t>39</w:t>
                            </w:r>
                          </w:p>
                        </w:tc>
                        <w:tc>
                          <w:tcPr>
                            <w:tcW w:w="60" w:type="dxa"/>
                            <w:tcBorders/>
                            <w:shd w:fill="ECF6FC" w:val="clear"/>
                            <w:vAlign w:val="center"/>
                          </w:tcPr>
                          <w:p>
                            <w:pPr>
                              <w:pStyle w:val="TableContents"/>
                              <w:bidi w:val="0"/>
                              <w:spacing w:before="0" w:after="283"/>
                              <w:jc w:val="left"/>
                              <w:rPr/>
                            </w:pPr>
                            <w:r>
                              <w:rPr/>
                              <w:t> </w:t>
                            </w:r>
                          </w:p>
                        </w:tc>
                        <w:tc>
                          <w:tcPr>
                            <w:tcW w:w="120" w:type="dxa"/>
                            <w:tcBorders/>
                            <w:shd w:fill="ECF6FC" w:val="clear"/>
                            <w:vAlign w:val="center"/>
                          </w:tcPr>
                          <w:p>
                            <w:pPr>
                              <w:pStyle w:val="TableContents"/>
                              <w:bidi w:val="0"/>
                              <w:spacing w:before="0" w:after="283"/>
                              <w:jc w:val="left"/>
                              <w:rPr/>
                            </w:pPr>
                            <w:r>
                              <w:rPr/>
                              <w:t>  </w:t>
                            </w:r>
                          </w:p>
                        </w:tc>
                        <w:tc>
                          <w:tcPr>
                            <w:tcW w:w="60" w:type="dxa"/>
                            <w:tcBorders/>
                            <w:shd w:fill="ECF6FC" w:val="clear"/>
                            <w:vAlign w:val="center"/>
                          </w:tcPr>
                          <w:p>
                            <w:pPr>
                              <w:pStyle w:val="TableContents"/>
                              <w:bidi w:val="0"/>
                              <w:spacing w:before="0" w:after="283"/>
                              <w:jc w:val="left"/>
                              <w:rPr/>
                            </w:pPr>
                            <w:hyperlink w:anchor="toc903159_17">
                              <w:r>
                                <w:rPr>
                                  <w:rStyle w:val="InternetLink"/>
                                </w:rPr>
                                <w:t> </w:t>
                              </w:r>
                            </w:hyperlink>
                          </w:p>
                        </w:tc>
                        <w:tc>
                          <w:tcPr>
                            <w:tcW w:w="7330" w:type="dxa"/>
                            <w:gridSpan w:val="4"/>
                            <w:tcBorders/>
                            <w:shd w:fill="ECF6FC" w:val="clear"/>
                            <w:vAlign w:val="center"/>
                          </w:tcPr>
                          <w:p>
                            <w:pPr>
                              <w:pStyle w:val="TableContents"/>
                              <w:bidi w:val="0"/>
                              <w:spacing w:before="0" w:after="283"/>
                              <w:jc w:val="left"/>
                              <w:rPr/>
                            </w:pPr>
                            <w:hyperlink w:anchor="toc903159_17">
                              <w:r>
                                <w:rPr>
                                  <w:rStyle w:val="InternetLink"/>
                                </w:rPr>
                                <w:t>Proposal 2 – Ratification of the Appointment of</w:t>
                                <w:br/>
                                <w:t>Independent Registered Public Accounting Firm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8">
                              <w:r>
                                <w:rPr>
                                  <w:rStyle w:val="InternetLink"/>
                                </w:rPr>
                                <w:t>Ernst &amp; Young LLP Fees and Services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9">
                              <w:r>
                                <w:rPr>
                                  <w:rStyle w:val="InternetLink"/>
                                </w:rPr>
                                <w:t>Audit Committee Pre-Approval Policy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20">
                              <w:r>
                                <w:rPr>
                                  <w:rStyle w:val="InternetLink"/>
                                </w:rPr>
                                <w:t>Report of the Audit Committee</w:t>
                              </w:r>
                            </w:hyperlink>
                          </w:p>
                        </w:tc>
                      </w:tr>
                      <w:tr>
                        <w:trPr/>
                        <w:tc>
                          <w:tcPr>
                            <w:tcW w:w="75" w:type="dxa"/>
                            <w:tcBorders/>
                            <w:shd w:fill="ECF6FC" w:val="clear"/>
                            <w:vAlign w:val="center"/>
                          </w:tcPr>
                          <w:p>
                            <w:pPr>
                              <w:pStyle w:val="TableContents"/>
                              <w:bidi w:val="0"/>
                              <w:spacing w:before="0" w:after="283"/>
                              <w:jc w:val="left"/>
                              <w:rPr/>
                            </w:pPr>
                            <w:r>
                              <w:rPr/>
                              <w:t> </w:t>
                            </w:r>
                          </w:p>
                        </w:tc>
                        <w:tc>
                          <w:tcPr>
                            <w:tcW w:w="260" w:type="dxa"/>
                            <w:tcBorders/>
                            <w:shd w:fill="ECF6FC" w:val="clear"/>
                            <w:vAlign w:val="center"/>
                          </w:tcPr>
                          <w:p>
                            <w:pPr>
                              <w:pStyle w:val="TableContents"/>
                              <w:bidi w:val="0"/>
                              <w:spacing w:before="0" w:after="283"/>
                              <w:jc w:val="right"/>
                              <w:rPr/>
                            </w:pPr>
                            <w:r>
                              <w:rPr/>
                              <w:t>42</w:t>
                            </w:r>
                          </w:p>
                        </w:tc>
                        <w:tc>
                          <w:tcPr>
                            <w:tcW w:w="60" w:type="dxa"/>
                            <w:tcBorders/>
                            <w:shd w:fill="ECF6FC" w:val="clear"/>
                            <w:vAlign w:val="center"/>
                          </w:tcPr>
                          <w:p>
                            <w:pPr>
                              <w:pStyle w:val="TableContents"/>
                              <w:bidi w:val="0"/>
                              <w:spacing w:before="0" w:after="283"/>
                              <w:jc w:val="left"/>
                              <w:rPr/>
                            </w:pPr>
                            <w:r>
                              <w:rPr/>
                              <w:t> </w:t>
                            </w:r>
                          </w:p>
                        </w:tc>
                        <w:tc>
                          <w:tcPr>
                            <w:tcW w:w="120" w:type="dxa"/>
                            <w:tcBorders/>
                            <w:shd w:fill="ECF6FC" w:val="clear"/>
                            <w:vAlign w:val="center"/>
                          </w:tcPr>
                          <w:p>
                            <w:pPr>
                              <w:pStyle w:val="TableContents"/>
                              <w:bidi w:val="0"/>
                              <w:spacing w:before="0" w:after="283"/>
                              <w:jc w:val="left"/>
                              <w:rPr/>
                            </w:pPr>
                            <w:r>
                              <w:rPr/>
                              <w:t>  </w:t>
                            </w:r>
                          </w:p>
                        </w:tc>
                        <w:tc>
                          <w:tcPr>
                            <w:tcW w:w="60" w:type="dxa"/>
                            <w:tcBorders/>
                            <w:shd w:fill="ECF6FC" w:val="clear"/>
                            <w:vAlign w:val="center"/>
                          </w:tcPr>
                          <w:p>
                            <w:pPr>
                              <w:pStyle w:val="TableContents"/>
                              <w:bidi w:val="0"/>
                              <w:spacing w:before="0" w:after="283"/>
                              <w:jc w:val="left"/>
                              <w:rPr/>
                            </w:pPr>
                            <w:hyperlink w:anchor="toc903159_21">
                              <w:r>
                                <w:rPr>
                                  <w:rStyle w:val="InternetLink"/>
                                </w:rPr>
                                <w:t> </w:t>
                              </w:r>
                            </w:hyperlink>
                          </w:p>
                        </w:tc>
                        <w:tc>
                          <w:tcPr>
                            <w:tcW w:w="7330" w:type="dxa"/>
                            <w:gridSpan w:val="4"/>
                            <w:tcBorders/>
                            <w:shd w:fill="ECF6FC" w:val="clear"/>
                            <w:vAlign w:val="center"/>
                          </w:tcPr>
                          <w:p>
                            <w:pPr>
                              <w:pStyle w:val="TableContents"/>
                              <w:bidi w:val="0"/>
                              <w:spacing w:before="0" w:after="283"/>
                              <w:jc w:val="left"/>
                              <w:rPr/>
                            </w:pPr>
                            <w:hyperlink w:anchor="toc903159_21">
                              <w:r>
                                <w:rPr>
                                  <w:rStyle w:val="InternetLink"/>
                                </w:rPr>
                                <w:t>Proposal 3 – Advisory Resolution to Approve</w:t>
                                <w:br/>
                                <w:t>Executive Compensation</w:t>
                              </w:r>
                            </w:hyperlink>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0" w:type="dxa"/>
                            <w:gridSpan w:val="4"/>
                            <w:tcBorders/>
                            <w:vAlign w:val="center"/>
                          </w:tcPr>
                          <w:p>
                            <w:pPr>
                              <w:pStyle w:val="TableContents"/>
                              <w:bidi w:val="0"/>
                              <w:spacing w:before="0" w:after="283"/>
                              <w:jc w:val="left"/>
                              <w:rPr/>
                            </w:pPr>
                            <w:hyperlink w:anchor="toc903159_22">
                              <w:r>
                                <w:rPr>
                                  <w:rStyle w:val="InternetLink"/>
                                </w:rPr>
                                <w:t>Compensation Discussion and Analysis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x903159_101">
                              <w:r>
                                <w:rPr>
                                  <w:rStyle w:val="InternetLink"/>
                                </w:rPr>
                                <w:t>2025 Business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23">
                              <w:r>
                                <w:rPr>
                                  <w:rStyle w:val="InternetLink"/>
                                </w:rPr>
                                <w:t>Executive Compensation Philosophy, Program Objectives, and Practices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25">
                              <w:r>
                                <w:rPr>
                                  <w:rStyle w:val="InternetLink"/>
                                </w:rPr>
                                <w:t>Pay for Performance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x903159_104">
                              <w:r>
                                <w:rPr>
                                  <w:rStyle w:val="InternetLink"/>
                                </w:rPr>
                                <w:t>How Executive Compensation Decisions are Made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x903159_105">
                              <w:r>
                                <w:rPr>
                                  <w:rStyle w:val="InternetLink"/>
                                </w:rPr>
                                <w:t>Executive Compensation Design and Award Decisions for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28">
                              <w:r>
                                <w:rPr>
                                  <w:rStyle w:val="InternetLink"/>
                                </w:rPr>
                                <w:t>Equity Incentive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30">
                              <w:r>
                                <w:rPr>
                                  <w:rStyle w:val="InternetLink"/>
                                </w:rPr>
                                <w:t>Company Compensation Policies and Practices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10">
                              <w:r>
                                <w:rPr>
                                  <w:rStyle w:val="InternetLink"/>
                                </w:rPr>
                                <w:t>Risk Assessment in Compensation Programs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34">
                              <w:r>
                                <w:rPr>
                                  <w:rStyle w:val="InternetLink"/>
                                </w:rPr>
                                <w:t>Employment Agreements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41">
                              <w:r>
                                <w:rPr>
                                  <w:rStyle w:val="InternetLink"/>
                                </w:rPr>
                                <w:t>Executive Severance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toc903159_31">
                              <w:r>
                                <w:rPr>
                                  <w:rStyle w:val="InternetLink"/>
                                </w:rPr>
                                <w:t>Compensation Committee Report</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3175000" cy="9972040"/>
                <wp:effectExtent l="0" t="0" r="0" b="0"/>
                <wp:wrapSquare wrapText="right"/>
                <wp:docPr id="29" name="Frame8"/>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389"/>
                              <w:gridCol w:w="60"/>
                              <w:gridCol w:w="120"/>
                              <w:gridCol w:w="60"/>
                              <w:gridCol w:w="260"/>
                              <w:gridCol w:w="60"/>
                              <w:gridCol w:w="120"/>
                              <w:gridCol w:w="9061"/>
                            </w:tblGrid>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2">
                                    <w:r>
                                      <w:rPr>
                                        <w:rStyle w:val="InternetLink"/>
                                      </w:rPr>
                                      <w:t>2025 Summary Compensation Table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3">
                                    <w:r>
                                      <w:rPr>
                                        <w:rStyle w:val="InternetLink"/>
                                      </w:rPr>
                                      <w:t>2025 Grants of Plan-Based Awards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5">
                                    <w:r>
                                      <w:rPr>
                                        <w:rStyle w:val="InternetLink"/>
                                      </w:rPr>
                                      <w:t>Outstanding Equity Awards at 2025 Fiscal Year-End</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6">
                                    <w:r>
                                      <w:rPr>
                                        <w:rStyle w:val="InternetLink"/>
                                      </w:rPr>
                                      <w:t>Option Exercises and Stock Vested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7">
                                    <w:r>
                                      <w:rPr>
                                        <w:rStyle w:val="InternetLink"/>
                                      </w:rPr>
                                      <w:t>Non-Qualified Deferred Compensation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8">
                                    <w:r>
                                      <w:rPr>
                                        <w:rStyle w:val="InternetLink"/>
                                      </w:rPr>
                                      <w:t>Potential Payments Upon Termination or Change of Control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9">
                                    <w:r>
                                      <w:rPr>
                                        <w:rStyle w:val="InternetLink"/>
                                      </w:rPr>
                                      <w:t>Termination and Change of Control Provisions Pursuant to Employment Agreements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0ab">
                                    <w:r>
                                      <w:rPr>
                                        <w:rStyle w:val="InternetLink"/>
                                      </w:rPr>
                                      <w:t>Change of Control Provisions Under the Company’s 2016 Plan and 2025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3">
                                    <w:r>
                                      <w:rPr>
                                        <w:rStyle w:val="InternetLink"/>
                                      </w:rPr>
                                      <w:t>Equity Compensation Plan Information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4">
                                    <w:r>
                                      <w:rPr>
                                        <w:rStyle w:val="InternetLink"/>
                                      </w:rPr>
                                      <w:t>CEO Pay Ratio</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5">
                                    <w:r>
                                      <w:rPr>
                                        <w:rStyle w:val="InternetLink"/>
                                      </w:rPr>
                                      <w:t>Pay Versus Performance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6">
                                    <w:r>
                                      <w:rPr>
                                        <w:rStyle w:val="InternetLink"/>
                                      </w:rPr>
                                      <w:t>Narrative Disclosure to Pay Versus Performance Table</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right"/>
                                    <w:rPr/>
                                  </w:pPr>
                                  <w:r>
                                    <w:rPr/>
                                    <w:t>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1" w:type="dxa"/>
                                  <w:gridSpan w:val="4"/>
                                  <w:tcBorders/>
                                  <w:vAlign w:val="center"/>
                                </w:tcPr>
                                <w:p>
                                  <w:pPr>
                                    <w:pStyle w:val="TableContents"/>
                                    <w:bidi w:val="0"/>
                                    <w:spacing w:before="0" w:after="283"/>
                                    <w:jc w:val="left"/>
                                    <w:rPr/>
                                  </w:pPr>
                                  <w:hyperlink w:anchor="toc903159_47">
                                    <w:r>
                                      <w:rPr>
                                        <w:rStyle w:val="InternetLink"/>
                                      </w:rPr>
                                      <w:t>Stock Ownership Information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2">
                                    <w:r>
                                      <w:rPr>
                                        <w:rStyle w:val="InternetLink"/>
                                      </w:rPr>
                                      <w:t>Delinquent Section 16(a) Reports</w:t>
                                    </w:r>
                                  </w:hyperlink>
                                </w:p>
                              </w:tc>
                            </w:tr>
                            <w:tr>
                              <w:trPr/>
                              <w:tc>
                                <w:tcPr>
                                  <w:tcW w:w="75" w:type="dxa"/>
                                  <w:tcBorders/>
                                  <w:shd w:fill="ECF6FC" w:val="clear"/>
                                  <w:vAlign w:val="center"/>
                                </w:tcPr>
                                <w:p>
                                  <w:pPr>
                                    <w:pStyle w:val="TableContents"/>
                                    <w:bidi w:val="0"/>
                                    <w:spacing w:before="0" w:after="283"/>
                                    <w:jc w:val="left"/>
                                    <w:rPr/>
                                  </w:pPr>
                                  <w:r>
                                    <w:rPr/>
                                    <w:t> </w:t>
                                  </w:r>
                                </w:p>
                              </w:tc>
                              <w:tc>
                                <w:tcPr>
                                  <w:tcW w:w="389" w:type="dxa"/>
                                  <w:tcBorders/>
                                  <w:shd w:fill="ECF6FC" w:val="clear"/>
                                  <w:vAlign w:val="center"/>
                                </w:tcPr>
                                <w:p>
                                  <w:pPr>
                                    <w:pStyle w:val="TableContents"/>
                                    <w:bidi w:val="0"/>
                                    <w:spacing w:before="0" w:after="283"/>
                                    <w:jc w:val="right"/>
                                    <w:rPr/>
                                  </w:pPr>
                                  <w:r>
                                    <w:rPr/>
                                    <w:t>88</w:t>
                                  </w:r>
                                </w:p>
                              </w:tc>
                              <w:tc>
                                <w:tcPr>
                                  <w:tcW w:w="60" w:type="dxa"/>
                                  <w:tcBorders/>
                                  <w:shd w:fill="ECF6FC" w:val="clear"/>
                                  <w:vAlign w:val="center"/>
                                </w:tcPr>
                                <w:p>
                                  <w:pPr>
                                    <w:pStyle w:val="TableContents"/>
                                    <w:bidi w:val="0"/>
                                    <w:spacing w:before="0" w:after="283"/>
                                    <w:jc w:val="left"/>
                                    <w:rPr/>
                                  </w:pPr>
                                  <w:r>
                                    <w:rPr/>
                                    <w:t> </w:t>
                                  </w:r>
                                </w:p>
                              </w:tc>
                              <w:tc>
                                <w:tcPr>
                                  <w:tcW w:w="120" w:type="dxa"/>
                                  <w:tcBorders/>
                                  <w:shd w:fill="ECF6FC" w:val="clear"/>
                                  <w:vAlign w:val="center"/>
                                </w:tcPr>
                                <w:p>
                                  <w:pPr>
                                    <w:pStyle w:val="TableContents"/>
                                    <w:bidi w:val="0"/>
                                    <w:spacing w:before="0" w:after="283"/>
                                    <w:jc w:val="left"/>
                                    <w:rPr/>
                                  </w:pPr>
                                  <w:r>
                                    <w:rPr/>
                                    <w:t>  </w:t>
                                  </w:r>
                                </w:p>
                              </w:tc>
                              <w:tc>
                                <w:tcPr>
                                  <w:tcW w:w="60" w:type="dxa"/>
                                  <w:tcBorders/>
                                  <w:shd w:fill="ECF6FC" w:val="clear"/>
                                  <w:vAlign w:val="center"/>
                                </w:tcPr>
                                <w:p>
                                  <w:pPr>
                                    <w:pStyle w:val="TableContents"/>
                                    <w:bidi w:val="0"/>
                                    <w:spacing w:before="0" w:after="283"/>
                                    <w:jc w:val="left"/>
                                    <w:rPr/>
                                  </w:pPr>
                                  <w:hyperlink w:anchor="toc903159_48">
                                    <w:r>
                                      <w:rPr>
                                        <w:rStyle w:val="InternetLink"/>
                                      </w:rPr>
                                      <w:t> </w:t>
                                    </w:r>
                                  </w:hyperlink>
                                </w:p>
                              </w:tc>
                              <w:tc>
                                <w:tcPr>
                                  <w:tcW w:w="9501" w:type="dxa"/>
                                  <w:gridSpan w:val="4"/>
                                  <w:tcBorders/>
                                  <w:shd w:fill="ECF6FC" w:val="clear"/>
                                  <w:vAlign w:val="center"/>
                                </w:tcPr>
                                <w:p>
                                  <w:pPr>
                                    <w:pStyle w:val="TableContents"/>
                                    <w:bidi w:val="0"/>
                                    <w:spacing w:before="0" w:after="283"/>
                                    <w:jc w:val="left"/>
                                    <w:rPr/>
                                  </w:pPr>
                                  <w:hyperlink w:anchor="toc903159_48">
                                    <w:r>
                                      <w:rPr>
                                        <w:rStyle w:val="InternetLink"/>
                                      </w:rPr>
                                      <w:t>Proposal 4 – Approval of the Costar Group, Inc.</w:t>
                                      <w:br/>
                                      <w:t>2026 Employee Stock Purchase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9">
                                    <w:r>
                                      <w:rPr>
                                        <w:rStyle w:val="InternetLink"/>
                                      </w:rPr>
                                      <w:t>Summary of the 2026 Employee Stock Purchase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0">
                                    <w:r>
                                      <w:rPr>
                                        <w:rStyle w:val="InternetLink"/>
                                      </w:rPr>
                                      <w:t>U.S. Federal Income Tax Consequences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1">
                                    <w:r>
                                      <w:rPr>
                                        <w:rStyle w:val="InternetLink"/>
                                      </w:rPr>
                                      <w:t>New Plan Benefits</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right"/>
                                    <w:rPr/>
                                  </w:pPr>
                                  <w:r>
                                    <w:rPr/>
                                    <w:t>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1" w:type="dxa"/>
                                  <w:gridSpan w:val="4"/>
                                  <w:tcBorders/>
                                  <w:vAlign w:val="center"/>
                                </w:tcPr>
                                <w:p>
                                  <w:pPr>
                                    <w:pStyle w:val="TableContents"/>
                                    <w:bidi w:val="0"/>
                                    <w:spacing w:before="0" w:after="283"/>
                                    <w:jc w:val="left"/>
                                    <w:rPr/>
                                  </w:pPr>
                                  <w:hyperlink w:anchor="toc903159_54">
                                    <w:r>
                                      <w:rPr>
                                        <w:rStyle w:val="InternetLink"/>
                                      </w:rPr>
                                      <w:t>Other Information</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5">
                                    <w:r>
                                      <w:rPr>
                                        <w:rStyle w:val="InternetLink"/>
                                      </w:rPr>
                                      <w:t>Attending the Annual Meeting of Stockholders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6">
                                    <w:r>
                                      <w:rPr>
                                        <w:rStyle w:val="InternetLink"/>
                                      </w:rPr>
                                      <w:t>Notice of Business to Come Before the Annual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7">
                                    <w:r>
                                      <w:rPr>
                                        <w:rStyle w:val="InternetLink"/>
                                      </w:rPr>
                                      <w:t>Voting Information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8">
                                    <w:r>
                                      <w:rPr>
                                        <w:rStyle w:val="InternetLink"/>
                                      </w:rPr>
                                      <w:t>Multiple Stockholders Sharing the Same Address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9">
                                    <w:r>
                                      <w:rPr>
                                        <w:rStyle w:val="InternetLink"/>
                                      </w:rPr>
                                      <w:t>Stockholder Proposals and Nominations for Directors for the 2027 Annual Meeting of Stockholders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60">
                                    <w:r>
                                      <w:rPr>
                                        <w:rStyle w:val="InternetLink"/>
                                      </w:rPr>
                                      <w:t>Availability of Form 10-K</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right"/>
                                    <w:rPr/>
                                  </w:pPr>
                                  <w:r>
                                    <w:rPr/>
                                    <w:t>A-2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oc903159_61">
                                    <w:r>
                                      <w:rPr>
                                        <w:rStyle w:val="InternetLink"/>
                                      </w:rPr>
                                      <w:t> </w:t>
                                    </w:r>
                                  </w:hyperlink>
                                </w:p>
                              </w:tc>
                              <w:tc>
                                <w:tcPr>
                                  <w:tcW w:w="9501" w:type="dxa"/>
                                  <w:gridSpan w:val="4"/>
                                  <w:tcBorders/>
                                  <w:vAlign w:val="center"/>
                                </w:tcPr>
                                <w:p>
                                  <w:pPr>
                                    <w:pStyle w:val="TableContents"/>
                                    <w:bidi w:val="0"/>
                                    <w:spacing w:before="0" w:after="283"/>
                                    <w:jc w:val="left"/>
                                    <w:rPr/>
                                  </w:pPr>
                                  <w:hyperlink w:anchor="toc903159_61">
                                    <w:r>
                                      <w:rPr>
                                        <w:rStyle w:val="InternetLink"/>
                                      </w:rPr>
                                      <w:t>Appendix A - Information Regarding Non-GAAP</w:t>
                                      <w:br/>
                                      <w:t>Financial Measures</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right"/>
                                    <w:rPr/>
                                  </w:pPr>
                                  <w:r>
                                    <w:rPr/>
                                    <w:t>B-1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oc903159_62">
                                    <w:r>
                                      <w:rPr>
                                        <w:rStyle w:val="InternetLink"/>
                                      </w:rPr>
                                      <w:t> </w:t>
                                    </w:r>
                                  </w:hyperlink>
                                </w:p>
                              </w:tc>
                              <w:tc>
                                <w:tcPr>
                                  <w:tcW w:w="9501" w:type="dxa"/>
                                  <w:gridSpan w:val="4"/>
                                  <w:tcBorders/>
                                  <w:vAlign w:val="center"/>
                                </w:tcPr>
                                <w:p>
                                  <w:pPr>
                                    <w:pStyle w:val="TableContents"/>
                                    <w:bidi w:val="0"/>
                                    <w:spacing w:before="0" w:after="283"/>
                                    <w:jc w:val="left"/>
                                    <w:rPr/>
                                  </w:pPr>
                                  <w:hyperlink w:anchor="toc903159_62">
                                    <w:r>
                                      <w:rPr>
                                        <w:rStyle w:val="InternetLink"/>
                                      </w:rPr>
                                      <w:t>Appendix B - Costar Group, Inc. 2026 Employee</w:t>
                                      <w:br/>
                                      <w:t>Stock Purchase Plan</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389"/>
                        <w:gridCol w:w="60"/>
                        <w:gridCol w:w="120"/>
                        <w:gridCol w:w="60"/>
                        <w:gridCol w:w="260"/>
                        <w:gridCol w:w="60"/>
                        <w:gridCol w:w="120"/>
                        <w:gridCol w:w="9061"/>
                      </w:tblGrid>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2">
                              <w:r>
                                <w:rPr>
                                  <w:rStyle w:val="InternetLink"/>
                                </w:rPr>
                                <w:t>2025 Summary Compensation Table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3">
                              <w:r>
                                <w:rPr>
                                  <w:rStyle w:val="InternetLink"/>
                                </w:rPr>
                                <w:t>2025 Grants of Plan-Based Awards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5">
                              <w:r>
                                <w:rPr>
                                  <w:rStyle w:val="InternetLink"/>
                                </w:rPr>
                                <w:t>Outstanding Equity Awards at 2025 Fiscal Year-End</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6">
                              <w:r>
                                <w:rPr>
                                  <w:rStyle w:val="InternetLink"/>
                                </w:rPr>
                                <w:t>Option Exercises and Stock Vested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7">
                              <w:r>
                                <w:rPr>
                                  <w:rStyle w:val="InternetLink"/>
                                </w:rPr>
                                <w:t>Non-Qualified Deferred Compensation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8">
                              <w:r>
                                <w:rPr>
                                  <w:rStyle w:val="InternetLink"/>
                                </w:rPr>
                                <w:t>Potential Payments Upon Termination or Change of Control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39">
                              <w:r>
                                <w:rPr>
                                  <w:rStyle w:val="InternetLink"/>
                                </w:rPr>
                                <w:t>Termination and Change of Control Provisions Pursuant to Employment Agreements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0ab">
                              <w:r>
                                <w:rPr>
                                  <w:rStyle w:val="InternetLink"/>
                                </w:rPr>
                                <w:t>Change of Control Provisions Under the Company’s 2016 Plan and 2025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3">
                              <w:r>
                                <w:rPr>
                                  <w:rStyle w:val="InternetLink"/>
                                </w:rPr>
                                <w:t>Equity Compensation Plan Information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4">
                              <w:r>
                                <w:rPr>
                                  <w:rStyle w:val="InternetLink"/>
                                </w:rPr>
                                <w:t>CEO Pay Ratio</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5">
                              <w:r>
                                <w:rPr>
                                  <w:rStyle w:val="InternetLink"/>
                                </w:rPr>
                                <w:t>Pay Versus Performance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6">
                              <w:r>
                                <w:rPr>
                                  <w:rStyle w:val="InternetLink"/>
                                </w:rPr>
                                <w:t>Narrative Disclosure to Pay Versus Performance Table</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right"/>
                              <w:rPr/>
                            </w:pPr>
                            <w:r>
                              <w:rPr/>
                              <w:t>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1" w:type="dxa"/>
                            <w:gridSpan w:val="4"/>
                            <w:tcBorders/>
                            <w:vAlign w:val="center"/>
                          </w:tcPr>
                          <w:p>
                            <w:pPr>
                              <w:pStyle w:val="TableContents"/>
                              <w:bidi w:val="0"/>
                              <w:spacing w:before="0" w:after="283"/>
                              <w:jc w:val="left"/>
                              <w:rPr/>
                            </w:pPr>
                            <w:hyperlink w:anchor="toc903159_47">
                              <w:r>
                                <w:rPr>
                                  <w:rStyle w:val="InternetLink"/>
                                </w:rPr>
                                <w:t>Stock Ownership Information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2">
                              <w:r>
                                <w:rPr>
                                  <w:rStyle w:val="InternetLink"/>
                                </w:rPr>
                                <w:t>Delinquent Section 16(a) Reports</w:t>
                              </w:r>
                            </w:hyperlink>
                          </w:p>
                        </w:tc>
                      </w:tr>
                      <w:tr>
                        <w:trPr/>
                        <w:tc>
                          <w:tcPr>
                            <w:tcW w:w="75" w:type="dxa"/>
                            <w:tcBorders/>
                            <w:shd w:fill="ECF6FC" w:val="clear"/>
                            <w:vAlign w:val="center"/>
                          </w:tcPr>
                          <w:p>
                            <w:pPr>
                              <w:pStyle w:val="TableContents"/>
                              <w:bidi w:val="0"/>
                              <w:spacing w:before="0" w:after="283"/>
                              <w:jc w:val="left"/>
                              <w:rPr/>
                            </w:pPr>
                            <w:r>
                              <w:rPr/>
                              <w:t> </w:t>
                            </w:r>
                          </w:p>
                        </w:tc>
                        <w:tc>
                          <w:tcPr>
                            <w:tcW w:w="389" w:type="dxa"/>
                            <w:tcBorders/>
                            <w:shd w:fill="ECF6FC" w:val="clear"/>
                            <w:vAlign w:val="center"/>
                          </w:tcPr>
                          <w:p>
                            <w:pPr>
                              <w:pStyle w:val="TableContents"/>
                              <w:bidi w:val="0"/>
                              <w:spacing w:before="0" w:after="283"/>
                              <w:jc w:val="right"/>
                              <w:rPr/>
                            </w:pPr>
                            <w:r>
                              <w:rPr/>
                              <w:t>88</w:t>
                            </w:r>
                          </w:p>
                        </w:tc>
                        <w:tc>
                          <w:tcPr>
                            <w:tcW w:w="60" w:type="dxa"/>
                            <w:tcBorders/>
                            <w:shd w:fill="ECF6FC" w:val="clear"/>
                            <w:vAlign w:val="center"/>
                          </w:tcPr>
                          <w:p>
                            <w:pPr>
                              <w:pStyle w:val="TableContents"/>
                              <w:bidi w:val="0"/>
                              <w:spacing w:before="0" w:after="283"/>
                              <w:jc w:val="left"/>
                              <w:rPr/>
                            </w:pPr>
                            <w:r>
                              <w:rPr/>
                              <w:t> </w:t>
                            </w:r>
                          </w:p>
                        </w:tc>
                        <w:tc>
                          <w:tcPr>
                            <w:tcW w:w="120" w:type="dxa"/>
                            <w:tcBorders/>
                            <w:shd w:fill="ECF6FC" w:val="clear"/>
                            <w:vAlign w:val="center"/>
                          </w:tcPr>
                          <w:p>
                            <w:pPr>
                              <w:pStyle w:val="TableContents"/>
                              <w:bidi w:val="0"/>
                              <w:spacing w:before="0" w:after="283"/>
                              <w:jc w:val="left"/>
                              <w:rPr/>
                            </w:pPr>
                            <w:r>
                              <w:rPr/>
                              <w:t>  </w:t>
                            </w:r>
                          </w:p>
                        </w:tc>
                        <w:tc>
                          <w:tcPr>
                            <w:tcW w:w="60" w:type="dxa"/>
                            <w:tcBorders/>
                            <w:shd w:fill="ECF6FC" w:val="clear"/>
                            <w:vAlign w:val="center"/>
                          </w:tcPr>
                          <w:p>
                            <w:pPr>
                              <w:pStyle w:val="TableContents"/>
                              <w:bidi w:val="0"/>
                              <w:spacing w:before="0" w:after="283"/>
                              <w:jc w:val="left"/>
                              <w:rPr/>
                            </w:pPr>
                            <w:hyperlink w:anchor="toc903159_48">
                              <w:r>
                                <w:rPr>
                                  <w:rStyle w:val="InternetLink"/>
                                </w:rPr>
                                <w:t> </w:t>
                              </w:r>
                            </w:hyperlink>
                          </w:p>
                        </w:tc>
                        <w:tc>
                          <w:tcPr>
                            <w:tcW w:w="9501" w:type="dxa"/>
                            <w:gridSpan w:val="4"/>
                            <w:tcBorders/>
                            <w:shd w:fill="ECF6FC" w:val="clear"/>
                            <w:vAlign w:val="center"/>
                          </w:tcPr>
                          <w:p>
                            <w:pPr>
                              <w:pStyle w:val="TableContents"/>
                              <w:bidi w:val="0"/>
                              <w:spacing w:before="0" w:after="283"/>
                              <w:jc w:val="left"/>
                              <w:rPr/>
                            </w:pPr>
                            <w:hyperlink w:anchor="toc903159_48">
                              <w:r>
                                <w:rPr>
                                  <w:rStyle w:val="InternetLink"/>
                                </w:rPr>
                                <w:t>Proposal 4 – Approval of the Costar Group, Inc.</w:t>
                                <w:br/>
                                <w:t>2026 Employee Stock Purchase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49">
                              <w:r>
                                <w:rPr>
                                  <w:rStyle w:val="InternetLink"/>
                                </w:rPr>
                                <w:t>Summary of the 2026 Employee Stock Purchase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0">
                              <w:r>
                                <w:rPr>
                                  <w:rStyle w:val="InternetLink"/>
                                </w:rPr>
                                <w:t>U.S. Federal Income Tax Consequences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1">
                              <w:r>
                                <w:rPr>
                                  <w:rStyle w:val="InternetLink"/>
                                </w:rPr>
                                <w:t>New Plan Benefits</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right"/>
                              <w:rPr/>
                            </w:pPr>
                            <w:r>
                              <w:rPr/>
                              <w:t>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1" w:type="dxa"/>
                            <w:gridSpan w:val="4"/>
                            <w:tcBorders/>
                            <w:vAlign w:val="center"/>
                          </w:tcPr>
                          <w:p>
                            <w:pPr>
                              <w:pStyle w:val="TableContents"/>
                              <w:bidi w:val="0"/>
                              <w:spacing w:before="0" w:after="283"/>
                              <w:jc w:val="left"/>
                              <w:rPr/>
                            </w:pPr>
                            <w:hyperlink w:anchor="toc903159_54">
                              <w:r>
                                <w:rPr>
                                  <w:rStyle w:val="InternetLink"/>
                                </w:rPr>
                                <w:t>Other Information</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5">
                              <w:r>
                                <w:rPr>
                                  <w:rStyle w:val="InternetLink"/>
                                </w:rPr>
                                <w:t>Attending the Annual Meeting of Stockholders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6">
                              <w:r>
                                <w:rPr>
                                  <w:rStyle w:val="InternetLink"/>
                                </w:rPr>
                                <w:t>Notice of Business to Come Before the Annual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7">
                              <w:r>
                                <w:rPr>
                                  <w:rStyle w:val="InternetLink"/>
                                </w:rPr>
                                <w:t>Voting Information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8">
                              <w:r>
                                <w:rPr>
                                  <w:rStyle w:val="InternetLink"/>
                                </w:rPr>
                                <w:t>Multiple Stockholders Sharing the Same Address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59">
                              <w:r>
                                <w:rPr>
                                  <w:rStyle w:val="InternetLink"/>
                                </w:rPr>
                                <w:t>Stockholder Proposals and Nominations for Directors for the 2027 Annual Meeting of Stockholders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61" w:type="dxa"/>
                            <w:tcBorders/>
                            <w:vAlign w:val="center"/>
                          </w:tcPr>
                          <w:p>
                            <w:pPr>
                              <w:pStyle w:val="TableContents"/>
                              <w:bidi w:val="0"/>
                              <w:spacing w:before="0" w:after="283"/>
                              <w:jc w:val="left"/>
                              <w:rPr/>
                            </w:pPr>
                            <w:hyperlink w:anchor="toc903159_60">
                              <w:r>
                                <w:rPr>
                                  <w:rStyle w:val="InternetLink"/>
                                </w:rPr>
                                <w:t>Availability of Form 10-K</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right"/>
                              <w:rPr/>
                            </w:pPr>
                            <w:r>
                              <w:rPr/>
                              <w:t>A-2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oc903159_61">
                              <w:r>
                                <w:rPr>
                                  <w:rStyle w:val="InternetLink"/>
                                </w:rPr>
                                <w:t> </w:t>
                              </w:r>
                            </w:hyperlink>
                          </w:p>
                        </w:tc>
                        <w:tc>
                          <w:tcPr>
                            <w:tcW w:w="9501" w:type="dxa"/>
                            <w:gridSpan w:val="4"/>
                            <w:tcBorders/>
                            <w:vAlign w:val="center"/>
                          </w:tcPr>
                          <w:p>
                            <w:pPr>
                              <w:pStyle w:val="TableContents"/>
                              <w:bidi w:val="0"/>
                              <w:spacing w:before="0" w:after="283"/>
                              <w:jc w:val="left"/>
                              <w:rPr/>
                            </w:pPr>
                            <w:hyperlink w:anchor="toc903159_61">
                              <w:r>
                                <w:rPr>
                                  <w:rStyle w:val="InternetLink"/>
                                </w:rPr>
                                <w:t>Appendix A - Information Regarding Non-GAAP</w:t>
                                <w:br/>
                                <w:t>Financial Measures</w:t>
                              </w:r>
                            </w:hyperlink>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right"/>
                              <w:rPr/>
                            </w:pPr>
                            <w:r>
                              <w:rPr/>
                              <w:t>B-1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oc903159_62">
                              <w:r>
                                <w:rPr>
                                  <w:rStyle w:val="InternetLink"/>
                                </w:rPr>
                                <w:t> </w:t>
                              </w:r>
                            </w:hyperlink>
                          </w:p>
                        </w:tc>
                        <w:tc>
                          <w:tcPr>
                            <w:tcW w:w="9501" w:type="dxa"/>
                            <w:gridSpan w:val="4"/>
                            <w:tcBorders/>
                            <w:vAlign w:val="center"/>
                          </w:tcPr>
                          <w:p>
                            <w:pPr>
                              <w:pStyle w:val="TableContents"/>
                              <w:bidi w:val="0"/>
                              <w:spacing w:before="0" w:after="283"/>
                              <w:jc w:val="left"/>
                              <w:rPr/>
                            </w:pPr>
                            <w:hyperlink w:anchor="toc903159_62">
                              <w:r>
                                <w:rPr>
                                  <w:rStyle w:val="InternetLink"/>
                                </w:rPr>
                                <w:t>Appendix B - Costar Group, Inc. 2026 Employee</w:t>
                                <w:br/>
                                <w:t>Stock Purchase Plan</w:t>
                              </w:r>
                            </w:hyperlink>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1505"/>
        <w:gridCol w:w="120"/>
        <w:gridCol w:w="185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2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i</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bookmarkStart w:id="3" w:name="toc903159_1"/>
      <w:bookmarkEnd w:id="3"/>
      <w:r>
        <w:rPr>
          <w:rFonts w:ascii="ARIAL" w:hAnsi="ARIAL"/>
          <w:b/>
          <w:sz w:val="64"/>
        </w:rPr>
        <w:t xml:space="preserve">GLOSSARY OF TERMS </w:t>
      </w:r>
    </w:p>
    <w:p>
      <w:pPr>
        <w:pStyle w:val="TextBody"/>
        <w:bidi w:val="0"/>
        <w:spacing w:before="240" w:after="0"/>
        <w:jc w:val="left"/>
        <w:rPr>
          <w:rFonts w:ascii="ARIAL" w:hAnsi="ARIAL"/>
          <w:sz w:val="18"/>
        </w:rPr>
      </w:pPr>
      <w:r>
        <w:rPr>
          <w:rFonts w:ascii="ARIAL" w:hAnsi="ARIAL"/>
          <w:sz w:val="18"/>
        </w:rPr>
        <w:t xml:space="preserve">The following abbreviations or acronyms used in this Proxy Statement are defined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6"/>
        <w:gridCol w:w="120"/>
        <w:gridCol w:w="7639"/>
      </w:tblGrid>
      <w:tr>
        <w:trPr/>
        <w:tc>
          <w:tcPr>
            <w:tcW w:w="2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9"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0054BA" w:val="clear"/>
            <w:vAlign w:val="center"/>
          </w:tcPr>
          <w:p>
            <w:pPr>
              <w:pStyle w:val="TableContents"/>
              <w:bidi w:val="0"/>
              <w:spacing w:before="0" w:after="283"/>
              <w:jc w:val="left"/>
              <w:rPr>
                <w:sz w:val="4"/>
                <w:szCs w:val="4"/>
              </w:rPr>
            </w:pPr>
            <w:r>
              <w:rPr>
                <w:sz w:val="4"/>
                <w:szCs w:val="4"/>
              </w:rPr>
            </w:r>
          </w:p>
        </w:tc>
        <w:tc>
          <w:tcPr>
            <w:tcW w:w="7759"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2446" w:type="dxa"/>
            <w:tcBorders/>
            <w:shd w:fill="0054BA"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ABBREVIATION</w:t>
            </w:r>
          </w:p>
          <w:p>
            <w:pPr>
              <w:pStyle w:val="TableContents"/>
              <w:bidi w:val="0"/>
              <w:spacing w:before="0" w:after="0"/>
              <w:jc w:val="left"/>
              <w:rPr>
                <w:rFonts w:ascii="ARIAL" w:hAnsi="ARIAL"/>
                <w:b/>
                <w:color w:val="FFFFFF"/>
                <w:sz w:val="18"/>
              </w:rPr>
            </w:pPr>
            <w:r>
              <w:rPr>
                <w:rFonts w:ascii="ARIAL" w:hAnsi="ARIAL"/>
                <w:b/>
                <w:color w:val="FFFFFF"/>
                <w:sz w:val="18"/>
              </w:rPr>
              <w:t>OR ACRONYM</w:t>
            </w:r>
          </w:p>
          <w:p>
            <w:pPr>
              <w:pStyle w:val="TableContents"/>
              <w:bidi w:val="0"/>
              <w:spacing w:before="0" w:after="20"/>
              <w:jc w:val="left"/>
              <w:rPr/>
            </w:pPr>
            <w:r>
              <w:rPr/>
              <w:t> </w:t>
            </w:r>
          </w:p>
        </w:tc>
        <w:tc>
          <w:tcPr>
            <w:tcW w:w="120" w:type="dxa"/>
            <w:tcBorders/>
            <w:shd w:fill="0054BA" w:val="clear"/>
            <w:vAlign w:val="center"/>
          </w:tcPr>
          <w:p>
            <w:pPr>
              <w:pStyle w:val="TableContents"/>
              <w:bidi w:val="0"/>
              <w:spacing w:before="0" w:after="283"/>
              <w:jc w:val="left"/>
              <w:rPr/>
            </w:pPr>
            <w:r>
              <w:rPr/>
              <w:t>  </w:t>
            </w:r>
          </w:p>
        </w:tc>
        <w:tc>
          <w:tcPr>
            <w:tcW w:w="7639" w:type="dxa"/>
            <w:tcBorders/>
            <w:shd w:fill="0054BA" w:val="clear"/>
            <w:vAlign w:val="center"/>
          </w:tcPr>
          <w:p>
            <w:pPr>
              <w:pStyle w:val="TableContents"/>
              <w:bidi w:val="0"/>
              <w:spacing w:before="0" w:after="283"/>
              <w:jc w:val="left"/>
              <w:rPr>
                <w:b/>
                <w:color w:val="FFFFFF"/>
              </w:rPr>
            </w:pPr>
            <w:r>
              <w:rPr>
                <w:b/>
                <w:color w:val="FFFFFF"/>
              </w:rPr>
              <w:t>DEFINITION</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2016 Plan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CoStar Group 2016 Stock Incentive Plan, as amended from time to time</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2025 Annual Report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CoStar Group Annual Report on Form 10-K for the year ended December 31, 2025, filed with the SEC on February 26, 2026</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2025 Plan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CoStar Group 2025 Stock Incentive Plan, as amended from time to time</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2026 ESPP</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CoStar Group, Inc. 2026 Employee Stock Purchase Plan</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Adjusted EBITDA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EBITDA before stock-based compensation expense, acquisition- and integration-related costs, restructuring and related costs, including certain advisory fees, and settlements and impairments incurred outside the Company’s ordinary course of business</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AI</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Artificial Intelligence</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Annual Meeting</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CoStar Group’s 2026 Annual Meeting of Stockholders</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ASC</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Accounting Standards Codification</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Audit Committee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Audit Committee of the Board</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Board (also “Board of Directors”)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The Board of Directors of CoStar Group</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By-Laws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Fourth Amended and Restated By-Laws of CoStar Group</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Capital Allocation Committee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Capital Allocation Committee of the Board</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CD&amp;A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Compensation Discussion and Analysis</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CIC</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Change in Control</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Code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Internal Revenue Code of 1986, as amended and in effect from time to time</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CoStar Group (also “CoStar,” “we,” “us,” “our,” or the “Company”)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CoStar Group, Inc., a Delaware corporation, one or more of its consolidated subsidiaries or operating segments, or the entirety of CoStar Group, Inc. and its consolidated subsidiaries</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Compensation Committee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Compensation Committee of the Board</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Domain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Domain Holdings Australia Pty Limited</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Domain Acquisition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CoStar’s acquisition of Domain completed on August 27, 2025, pursuant to the Scheme Implementation Deed</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DSUs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Deferred Stock Units</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EBITDA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Net income (loss) before interest (expense), net; other income (expense), net; loss on debt extinguishment; income taxes; depreciation; and amortization</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EPS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Earnings per share</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ESPP</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Employee Stock Purchase Plan</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Exchange Act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Securities Exchange Act of 1934, as amended</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FASB</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Financial Accounting Standards Board</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GAAP</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Generally accepted accounting principles in the U.S.</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LTI</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Long-term incentive</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Matching RSUs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Awards of matching restricted stock units awarded under the Company’s MSPP</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Matterport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The legal entity Matterport, LLC, formerly known as Matterport Inc., a Delaware corporation and provider of a technology platform that uses spatial data to transform physical buildings and spaces into dimensionally accurate, digital images</w:t>
            </w:r>
          </w:p>
        </w:tc>
      </w:tr>
      <w:tr>
        <w:trPr/>
        <w:tc>
          <w:tcPr>
            <w:tcW w:w="2446"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Matterport Acquisition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9" w:type="dxa"/>
            <w:tcBorders>
              <w:bottom w:val="single" w:sz="6" w:space="0" w:color="000000"/>
            </w:tcBorders>
            <w:tcMar>
              <w:bottom w:w="60" w:type="dxa"/>
            </w:tcMar>
            <w:vAlign w:val="center"/>
          </w:tcPr>
          <w:p>
            <w:pPr>
              <w:pStyle w:val="TableContents"/>
              <w:bidi w:val="0"/>
              <w:spacing w:before="0" w:after="283"/>
              <w:jc w:val="left"/>
              <w:rPr/>
            </w:pPr>
            <w:r>
              <w:rPr/>
              <w:t>CoStar’s acquisition of Matterport completed on February 28, 2025, pursuant to the Matterport Merger Agreement</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1505"/>
        <w:gridCol w:w="120"/>
        <w:gridCol w:w="189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2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ii</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856"/>
        <w:gridCol w:w="120"/>
        <w:gridCol w:w="8229"/>
      </w:tblGrid>
      <w:tr>
        <w:trPr/>
        <w:tc>
          <w:tcPr>
            <w:tcW w:w="18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29" w:type="dxa"/>
            <w:tcBorders/>
            <w:vAlign w:val="center"/>
          </w:tcPr>
          <w:p>
            <w:pPr>
              <w:pStyle w:val="TableContents"/>
              <w:bidi w:val="0"/>
              <w:spacing w:before="0" w:after="283"/>
              <w:jc w:val="left"/>
              <w:rPr>
                <w:sz w:val="4"/>
                <w:szCs w:val="4"/>
              </w:rPr>
            </w:pPr>
            <w:r>
              <w:rPr>
                <w:sz w:val="4"/>
                <w:szCs w:val="4"/>
              </w:rPr>
            </w:r>
          </w:p>
        </w:tc>
      </w:tr>
      <w:tr>
        <w:trPr/>
        <w:tc>
          <w:tcPr>
            <w:tcW w:w="1856" w:type="dxa"/>
            <w:tcBorders/>
            <w:shd w:fill="0054BA" w:val="clear"/>
            <w:vAlign w:val="center"/>
          </w:tcPr>
          <w:p>
            <w:pPr>
              <w:pStyle w:val="TableContents"/>
              <w:bidi w:val="0"/>
              <w:spacing w:before="0" w:after="283"/>
              <w:jc w:val="left"/>
              <w:rPr>
                <w:sz w:val="4"/>
                <w:szCs w:val="4"/>
              </w:rPr>
            </w:pPr>
            <w:r>
              <w:rPr>
                <w:sz w:val="4"/>
                <w:szCs w:val="4"/>
              </w:rPr>
            </w:r>
          </w:p>
        </w:tc>
        <w:tc>
          <w:tcPr>
            <w:tcW w:w="8349"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1856" w:type="dxa"/>
            <w:tcBorders/>
            <w:shd w:fill="0054BA" w:val="clear"/>
            <w:vAlign w:val="center"/>
          </w:tcPr>
          <w:p>
            <w:pPr>
              <w:pStyle w:val="TableContents"/>
              <w:bidi w:val="0"/>
              <w:spacing w:before="0" w:after="0"/>
              <w:jc w:val="left"/>
              <w:rPr>
                <w:rFonts w:ascii="ARIAL" w:hAnsi="ARIAL"/>
                <w:b/>
                <w:color w:val="FFFFFF"/>
                <w:sz w:val="18"/>
              </w:rPr>
            </w:pPr>
            <w:r>
              <w:rPr>
                <w:rFonts w:ascii="ARIAL" w:hAnsi="ARIAL"/>
                <w:b/>
                <w:color w:val="FFFFFF"/>
                <w:sz w:val="18"/>
              </w:rPr>
              <w:t>ABBREVIATION</w:t>
            </w:r>
          </w:p>
          <w:p>
            <w:pPr>
              <w:pStyle w:val="TableContents"/>
              <w:bidi w:val="0"/>
              <w:spacing w:before="0" w:after="0"/>
              <w:jc w:val="left"/>
              <w:rPr>
                <w:rFonts w:ascii="ARIAL" w:hAnsi="ARIAL"/>
                <w:b/>
                <w:color w:val="FFFFFF"/>
                <w:sz w:val="18"/>
              </w:rPr>
            </w:pPr>
            <w:r>
              <w:rPr>
                <w:rFonts w:ascii="ARIAL" w:hAnsi="ARIAL"/>
                <w:b/>
                <w:color w:val="FFFFFF"/>
                <w:sz w:val="18"/>
              </w:rPr>
              <w:t>OR ACRONYM</w:t>
            </w:r>
          </w:p>
          <w:p>
            <w:pPr>
              <w:pStyle w:val="TableContents"/>
              <w:bidi w:val="0"/>
              <w:spacing w:before="0" w:after="20"/>
              <w:jc w:val="left"/>
              <w:rPr/>
            </w:pPr>
            <w:r>
              <w:rPr/>
              <w:t> </w:t>
            </w:r>
          </w:p>
        </w:tc>
        <w:tc>
          <w:tcPr>
            <w:tcW w:w="120" w:type="dxa"/>
            <w:tcBorders/>
            <w:shd w:fill="0054BA" w:val="clear"/>
            <w:vAlign w:val="center"/>
          </w:tcPr>
          <w:p>
            <w:pPr>
              <w:pStyle w:val="TableContents"/>
              <w:bidi w:val="0"/>
              <w:spacing w:before="0" w:after="283"/>
              <w:jc w:val="left"/>
              <w:rPr/>
            </w:pPr>
            <w:r>
              <w:rPr/>
              <w:t>  </w:t>
            </w:r>
          </w:p>
        </w:tc>
        <w:tc>
          <w:tcPr>
            <w:tcW w:w="8229" w:type="dxa"/>
            <w:tcBorders/>
            <w:shd w:fill="0054BA" w:val="clear"/>
            <w:vAlign w:val="center"/>
          </w:tcPr>
          <w:p>
            <w:pPr>
              <w:pStyle w:val="TableContents"/>
              <w:bidi w:val="0"/>
              <w:spacing w:before="0" w:after="283"/>
              <w:jc w:val="left"/>
              <w:rPr>
                <w:b/>
                <w:color w:val="FFFFFF"/>
              </w:rPr>
            </w:pPr>
            <w:r>
              <w:rPr>
                <w:b/>
                <w:color w:val="FFFFFF"/>
              </w:rPr>
              <w:t>DEFINITION</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MSPP</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CoStar Group Management Stock Purchase Plan as it may be amended and restated from time to time</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Nasdaq</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Nasdaq Global Select Market</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NEO</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Named executive officer for purposes of Item 402 of Regulation S-K</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Net New Bookings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Net new bookings is an operating metric calculated based on the annualized amount of change in the Company’s sales bookings resulting from new subscription-based contracts, changes to existing subscription-based contracts, and cancellations of subscription-based contracts for the period reported, and information regarding net new bookings is not comparable to, nor should it be substituted for, an analysis of the Company’s revenues over time</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Nominating and Corporate Governance Committee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Nominating and Corporate Governance Committee of the Board</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Notice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Notice of Internet Availability of Proxy Materials</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NPS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Net promoter score</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PCAOB</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Public Company Accounting Oversight Board</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PSU</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Performance Stock Unit</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RSA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Restricted Stock Award</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RSU</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Restricted Stock Unit</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SEC</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U.S. Securities and Exchange Commission</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STI</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Short-term incentive</w:t>
            </w:r>
          </w:p>
        </w:tc>
      </w:tr>
      <w:tr>
        <w:trPr/>
        <w:tc>
          <w:tcPr>
            <w:tcW w:w="1856"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r>
      <w:tr>
        <w:trPr/>
        <w:tc>
          <w:tcPr>
            <w:tcW w:w="1856"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TSR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29" w:type="dxa"/>
            <w:tcBorders>
              <w:bottom w:val="single" w:sz="6" w:space="0" w:color="000000"/>
            </w:tcBorders>
            <w:tcMar>
              <w:bottom w:w="100" w:type="dxa"/>
            </w:tcMar>
            <w:vAlign w:val="center"/>
          </w:tcPr>
          <w:p>
            <w:pPr>
              <w:pStyle w:val="TableContents"/>
              <w:bidi w:val="0"/>
              <w:spacing w:before="0" w:after="283"/>
              <w:jc w:val="left"/>
              <w:rPr/>
            </w:pPr>
            <w:r>
              <w:rPr/>
              <w:t>Total shareholder return</w:t>
            </w:r>
          </w:p>
        </w:tc>
      </w:tr>
    </w:tbl>
    <w:p>
      <w:pPr>
        <w:pStyle w:val="TextBody"/>
        <w:bidi w:val="0"/>
        <w:spacing w:before="0" w:after="0"/>
        <w:jc w:val="left"/>
        <w:rPr/>
      </w:pPr>
      <w:r>
        <w:rPr/>
        <w:t>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1505"/>
        <w:gridCol w:w="120"/>
        <w:gridCol w:w="194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2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iii</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bookmarkStart w:id="4" w:name="toc903159_2"/>
      <w:bookmarkEnd w:id="4"/>
      <w:r>
        <w:rPr>
          <w:rFonts w:ascii="ARIAL" w:hAnsi="ARIAL"/>
          <w:b/>
          <w:sz w:val="64"/>
        </w:rPr>
        <w:t xml:space="preserve">ABOUT US </w:t>
      </w:r>
    </w:p>
    <w:p>
      <w:pPr>
        <w:pStyle w:val="TextBody"/>
        <w:bidi w:val="0"/>
        <w:spacing w:before="240" w:after="0"/>
        <w:jc w:val="left"/>
        <w:rPr>
          <w:rFonts w:ascii="ARIAL" w:hAnsi="ARIAL"/>
          <w:sz w:val="18"/>
        </w:rPr>
      </w:pPr>
      <w:r>
        <w:rPr>
          <w:rFonts w:ascii="ARIAL" w:hAnsi="ARIAL"/>
          <w:sz w:val="18"/>
        </w:rPr>
        <w:t xml:space="preserve">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 CoStar Group’s major brands include CoStar, a leading global provider of commercial real estate data, analytics, and news; LoopNet, the most trafficked commercial real estate marketplace; Apartments.com, the leading platform for apartment rentals; Homes.com, the fastest-growing residential real estate marketplace; and Domain, one of Australia’s leading property marketplaces.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 </w:t>
      </w:r>
    </w:p>
    <w:p>
      <w:pPr>
        <w:pStyle w:val="TextBody"/>
        <w:bidi w:val="0"/>
        <w:spacing w:before="120" w:after="0"/>
        <w:jc w:val="left"/>
        <w:rPr>
          <w:rFonts w:ascii="ARIAL" w:hAnsi="ARIAL"/>
          <w:sz w:val="18"/>
        </w:rPr>
      </w:pPr>
      <w:r>
        <w:rPr>
          <w:rFonts w:ascii="ARIAL" w:hAnsi="ARIAL"/>
          <w:sz w:val="18"/>
        </w:rPr>
        <w:t xml:space="preserve">CoStar Group’s websites attracted over 139 million average monthly unique visitors in the fourth quarter of 2025,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 </w:t>
      </w:r>
    </w:p>
    <w:p>
      <w:pPr>
        <w:pStyle w:val="TextBody"/>
        <w:bidi w:val="0"/>
        <w:spacing w:before="160" w:after="0"/>
        <w:jc w:val="left"/>
        <w:rPr>
          <w:rFonts w:ascii="ARIAL" w:hAnsi="ARIAL"/>
          <w:b/>
          <w:sz w:val="24"/>
        </w:rPr>
      </w:pPr>
      <w:r>
        <w:rPr>
          <w:rFonts w:ascii="ARIAL" w:hAnsi="ARIAL"/>
          <w:b/>
          <w:sz w:val="24"/>
        </w:rPr>
        <w:t xml:space="preserve">Our Global Presence </w:t>
      </w:r>
    </w:p>
    <w:p>
      <w:pPr>
        <w:pStyle w:val="TextBody"/>
        <w:bidi w:val="0"/>
        <w:spacing w:before="0" w:after="0"/>
        <w:jc w:val="left"/>
        <w:rPr/>
      </w:pPr>
      <w:r>
        <w:rPr/>
        <w:t> </w:t>
      </w:r>
    </w:p>
    <w:tbl>
      <w:tblPr>
        <w:tblW w:w="5739" w:type="dxa"/>
        <w:jc w:val="left"/>
        <w:tblInd w:w="0" w:type="dxa"/>
        <w:tblLayout w:type="fixed"/>
        <w:tblCellMar>
          <w:top w:w="0" w:type="dxa"/>
          <w:left w:w="0" w:type="dxa"/>
          <w:bottom w:w="0" w:type="dxa"/>
          <w:right w:w="0" w:type="dxa"/>
        </w:tblCellMar>
      </w:tblPr>
      <w:tblGrid>
        <w:gridCol w:w="2015"/>
        <w:gridCol w:w="60"/>
        <w:gridCol w:w="23"/>
        <w:gridCol w:w="60"/>
        <w:gridCol w:w="2450"/>
        <w:gridCol w:w="60"/>
        <w:gridCol w:w="23"/>
        <w:gridCol w:w="60"/>
        <w:gridCol w:w="890"/>
        <w:gridCol w:w="6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top w:val="single" w:sz="12" w:space="0" w:color="0054BA"/>
              <w:bottom w:val="single" w:sz="12" w:space="0" w:color="0054BA"/>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54BA"/>
                <w:sz w:val="80"/>
              </w:rPr>
            </w:pPr>
            <w:r>
              <w:rPr>
                <w:rFonts w:ascii="ARIAL" w:hAnsi="ARIAL"/>
                <w:b/>
                <w:color w:val="0054BA"/>
                <w:sz w:val="80"/>
              </w:rPr>
              <w:t>14</w:t>
            </w:r>
          </w:p>
          <w:p>
            <w:pPr>
              <w:pStyle w:val="TableContents"/>
              <w:bidi w:val="0"/>
              <w:spacing w:before="0" w:after="20"/>
              <w:jc w:val="center"/>
              <w:rPr>
                <w:rFonts w:ascii="ARIAL" w:hAnsi="ARIAL"/>
                <w:sz w:val="18"/>
              </w:rPr>
            </w:pPr>
            <w:r>
              <w:rPr>
                <w:rFonts w:ascii="ARIAL" w:hAnsi="ARIAL"/>
                <w:sz w:val="18"/>
              </w:rPr>
              <w:t>Countries with presence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12" w:space="0" w:color="0054BA"/>
              <w:bottom w:val="single" w:sz="12" w:space="0" w:color="0054BA"/>
            </w:tcBorders>
            <w:tcMar>
              <w:top w:w="28" w:type="dxa"/>
              <w:bottom w:w="28" w:type="dxa"/>
            </w:tcMar>
            <w:vAlign w:val="center"/>
          </w:tcPr>
          <w:p>
            <w:pPr>
              <w:pStyle w:val="TableContents"/>
              <w:bidi w:val="0"/>
              <w:spacing w:before="0" w:after="283"/>
              <w:jc w:val="left"/>
              <w:rPr/>
            </w:pPr>
            <w:r>
              <w:rPr/>
              <w:t> </w:t>
            </w:r>
          </w:p>
        </w:tc>
        <w:tc>
          <w:tcPr>
            <w:tcW w:w="2450" w:type="dxa"/>
            <w:tcBorders>
              <w:top w:val="single" w:sz="12" w:space="0" w:color="0054BA"/>
              <w:bottom w:val="single" w:sz="12" w:space="0" w:color="0054BA"/>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54BA"/>
                <w:sz w:val="80"/>
              </w:rPr>
            </w:pPr>
            <w:r>
              <w:rPr>
                <w:rFonts w:ascii="ARIAL" w:hAnsi="ARIAL"/>
                <w:b/>
                <w:color w:val="0054BA"/>
                <w:sz w:val="80"/>
              </w:rPr>
              <w:t>+8,000</w:t>
            </w:r>
          </w:p>
          <w:p>
            <w:pPr>
              <w:pStyle w:val="TableContents"/>
              <w:bidi w:val="0"/>
              <w:spacing w:before="0" w:after="20"/>
              <w:jc w:val="center"/>
              <w:rPr>
                <w:rFonts w:ascii="ARIAL" w:hAnsi="ARIAL"/>
                <w:sz w:val="18"/>
              </w:rPr>
            </w:pPr>
            <w:r>
              <w:rPr>
                <w:rFonts w:ascii="ARIAL" w:hAnsi="ARIAL"/>
                <w:sz w:val="18"/>
              </w:rPr>
              <w:t>Employees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12" w:space="0" w:color="0054BA"/>
              <w:bottom w:val="single" w:sz="12" w:space="0" w:color="0054BA"/>
            </w:tcBorders>
            <w:tcMar>
              <w:top w:w="28" w:type="dxa"/>
              <w:bottom w:w="28" w:type="dxa"/>
            </w:tcMar>
            <w:vAlign w:val="center"/>
          </w:tcPr>
          <w:p>
            <w:pPr>
              <w:pStyle w:val="TableContents"/>
              <w:bidi w:val="0"/>
              <w:spacing w:before="0" w:after="283"/>
              <w:jc w:val="left"/>
              <w:rPr/>
            </w:pPr>
            <w:r>
              <w:rPr/>
              <w:t> </w:t>
            </w:r>
          </w:p>
        </w:tc>
        <w:tc>
          <w:tcPr>
            <w:tcW w:w="890" w:type="dxa"/>
            <w:tcBorders>
              <w:top w:val="single" w:sz="12" w:space="0" w:color="0054BA"/>
              <w:bottom w:val="single" w:sz="12" w:space="0" w:color="0054BA"/>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54BA"/>
                <w:sz w:val="80"/>
              </w:rPr>
            </w:pPr>
            <w:r>
              <w:rPr>
                <w:rFonts w:ascii="ARIAL" w:hAnsi="ARIAL"/>
                <w:b/>
                <w:color w:val="0054BA"/>
                <w:sz w:val="80"/>
              </w:rPr>
              <w:t>86</w:t>
            </w:r>
          </w:p>
          <w:p>
            <w:pPr>
              <w:pStyle w:val="TableContents"/>
              <w:bidi w:val="0"/>
              <w:spacing w:before="0" w:after="20"/>
              <w:jc w:val="center"/>
              <w:rPr>
                <w:rFonts w:ascii="ARIAL" w:hAnsi="ARIAL"/>
                <w:sz w:val="18"/>
              </w:rPr>
            </w:pPr>
            <w:r>
              <w:rPr>
                <w:rFonts w:ascii="ARIAL" w:hAnsi="ARIAL"/>
                <w:sz w:val="18"/>
              </w:rPr>
              <w:t>Offices</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2867025"/>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6"/>
                    <a:stretch>
                      <a:fillRect/>
                    </a:stretch>
                  </pic:blipFill>
                  <pic:spPr bwMode="auto">
                    <a:xfrm>
                      <a:off x="0" y="0"/>
                      <a:ext cx="7810500" cy="286702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18"/>
        <w:gridCol w:w="120"/>
        <w:gridCol w:w="5667"/>
      </w:tblGrid>
      <w:tr>
        <w:trPr/>
        <w:tc>
          <w:tcPr>
            <w:tcW w:w="44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67" w:type="dxa"/>
            <w:tcBorders/>
            <w:vAlign w:val="center"/>
          </w:tcPr>
          <w:p>
            <w:pPr>
              <w:pStyle w:val="TableContents"/>
              <w:bidi w:val="0"/>
              <w:spacing w:before="0" w:after="283"/>
              <w:jc w:val="left"/>
              <w:rPr>
                <w:sz w:val="4"/>
                <w:szCs w:val="4"/>
              </w:rPr>
            </w:pPr>
            <w:r>
              <w:rPr>
                <w:sz w:val="4"/>
                <w:szCs w:val="4"/>
              </w:rPr>
            </w:r>
          </w:p>
        </w:tc>
      </w:tr>
      <w:tr>
        <w:trPr/>
        <w:tc>
          <w:tcPr>
            <w:tcW w:w="4418" w:type="dxa"/>
            <w:tcBorders/>
            <w:vAlign w:val="center"/>
          </w:tcPr>
          <w:p>
            <w:pPr>
              <w:pStyle w:val="TableContents"/>
              <w:bidi w:val="0"/>
              <w:spacing w:before="0" w:after="0"/>
              <w:jc w:val="left"/>
              <w:rPr>
                <w:rFonts w:ascii="ARIAL" w:hAnsi="ARIAL"/>
                <w:b/>
                <w:sz w:val="24"/>
              </w:rPr>
            </w:pPr>
            <w:r>
              <w:rPr>
                <w:rFonts w:ascii="ARIAL" w:hAnsi="ARIAL"/>
                <w:b/>
                <w:sz w:val="24"/>
              </w:rPr>
              <w:t>Our Brands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From offices, hospitality, and industrial properties, to apartments, residential, and retail, to land and businesses for sale, we cover the entire real estate landscape, providing solutions that meet the needs of all of our audiences.</w:t>
            </w:r>
          </w:p>
        </w:tc>
        <w:tc>
          <w:tcPr>
            <w:tcW w:w="120" w:type="dxa"/>
            <w:tcBorders/>
            <w:vAlign w:val="center"/>
          </w:tcPr>
          <w:p>
            <w:pPr>
              <w:pStyle w:val="TableContents"/>
              <w:bidi w:val="0"/>
              <w:spacing w:before="0" w:after="283"/>
              <w:jc w:val="left"/>
              <w:rPr/>
            </w:pPr>
            <w:r>
              <w:rPr/>
              <w:t>  </w:t>
            </w:r>
          </w:p>
        </w:tc>
        <w:tc>
          <w:tcPr>
            <w:tcW w:w="5667" w:type="dxa"/>
            <w:tcBorders/>
            <w:vAlign w:val="center"/>
          </w:tcPr>
          <w:p>
            <w:pPr>
              <w:pStyle w:val="TableContents"/>
              <w:bidi w:val="0"/>
              <w:spacing w:before="0" w:after="283"/>
              <w:jc w:val="center"/>
              <w:rPr/>
            </w:pPr>
            <w:r>
              <w:rPr/>
              <w:drawing>
                <wp:inline distT="0" distB="0" distL="0" distR="0">
                  <wp:extent cx="3581400" cy="2285365"/>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7"/>
                          <a:stretch>
                            <a:fillRect/>
                          </a:stretch>
                        </pic:blipFill>
                        <pic:spPr bwMode="auto">
                          <a:xfrm>
                            <a:off x="0" y="0"/>
                            <a:ext cx="3581400" cy="228536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r>
        <w:rPr>
          <w:rFonts w:ascii="ARIAL" w:hAnsi="ARIAL"/>
          <w:b/>
          <w:color w:val="0054BA"/>
          <w:sz w:val="30"/>
        </w:rPr>
        <w:t xml:space="preserve">BUSINESS HIGHLIGHTS </w:t>
      </w:r>
    </w:p>
    <w:p>
      <w:pPr>
        <w:pStyle w:val="TextBody"/>
        <w:bidi w:val="0"/>
        <w:spacing w:before="200" w:after="0"/>
        <w:jc w:val="left"/>
        <w:rPr>
          <w:rFonts w:ascii="ARIAL" w:hAnsi="ARIAL"/>
          <w:sz w:val="18"/>
        </w:rPr>
      </w:pPr>
      <w:r>
        <w:rPr>
          <w:rFonts w:ascii="ARIAL" w:hAnsi="ARIAL"/>
          <w:sz w:val="18"/>
        </w:rPr>
        <w:t xml:space="preserve">The Company continued to advance its key strategic priorities in 2025, including 1) delivering solid financial performance, 2) enhancing long term stockholder value, 3) executing on its residential strategy, and 4) gaining operating leverage across the global CoStar platform. CoStar Group is well-positioned to drive accelerating profitability and sustained long-term stockholder value creation in 2026 and beyond. </w:t>
      </w:r>
    </w:p>
    <w:p>
      <w:pPr>
        <w:pStyle w:val="TextBody"/>
        <w:bidi w:val="0"/>
        <w:spacing w:before="360" w:after="0"/>
        <w:jc w:val="left"/>
        <w:rPr>
          <w:rFonts w:ascii="ARIAL" w:hAnsi="ARIAL"/>
          <w:b/>
          <w:sz w:val="20"/>
        </w:rPr>
      </w:pPr>
      <w:r>
        <w:rPr>
          <w:rFonts w:ascii="ARIAL" w:hAnsi="ARIAL"/>
          <w:b/>
          <w:sz w:val="20"/>
        </w:rPr>
        <w:t xml:space="preserve">Financial Performance </w:t>
      </w:r>
    </w:p>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395" w:type="dxa"/>
            <w:tcBorders/>
            <w:vAlign w:val="center"/>
          </w:tcPr>
          <w:p>
            <w:pPr>
              <w:pStyle w:val="TableContents"/>
              <w:bidi w:val="0"/>
              <w:spacing w:before="0" w:after="0"/>
              <w:jc w:val="left"/>
              <w:rPr>
                <w:rFonts w:ascii="ARIAL" w:hAnsi="ARIAL"/>
                <w:sz w:val="18"/>
              </w:rPr>
            </w:pPr>
            <w:r>
              <w:rPr>
                <w:rFonts w:ascii="ARIAL" w:hAnsi="ARIAL"/>
                <w:sz w:val="18"/>
              </w:rPr>
              <w:t xml:space="preserve">Delivered revenue of $3.25 billion in 2025, an increase of 19% year-over year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3635" w:type="dxa"/>
            <w:tcBorders/>
            <w:vAlign w:val="center"/>
          </w:tcPr>
          <w:p>
            <w:pPr>
              <w:pStyle w:val="TableContents"/>
              <w:bidi w:val="0"/>
              <w:spacing w:before="0" w:after="0"/>
              <w:jc w:val="left"/>
              <w:rPr>
                <w:rFonts w:ascii="ARIAL" w:hAnsi="ARIAL"/>
                <w:sz w:val="18"/>
              </w:rPr>
            </w:pPr>
            <w:r>
              <w:rPr>
                <w:rFonts w:ascii="ARIAL" w:hAnsi="ARIAL"/>
                <w:sz w:val="18"/>
              </w:rPr>
              <w:t xml:space="preserve">Net income was $7 million for full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Generated Adjusted EBITDA of $442 million, which represents an 83% year-over-year increase, reflecting operating leverage and disciplined execution following major strategic investments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11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4940" w:type="dxa"/>
            <w:tcBorders/>
            <w:vAlign w:val="center"/>
          </w:tcPr>
          <w:p>
            <w:pPr>
              <w:pStyle w:val="TableContents"/>
              <w:bidi w:val="0"/>
              <w:spacing w:before="0" w:after="0"/>
              <w:jc w:val="left"/>
              <w:rPr>
                <w:rFonts w:ascii="ARIAL" w:hAnsi="ARIAL"/>
                <w:sz w:val="18"/>
              </w:rPr>
            </w:pPr>
            <w:r>
              <w:rPr>
                <w:rFonts w:ascii="ARIAL" w:hAnsi="ARIAL"/>
                <w:sz w:val="18"/>
              </w:rPr>
              <w:t xml:space="preserve">Achieved record Net New Bookings for $308 million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Commercial segment revenue grew 18% year-over-year to $1.8 billion, while Residential segment revenue increased 20% to $1.5 billion, reflecting strength across both core growth engines </w:t>
            </w:r>
          </w:p>
        </w:tc>
      </w:tr>
    </w:tbl>
    <w:p>
      <w:pPr>
        <w:pStyle w:val="TextBody"/>
        <w:bidi w:val="0"/>
        <w:spacing w:before="200" w:after="0"/>
        <w:jc w:val="left"/>
        <w:rPr>
          <w:rFonts w:ascii="ARIAL" w:hAnsi="ARIAL"/>
          <w:b/>
          <w:sz w:val="20"/>
        </w:rPr>
      </w:pPr>
      <w:r>
        <w:rPr>
          <w:rFonts w:ascii="ARIAL" w:hAnsi="ARIAL"/>
          <w:b/>
          <w:sz w:val="20"/>
        </w:rPr>
        <w:t xml:space="preserve">Long-Term Stockholder Value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9500" w:type="dxa"/>
            <w:tcBorders/>
            <w:vAlign w:val="center"/>
          </w:tcPr>
          <w:p>
            <w:pPr>
              <w:pStyle w:val="TableContents"/>
              <w:bidi w:val="0"/>
              <w:spacing w:before="0" w:after="0"/>
              <w:jc w:val="left"/>
              <w:rPr>
                <w:rFonts w:ascii="ARIAL" w:hAnsi="ARIAL"/>
                <w:sz w:val="18"/>
              </w:rPr>
            </w:pPr>
            <w:r>
              <w:rPr>
                <w:rFonts w:ascii="ARIAL" w:hAnsi="ARIAL"/>
                <w:sz w:val="18"/>
              </w:rPr>
              <w:t xml:space="preserve">Entered a phase of significant EBITDA expansion, positioning the Company to drive accelerating profitability in 2026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9140" w:type="dxa"/>
            <w:tcBorders/>
            <w:vAlign w:val="center"/>
          </w:tcPr>
          <w:p>
            <w:pPr>
              <w:pStyle w:val="TableContents"/>
              <w:bidi w:val="0"/>
              <w:spacing w:before="0" w:after="0"/>
              <w:jc w:val="left"/>
              <w:rPr>
                <w:rFonts w:ascii="ARIAL" w:hAnsi="ARIAL"/>
                <w:sz w:val="18"/>
              </w:rPr>
            </w:pPr>
            <w:r>
              <w:rPr>
                <w:rFonts w:ascii="ARIAL" w:hAnsi="ARIAL"/>
                <w:sz w:val="18"/>
              </w:rPr>
              <w:t xml:space="preserve">Provided five-year financial objectives including mid-teens revenue growth and a 35% Adjusted EBITDA margin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Completed a $500 million share repurchase program in 2025 and authorized a new $1.5 billion repurchase program, reinforcing the Board’s commitment to disciplined capital allocation and stockholder returns </w:t>
            </w:r>
          </w:p>
        </w:tc>
      </w:tr>
    </w:tbl>
    <w:p>
      <w:pPr>
        <w:pStyle w:val="TextBody"/>
        <w:bidi w:val="0"/>
        <w:spacing w:before="200" w:after="0"/>
        <w:jc w:val="left"/>
        <w:rPr>
          <w:rFonts w:ascii="ARIAL" w:hAnsi="ARIAL"/>
          <w:b/>
          <w:sz w:val="20"/>
        </w:rPr>
      </w:pPr>
      <w:r>
        <w:rPr>
          <w:rFonts w:ascii="ARIAL" w:hAnsi="ARIAL"/>
          <w:b/>
          <w:sz w:val="20"/>
        </w:rPr>
        <w:t xml:space="preserve">Leveraging Global Platform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Global technology companies use a unified platform across geographies to rapidly innovate and drive operating efficiencies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Strengthened technology position and platform through the Matterport Acquisition in February 2025, adding a global 3D digital twin platform that will unlock significant value across the global platform with over 14 million spaces and over 70 billion square feet digitized across 177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Expanded CoStar Group’s international footprint through the Domain Acquisition, establishing a leading residential and commercial real estate marketplace platform in Australia and creating a scalable foundation for long-term international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7"/>
        <w:gridCol w:w="23"/>
        <w:gridCol w:w="1898"/>
        <w:gridCol w:w="23"/>
        <w:gridCol w:w="23"/>
        <w:gridCol w:w="60"/>
        <w:gridCol w:w="260"/>
        <w:gridCol w:w="23"/>
        <w:gridCol w:w="23"/>
        <w:gridCol w:w="907"/>
        <w:gridCol w:w="23"/>
        <w:gridCol w:w="2750"/>
        <w:gridCol w:w="23"/>
        <w:gridCol w:w="23"/>
        <w:gridCol w:w="60"/>
        <w:gridCol w:w="260"/>
        <w:gridCol w:w="23"/>
        <w:gridCol w:w="23"/>
        <w:gridCol w:w="922"/>
        <w:gridCol w:w="23"/>
        <w:gridCol w:w="2048"/>
      </w:tblGrid>
      <w:tr>
        <w:trPr/>
        <w:tc>
          <w:tcPr>
            <w:tcW w:w="78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r>
      <w:tr>
        <w:trPr/>
        <w:tc>
          <w:tcPr>
            <w:tcW w:w="787" w:type="dxa"/>
            <w:tcBorders/>
            <w:shd w:fill="DAEDFA" w:val="clear"/>
            <w:vAlign w:val="center"/>
          </w:tcPr>
          <w:p>
            <w:pPr>
              <w:pStyle w:val="TableContents"/>
              <w:bidi w:val="0"/>
              <w:spacing w:before="0" w:after="0"/>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89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07"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22"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048" w:type="dxa"/>
            <w:tcBorders/>
            <w:shd w:fill="DAEDFA" w:val="clear"/>
            <w:vAlign w:val="center"/>
          </w:tcPr>
          <w:p>
            <w:pPr>
              <w:pStyle w:val="TableContents"/>
              <w:bidi w:val="0"/>
              <w:spacing w:before="0" w:after="283"/>
              <w:jc w:val="left"/>
              <w:rPr>
                <w:sz w:val="4"/>
                <w:szCs w:val="4"/>
              </w:rPr>
            </w:pPr>
            <w:r>
              <w:rPr>
                <w:sz w:val="4"/>
                <w:szCs w:val="4"/>
              </w:rPr>
            </w:r>
          </w:p>
        </w:tc>
      </w:tr>
      <w:tr>
        <w:trPr/>
        <w:tc>
          <w:tcPr>
            <w:tcW w:w="787" w:type="dxa"/>
            <w:vMerge w:val="restart"/>
            <w:tcBorders/>
            <w:shd w:fill="DAEDFA" w:val="clear"/>
            <w:vAlign w:val="center"/>
          </w:tcPr>
          <w:p>
            <w:pPr>
              <w:pStyle w:val="TableContents"/>
              <w:bidi w:val="0"/>
              <w:spacing w:before="0" w:after="20"/>
              <w:jc w:val="center"/>
              <w:rPr/>
            </w:pPr>
            <w:r>
              <w:rPr/>
              <w:drawing>
                <wp:inline distT="0" distB="0" distL="0" distR="0">
                  <wp:extent cx="476250" cy="466725"/>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9"/>
                          <a:stretch>
                            <a:fillRect/>
                          </a:stretch>
                        </pic:blipFill>
                        <pic:spPr bwMode="auto">
                          <a:xfrm>
                            <a:off x="0" y="0"/>
                            <a:ext cx="476250" cy="466725"/>
                          </a:xfrm>
                          <a:prstGeom prst="rect">
                            <a:avLst/>
                          </a:prstGeom>
                        </pic:spPr>
                      </pic:pic>
                    </a:graphicData>
                  </a:graphic>
                </wp:inline>
              </w:drawing>
            </w:r>
            <w:r>
              <w:rPr/>
              <w:t xml:space="preserve">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898" w:type="dxa"/>
            <w:tcBorders/>
            <w:shd w:fill="DAEDFA" w:val="clear"/>
            <w:vAlign w:val="center"/>
          </w:tcPr>
          <w:p>
            <w:pPr>
              <w:pStyle w:val="TableContents"/>
              <w:bidi w:val="0"/>
              <w:spacing w:before="0" w:after="283"/>
              <w:jc w:val="left"/>
              <w:rPr>
                <w:b/>
              </w:rPr>
            </w:pPr>
            <w:r>
              <w:rPr>
                <w:b/>
              </w:rPr>
              <w:t>TOTAL REVENUE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vMerge w:val="restart"/>
            <w:tcBorders/>
            <w:shd w:fill="DAEDFA" w:val="clear"/>
            <w:vAlign w:val="center"/>
          </w:tcPr>
          <w:p>
            <w:pPr>
              <w:pStyle w:val="TableContents"/>
              <w:bidi w:val="0"/>
              <w:spacing w:before="0" w:after="283"/>
              <w:jc w:val="left"/>
              <w:rPr>
                <w:sz w:val="4"/>
                <w:szCs w:val="4"/>
              </w:rPr>
            </w:pPr>
            <w:r>
              <w:rPr>
                <w:sz w:val="4"/>
                <w:szCs w:val="4"/>
              </w:rPr>
            </w:r>
          </w:p>
        </w:tc>
        <w:tc>
          <w:tcPr>
            <w:tcW w:w="907" w:type="dxa"/>
            <w:vMerge w:val="restart"/>
            <w:tcBorders/>
            <w:shd w:fill="DAEDFA" w:val="clear"/>
            <w:vAlign w:val="center"/>
          </w:tcPr>
          <w:p>
            <w:pPr>
              <w:pStyle w:val="TableContents"/>
              <w:bidi w:val="0"/>
              <w:spacing w:before="0" w:after="20"/>
              <w:jc w:val="center"/>
              <w:rPr/>
            </w:pPr>
            <w:r>
              <w:rPr/>
              <w:drawing>
                <wp:inline distT="0" distB="0" distL="0" distR="0">
                  <wp:extent cx="419100" cy="542925"/>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30"/>
                          <a:stretch>
                            <a:fillRect/>
                          </a:stretch>
                        </pic:blipFill>
                        <pic:spPr bwMode="auto">
                          <a:xfrm>
                            <a:off x="0" y="0"/>
                            <a:ext cx="419100" cy="542925"/>
                          </a:xfrm>
                          <a:prstGeom prst="rect">
                            <a:avLst/>
                          </a:prstGeom>
                        </pic:spPr>
                      </pic:pic>
                    </a:graphicData>
                  </a:graphic>
                </wp:inline>
              </w:drawing>
            </w:r>
            <w:r>
              <w:rPr/>
              <w:t xml:space="preserve">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283"/>
              <w:jc w:val="left"/>
              <w:rPr>
                <w:b/>
              </w:rPr>
            </w:pPr>
            <w:r>
              <w:rPr>
                <w:b/>
              </w:rPr>
              <w:t>REVENUE INCREASED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vMerge w:val="restart"/>
            <w:tcBorders/>
            <w:shd w:fill="DAEDFA" w:val="clear"/>
            <w:vAlign w:val="center"/>
          </w:tcPr>
          <w:p>
            <w:pPr>
              <w:pStyle w:val="TableContents"/>
              <w:bidi w:val="0"/>
              <w:spacing w:before="0" w:after="283"/>
              <w:jc w:val="left"/>
              <w:rPr>
                <w:sz w:val="4"/>
                <w:szCs w:val="4"/>
              </w:rPr>
            </w:pPr>
            <w:r>
              <w:rPr>
                <w:sz w:val="4"/>
                <w:szCs w:val="4"/>
              </w:rPr>
            </w:r>
          </w:p>
        </w:tc>
        <w:tc>
          <w:tcPr>
            <w:tcW w:w="922" w:type="dxa"/>
            <w:vMerge w:val="restart"/>
            <w:tcBorders/>
            <w:shd w:fill="DAEDFA" w:val="clear"/>
            <w:vAlign w:val="center"/>
          </w:tcPr>
          <w:p>
            <w:pPr>
              <w:pStyle w:val="TableContents"/>
              <w:bidi w:val="0"/>
              <w:spacing w:before="0" w:after="20"/>
              <w:jc w:val="center"/>
              <w:rPr/>
            </w:pPr>
            <w:r>
              <w:rPr/>
              <w:drawing>
                <wp:inline distT="0" distB="0" distL="0" distR="0">
                  <wp:extent cx="571500" cy="514350"/>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31"/>
                          <a:stretch>
                            <a:fillRect/>
                          </a:stretch>
                        </pic:blipFill>
                        <pic:spPr bwMode="auto">
                          <a:xfrm>
                            <a:off x="0" y="0"/>
                            <a:ext cx="571500" cy="514350"/>
                          </a:xfrm>
                          <a:prstGeom prst="rect">
                            <a:avLst/>
                          </a:prstGeom>
                        </pic:spPr>
                      </pic:pic>
                    </a:graphicData>
                  </a:graphic>
                </wp:inline>
              </w:drawing>
            </w:r>
            <w:r>
              <w:rPr/>
              <w:t xml:space="preserve">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048" w:type="dxa"/>
            <w:tcBorders/>
            <w:shd w:fill="DAEDFA" w:val="clear"/>
            <w:vAlign w:val="center"/>
          </w:tcPr>
          <w:p>
            <w:pPr>
              <w:pStyle w:val="TableContents"/>
              <w:bidi w:val="0"/>
              <w:spacing w:before="0" w:after="283"/>
              <w:jc w:val="left"/>
              <w:rPr>
                <w:b/>
              </w:rPr>
            </w:pPr>
            <w:r>
              <w:rPr>
                <w:b/>
              </w:rPr>
              <w:t>NET INCOME</w:t>
            </w:r>
          </w:p>
        </w:tc>
      </w:tr>
      <w:tr>
        <w:trPr/>
        <w:tc>
          <w:tcPr>
            <w:tcW w:w="787" w:type="dxa"/>
            <w:vMerge w:val="continue"/>
            <w:tcBorders/>
            <w:shd w:fill="DAEDFA" w:val="clear"/>
            <w:vAlign w:val="center"/>
          </w:tcPr>
          <w:p>
            <w:pPr>
              <w:pStyle w:val="Normal"/>
              <w:bidi w:val="0"/>
              <w:jc w:val="left"/>
              <w:rPr/>
            </w:pPr>
            <w:r>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898" w:type="dxa"/>
            <w:tcBorders/>
            <w:shd w:fill="DAEDFA" w:val="clear"/>
            <w:vAlign w:val="center"/>
          </w:tcPr>
          <w:p>
            <w:pPr>
              <w:pStyle w:val="TableContents"/>
              <w:bidi w:val="0"/>
              <w:spacing w:before="0" w:after="283"/>
              <w:jc w:val="left"/>
              <w:rPr>
                <w:b/>
                <w:color w:val="0054BA"/>
              </w:rPr>
            </w:pPr>
            <w:r>
              <w:rPr>
                <w:b/>
                <w:color w:val="0054BA"/>
              </w:rPr>
              <w:t>$3.25B</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vMerge w:val="continue"/>
            <w:tcBorders/>
            <w:shd w:fill="DAEDFA" w:val="clear"/>
            <w:vAlign w:val="center"/>
          </w:tcPr>
          <w:p>
            <w:pPr>
              <w:pStyle w:val="Normal"/>
              <w:bidi w:val="0"/>
              <w:jc w:val="left"/>
              <w:rPr/>
            </w:pPr>
            <w:r>
              <w:rPr/>
            </w:r>
          </w:p>
        </w:tc>
        <w:tc>
          <w:tcPr>
            <w:tcW w:w="907" w:type="dxa"/>
            <w:vMerge w:val="continue"/>
            <w:tcBorders/>
            <w:shd w:fill="DAEDFA" w:val="clear"/>
            <w:vAlign w:val="center"/>
          </w:tcPr>
          <w:p>
            <w:pPr>
              <w:pStyle w:val="Normal"/>
              <w:bidi w:val="0"/>
              <w:jc w:val="left"/>
              <w:rPr/>
            </w:pPr>
            <w:r>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283"/>
              <w:jc w:val="left"/>
              <w:rPr>
                <w:b/>
                <w:sz w:val="18"/>
              </w:rPr>
            </w:pPr>
            <w:r>
              <w:rPr>
                <w:b/>
                <w:color w:val="0054BA"/>
                <w:sz w:val="56"/>
              </w:rPr>
              <w:t>19%</w:t>
            </w:r>
            <w:r>
              <w:rPr>
                <w:b/>
                <w:sz w:val="18"/>
              </w:rPr>
              <w:t>YoY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vMerge w:val="continue"/>
            <w:tcBorders/>
            <w:shd w:fill="DAEDFA" w:val="clear"/>
            <w:vAlign w:val="center"/>
          </w:tcPr>
          <w:p>
            <w:pPr>
              <w:pStyle w:val="Normal"/>
              <w:bidi w:val="0"/>
              <w:jc w:val="left"/>
              <w:rPr/>
            </w:pPr>
            <w:r>
              <w:rPr/>
            </w:r>
          </w:p>
        </w:tc>
        <w:tc>
          <w:tcPr>
            <w:tcW w:w="922" w:type="dxa"/>
            <w:vMerge w:val="continue"/>
            <w:tcBorders/>
            <w:shd w:fill="DAEDFA" w:val="clear"/>
            <w:vAlign w:val="center"/>
          </w:tcPr>
          <w:p>
            <w:pPr>
              <w:pStyle w:val="Normal"/>
              <w:bidi w:val="0"/>
              <w:jc w:val="left"/>
              <w:rPr/>
            </w:pPr>
            <w:r>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048" w:type="dxa"/>
            <w:tcBorders/>
            <w:shd w:fill="DAEDFA" w:val="clear"/>
            <w:vAlign w:val="center"/>
          </w:tcPr>
          <w:p>
            <w:pPr>
              <w:pStyle w:val="TableContents"/>
              <w:bidi w:val="0"/>
              <w:spacing w:before="0" w:after="283"/>
              <w:jc w:val="left"/>
              <w:rPr>
                <w:b/>
                <w:color w:val="0054BA"/>
              </w:rPr>
            </w:pPr>
            <w:r>
              <w:rPr>
                <w:b/>
                <w:color w:val="0054BA"/>
              </w:rPr>
              <w:t>$7M</w:t>
            </w:r>
          </w:p>
        </w:tc>
      </w:tr>
      <w:tr>
        <w:trPr/>
        <w:tc>
          <w:tcPr>
            <w:tcW w:w="787" w:type="dxa"/>
            <w:tcBorders/>
            <w:shd w:fill="DAEDFA" w:val="clear"/>
            <w:vAlign w:val="center"/>
          </w:tcPr>
          <w:p>
            <w:pPr>
              <w:pStyle w:val="TableContents"/>
              <w:bidi w:val="0"/>
              <w:spacing w:before="0" w:after="0"/>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89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07"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22"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048" w:type="dxa"/>
            <w:tcBorders/>
            <w:shd w:fill="DAEDFA" w:val="clear"/>
            <w:vAlign w:val="center"/>
          </w:tcPr>
          <w:p>
            <w:pPr>
              <w:pStyle w:val="TableContents"/>
              <w:bidi w:val="0"/>
              <w:spacing w:before="0" w:after="283"/>
              <w:jc w:val="left"/>
              <w:rPr>
                <w:sz w:val="4"/>
                <w:szCs w:val="4"/>
              </w:rPr>
            </w:pPr>
            <w:r>
              <w:rPr>
                <w:sz w:val="4"/>
                <w:szCs w:val="4"/>
              </w:rPr>
            </w:r>
          </w:p>
        </w:tc>
      </w:tr>
      <w:tr>
        <w:trPr/>
        <w:tc>
          <w:tcPr>
            <w:tcW w:w="787"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89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07"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22"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048" w:type="dxa"/>
            <w:tcBorders/>
            <w:shd w:fill="DAEDFA" w:val="clear"/>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r>
      <w:tr>
        <w:trPr/>
        <w:tc>
          <w:tcPr>
            <w:tcW w:w="787" w:type="dxa"/>
            <w:tcBorders/>
            <w:shd w:fill="DAEDFA" w:val="clear"/>
            <w:vAlign w:val="center"/>
          </w:tcPr>
          <w:p>
            <w:pPr>
              <w:pStyle w:val="TableContents"/>
              <w:bidi w:val="0"/>
              <w:spacing w:before="0" w:after="0"/>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89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07"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22"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048" w:type="dxa"/>
            <w:tcBorders/>
            <w:shd w:fill="DAEDFA" w:val="clear"/>
            <w:vAlign w:val="center"/>
          </w:tcPr>
          <w:p>
            <w:pPr>
              <w:pStyle w:val="TableContents"/>
              <w:bidi w:val="0"/>
              <w:spacing w:before="0" w:after="283"/>
              <w:jc w:val="left"/>
              <w:rPr>
                <w:sz w:val="4"/>
                <w:szCs w:val="4"/>
              </w:rPr>
            </w:pPr>
            <w:r>
              <w:rPr>
                <w:sz w:val="4"/>
                <w:szCs w:val="4"/>
              </w:rPr>
            </w:r>
          </w:p>
        </w:tc>
      </w:tr>
      <w:tr>
        <w:trPr/>
        <w:tc>
          <w:tcPr>
            <w:tcW w:w="787" w:type="dxa"/>
            <w:vMerge w:val="restart"/>
            <w:tcBorders/>
            <w:shd w:fill="DAEDFA" w:val="clear"/>
            <w:vAlign w:val="center"/>
          </w:tcPr>
          <w:p>
            <w:pPr>
              <w:pStyle w:val="TableContents"/>
              <w:bidi w:val="0"/>
              <w:spacing w:before="0" w:after="20"/>
              <w:jc w:val="center"/>
              <w:rPr/>
            </w:pPr>
            <w:r>
              <w:rPr/>
              <w:drawing>
                <wp:inline distT="0" distB="0" distL="0" distR="0">
                  <wp:extent cx="419100" cy="457200"/>
                  <wp:effectExtent l="0" t="0" r="0" b="0"/>
                  <wp:docPr id="3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5" descr=""/>
                          <pic:cNvPicPr>
                            <a:picLocks noChangeAspect="1" noChangeArrowheads="1"/>
                          </pic:cNvPicPr>
                        </pic:nvPicPr>
                        <pic:blipFill>
                          <a:blip r:embed="rId32"/>
                          <a:stretch>
                            <a:fillRect/>
                          </a:stretch>
                        </pic:blipFill>
                        <pic:spPr bwMode="auto">
                          <a:xfrm>
                            <a:off x="0" y="0"/>
                            <a:ext cx="419100" cy="457200"/>
                          </a:xfrm>
                          <a:prstGeom prst="rect">
                            <a:avLst/>
                          </a:prstGeom>
                        </pic:spPr>
                      </pic:pic>
                    </a:graphicData>
                  </a:graphic>
                </wp:inline>
              </w:drawing>
            </w:r>
            <w:r>
              <w:rPr/>
              <w:t xml:space="preserve"> </w:t>
            </w:r>
          </w:p>
        </w:tc>
        <w:tc>
          <w:tcPr>
            <w:tcW w:w="23" w:type="dxa"/>
            <w:vMerge w:val="restart"/>
            <w:tcBorders/>
            <w:shd w:fill="DAEDFA" w:val="clear"/>
            <w:vAlign w:val="center"/>
          </w:tcPr>
          <w:p>
            <w:pPr>
              <w:pStyle w:val="TableContents"/>
              <w:bidi w:val="0"/>
              <w:spacing w:before="0" w:after="283"/>
              <w:jc w:val="left"/>
              <w:rPr>
                <w:sz w:val="4"/>
                <w:szCs w:val="4"/>
              </w:rPr>
            </w:pPr>
            <w:r>
              <w:rPr>
                <w:sz w:val="4"/>
                <w:szCs w:val="4"/>
              </w:rPr>
            </w:r>
          </w:p>
        </w:tc>
        <w:tc>
          <w:tcPr>
            <w:tcW w:w="1898" w:type="dxa"/>
            <w:vMerge w:val="restart"/>
            <w:tcBorders/>
            <w:shd w:fill="DAEDFA" w:val="clear"/>
            <w:vAlign w:val="center"/>
          </w:tcPr>
          <w:p>
            <w:pPr>
              <w:pStyle w:val="TableContents"/>
              <w:bidi w:val="0"/>
              <w:spacing w:before="0" w:after="0"/>
              <w:jc w:val="left"/>
              <w:rPr>
                <w:rFonts w:ascii="ARIAL" w:hAnsi="ARIAL"/>
                <w:b/>
                <w:sz w:val="18"/>
              </w:rPr>
            </w:pPr>
            <w:r>
              <w:rPr>
                <w:rFonts w:ascii="ARIAL" w:hAnsi="ARIAL"/>
                <w:b/>
                <w:sz w:val="18"/>
              </w:rPr>
              <w:t>ADJUSTED EBITDA(1)</w:t>
            </w:r>
          </w:p>
          <w:p>
            <w:pPr>
              <w:pStyle w:val="TableContents"/>
              <w:bidi w:val="0"/>
              <w:spacing w:before="0" w:after="20"/>
              <w:jc w:val="left"/>
              <w:rPr>
                <w:rFonts w:ascii="ARIAL" w:hAnsi="ARIAL"/>
                <w:b/>
                <w:color w:val="0054BA"/>
                <w:sz w:val="56"/>
              </w:rPr>
            </w:pPr>
            <w:r>
              <w:rPr>
                <w:rFonts w:ascii="ARIAL" w:hAnsi="ARIAL"/>
                <w:b/>
                <w:color w:val="0054BA"/>
                <w:sz w:val="56"/>
              </w:rPr>
              <w:t>$442M</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vMerge w:val="restart"/>
            <w:tcBorders/>
            <w:shd w:fill="DAEDFA" w:val="clear"/>
            <w:vAlign w:val="center"/>
          </w:tcPr>
          <w:p>
            <w:pPr>
              <w:pStyle w:val="TableContents"/>
              <w:bidi w:val="0"/>
              <w:spacing w:before="0" w:after="283"/>
              <w:jc w:val="left"/>
              <w:rPr>
                <w:sz w:val="4"/>
                <w:szCs w:val="4"/>
              </w:rPr>
            </w:pPr>
            <w:r>
              <w:rPr>
                <w:sz w:val="4"/>
                <w:szCs w:val="4"/>
              </w:rPr>
            </w:r>
          </w:p>
        </w:tc>
        <w:tc>
          <w:tcPr>
            <w:tcW w:w="907" w:type="dxa"/>
            <w:vMerge w:val="restart"/>
            <w:tcBorders/>
            <w:shd w:fill="DAEDFA" w:val="clear"/>
            <w:vAlign w:val="center"/>
          </w:tcPr>
          <w:p>
            <w:pPr>
              <w:pStyle w:val="TableContents"/>
              <w:bidi w:val="0"/>
              <w:spacing w:before="0" w:after="20"/>
              <w:jc w:val="center"/>
              <w:rPr/>
            </w:pPr>
            <w:r>
              <w:rPr/>
              <w:drawing>
                <wp:inline distT="0" distB="0" distL="0" distR="0">
                  <wp:extent cx="561975" cy="466725"/>
                  <wp:effectExtent l="0" t="0" r="0" b="0"/>
                  <wp:docPr id="4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6" descr=""/>
                          <pic:cNvPicPr>
                            <a:picLocks noChangeAspect="1" noChangeArrowheads="1"/>
                          </pic:cNvPicPr>
                        </pic:nvPicPr>
                        <pic:blipFill>
                          <a:blip r:embed="rId33"/>
                          <a:stretch>
                            <a:fillRect/>
                          </a:stretch>
                        </pic:blipFill>
                        <pic:spPr bwMode="auto">
                          <a:xfrm>
                            <a:off x="0" y="0"/>
                            <a:ext cx="561975" cy="466725"/>
                          </a:xfrm>
                          <a:prstGeom prst="rect">
                            <a:avLst/>
                          </a:prstGeom>
                        </pic:spPr>
                      </pic:pic>
                    </a:graphicData>
                  </a:graphic>
                </wp:inline>
              </w:drawing>
            </w:r>
            <w:r>
              <w:rPr/>
              <w:t xml:space="preserve">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ADJUSTED EBITDA(1)</w:t>
            </w:r>
          </w:p>
          <w:p>
            <w:pPr>
              <w:pStyle w:val="TableContents"/>
              <w:bidi w:val="0"/>
              <w:spacing w:before="0" w:after="20"/>
              <w:jc w:val="left"/>
              <w:rPr>
                <w:rFonts w:ascii="ARIAL" w:hAnsi="ARIAL"/>
                <w:b/>
                <w:sz w:val="18"/>
              </w:rPr>
            </w:pPr>
            <w:r>
              <w:rPr>
                <w:rFonts w:ascii="ARIAL" w:hAnsi="ARIAL"/>
                <w:b/>
                <w:sz w:val="18"/>
              </w:rPr>
              <w:t>INCREASED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vMerge w:val="restart"/>
            <w:tcBorders/>
            <w:shd w:fill="DAEDFA" w:val="clear"/>
            <w:vAlign w:val="center"/>
          </w:tcPr>
          <w:p>
            <w:pPr>
              <w:pStyle w:val="TableContents"/>
              <w:bidi w:val="0"/>
              <w:spacing w:before="0" w:after="283"/>
              <w:jc w:val="left"/>
              <w:rPr>
                <w:sz w:val="4"/>
                <w:szCs w:val="4"/>
              </w:rPr>
            </w:pPr>
            <w:r>
              <w:rPr>
                <w:sz w:val="4"/>
                <w:szCs w:val="4"/>
              </w:rPr>
            </w:r>
          </w:p>
        </w:tc>
        <w:tc>
          <w:tcPr>
            <w:tcW w:w="922" w:type="dxa"/>
            <w:vMerge w:val="restart"/>
            <w:tcBorders/>
            <w:shd w:fill="DAEDFA" w:val="clear"/>
            <w:vAlign w:val="center"/>
          </w:tcPr>
          <w:p>
            <w:pPr>
              <w:pStyle w:val="TableContents"/>
              <w:bidi w:val="0"/>
              <w:spacing w:before="0" w:after="283"/>
              <w:jc w:val="center"/>
              <w:rPr/>
            </w:pPr>
            <w:r>
              <w:rPr/>
              <w:drawing>
                <wp:inline distT="0" distB="0" distL="0" distR="0">
                  <wp:extent cx="495300" cy="561975"/>
                  <wp:effectExtent l="0" t="0" r="0" b="0"/>
                  <wp:docPr id="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descr=""/>
                          <pic:cNvPicPr>
                            <a:picLocks noChangeAspect="1" noChangeArrowheads="1"/>
                          </pic:cNvPicPr>
                        </pic:nvPicPr>
                        <pic:blipFill>
                          <a:blip r:embed="rId34"/>
                          <a:stretch>
                            <a:fillRect/>
                          </a:stretch>
                        </pic:blipFill>
                        <pic:spPr bwMode="auto">
                          <a:xfrm>
                            <a:off x="0" y="0"/>
                            <a:ext cx="495300" cy="561975"/>
                          </a:xfrm>
                          <a:prstGeom prst="rect">
                            <a:avLst/>
                          </a:prstGeom>
                        </pic:spPr>
                      </pic:pic>
                    </a:graphicData>
                  </a:graphic>
                </wp:inline>
              </w:drawing>
            </w:r>
            <w:r>
              <w:rPr/>
              <w:t xml:space="preserve"> </w:t>
            </w:r>
          </w:p>
        </w:tc>
        <w:tc>
          <w:tcPr>
            <w:tcW w:w="23" w:type="dxa"/>
            <w:vMerge w:val="restart"/>
            <w:tcBorders/>
            <w:shd w:fill="DAEDFA" w:val="clear"/>
            <w:vAlign w:val="center"/>
          </w:tcPr>
          <w:p>
            <w:pPr>
              <w:pStyle w:val="TableContents"/>
              <w:bidi w:val="0"/>
              <w:spacing w:before="0" w:after="283"/>
              <w:jc w:val="left"/>
              <w:rPr>
                <w:sz w:val="4"/>
                <w:szCs w:val="4"/>
              </w:rPr>
            </w:pPr>
            <w:r>
              <w:rPr>
                <w:sz w:val="4"/>
                <w:szCs w:val="4"/>
              </w:rPr>
            </w:r>
          </w:p>
        </w:tc>
        <w:tc>
          <w:tcPr>
            <w:tcW w:w="2048" w:type="dxa"/>
            <w:vMerge w:val="restart"/>
            <w:tcBorders/>
            <w:shd w:fill="DAEDFA" w:val="clear"/>
            <w:vAlign w:val="center"/>
          </w:tcPr>
          <w:p>
            <w:pPr>
              <w:pStyle w:val="TableContents"/>
              <w:bidi w:val="0"/>
              <w:spacing w:before="0" w:after="0"/>
              <w:jc w:val="left"/>
              <w:rPr>
                <w:rFonts w:ascii="ARIAL" w:hAnsi="ARIAL"/>
                <w:b/>
                <w:sz w:val="18"/>
              </w:rPr>
            </w:pPr>
            <w:r>
              <w:rPr>
                <w:rFonts w:ascii="ARIAL" w:hAnsi="ARIAL"/>
                <w:b/>
                <w:sz w:val="18"/>
              </w:rPr>
              <w:t>HIGHEST IN HISTORY</w:t>
            </w:r>
          </w:p>
          <w:p>
            <w:pPr>
              <w:pStyle w:val="TableContents"/>
              <w:bidi w:val="0"/>
              <w:spacing w:before="0" w:after="0"/>
              <w:jc w:val="left"/>
              <w:rPr>
                <w:rFonts w:ascii="ARIAL" w:hAnsi="ARIAL"/>
                <w:b/>
                <w:color w:val="0054BA"/>
                <w:sz w:val="56"/>
              </w:rPr>
            </w:pPr>
            <w:r>
              <w:rPr>
                <w:rFonts w:ascii="ARIAL" w:hAnsi="ARIAL"/>
                <w:b/>
                <w:color w:val="0054BA"/>
                <w:sz w:val="56"/>
              </w:rPr>
              <w:t>$308M</w:t>
            </w:r>
          </w:p>
          <w:p>
            <w:pPr>
              <w:pStyle w:val="TableContents"/>
              <w:bidi w:val="0"/>
              <w:spacing w:before="0" w:after="20"/>
              <w:jc w:val="left"/>
              <w:rPr>
                <w:rFonts w:ascii="ARIAL" w:hAnsi="ARIAL"/>
                <w:b/>
                <w:sz w:val="20"/>
              </w:rPr>
            </w:pPr>
            <w:r>
              <w:rPr>
                <w:rFonts w:ascii="ARIAL" w:hAnsi="ARIAL"/>
                <w:b/>
                <w:sz w:val="20"/>
              </w:rPr>
              <w:t>NET NEW BOOKINGS</w:t>
            </w:r>
          </w:p>
        </w:tc>
      </w:tr>
      <w:tr>
        <w:trPr/>
        <w:tc>
          <w:tcPr>
            <w:tcW w:w="787" w:type="dxa"/>
            <w:vMerge w:val="continue"/>
            <w:tcBorders/>
            <w:shd w:fill="DAEDFA" w:val="clear"/>
            <w:vAlign w:val="center"/>
          </w:tcPr>
          <w:p>
            <w:pPr>
              <w:pStyle w:val="Normal"/>
              <w:bidi w:val="0"/>
              <w:jc w:val="left"/>
              <w:rPr/>
            </w:pPr>
            <w:r>
              <w:rPr/>
            </w:r>
          </w:p>
        </w:tc>
        <w:tc>
          <w:tcPr>
            <w:tcW w:w="23" w:type="dxa"/>
            <w:vMerge w:val="continue"/>
            <w:tcBorders/>
            <w:shd w:fill="DAEDFA" w:val="clear"/>
            <w:vAlign w:val="center"/>
          </w:tcPr>
          <w:p>
            <w:pPr>
              <w:pStyle w:val="Normal"/>
              <w:bidi w:val="0"/>
              <w:jc w:val="left"/>
              <w:rPr/>
            </w:pPr>
            <w:r>
              <w:rPr/>
            </w:r>
          </w:p>
        </w:tc>
        <w:tc>
          <w:tcPr>
            <w:tcW w:w="1898" w:type="dxa"/>
            <w:vMerge w:val="continue"/>
            <w:tcBorders/>
            <w:shd w:fill="DAEDFA" w:val="cle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vMerge w:val="continue"/>
            <w:tcBorders/>
            <w:shd w:fill="DAEDFA" w:val="clear"/>
            <w:vAlign w:val="center"/>
          </w:tcPr>
          <w:p>
            <w:pPr>
              <w:pStyle w:val="Normal"/>
              <w:bidi w:val="0"/>
              <w:jc w:val="left"/>
              <w:rPr/>
            </w:pPr>
            <w:r>
              <w:rPr/>
            </w:r>
          </w:p>
        </w:tc>
        <w:tc>
          <w:tcPr>
            <w:tcW w:w="907" w:type="dxa"/>
            <w:vMerge w:val="continue"/>
            <w:tcBorders/>
            <w:shd w:fill="DAEDFA" w:val="clear"/>
            <w:vAlign w:val="center"/>
          </w:tcPr>
          <w:p>
            <w:pPr>
              <w:pStyle w:val="Normal"/>
              <w:bidi w:val="0"/>
              <w:jc w:val="left"/>
              <w:rPr/>
            </w:pPr>
            <w:r>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283"/>
              <w:jc w:val="left"/>
              <w:rPr>
                <w:b/>
                <w:color w:val="0054BA"/>
              </w:rPr>
            </w:pPr>
            <w:r>
              <w:rPr>
                <w:b/>
                <w:color w:val="0054BA"/>
              </w:rPr>
              <w:t>83%</w:t>
            </w:r>
            <w:r>
              <w:rPr>
                <w:b/>
                <w:color w:val="0054BA"/>
                <w:sz w:val="18"/>
              </w:rPr>
              <w:t>YOY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vMerge w:val="continue"/>
            <w:tcBorders/>
            <w:shd w:fill="DAEDFA" w:val="clear"/>
            <w:vAlign w:val="center"/>
          </w:tcPr>
          <w:p>
            <w:pPr>
              <w:pStyle w:val="Normal"/>
              <w:bidi w:val="0"/>
              <w:jc w:val="left"/>
              <w:rPr/>
            </w:pPr>
            <w:r>
              <w:rPr/>
            </w:r>
          </w:p>
        </w:tc>
        <w:tc>
          <w:tcPr>
            <w:tcW w:w="922" w:type="dxa"/>
            <w:vMerge w:val="continue"/>
            <w:tcBorders/>
            <w:shd w:fill="DAEDFA" w:val="clear"/>
            <w:vAlign w:val="center"/>
          </w:tcPr>
          <w:p>
            <w:pPr>
              <w:pStyle w:val="Normal"/>
              <w:bidi w:val="0"/>
              <w:jc w:val="left"/>
              <w:rPr/>
            </w:pPr>
            <w:r>
              <w:rPr/>
            </w:r>
          </w:p>
        </w:tc>
        <w:tc>
          <w:tcPr>
            <w:tcW w:w="23" w:type="dxa"/>
            <w:vMerge w:val="continue"/>
            <w:tcBorders/>
            <w:shd w:fill="DAEDFA" w:val="clear"/>
            <w:vAlign w:val="center"/>
          </w:tcPr>
          <w:p>
            <w:pPr>
              <w:pStyle w:val="Normal"/>
              <w:bidi w:val="0"/>
              <w:jc w:val="left"/>
              <w:rPr/>
            </w:pPr>
            <w:r>
              <w:rPr/>
            </w:r>
          </w:p>
        </w:tc>
        <w:tc>
          <w:tcPr>
            <w:tcW w:w="2048" w:type="dxa"/>
            <w:vMerge w:val="continue"/>
            <w:tcBorders/>
            <w:shd w:fill="DAEDFA" w:val="clear"/>
            <w:vAlign w:val="center"/>
          </w:tcPr>
          <w:p>
            <w:pPr>
              <w:pStyle w:val="Normal"/>
              <w:bidi w:val="0"/>
              <w:jc w:val="left"/>
              <w:rPr/>
            </w:pPr>
            <w:r>
              <w:rPr/>
            </w:r>
          </w:p>
        </w:tc>
      </w:tr>
      <w:tr>
        <w:trPr/>
        <w:tc>
          <w:tcPr>
            <w:tcW w:w="787" w:type="dxa"/>
            <w:vMerge w:val="continue"/>
            <w:tcBorders/>
            <w:shd w:fill="DAEDFA" w:val="clear"/>
            <w:vAlign w:val="center"/>
          </w:tcPr>
          <w:p>
            <w:pPr>
              <w:pStyle w:val="Normal"/>
              <w:bidi w:val="0"/>
              <w:jc w:val="left"/>
              <w:rPr/>
            </w:pPr>
            <w:r>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898" w:type="dxa"/>
            <w:tcBorders/>
            <w:shd w:fill="DAEDFA" w:val="clear"/>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07"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750"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22"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048" w:type="dxa"/>
            <w:tcBorders/>
            <w:shd w:fill="DAED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i/>
              </w:rPr>
            </w:pPr>
            <w:r>
              <w:rPr>
                <w:i/>
              </w:rPr>
              <w:t>(1) </w:t>
            </w:r>
          </w:p>
        </w:tc>
        <w:tc>
          <w:tcPr>
            <w:tcW w:w="9892" w:type="dxa"/>
            <w:tcBorders/>
            <w:vAlign w:val="center"/>
          </w:tcPr>
          <w:p>
            <w:pPr>
              <w:pStyle w:val="TableContents"/>
              <w:bidi w:val="0"/>
              <w:spacing w:before="0" w:after="0"/>
              <w:jc w:val="left"/>
              <w:rPr>
                <w:rFonts w:ascii="ARIAL" w:hAnsi="ARIAL"/>
                <w:i/>
                <w:sz w:val="16"/>
              </w:rPr>
            </w:pPr>
            <w:r>
              <w:rPr>
                <w:rFonts w:ascii="ARIAL" w:hAnsi="ARIAL"/>
                <w:i/>
                <w:sz w:val="16"/>
              </w:rPr>
              <w:t xml:space="preserve">Adjusted EBITDA is a non-GAAP measure. See Appendix A for a reconciliation of Adjusted EBITDA to Net Income and for a discussion of management’s use of non-GAAP measures and other operating metrics.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4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descr=""/>
                          <pic:cNvPicPr>
                            <a:picLocks noChangeAspect="1" noChangeArrowheads="1"/>
                          </pic:cNvPicPr>
                        </pic:nvPicPr>
                        <pic:blipFill>
                          <a:blip r:embed="rId3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r>
        <w:rPr>
          <w:rFonts w:ascii="ARIAL" w:hAnsi="ARIAL"/>
          <w:b/>
          <w:color w:val="0054BA"/>
          <w:sz w:val="30"/>
        </w:rPr>
        <w:t xml:space="preserve">STOCKHOLDER ENGAGEMENT </w:t>
      </w:r>
    </w:p>
    <w:p>
      <w:pPr>
        <w:pStyle w:val="TextBody"/>
        <w:bidi w:val="0"/>
        <w:spacing w:before="200" w:after="0"/>
        <w:jc w:val="left"/>
        <w:rPr>
          <w:rFonts w:ascii="ARIAL" w:hAnsi="ARIAL"/>
          <w:b/>
          <w:sz w:val="24"/>
        </w:rPr>
      </w:pPr>
      <w:r>
        <w:rPr>
          <w:rFonts w:ascii="ARIAL" w:hAnsi="ARIAL"/>
          <w:b/>
          <w:sz w:val="24"/>
        </w:rPr>
        <w:t xml:space="preserve">Stockholder Feedback is Integrated into Board Decisions and Discussions </w:t>
      </w:r>
    </w:p>
    <w:p>
      <w:pPr>
        <w:pStyle w:val="TextBody"/>
        <w:bidi w:val="0"/>
        <w:spacing w:before="80" w:after="0"/>
        <w:jc w:val="left"/>
        <w:rPr>
          <w:rFonts w:ascii="ARIAL" w:hAnsi="ARIAL"/>
          <w:sz w:val="18"/>
        </w:rPr>
      </w:pPr>
      <w:r>
        <w:rPr>
          <w:rFonts w:ascii="ARIAL" w:hAnsi="ARIAL"/>
          <w:sz w:val="18"/>
        </w:rPr>
        <w:t xml:space="preserve">We believe that effective governance includes year-round engagement with our stockholders. Our Investor Relations team includes employees whose full-time year-round responsibilities include engaging with our investors, communicating with management to inform them on topics discussed and feedback received in the course of their engagement meetings. Our dedicated Investor Relations team receives and responds to investor telephone and email correspondence. We meet regularly with our investors, large and small, to discuss business strategy, performance, executive compensation philosophy and programs, and corporate governance. In addition, the Board receives letters from investors, and our directors review our responses and provide direction as necessary. </w:t>
      </w:r>
    </w:p>
    <w:p>
      <w:pPr>
        <w:pStyle w:val="TextBody"/>
        <w:bidi w:val="0"/>
        <w:spacing w:before="0" w:after="0"/>
        <w:jc w:val="left"/>
        <w:rPr/>
      </w:pPr>
      <w:r>
        <w:rPr/>
        <w:t> </w:t>
      </w:r>
    </w:p>
    <w:p>
      <w:pPr>
        <w:pStyle w:val="TextBody"/>
        <w:bidi w:val="0"/>
        <w:spacing w:before="0" w:after="0"/>
        <w:jc w:val="left"/>
        <w:rPr/>
      </w:pPr>
      <w:r>
        <w:rPr/>
        <w:drawing>
          <wp:inline distT="0" distB="0" distL="0" distR="0">
            <wp:extent cx="6629400" cy="4558030"/>
            <wp:effectExtent l="0" t="0" r="0" b="0"/>
            <wp:docPr id="4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9" descr=""/>
                    <pic:cNvPicPr>
                      <a:picLocks noChangeAspect="1" noChangeArrowheads="1"/>
                    </pic:cNvPicPr>
                  </pic:nvPicPr>
                  <pic:blipFill>
                    <a:blip r:embed="rId36"/>
                    <a:stretch>
                      <a:fillRect/>
                    </a:stretch>
                  </pic:blipFill>
                  <pic:spPr bwMode="auto">
                    <a:xfrm>
                      <a:off x="0" y="0"/>
                      <a:ext cx="6629400" cy="4558030"/>
                    </a:xfrm>
                    <a:prstGeom prst="rect">
                      <a:avLst/>
                    </a:prstGeom>
                  </pic:spPr>
                </pic:pic>
              </a:graphicData>
            </a:graphic>
          </wp:inline>
        </w:drawing>
      </w:r>
      <w:r>
        <w:rPr/>
        <w:t xml:space="preserve">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 descr=""/>
                          <pic:cNvPicPr>
                            <a:picLocks noChangeAspect="1" noChangeArrowheads="1"/>
                          </pic:cNvPicPr>
                        </pic:nvPicPr>
                        <pic:blipFill>
                          <a:blip r:embed="rId3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240" w:after="0"/>
        <w:jc w:val="left"/>
        <w:rPr>
          <w:rFonts w:ascii="ARIAL" w:hAnsi="ARIAL"/>
          <w:b/>
          <w:sz w:val="24"/>
        </w:rPr>
      </w:pPr>
      <w:r>
        <w:rPr>
          <w:rFonts w:ascii="ARIAL" w:hAnsi="ARIAL"/>
          <w:b/>
          <w:sz w:val="24"/>
        </w:rPr>
        <w:t xml:space="preserve">We Listen to Our Stockholders </w:t>
      </w:r>
    </w:p>
    <w:p>
      <w:pPr>
        <w:pStyle w:val="TextBody"/>
        <w:bidi w:val="0"/>
        <w:spacing w:before="120" w:after="0"/>
        <w:jc w:val="left"/>
        <w:rPr>
          <w:rFonts w:ascii="ARIAL" w:hAnsi="ARIAL"/>
          <w:sz w:val="18"/>
        </w:rPr>
      </w:pPr>
      <w:r>
        <w:rPr>
          <w:rFonts w:ascii="ARIAL" w:hAnsi="ARIAL"/>
          <w:sz w:val="18"/>
        </w:rPr>
        <w:t xml:space="preserve">We regularly engage with our stockholders to understand their perspectives on our business and executive compensation program. Since January 2025, our management team met with 92% of our top 25 stockholders to discuss Company performance, our products and services, capital allocation matters, corporate governance, and executive compensation. </w:t>
      </w:r>
    </w:p>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508250" cy="1325880"/>
            <wp:effectExtent l="0" t="0" r="0" b="0"/>
            <wp:docPr id="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1" descr=""/>
                    <pic:cNvPicPr>
                      <a:picLocks noChangeAspect="1" noChangeArrowheads="1"/>
                    </pic:cNvPicPr>
                  </pic:nvPicPr>
                  <pic:blipFill>
                    <a:blip r:embed="rId38"/>
                    <a:stretch>
                      <a:fillRect/>
                    </a:stretch>
                  </pic:blipFill>
                  <pic:spPr bwMode="auto">
                    <a:xfrm>
                      <a:off x="0" y="0"/>
                      <a:ext cx="2508250" cy="1325880"/>
                    </a:xfrm>
                    <a:prstGeom prst="rect">
                      <a:avLst/>
                    </a:prstGeom>
                  </pic:spPr>
                </pic:pic>
              </a:graphicData>
            </a:graphic>
          </wp:inline>
        </w:drawing>
      </w:r>
      <w:r>
        <w:rPr/>
        <w:t xml:space="preserve">          </w:t>
      </w:r>
      <w:r>
        <w:rPr/>
        <w:drawing>
          <wp:inline distT="0" distB="0" distL="0" distR="0">
            <wp:extent cx="2745105" cy="1325880"/>
            <wp:effectExtent l="0" t="0" r="0" b="0"/>
            <wp:docPr id="4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2" descr=""/>
                    <pic:cNvPicPr>
                      <a:picLocks noChangeAspect="1" noChangeArrowheads="1"/>
                    </pic:cNvPicPr>
                  </pic:nvPicPr>
                  <pic:blipFill>
                    <a:blip r:embed="rId39"/>
                    <a:stretch>
                      <a:fillRect/>
                    </a:stretch>
                  </pic:blipFill>
                  <pic:spPr bwMode="auto">
                    <a:xfrm>
                      <a:off x="0" y="0"/>
                      <a:ext cx="2745105" cy="1325880"/>
                    </a:xfrm>
                    <a:prstGeom prst="rect">
                      <a:avLst/>
                    </a:prstGeom>
                  </pic:spPr>
                </pic:pic>
              </a:graphicData>
            </a:graphic>
          </wp:inline>
        </w:drawing>
      </w:r>
      <w:r>
        <w:rPr/>
        <w:t xml:space="preserve"> </w:t>
      </w:r>
    </w:p>
    <w:p>
      <w:pPr>
        <w:pStyle w:val="TextBody"/>
        <w:bidi w:val="0"/>
        <w:spacing w:before="960" w:after="0"/>
        <w:jc w:val="left"/>
        <w:rPr>
          <w:rFonts w:ascii="ARIAL" w:hAnsi="ARIAL"/>
          <w:b/>
          <w:sz w:val="24"/>
        </w:rPr>
      </w:pPr>
      <w:r>
        <w:rPr>
          <w:rFonts w:ascii="ARIAL" w:hAnsi="ARIAL"/>
          <w:b/>
          <w:sz w:val="24"/>
        </w:rPr>
        <w:t xml:space="preserve">Stockholder Response Summary </w:t>
      </w:r>
    </w:p>
    <w:p>
      <w:pPr>
        <w:pStyle w:val="TextBody"/>
        <w:bidi w:val="0"/>
        <w:spacing w:before="120" w:after="0"/>
        <w:jc w:val="left"/>
        <w:rPr>
          <w:rFonts w:ascii="ARIAL" w:hAnsi="ARIAL"/>
          <w:sz w:val="18"/>
        </w:rPr>
      </w:pPr>
      <w:r>
        <w:rPr>
          <w:rFonts w:ascii="ARIAL" w:hAnsi="ARIAL"/>
          <w:sz w:val="18"/>
        </w:rPr>
        <w:t xml:space="preserve">Following extensive engagement with our stockholders during 2025, the Company implemented several enhancements to its governance and capital allocation profile and took actions to return capital to stockholders, as outlined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60"/>
        <w:gridCol w:w="3267"/>
        <w:gridCol w:w="120"/>
        <w:gridCol w:w="3787"/>
        <w:gridCol w:w="120"/>
        <w:gridCol w:w="2560"/>
      </w:tblGrid>
      <w:tr>
        <w:trPr/>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291" w:type="dxa"/>
            <w:tcBorders/>
            <w:shd w:fill="0054BA" w:val="clear"/>
            <w:vAlign w:val="center"/>
          </w:tcPr>
          <w:p>
            <w:pPr>
              <w:pStyle w:val="TableContents"/>
              <w:bidi w:val="0"/>
              <w:spacing w:before="0" w:after="283"/>
              <w:jc w:val="left"/>
              <w:rPr>
                <w:sz w:val="4"/>
                <w:szCs w:val="4"/>
              </w:rPr>
            </w:pPr>
            <w:r>
              <w:rPr>
                <w:sz w:val="4"/>
                <w:szCs w:val="4"/>
              </w:rPr>
            </w:r>
          </w:p>
        </w:tc>
        <w:tc>
          <w:tcPr>
            <w:tcW w:w="3327" w:type="dxa"/>
            <w:gridSpan w:val="2"/>
            <w:tcBorders/>
            <w:shd w:fill="0054BA" w:val="clear"/>
            <w:vAlign w:val="center"/>
          </w:tcPr>
          <w:p>
            <w:pPr>
              <w:pStyle w:val="TableContents"/>
              <w:bidi w:val="0"/>
              <w:spacing w:before="0" w:after="283"/>
              <w:jc w:val="left"/>
              <w:rPr>
                <w:sz w:val="4"/>
                <w:szCs w:val="4"/>
              </w:rPr>
            </w:pPr>
            <w:r>
              <w:rPr>
                <w:sz w:val="4"/>
                <w:szCs w:val="4"/>
              </w:rPr>
            </w:r>
          </w:p>
        </w:tc>
        <w:tc>
          <w:tcPr>
            <w:tcW w:w="3907" w:type="dxa"/>
            <w:gridSpan w:val="2"/>
            <w:tcBorders/>
            <w:shd w:fill="0054BA" w:val="clear"/>
            <w:vAlign w:val="center"/>
          </w:tcPr>
          <w:p>
            <w:pPr>
              <w:pStyle w:val="TableContents"/>
              <w:bidi w:val="0"/>
              <w:spacing w:before="0" w:after="283"/>
              <w:jc w:val="left"/>
              <w:rPr>
                <w:sz w:val="4"/>
                <w:szCs w:val="4"/>
              </w:rPr>
            </w:pPr>
            <w:r>
              <w:rPr>
                <w:sz w:val="4"/>
                <w:szCs w:val="4"/>
              </w:rPr>
            </w:r>
          </w:p>
        </w:tc>
        <w:tc>
          <w:tcPr>
            <w:tcW w:w="2680"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291" w:type="dxa"/>
            <w:vMerge w:val="restart"/>
            <w:tcBorders/>
            <w:shd w:fill="0054BA" w:val="clear"/>
            <w:vAlign w:val="center"/>
          </w:tcPr>
          <w:p>
            <w:pPr>
              <w:pStyle w:val="TableContents"/>
              <w:bidi w:val="0"/>
              <w:spacing w:before="0" w:after="283"/>
              <w:jc w:val="left"/>
              <w:rPr/>
            </w:pPr>
            <w:r>
              <w:rPr/>
              <w:drawing>
                <wp:inline distT="0" distB="0" distL="0" distR="0">
                  <wp:extent cx="172085" cy="922020"/>
                  <wp:effectExtent l="0" t="0" r="0" b="0"/>
                  <wp:docPr id="4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3" descr=""/>
                          <pic:cNvPicPr>
                            <a:picLocks noChangeAspect="1" noChangeArrowheads="1"/>
                          </pic:cNvPicPr>
                        </pic:nvPicPr>
                        <pic:blipFill>
                          <a:blip r:embed="rId40"/>
                          <a:stretch>
                            <a:fillRect/>
                          </a:stretch>
                        </pic:blipFill>
                        <pic:spPr bwMode="auto">
                          <a:xfrm>
                            <a:off x="0" y="0"/>
                            <a:ext cx="172085" cy="922020"/>
                          </a:xfrm>
                          <a:prstGeom prst="rect">
                            <a:avLst/>
                          </a:prstGeom>
                        </pic:spPr>
                      </pic:pic>
                    </a:graphicData>
                  </a:graphic>
                </wp:inline>
              </w:drawing>
            </w:r>
            <w:r>
              <w:rPr/>
              <w:t xml:space="preserve"> </w:t>
            </w:r>
          </w:p>
        </w:tc>
        <w:tc>
          <w:tcPr>
            <w:tcW w:w="60" w:type="dxa"/>
            <w:tcBorders/>
            <w:shd w:fill="0054BA" w:val="clear"/>
            <w:vAlign w:val="center"/>
          </w:tcPr>
          <w:p>
            <w:pPr>
              <w:pStyle w:val="TableContents"/>
              <w:bidi w:val="0"/>
              <w:spacing w:before="0" w:after="283"/>
              <w:jc w:val="left"/>
              <w:rPr/>
            </w:pPr>
            <w:r>
              <w:rPr/>
              <w:t> </w:t>
            </w:r>
          </w:p>
        </w:tc>
        <w:tc>
          <w:tcPr>
            <w:tcW w:w="3267" w:type="dxa"/>
            <w:tcBorders/>
            <w:shd w:fill="0054BA" w:val="clear"/>
            <w:vAlign w:val="center"/>
          </w:tcPr>
          <w:p>
            <w:pPr>
              <w:pStyle w:val="TableContents"/>
              <w:bidi w:val="0"/>
              <w:spacing w:before="0" w:after="283"/>
              <w:jc w:val="left"/>
              <w:rPr>
                <w:b/>
                <w:color w:val="FFFFFF"/>
              </w:rPr>
            </w:pPr>
            <w:r>
              <w:rPr>
                <w:b/>
                <w:color w:val="FFFFFF"/>
              </w:rPr>
              <w:t>STRONG GOVERNANCE</w:t>
              <w:br/>
              <w:t>AND REGULAR BOARD</w:t>
              <w:br/>
              <w:t>REFRESHMENT</w:t>
            </w:r>
          </w:p>
        </w:tc>
        <w:tc>
          <w:tcPr>
            <w:tcW w:w="120" w:type="dxa"/>
            <w:tcBorders/>
            <w:shd w:fill="0054BA" w:val="clear"/>
            <w:vAlign w:val="center"/>
          </w:tcPr>
          <w:p>
            <w:pPr>
              <w:pStyle w:val="TableContents"/>
              <w:bidi w:val="0"/>
              <w:spacing w:before="0" w:after="283"/>
              <w:jc w:val="left"/>
              <w:rPr/>
            </w:pPr>
            <w:r>
              <w:rPr/>
              <w:t>  </w:t>
            </w:r>
          </w:p>
        </w:tc>
        <w:tc>
          <w:tcPr>
            <w:tcW w:w="3787" w:type="dxa"/>
            <w:tcBorders/>
            <w:shd w:fill="0054BA" w:val="clear"/>
            <w:vAlign w:val="center"/>
          </w:tcPr>
          <w:p>
            <w:pPr>
              <w:pStyle w:val="TableContents"/>
              <w:bidi w:val="0"/>
              <w:spacing w:before="0" w:after="283"/>
              <w:jc w:val="left"/>
              <w:rPr>
                <w:b/>
                <w:color w:val="FFFFFF"/>
              </w:rPr>
            </w:pPr>
            <w:r>
              <w:rPr>
                <w:b/>
                <w:color w:val="FFFFFF"/>
              </w:rPr>
              <w:t>DISCIPLINED INVESTMENTS ACROSS</w:t>
              <w:br/>
              <w:t>COSTAR GROUP</w:t>
            </w:r>
          </w:p>
        </w:tc>
        <w:tc>
          <w:tcPr>
            <w:tcW w:w="120" w:type="dxa"/>
            <w:tcBorders/>
            <w:shd w:fill="0054BA" w:val="clear"/>
            <w:vAlign w:val="center"/>
          </w:tcPr>
          <w:p>
            <w:pPr>
              <w:pStyle w:val="TableContents"/>
              <w:bidi w:val="0"/>
              <w:spacing w:before="0" w:after="283"/>
              <w:jc w:val="left"/>
              <w:rPr/>
            </w:pPr>
            <w:r>
              <w:rPr/>
              <w:t>  </w:t>
            </w:r>
          </w:p>
        </w:tc>
        <w:tc>
          <w:tcPr>
            <w:tcW w:w="2560" w:type="dxa"/>
            <w:tcBorders/>
            <w:shd w:fill="0054BA" w:val="clear"/>
            <w:vAlign w:val="center"/>
          </w:tcPr>
          <w:p>
            <w:pPr>
              <w:pStyle w:val="TableContents"/>
              <w:bidi w:val="0"/>
              <w:spacing w:before="0" w:after="283"/>
              <w:jc w:val="left"/>
              <w:rPr>
                <w:b/>
                <w:color w:val="FFFFFF"/>
              </w:rPr>
            </w:pPr>
            <w:r>
              <w:rPr>
                <w:b/>
                <w:color w:val="FFFFFF"/>
              </w:rPr>
              <w:t>DEEPENING COMMITMENT TO</w:t>
              <w:br/>
              <w:t>RETURNING CAPITAL TO</w:t>
              <w:br/>
              <w:t>STOCKHOLDERS</w:t>
            </w:r>
          </w:p>
        </w:tc>
      </w:tr>
      <w:tr>
        <w:trPr/>
        <w:tc>
          <w:tcPr>
            <w:tcW w:w="291" w:type="dxa"/>
            <w:vMerge w:val="continue"/>
            <w:tcBorders/>
            <w:shd w:fill="0054BA" w:val="cle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67" w:type="dxa"/>
            <w:tcBorders>
              <w:bottom w:val="single" w:sz="6" w:space="0" w:color="000000"/>
            </w:tcBorders>
            <w:tcMar>
              <w:bottom w:w="100" w:type="dxa"/>
            </w:tcMar>
            <w:vAlign w:val="center"/>
          </w:tcPr>
          <w:p>
            <w:pPr>
              <w:pStyle w:val="TableContents"/>
              <w:bidi w:val="0"/>
              <w:spacing w:before="0" w:after="20"/>
              <w:jc w:val="left"/>
              <w:rPr>
                <w:rFonts w:ascii="ARIAL" w:hAnsi="ARIAL"/>
                <w:sz w:val="18"/>
              </w:rPr>
            </w:pPr>
            <w:r>
              <w:rPr>
                <w:rFonts w:ascii="ARIAL" w:hAnsi="ARIAL"/>
                <w:sz w:val="18"/>
              </w:rPr>
              <w:t>Added three independent directors, two of whom were designated by D.E. Shaw and Third Point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787" w:type="dxa"/>
            <w:tcBorders>
              <w:bottom w:val="single" w:sz="6" w:space="0" w:color="000000"/>
            </w:tcBorders>
            <w:tcMar>
              <w:bottom w:w="100" w:type="dxa"/>
            </w:tcMar>
            <w:vAlign w:val="center"/>
          </w:tcPr>
          <w:p>
            <w:pPr>
              <w:pStyle w:val="TableContents"/>
              <w:bidi w:val="0"/>
              <w:spacing w:before="0" w:after="283"/>
              <w:jc w:val="left"/>
              <w:rPr/>
            </w:pPr>
            <w:r>
              <w:rPr/>
              <w:t>Formed a Capital Allocation Committee comprised of independent directors (including D.E. Shaw’s and Third Point’s designees) to support a comprehensive review of our capital structure, capital allocation priorities, and financial targets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60" w:type="dxa"/>
            <w:tcBorders>
              <w:bottom w:val="single" w:sz="6" w:space="0" w:color="000000"/>
            </w:tcBorders>
            <w:tcMar>
              <w:bottom w:w="100" w:type="dxa"/>
            </w:tcMar>
            <w:vAlign w:val="center"/>
          </w:tcPr>
          <w:p>
            <w:pPr>
              <w:pStyle w:val="TableContents"/>
              <w:bidi w:val="0"/>
              <w:spacing w:before="0" w:after="20"/>
              <w:jc w:val="left"/>
              <w:rPr>
                <w:rFonts w:ascii="ARIAL" w:hAnsi="ARIAL"/>
                <w:sz w:val="18"/>
              </w:rPr>
            </w:pPr>
            <w:r>
              <w:rPr>
                <w:rFonts w:ascii="ARIAL" w:hAnsi="ARIAL"/>
                <w:sz w:val="18"/>
              </w:rPr>
              <w:t>Accelerated the completion of a $500 million share repurchase program initiated in 2025</w:t>
            </w:r>
          </w:p>
        </w:tc>
      </w:tr>
      <w:tr>
        <w:trPr/>
        <w:tc>
          <w:tcPr>
            <w:tcW w:w="291" w:type="dxa"/>
            <w:vMerge w:val="continue"/>
            <w:tcBorders/>
            <w:shd w:fill="0054BA" w:val="cle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67" w:type="dxa"/>
            <w:tcBorders>
              <w:bottom w:val="single" w:sz="6" w:space="0" w:color="000000"/>
            </w:tcBorders>
            <w:tcMar>
              <w:bottom w:w="100" w:type="dxa"/>
            </w:tcMar>
            <w:vAlign w:val="center"/>
          </w:tcPr>
          <w:p>
            <w:pPr>
              <w:pStyle w:val="TableContents"/>
              <w:bidi w:val="0"/>
              <w:spacing w:before="0" w:after="20"/>
              <w:jc w:val="left"/>
              <w:rPr>
                <w:rFonts w:ascii="ARIAL" w:hAnsi="ARIAL"/>
                <w:sz w:val="18"/>
              </w:rPr>
            </w:pPr>
            <w:r>
              <w:rPr>
                <w:rFonts w:ascii="ARIAL" w:hAnsi="ARIAL"/>
                <w:sz w:val="18"/>
              </w:rPr>
              <w:t>Appointed a new independent Board Chair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787" w:type="dxa"/>
            <w:tcBorders>
              <w:bottom w:val="single" w:sz="6" w:space="0" w:color="000000"/>
            </w:tcBorders>
            <w:tcMar>
              <w:bottom w:w="100" w:type="dxa"/>
            </w:tcMar>
            <w:vAlign w:val="center"/>
          </w:tcPr>
          <w:p>
            <w:pPr>
              <w:pStyle w:val="TableContents"/>
              <w:bidi w:val="0"/>
              <w:spacing w:before="0" w:after="283"/>
              <w:jc w:val="left"/>
              <w:rPr/>
            </w:pPr>
            <w:r>
              <w:rPr/>
              <w:t>Developed a plan unanimously approved by the Capital Allocation Committee to moderate investment in Homes.com by $300 million in 2026 and $100+ million annually thereafter to achieve break-even exiting 2029</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60" w:type="dxa"/>
            <w:tcBorders>
              <w:bottom w:val="single" w:sz="6" w:space="0" w:color="000000"/>
            </w:tcBorders>
            <w:tcMar>
              <w:bottom w:w="100" w:type="dxa"/>
            </w:tcMar>
            <w:vAlign w:val="center"/>
          </w:tcPr>
          <w:p>
            <w:pPr>
              <w:pStyle w:val="TableContents"/>
              <w:bidi w:val="0"/>
              <w:spacing w:before="0" w:after="20"/>
              <w:jc w:val="left"/>
              <w:rPr>
                <w:rFonts w:ascii="ARIAL" w:hAnsi="ARIAL"/>
                <w:sz w:val="18"/>
              </w:rPr>
            </w:pPr>
            <w:r>
              <w:rPr>
                <w:rFonts w:ascii="ARIAL" w:hAnsi="ARIAL"/>
                <w:sz w:val="18"/>
              </w:rPr>
              <w:t>Authorized a new $1.5 billion repurchase program in January 2026</w:t>
            </w:r>
          </w:p>
        </w:tc>
      </w:tr>
      <w:tr>
        <w:trPr/>
        <w:tc>
          <w:tcPr>
            <w:tcW w:w="291" w:type="dxa"/>
            <w:vMerge w:val="continue"/>
            <w:tcBorders/>
            <w:shd w:fill="0054BA" w:val="cle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67" w:type="dxa"/>
            <w:tcBorders>
              <w:bottom w:val="single" w:sz="6" w:space="0" w:color="000000"/>
            </w:tcBorders>
            <w:tcMar>
              <w:bottom w:w="100" w:type="dxa"/>
            </w:tcMar>
            <w:vAlign w:val="center"/>
          </w:tcPr>
          <w:p>
            <w:pPr>
              <w:pStyle w:val="TableContents"/>
              <w:bidi w:val="0"/>
              <w:spacing w:before="0" w:after="20"/>
              <w:jc w:val="left"/>
              <w:rPr>
                <w:rFonts w:ascii="ARIAL" w:hAnsi="ARIAL"/>
                <w:sz w:val="18"/>
              </w:rPr>
            </w:pPr>
            <w:r>
              <w:rPr>
                <w:rFonts w:ascii="ARIAL" w:hAnsi="ARIAL"/>
                <w:sz w:val="18"/>
              </w:rPr>
              <w:t>Acted on stockholder feedback, approved a redesigned executive compensation program for 2026, featuring more rigorous and quantitative goals, enhanced transparency, and a simplified structure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787" w:type="dxa"/>
            <w:tcBorders>
              <w:bottom w:val="single" w:sz="6" w:space="0" w:color="000000"/>
            </w:tcBorders>
            <w:tcMar>
              <w:bottom w:w="100" w:type="dxa"/>
            </w:tcMar>
            <w:vAlign w:val="center"/>
          </w:tcPr>
          <w:p>
            <w:pPr>
              <w:pStyle w:val="TableContents"/>
              <w:bidi w:val="0"/>
              <w:spacing w:before="0" w:after="20"/>
              <w:jc w:val="left"/>
              <w:rPr>
                <w:rFonts w:ascii="ARIAL" w:hAnsi="ARIAL"/>
                <w:sz w:val="18"/>
              </w:rPr>
            </w:pPr>
            <w:r>
              <w:rPr>
                <w:rFonts w:ascii="ARIAL" w:hAnsi="ARIAL"/>
                <w:sz w:val="18"/>
              </w:rPr>
              <w:t>Deployed AI technology initiatives across the entire CoStar Group organization and enhancing and expanding commercial product offerings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6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4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4" descr=""/>
                          <pic:cNvPicPr>
                            <a:picLocks noChangeAspect="1" noChangeArrowheads="1"/>
                          </pic:cNvPicPr>
                        </pic:nvPicPr>
                        <pic:blipFill>
                          <a:blip r:embed="rId4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r>
        <w:rPr>
          <w:rFonts w:ascii="ARIAL" w:hAnsi="ARIAL"/>
          <w:b/>
          <w:color w:val="0054BA"/>
          <w:sz w:val="30"/>
        </w:rPr>
        <w:t xml:space="preserve">SAY-ON-PAY ENGAGEMENT &amp; RESPONSIVENESS </w:t>
      </w:r>
    </w:p>
    <w:p>
      <w:pPr>
        <w:pStyle w:val="TextBody"/>
        <w:bidi w:val="0"/>
        <w:spacing w:before="240" w:after="0"/>
        <w:jc w:val="left"/>
        <w:rPr>
          <w:rFonts w:ascii="ARIAL" w:hAnsi="ARIAL"/>
          <w:sz w:val="18"/>
        </w:rPr>
      </w:pPr>
      <w:r>
        <w:rPr>
          <w:rFonts w:ascii="ARIAL" w:hAnsi="ARIAL"/>
          <w:sz w:val="18"/>
        </w:rPr>
        <w:t xml:space="preserve">In addition, our Board and Compensation Committee Chairs, supported by our management team, met with stockholders in response to the 2025 Say-On-Pay vote. </w:t>
      </w:r>
    </w:p>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099310" cy="2386330"/>
            <wp:effectExtent l="0" t="0" r="0" b="0"/>
            <wp:docPr id="4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5" descr=""/>
                    <pic:cNvPicPr>
                      <a:picLocks noChangeAspect="1" noChangeArrowheads="1"/>
                    </pic:cNvPicPr>
                  </pic:nvPicPr>
                  <pic:blipFill>
                    <a:blip r:embed="rId42"/>
                    <a:stretch>
                      <a:fillRect/>
                    </a:stretch>
                  </pic:blipFill>
                  <pic:spPr bwMode="auto">
                    <a:xfrm>
                      <a:off x="0" y="0"/>
                      <a:ext cx="2099310" cy="2386330"/>
                    </a:xfrm>
                    <a:prstGeom prst="rect">
                      <a:avLst/>
                    </a:prstGeom>
                  </pic:spPr>
                </pic:pic>
              </a:graphicData>
            </a:graphic>
          </wp:inline>
        </w:drawing>
      </w:r>
      <w:r>
        <w:rPr/>
        <w:t xml:space="preserve">             </w:t>
      </w:r>
      <w:r>
        <w:rPr/>
        <w:drawing>
          <wp:inline distT="0" distB="0" distL="0" distR="0">
            <wp:extent cx="2007235" cy="2386330"/>
            <wp:effectExtent l="0" t="0" r="0" b="0"/>
            <wp:docPr id="5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6" descr=""/>
                    <pic:cNvPicPr>
                      <a:picLocks noChangeAspect="1" noChangeArrowheads="1"/>
                    </pic:cNvPicPr>
                  </pic:nvPicPr>
                  <pic:blipFill>
                    <a:blip r:embed="rId43"/>
                    <a:stretch>
                      <a:fillRect/>
                    </a:stretch>
                  </pic:blipFill>
                  <pic:spPr bwMode="auto">
                    <a:xfrm>
                      <a:off x="0" y="0"/>
                      <a:ext cx="2007235" cy="2386330"/>
                    </a:xfrm>
                    <a:prstGeom prst="rect">
                      <a:avLst/>
                    </a:prstGeom>
                  </pic:spPr>
                </pic:pic>
              </a:graphicData>
            </a:graphic>
          </wp:inline>
        </w:drawing>
      </w:r>
      <w:r>
        <w:rPr/>
        <w:t xml:space="preserve"> </w:t>
      </w:r>
    </w:p>
    <w:p>
      <w:pPr>
        <w:pStyle w:val="TextBody"/>
        <w:bidi w:val="0"/>
        <w:spacing w:before="240" w:after="0"/>
        <w:jc w:val="center"/>
        <w:rPr>
          <w:rFonts w:ascii="ARIAL" w:hAnsi="ARIAL"/>
          <w:b/>
          <w:sz w:val="20"/>
        </w:rPr>
      </w:pPr>
      <w:r>
        <w:rPr>
          <w:rFonts w:ascii="ARIAL" w:hAnsi="ARIAL"/>
          <w:b/>
          <w:sz w:val="20"/>
        </w:rPr>
        <w:t xml:space="preserve">Board Chair or Compensation Committee Chair Participation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619375" cy="1976755"/>
            <wp:effectExtent l="0" t="0" r="0" b="0"/>
            <wp:docPr id="5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7" descr=""/>
                    <pic:cNvPicPr>
                      <a:picLocks noChangeAspect="1" noChangeArrowheads="1"/>
                    </pic:cNvPicPr>
                  </pic:nvPicPr>
                  <pic:blipFill>
                    <a:blip r:embed="rId44"/>
                    <a:stretch>
                      <a:fillRect/>
                    </a:stretch>
                  </pic:blipFill>
                  <pic:spPr bwMode="auto">
                    <a:xfrm>
                      <a:off x="0" y="0"/>
                      <a:ext cx="2619375" cy="1976755"/>
                    </a:xfrm>
                    <a:prstGeom prst="rect">
                      <a:avLst/>
                    </a:prstGeom>
                  </pic:spPr>
                </pic:pic>
              </a:graphicData>
            </a:graphic>
          </wp:inline>
        </w:drawing>
      </w:r>
      <w:r>
        <w:rPr/>
        <w:t xml:space="preserve">           </w:t>
      </w:r>
      <w:r>
        <w:rPr/>
        <w:drawing>
          <wp:inline distT="0" distB="0" distL="0" distR="0">
            <wp:extent cx="2299970" cy="1986280"/>
            <wp:effectExtent l="0" t="0" r="0" b="0"/>
            <wp:docPr id="5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8" descr=""/>
                    <pic:cNvPicPr>
                      <a:picLocks noChangeAspect="1" noChangeArrowheads="1"/>
                    </pic:cNvPicPr>
                  </pic:nvPicPr>
                  <pic:blipFill>
                    <a:blip r:embed="rId45"/>
                    <a:stretch>
                      <a:fillRect/>
                    </a:stretch>
                  </pic:blipFill>
                  <pic:spPr bwMode="auto">
                    <a:xfrm>
                      <a:off x="0" y="0"/>
                      <a:ext cx="2299970" cy="1986280"/>
                    </a:xfrm>
                    <a:prstGeom prst="rect">
                      <a:avLst/>
                    </a:prstGeom>
                  </pic:spPr>
                </pic:pic>
              </a:graphicData>
            </a:graphic>
          </wp:inline>
        </w:drawing>
      </w:r>
      <w:r>
        <w:rPr/>
        <w:t xml:space="preserve">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5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9" descr=""/>
                          <pic:cNvPicPr>
                            <a:picLocks noChangeAspect="1" noChangeArrowheads="1"/>
                          </pic:cNvPicPr>
                        </pic:nvPicPr>
                        <pic:blipFill>
                          <a:blip r:embed="rId4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Board Acted on Stockholder Feedback on Executive Compensation </w:t>
      </w:r>
    </w:p>
    <w:p>
      <w:pPr>
        <w:pStyle w:val="TextBody"/>
        <w:bidi w:val="0"/>
        <w:spacing w:before="160" w:after="0"/>
        <w:jc w:val="left"/>
        <w:rPr>
          <w:rFonts w:ascii="ARIAL" w:hAnsi="ARIAL"/>
          <w:sz w:val="18"/>
        </w:rPr>
      </w:pPr>
      <w:r>
        <w:rPr>
          <w:rFonts w:ascii="ARIAL" w:hAnsi="ARIAL"/>
          <w:sz w:val="18"/>
        </w:rPr>
        <w:t xml:space="preserve">Informed by investor feedback, our newly refreshed Compensation Committee made significant changes to executive compensation for the 2026 executive compensation program. Our enhanced executive compensation program directly responds to feedback received in the fall of 2025 from 21 of the top 50 stockholders, representing approximately 33% of the outstanding shares of CoStar common stock. Read more about our receptive response and new executive compensation programs on page 47.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76"/>
        <w:gridCol w:w="60"/>
        <w:gridCol w:w="1419"/>
        <w:gridCol w:w="120"/>
        <w:gridCol w:w="5230"/>
      </w:tblGrid>
      <w:tr>
        <w:trPr/>
        <w:tc>
          <w:tcPr>
            <w:tcW w:w="3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30"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0054BA" w:val="clear"/>
            <w:vAlign w:val="center"/>
          </w:tcPr>
          <w:p>
            <w:pPr>
              <w:pStyle w:val="TableContents"/>
              <w:bidi w:val="0"/>
              <w:spacing w:before="0" w:after="283"/>
              <w:jc w:val="left"/>
              <w:rPr>
                <w:sz w:val="4"/>
                <w:szCs w:val="4"/>
              </w:rPr>
            </w:pPr>
            <w:r>
              <w:rPr>
                <w:sz w:val="4"/>
                <w:szCs w:val="4"/>
              </w:rPr>
            </w:r>
          </w:p>
        </w:tc>
        <w:tc>
          <w:tcPr>
            <w:tcW w:w="1479" w:type="dxa"/>
            <w:gridSpan w:val="2"/>
            <w:tcBorders/>
            <w:shd w:fill="262626" w:val="clear"/>
            <w:vAlign w:val="center"/>
          </w:tcPr>
          <w:p>
            <w:pPr>
              <w:pStyle w:val="TableContents"/>
              <w:bidi w:val="0"/>
              <w:spacing w:before="0" w:after="283"/>
              <w:jc w:val="left"/>
              <w:rPr>
                <w:sz w:val="4"/>
                <w:szCs w:val="4"/>
              </w:rPr>
            </w:pPr>
            <w:r>
              <w:rPr>
                <w:sz w:val="4"/>
                <w:szCs w:val="4"/>
              </w:rPr>
            </w:r>
          </w:p>
        </w:tc>
        <w:tc>
          <w:tcPr>
            <w:tcW w:w="5350"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3376" w:type="dxa"/>
            <w:tcBorders/>
            <w:shd w:fill="0054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WHAT WE HEARD</w:t>
            </w:r>
          </w:p>
        </w:tc>
        <w:tc>
          <w:tcPr>
            <w:tcW w:w="60" w:type="dxa"/>
            <w:tcBorders/>
            <w:shd w:fill="262626" w:val="clear"/>
            <w:vAlign w:val="center"/>
          </w:tcPr>
          <w:p>
            <w:pPr>
              <w:pStyle w:val="TableContents"/>
              <w:bidi w:val="0"/>
              <w:spacing w:before="0" w:after="283"/>
              <w:jc w:val="left"/>
              <w:rPr/>
            </w:pPr>
            <w:r>
              <w:rPr/>
              <w:t> </w:t>
            </w:r>
          </w:p>
        </w:tc>
        <w:tc>
          <w:tcPr>
            <w:tcW w:w="1419" w:type="dxa"/>
            <w:tcBorders/>
            <w:shd w:fill="262626" w:val="clear"/>
            <w:vAlign w:val="center"/>
          </w:tcPr>
          <w:p>
            <w:pPr>
              <w:pStyle w:val="TableContents"/>
              <w:bidi w:val="0"/>
              <w:spacing w:before="0" w:after="283"/>
              <w:jc w:val="center"/>
              <w:rPr>
                <w:color w:val="FFFFFF"/>
              </w:rPr>
            </w:pPr>
            <w:r>
              <w:rPr>
                <w:color w:val="FFFFFF"/>
              </w:rPr>
              <w:t> </w:t>
            </w:r>
            <w:r>
              <w:rPr>
                <w:b/>
                <w:color w:val="FFFFFF"/>
              </w:rPr>
              <w:t>CHANGED </w:t>
              <w:br/>
              <w:t> FOR 2026? </w:t>
            </w:r>
          </w:p>
        </w:tc>
        <w:tc>
          <w:tcPr>
            <w:tcW w:w="120" w:type="dxa"/>
            <w:tcBorders/>
            <w:shd w:fill="0054BA" w:val="clear"/>
            <w:vAlign w:val="center"/>
          </w:tcPr>
          <w:p>
            <w:pPr>
              <w:pStyle w:val="TableContents"/>
              <w:bidi w:val="0"/>
              <w:spacing w:before="0" w:after="283"/>
              <w:jc w:val="left"/>
              <w:rPr/>
            </w:pPr>
            <w:r>
              <w:rPr/>
              <w:t>  </w:t>
            </w:r>
          </w:p>
        </w:tc>
        <w:tc>
          <w:tcPr>
            <w:tcW w:w="5230" w:type="dxa"/>
            <w:tcBorders/>
            <w:shd w:fill="0054BA" w:val="clear"/>
            <w:vAlign w:val="center"/>
          </w:tcPr>
          <w:p>
            <w:pPr>
              <w:pStyle w:val="TableContents"/>
              <w:bidi w:val="0"/>
              <w:spacing w:before="0" w:after="283"/>
              <w:jc w:val="center"/>
              <w:rPr>
                <w:b/>
                <w:color w:val="FFFFFF"/>
              </w:rPr>
            </w:pPr>
            <w:r>
              <w:rPr>
                <w:b/>
                <w:color w:val="FFFFFF"/>
              </w:rPr>
              <w:t>WHAT WE DID</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Enhance Goal Rigor</w:t>
            </w:r>
            <w:r>
              <w:rPr>
                <w:rFonts w:ascii="ARIAL" w:hAnsi="ARIAL"/>
                <w:sz w:val="18"/>
              </w:rPr>
              <w:t xml:space="preserve"> in setting targets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5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0" descr=""/>
                          <pic:cNvPicPr>
                            <a:picLocks noChangeAspect="1" noChangeArrowheads="1"/>
                          </pic:cNvPicPr>
                        </pic:nvPicPr>
                        <pic:blipFill>
                          <a:blip r:embed="rId47"/>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Established symmetrical slopes for performance metrics, increased relative TSR (rTSR) target and capped rTSR payout based on absolute TSR</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Reduce Weighting of Qualitative Goals</w:t>
            </w:r>
            <w:r>
              <w:rPr>
                <w:rFonts w:ascii="ARIAL" w:hAnsi="ARIAL"/>
                <w:sz w:val="18"/>
              </w:rPr>
              <w:t xml:space="preserve"> of short-term incentives of non-CEO NEOs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5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1" descr=""/>
                          <pic:cNvPicPr>
                            <a:picLocks noChangeAspect="1" noChangeArrowheads="1"/>
                          </pic:cNvPicPr>
                        </pic:nvPicPr>
                        <pic:blipFill>
                          <a:blip r:embed="rId48"/>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Increased the portion of short-term incentive payout based on objective financial metrics from 50-65% for 2025 to 80% for 2026</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Give Heavier Weighting to PSUs</w:t>
            </w:r>
            <w:r>
              <w:rPr>
                <w:rFonts w:ascii="ARIAL" w:hAnsi="ARIAL"/>
                <w:sz w:val="18"/>
              </w:rPr>
              <w:t xml:space="preserve"> as preferred vehicle</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5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2" descr=""/>
                          <pic:cNvPicPr>
                            <a:picLocks noChangeAspect="1" noChangeArrowheads="1"/>
                          </pic:cNvPicPr>
                        </pic:nvPicPr>
                        <pic:blipFill>
                          <a:blip r:embed="rId49"/>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Set LTI mix of 80% PSUs for the CEO and 60% PSUs for the other executive officers</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Update Performance Metrics</w:t>
            </w:r>
            <w:r>
              <w:rPr>
                <w:rFonts w:ascii="ARIAL" w:hAnsi="ARIAL"/>
                <w:sz w:val="18"/>
              </w:rPr>
              <w:t xml:space="preserve"> to ensure alignment with value creation, including TSR and per-share metrics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5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3" descr=""/>
                          <pic:cNvPicPr>
                            <a:picLocks noChangeAspect="1" noChangeArrowheads="1"/>
                          </pic:cNvPicPr>
                        </pic:nvPicPr>
                        <pic:blipFill>
                          <a:blip r:embed="rId50"/>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Balanced EBITDA with Organic Revenue metric for STI metrics and replaced Revenue with EPS and rTSR for LTI metrics</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Simplify the Design</w:t>
            </w:r>
            <w:r>
              <w:rPr>
                <w:rFonts w:ascii="ARIAL" w:hAnsi="ARIAL"/>
                <w:sz w:val="18"/>
              </w:rPr>
              <w:t xml:space="preserve"> of executive compensation structure</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5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4" descr=""/>
                          <pic:cNvPicPr>
                            <a:picLocks noChangeAspect="1" noChangeArrowheads="1"/>
                          </pic:cNvPicPr>
                        </pic:nvPicPr>
                        <pic:blipFill>
                          <a:blip r:embed="rId51"/>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Eliminated stock options and annual Performance-Based Restricted Stock in favor of a mix of PSUs and time-based RSUs</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Enhance Disclosures</w:t>
            </w:r>
            <w:r>
              <w:rPr>
                <w:rFonts w:ascii="ARIAL" w:hAnsi="ARIAL"/>
                <w:sz w:val="18"/>
              </w:rPr>
              <w:t xml:space="preserve"> on compensation framework and the Committee’s decision making</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5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5" descr=""/>
                          <pic:cNvPicPr>
                            <a:picLocks noChangeAspect="1" noChangeArrowheads="1"/>
                          </pic:cNvPicPr>
                        </pic:nvPicPr>
                        <pic:blipFill>
                          <a:blip r:embed="rId52"/>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Committed to updating disclosures to provide greater clarity and detail</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Remove Tax Gross-up</w:t>
            </w:r>
            <w:r>
              <w:rPr>
                <w:rFonts w:ascii="ARIAL" w:hAnsi="ARIAL"/>
                <w:sz w:val="18"/>
              </w:rPr>
              <w:t xml:space="preserve"> from CEO’s employment agreement</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6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6" descr=""/>
                          <pic:cNvPicPr>
                            <a:picLocks noChangeAspect="1" noChangeArrowheads="1"/>
                          </pic:cNvPicPr>
                        </pic:nvPicPr>
                        <pic:blipFill>
                          <a:blip r:embed="rId53"/>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Eliminated legacy 280G excise tax gross-up</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Enhance Clawback Policy</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6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7" descr=""/>
                          <pic:cNvPicPr>
                            <a:picLocks noChangeAspect="1" noChangeArrowheads="1"/>
                          </pic:cNvPicPr>
                        </pic:nvPicPr>
                        <pic:blipFill>
                          <a:blip r:embed="rId54"/>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Expanded existing clawback policy to include time-based RSUs</w:t>
            </w:r>
          </w:p>
        </w:tc>
      </w:tr>
      <w:tr>
        <w:trPr/>
        <w:tc>
          <w:tcPr>
            <w:tcW w:w="3376" w:type="dxa"/>
            <w:tcBorders/>
            <w:shd w:fill="F0F8FD" w:val="clear"/>
            <w:vAlign w:val="center"/>
          </w:tcPr>
          <w:p>
            <w:pPr>
              <w:pStyle w:val="TableContents"/>
              <w:bidi w:val="0"/>
              <w:spacing w:before="0" w:after="283"/>
              <w:jc w:val="left"/>
              <w:rPr>
                <w:sz w:val="4"/>
                <w:szCs w:val="4"/>
              </w:rPr>
            </w:pPr>
            <w:r>
              <w:rPr>
                <w:sz w:val="4"/>
                <w:szCs w:val="4"/>
              </w:rPr>
            </w:r>
          </w:p>
        </w:tc>
        <w:tc>
          <w:tcPr>
            <w:tcW w:w="1479" w:type="dxa"/>
            <w:gridSpan w:val="2"/>
            <w:tcBorders/>
            <w:shd w:fill="EAEAEA" w:val="clear"/>
            <w:vAlign w:val="center"/>
          </w:tcPr>
          <w:p>
            <w:pPr>
              <w:pStyle w:val="TableContents"/>
              <w:bidi w:val="0"/>
              <w:spacing w:before="0" w:after="283"/>
              <w:jc w:val="left"/>
              <w:rPr>
                <w:sz w:val="4"/>
                <w:szCs w:val="4"/>
              </w:rPr>
            </w:pPr>
            <w:r>
              <w:rPr>
                <w:sz w:val="4"/>
                <w:szCs w:val="4"/>
              </w:rPr>
            </w:r>
          </w:p>
        </w:tc>
        <w:tc>
          <w:tcPr>
            <w:tcW w:w="5350"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3376" w:type="dxa"/>
            <w:tcBorders>
              <w:bottom w:val="single" w:sz="6" w:space="0" w:color="000000"/>
            </w:tcBorders>
            <w:shd w:fill="F0F8FD" w:val="clear"/>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Increase CEO’s Stock Ownership Guidelines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shd w:fill="EAEAEA" w:val="clear"/>
            <w:tcMar>
              <w:bottom w:w="100" w:type="dxa"/>
            </w:tcMar>
            <w:vAlign w:val="center"/>
          </w:tcPr>
          <w:p>
            <w:pPr>
              <w:pStyle w:val="TableContents"/>
              <w:bidi w:val="0"/>
              <w:spacing w:before="0" w:after="283"/>
              <w:jc w:val="center"/>
              <w:rPr/>
            </w:pPr>
            <w:r>
              <w:rPr/>
              <w:drawing>
                <wp:inline distT="0" distB="0" distL="0" distR="0">
                  <wp:extent cx="95250" cy="76200"/>
                  <wp:effectExtent l="0" t="0" r="0" b="0"/>
                  <wp:docPr id="6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8" descr=""/>
                          <pic:cNvPicPr>
                            <a:picLocks noChangeAspect="1" noChangeArrowheads="1"/>
                          </pic:cNvPicPr>
                        </pic:nvPicPr>
                        <pic:blipFill>
                          <a:blip r:embed="rId55"/>
                          <a:stretch>
                            <a:fillRect/>
                          </a:stretch>
                        </pic:blipFill>
                        <pic:spPr bwMode="auto">
                          <a:xfrm>
                            <a:off x="0" y="0"/>
                            <a:ext cx="95250" cy="76200"/>
                          </a:xfrm>
                          <a:prstGeom prst="rect">
                            <a:avLst/>
                          </a:prstGeom>
                        </pic:spPr>
                      </pic:pic>
                    </a:graphicData>
                  </a:graphic>
                </wp:inline>
              </w:drawing>
            </w:r>
            <w:r>
              <w:rPr/>
              <w:t xml:space="preserve"> </w:t>
            </w:r>
          </w:p>
        </w:tc>
        <w:tc>
          <w:tcPr>
            <w:tcW w:w="12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5230" w:type="dxa"/>
            <w:tcBorders>
              <w:bottom w:val="single" w:sz="6" w:space="0" w:color="000000"/>
            </w:tcBorders>
            <w:shd w:fill="F0F8FD" w:val="clear"/>
            <w:tcMar>
              <w:bottom w:w="100" w:type="dxa"/>
            </w:tcMar>
            <w:vAlign w:val="center"/>
          </w:tcPr>
          <w:p>
            <w:pPr>
              <w:pStyle w:val="TableContents"/>
              <w:bidi w:val="0"/>
              <w:spacing w:before="0" w:after="283"/>
              <w:jc w:val="left"/>
              <w:rPr/>
            </w:pPr>
            <w:r>
              <w:rPr/>
              <w:t>Increased minimum stock ownership requirements for CEO from 6x to 10x base salary</w:t>
            </w:r>
          </w:p>
        </w:tc>
      </w:tr>
    </w:tbl>
    <w:p>
      <w:pPr>
        <w:pStyle w:val="TextBody"/>
        <w:bidi w:val="0"/>
        <w:spacing w:before="240" w:after="0"/>
        <w:jc w:val="left"/>
        <w:rPr>
          <w:rFonts w:ascii="ARIAL" w:hAnsi="ARIAL"/>
          <w:b/>
          <w:color w:val="0054BA"/>
          <w:sz w:val="30"/>
        </w:rPr>
      </w:pPr>
      <w:r>
        <w:rPr>
          <w:rFonts w:ascii="ARIAL" w:hAnsi="ARIAL"/>
          <w:b/>
          <w:color w:val="0054BA"/>
          <w:sz w:val="30"/>
        </w:rPr>
        <w:t xml:space="preserve">2026 INVESTOR ROADSHOW </w:t>
      </w:r>
    </w:p>
    <w:p>
      <w:pPr>
        <w:pStyle w:val="TextBody"/>
        <w:bidi w:val="0"/>
        <w:spacing w:before="120" w:after="0"/>
        <w:jc w:val="left"/>
        <w:rPr>
          <w:rFonts w:ascii="ARIAL" w:hAnsi="ARIAL"/>
          <w:sz w:val="18"/>
        </w:rPr>
      </w:pPr>
      <w:r>
        <w:rPr>
          <w:rFonts w:ascii="ARIAL" w:hAnsi="ARIAL"/>
          <w:sz w:val="18"/>
        </w:rPr>
        <w:t xml:space="preserve">In early 2026, the CEO, CFO, and Head of Investor Relations engaged with a broad group of stockholders through an investor roadshow. These meetings provided an opportunity to communicate about CoStar Group’s strategic priorities and long-term objectives. During our engagement process, in addition to discussing our governance updates, we demonstrated the Homes.com product, including our new AI capabilities. Our CEO reported investor feedback on these matters to our Board. </w:t>
      </w:r>
    </w:p>
    <w:p>
      <w:pPr>
        <w:pStyle w:val="TextBody"/>
        <w:bidi w:val="0"/>
        <w:spacing w:before="0" w:after="0"/>
        <w:jc w:val="left"/>
        <w:rPr/>
      </w:pPr>
      <w:r>
        <w:rPr/>
        <w:t> </w:t>
      </w:r>
    </w:p>
    <w:p>
      <w:pPr>
        <w:pStyle w:val="TextBody"/>
        <w:bidi w:val="0"/>
        <w:spacing w:before="0" w:after="0"/>
        <w:jc w:val="center"/>
        <w:rPr/>
      </w:pPr>
      <w:r>
        <w:rPr/>
        <w:drawing>
          <wp:inline distT="0" distB="0" distL="0" distR="0">
            <wp:extent cx="2521585" cy="1391920"/>
            <wp:effectExtent l="0" t="0" r="0" b="0"/>
            <wp:docPr id="6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9" descr=""/>
                    <pic:cNvPicPr>
                      <a:picLocks noChangeAspect="1" noChangeArrowheads="1"/>
                    </pic:cNvPicPr>
                  </pic:nvPicPr>
                  <pic:blipFill>
                    <a:blip r:embed="rId56"/>
                    <a:stretch>
                      <a:fillRect/>
                    </a:stretch>
                  </pic:blipFill>
                  <pic:spPr bwMode="auto">
                    <a:xfrm>
                      <a:off x="0" y="0"/>
                      <a:ext cx="2521585" cy="1391920"/>
                    </a:xfrm>
                    <a:prstGeom prst="rect">
                      <a:avLst/>
                    </a:prstGeom>
                  </pic:spPr>
                </pic:pic>
              </a:graphicData>
            </a:graphic>
          </wp:inline>
        </w:drawing>
      </w:r>
      <w:r>
        <w:rPr/>
        <w:t xml:space="preserve">     </w:t>
      </w:r>
      <w:r>
        <w:rPr/>
        <w:drawing>
          <wp:inline distT="0" distB="0" distL="0" distR="0">
            <wp:extent cx="2790825" cy="1391920"/>
            <wp:effectExtent l="0" t="0" r="0" b="0"/>
            <wp:docPr id="6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0" descr=""/>
                    <pic:cNvPicPr>
                      <a:picLocks noChangeAspect="1" noChangeArrowheads="1"/>
                    </pic:cNvPicPr>
                  </pic:nvPicPr>
                  <pic:blipFill>
                    <a:blip r:embed="rId57"/>
                    <a:stretch>
                      <a:fillRect/>
                    </a:stretch>
                  </pic:blipFill>
                  <pic:spPr bwMode="auto">
                    <a:xfrm>
                      <a:off x="0" y="0"/>
                      <a:ext cx="2790825" cy="1391920"/>
                    </a:xfrm>
                    <a:prstGeom prst="rect">
                      <a:avLst/>
                    </a:prstGeom>
                  </pic:spPr>
                </pic:pic>
              </a:graphicData>
            </a:graphic>
          </wp:inline>
        </w:drawing>
      </w:r>
      <w:r>
        <w:rPr/>
        <w:t xml:space="preserve">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6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1" descr=""/>
                          <pic:cNvPicPr>
                            <a:picLocks noChangeAspect="1" noChangeArrowheads="1"/>
                          </pic:cNvPicPr>
                        </pic:nvPicPr>
                        <pic:blipFill>
                          <a:blip r:embed="rId5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054BA"/>
          <w:sz w:val="30"/>
        </w:rPr>
      </w:pPr>
      <w:r>
        <w:rPr>
          <w:rFonts w:ascii="ARIAL" w:hAnsi="ARIAL"/>
          <w:b/>
          <w:color w:val="0054BA"/>
          <w:sz w:val="30"/>
        </w:rPr>
        <w:t xml:space="preserve">EXECUTIVE COMPENSATION </w:t>
      </w:r>
    </w:p>
    <w:p>
      <w:pPr>
        <w:pStyle w:val="TextBody"/>
        <w:bidi w:val="0"/>
        <w:spacing w:before="120" w:after="0"/>
        <w:jc w:val="left"/>
        <w:rPr>
          <w:rFonts w:ascii="ARIAL" w:hAnsi="ARIAL"/>
          <w:sz w:val="18"/>
        </w:rPr>
      </w:pPr>
      <w:r>
        <w:rPr>
          <w:rFonts w:ascii="ARIAL" w:hAnsi="ARIAL"/>
          <w:sz w:val="18"/>
        </w:rPr>
        <w:t xml:space="preserve">As illustrated in the charts below, the Company emphasizes long-term equity awards and annual performance-based cash incentives so that a majority of each executive’s total compensation opportunity is linked directly to the Company’s stock price or otherwise tied to performance. For 2025, 94.6% of target total direct compensation for our CEO and an average of 87.3% for the other NEOs was in the form of variable, at-risk pay. Moreover, 100% of long-term incentive awards for our CEO and 100% of long-term incentive awards for our other NEOs was in the form of performance-based compensation (performance stock awards, performance-based restricted stock, and stock options).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225415" cy="2569845"/>
            <wp:effectExtent l="0" t="0" r="0" b="0"/>
            <wp:docPr id="6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2" descr=""/>
                    <pic:cNvPicPr>
                      <a:picLocks noChangeAspect="1" noChangeArrowheads="1"/>
                    </pic:cNvPicPr>
                  </pic:nvPicPr>
                  <pic:blipFill>
                    <a:blip r:embed="rId59"/>
                    <a:stretch>
                      <a:fillRect/>
                    </a:stretch>
                  </pic:blipFill>
                  <pic:spPr bwMode="auto">
                    <a:xfrm>
                      <a:off x="0" y="0"/>
                      <a:ext cx="5225415" cy="2569845"/>
                    </a:xfrm>
                    <a:prstGeom prst="rect">
                      <a:avLst/>
                    </a:prstGeom>
                  </pic:spPr>
                </pic:pic>
              </a:graphicData>
            </a:graphic>
          </wp:inline>
        </w:drawing>
      </w:r>
      <w:r>
        <w:rPr/>
        <w:t xml:space="preserve">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6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3" descr=""/>
                          <pic:cNvPicPr>
                            <a:picLocks noChangeAspect="1" noChangeArrowheads="1"/>
                          </pic:cNvPicPr>
                        </pic:nvPicPr>
                        <pic:blipFill>
                          <a:blip r:embed="rId6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r>
        <w:rPr>
          <w:rFonts w:ascii="ARIAL" w:hAnsi="ARIAL"/>
          <w:b/>
          <w:color w:val="0054BA"/>
          <w:sz w:val="30"/>
        </w:rPr>
        <w:t xml:space="preserve">KEY GOVERNANCE POLICIES &amp; BEST PRACTICES </w:t>
      </w:r>
    </w:p>
    <w:p>
      <w:pPr>
        <w:pStyle w:val="TextBody"/>
        <w:bidi w:val="0"/>
        <w:spacing w:before="80" w:after="0"/>
        <w:jc w:val="left"/>
        <w:rPr>
          <w:rFonts w:ascii="ARIAL" w:hAnsi="ARIAL"/>
          <w:sz w:val="18"/>
        </w:rPr>
      </w:pPr>
      <w:r>
        <w:rPr>
          <w:rFonts w:ascii="ARIAL" w:hAnsi="ARIAL"/>
          <w:sz w:val="18"/>
        </w:rPr>
        <w:t xml:space="preserve">CoStar is committed to effective corporate governance, guided by active engagement with our stockholders and a continued focus on transparency, accountability, and long-term value creation. Our strong governance framework is anchored by an independent Board, robust oversight practices, and a risk oversight structure designed to support sustainable growth and protect stockholder interests.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8"/>
        <w:gridCol w:w="60"/>
        <w:gridCol w:w="2633"/>
        <w:gridCol w:w="120"/>
        <w:gridCol w:w="6654"/>
      </w:tblGrid>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top w:val="single" w:sz="6" w:space="0" w:color="000000"/>
            </w:tcBorders>
            <w:shd w:fill="DAEDFA" w:val="clear"/>
            <w:tcMar>
              <w:top w:w="28" w:type="dxa"/>
            </w:tcMar>
            <w:vAlign w:val="center"/>
          </w:tcPr>
          <w:p>
            <w:pPr>
              <w:pStyle w:val="TableContents"/>
              <w:bidi w:val="0"/>
              <w:spacing w:before="0" w:after="283"/>
              <w:jc w:val="left"/>
              <w:rPr/>
            </w:pPr>
            <w:r>
              <w:rPr/>
              <w:t> </w:t>
            </w:r>
          </w:p>
        </w:tc>
        <w:tc>
          <w:tcPr>
            <w:tcW w:w="2693" w:type="dxa"/>
            <w:gridSpan w:val="2"/>
            <w:tcBorders>
              <w:top w:val="single" w:sz="6" w:space="0" w:color="000000"/>
            </w:tcBorders>
            <w:shd w:fill="DAEDFA" w:val="clear"/>
            <w:tcMar>
              <w:top w:w="28" w:type="dxa"/>
            </w:tcMar>
            <w:vAlign w:val="center"/>
          </w:tcPr>
          <w:p>
            <w:pPr>
              <w:pStyle w:val="TableContents"/>
              <w:bidi w:val="0"/>
              <w:spacing w:before="0" w:after="283"/>
              <w:jc w:val="left"/>
              <w:rPr/>
            </w:pPr>
            <w:r>
              <w:rPr/>
              <w:t> </w:t>
            </w:r>
          </w:p>
        </w:tc>
        <w:tc>
          <w:tcPr>
            <w:tcW w:w="6774"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453390" cy="453390"/>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61"/>
                          <a:stretch>
                            <a:fillRect/>
                          </a:stretch>
                        </pic:blipFill>
                        <pic:spPr bwMode="auto">
                          <a:xfrm>
                            <a:off x="0" y="0"/>
                            <a:ext cx="453390" cy="453390"/>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INDEPENDENT BOARD CHAIR WITH CLEARLY DEFINED AND ROBUST RESPONSIBILITIES</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Our Board Chair works with the Board and management to implement sound corporate governance practices.</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283"/>
              <w:jc w:val="left"/>
              <w:rPr>
                <w:sz w:val="4"/>
                <w:szCs w:val="4"/>
              </w:rPr>
            </w:pPr>
            <w:r>
              <w:rPr>
                <w:sz w:val="4"/>
                <w:szCs w:val="4"/>
              </w:rPr>
            </w:r>
          </w:p>
        </w:tc>
        <w:tc>
          <w:tcPr>
            <w:tcW w:w="2693" w:type="dxa"/>
            <w:gridSpan w:val="2"/>
            <w:tcBorders/>
            <w:shd w:fill="DAEDFA" w:val="clear"/>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320040" cy="386715"/>
                  <wp:effectExtent l="0" t="0" r="0" b="0"/>
                  <wp:docPr id="6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5" descr=""/>
                          <pic:cNvPicPr>
                            <a:picLocks noChangeAspect="1" noChangeArrowheads="1"/>
                          </pic:cNvPicPr>
                        </pic:nvPicPr>
                        <pic:blipFill>
                          <a:blip r:embed="rId62"/>
                          <a:stretch>
                            <a:fillRect/>
                          </a:stretch>
                        </pic:blipFill>
                        <pic:spPr bwMode="auto">
                          <a:xfrm>
                            <a:off x="0" y="0"/>
                            <a:ext cx="320040" cy="386715"/>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MAJORITY VOTING FOR DIRECTORS</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Paired with our director resignation policy, we believe majority voting for directors strengthens board accountability and corporate governance oversight.</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283"/>
              <w:jc w:val="left"/>
              <w:rPr>
                <w:sz w:val="4"/>
                <w:szCs w:val="4"/>
              </w:rPr>
            </w:pPr>
            <w:r>
              <w:rPr>
                <w:sz w:val="4"/>
                <w:szCs w:val="4"/>
              </w:rPr>
            </w:r>
          </w:p>
        </w:tc>
        <w:tc>
          <w:tcPr>
            <w:tcW w:w="2693" w:type="dxa"/>
            <w:gridSpan w:val="2"/>
            <w:tcBorders/>
            <w:shd w:fill="DAEDFA" w:val="clear"/>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334645" cy="427990"/>
                  <wp:effectExtent l="0" t="0" r="0" b="0"/>
                  <wp:docPr id="7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6" descr=""/>
                          <pic:cNvPicPr>
                            <a:picLocks noChangeAspect="1" noChangeArrowheads="1"/>
                          </pic:cNvPicPr>
                        </pic:nvPicPr>
                        <pic:blipFill>
                          <a:blip r:embed="rId63"/>
                          <a:stretch>
                            <a:fillRect/>
                          </a:stretch>
                        </pic:blipFill>
                        <pic:spPr bwMode="auto">
                          <a:xfrm>
                            <a:off x="0" y="0"/>
                            <a:ext cx="334645" cy="427990"/>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ANNUAL ELECTION</w:t>
            </w:r>
          </w:p>
          <w:p>
            <w:pPr>
              <w:pStyle w:val="TableContents"/>
              <w:bidi w:val="0"/>
              <w:spacing w:before="0" w:after="20"/>
              <w:jc w:val="left"/>
              <w:rPr>
                <w:rFonts w:ascii="ARIAL" w:hAnsi="ARIAL"/>
                <w:b/>
                <w:sz w:val="18"/>
              </w:rPr>
            </w:pPr>
            <w:r>
              <w:rPr>
                <w:rFonts w:ascii="ARIAL" w:hAnsi="ARIAL"/>
                <w:b/>
                <w:sz w:val="18"/>
              </w:rPr>
              <w:t>OF DIRECTORS</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All of our directors are elected annually by our stockholders, providing a regular opportunity to evaluate the performance of the directors, and demonstrating meaningful accountability of directors to stockholders.</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283"/>
              <w:jc w:val="left"/>
              <w:rPr>
                <w:sz w:val="4"/>
                <w:szCs w:val="4"/>
              </w:rPr>
            </w:pPr>
            <w:r>
              <w:rPr>
                <w:sz w:val="4"/>
                <w:szCs w:val="4"/>
              </w:rPr>
            </w:r>
          </w:p>
        </w:tc>
        <w:tc>
          <w:tcPr>
            <w:tcW w:w="2693" w:type="dxa"/>
            <w:gridSpan w:val="2"/>
            <w:tcBorders/>
            <w:shd w:fill="DAEDFA" w:val="clear"/>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333375" cy="435610"/>
                  <wp:effectExtent l="0" t="0" r="0" b="0"/>
                  <wp:docPr id="7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7" descr=""/>
                          <pic:cNvPicPr>
                            <a:picLocks noChangeAspect="1" noChangeArrowheads="1"/>
                          </pic:cNvPicPr>
                        </pic:nvPicPr>
                        <pic:blipFill>
                          <a:blip r:embed="rId64"/>
                          <a:stretch>
                            <a:fillRect/>
                          </a:stretch>
                        </pic:blipFill>
                        <pic:spPr bwMode="auto">
                          <a:xfrm>
                            <a:off x="0" y="0"/>
                            <a:ext cx="333375" cy="435610"/>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ANNUAL BOARD AND COMMITTEE SELF EVALUATIONS</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Each year the Board and each committee evaluates its performance and identifies areas for continued improvement.</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371475" cy="413385"/>
                  <wp:effectExtent l="0" t="0" r="0" b="0"/>
                  <wp:docPr id="7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8" descr=""/>
                          <pic:cNvPicPr>
                            <a:picLocks noChangeAspect="1" noChangeArrowheads="1"/>
                          </pic:cNvPicPr>
                        </pic:nvPicPr>
                        <pic:blipFill>
                          <a:blip r:embed="rId65"/>
                          <a:stretch>
                            <a:fillRect/>
                          </a:stretch>
                        </pic:blipFill>
                        <pic:spPr bwMode="auto">
                          <a:xfrm>
                            <a:off x="0" y="0"/>
                            <a:ext cx="371475" cy="413385"/>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HIGHLY INDEPENDENT BOARD</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All directors are independent except for our CEO.</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Strong and engaged independent Board Chair.</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Executive sessions of the independent directors are held at Board meetings without management present.</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387350" cy="430530"/>
                  <wp:effectExtent l="0" t="0" r="0" b="0"/>
                  <wp:docPr id="7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9" descr=""/>
                          <pic:cNvPicPr>
                            <a:picLocks noChangeAspect="1" noChangeArrowheads="1"/>
                          </pic:cNvPicPr>
                        </pic:nvPicPr>
                        <pic:blipFill>
                          <a:blip r:embed="rId66"/>
                          <a:stretch>
                            <a:fillRect/>
                          </a:stretch>
                        </pic:blipFill>
                        <pic:spPr bwMode="auto">
                          <a:xfrm>
                            <a:off x="0" y="0"/>
                            <a:ext cx="387350" cy="430530"/>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ONGOING BOARD REFRESHMENT</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Half of our independent directors have been added to the Board since 2023.</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Directors will not be re-nominated for election by the Board if he or she would be 75 years or older at the time of the election unless Board determines continued service will be a benefit to the Company.</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387350" cy="430530"/>
                  <wp:effectExtent l="0" t="0" r="0" b="0"/>
                  <wp:docPr id="7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0" descr=""/>
                          <pic:cNvPicPr>
                            <a:picLocks noChangeAspect="1" noChangeArrowheads="1"/>
                          </pic:cNvPicPr>
                        </pic:nvPicPr>
                        <pic:blipFill>
                          <a:blip r:embed="rId67"/>
                          <a:stretch>
                            <a:fillRect/>
                          </a:stretch>
                        </pic:blipFill>
                        <pic:spPr bwMode="auto">
                          <a:xfrm>
                            <a:off x="0" y="0"/>
                            <a:ext cx="387350" cy="430530"/>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STOCKHOLDER RIGHTS</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CoStar provides for stockholder-friendly proxy access.</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 xml:space="preserve">No supermajority voting requirements.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No “poison pill” or “stockholder rights” plan.</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One class of voting stock.</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419100" cy="404495"/>
                  <wp:effectExtent l="0" t="0" r="0" b="0"/>
                  <wp:docPr id="7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1" descr=""/>
                          <pic:cNvPicPr>
                            <a:picLocks noChangeAspect="1" noChangeArrowheads="1"/>
                          </pic:cNvPicPr>
                        </pic:nvPicPr>
                        <pic:blipFill>
                          <a:blip r:embed="rId68"/>
                          <a:stretch>
                            <a:fillRect/>
                          </a:stretch>
                        </pic:blipFill>
                        <pic:spPr bwMode="auto">
                          <a:xfrm>
                            <a:off x="0" y="0"/>
                            <a:ext cx="419100" cy="404495"/>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YEAR-ROUND STOCKHOLDER ENGAGEMENT</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Our Board takes the perspectives of our stockholders into account as it considers appropriate changes. In addition to our annual meeting each year, we provide stockholders with opportunities to deliver feedback on a variety of areas such as our corporate governance and compensation programs.</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Our proactive stockholder engagement program allows for an open dialogue with our stockholders, promoting transparency and accountability.</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DAEDFA" w:val="clear"/>
            <w:vAlign w:val="center"/>
          </w:tcPr>
          <w:p>
            <w:pPr>
              <w:pStyle w:val="TableContents"/>
              <w:bidi w:val="0"/>
              <w:spacing w:before="0" w:after="0"/>
              <w:jc w:val="center"/>
              <w:rPr/>
            </w:pPr>
            <w:r>
              <w:rPr/>
              <w:drawing>
                <wp:inline distT="0" distB="0" distL="0" distR="0">
                  <wp:extent cx="375920" cy="370840"/>
                  <wp:effectExtent l="0" t="0" r="0" b="0"/>
                  <wp:docPr id="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2" descr=""/>
                          <pic:cNvPicPr>
                            <a:picLocks noChangeAspect="1" noChangeArrowheads="1"/>
                          </pic:cNvPicPr>
                        </pic:nvPicPr>
                        <pic:blipFill>
                          <a:blip r:embed="rId69"/>
                          <a:stretch>
                            <a:fillRect/>
                          </a:stretch>
                        </pic:blipFill>
                        <pic:spPr bwMode="auto">
                          <a:xfrm>
                            <a:off x="0" y="0"/>
                            <a:ext cx="375920" cy="370840"/>
                          </a:xfrm>
                          <a:prstGeom prst="rect">
                            <a:avLst/>
                          </a:prstGeom>
                        </pic:spPr>
                      </pic:pic>
                    </a:graphicData>
                  </a:graphic>
                </wp:inline>
              </w:drawing>
            </w:r>
            <w:r>
              <w:rPr/>
              <w:t xml:space="preserve"> </w:t>
            </w:r>
          </w:p>
        </w:tc>
        <w:tc>
          <w:tcPr>
            <w:tcW w:w="60" w:type="dxa"/>
            <w:tcBorders/>
            <w:shd w:fill="DAEDFA" w:val="clear"/>
            <w:vAlign w:val="center"/>
          </w:tcPr>
          <w:p>
            <w:pPr>
              <w:pStyle w:val="TableContents"/>
              <w:bidi w:val="0"/>
              <w:spacing w:before="0" w:after="283"/>
              <w:jc w:val="left"/>
              <w:rPr/>
            </w:pPr>
            <w:r>
              <w:rPr/>
              <w:t> </w:t>
            </w:r>
          </w:p>
        </w:tc>
        <w:tc>
          <w:tcPr>
            <w:tcW w:w="2633"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ROBUST STOCK OWNERSHIP GUIDELINES</w:t>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Our executive officers and directors are subject to robust stock ownership guidelines: directors 5x annual cash retainer, executives 2x base salary and CEO 10x base salary.</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These robust guidelines align our executive officers and directors with stockholders.</w:t>
            </w:r>
          </w:p>
        </w:tc>
      </w:tr>
      <w:tr>
        <w:trPr/>
        <w:tc>
          <w:tcPr>
            <w:tcW w:w="738" w:type="dxa"/>
            <w:tcBorders/>
            <w:vAlign w:val="center"/>
          </w:tcPr>
          <w:p>
            <w:pPr>
              <w:pStyle w:val="TableContents"/>
              <w:bidi w:val="0"/>
              <w:spacing w:before="0" w:after="283"/>
              <w:jc w:val="left"/>
              <w:rPr>
                <w:sz w:val="4"/>
                <w:szCs w:val="4"/>
              </w:rPr>
            </w:pPr>
            <w:r>
              <w:rPr>
                <w:sz w:val="4"/>
                <w:szCs w:val="4"/>
              </w:rPr>
            </w:r>
          </w:p>
        </w:tc>
        <w:tc>
          <w:tcPr>
            <w:tcW w:w="2693" w:type="dxa"/>
            <w:gridSpan w:val="2"/>
            <w:tcBorders/>
            <w:vAlign w:val="center"/>
          </w:tcPr>
          <w:p>
            <w:pPr>
              <w:pStyle w:val="TableContents"/>
              <w:bidi w:val="0"/>
              <w:spacing w:before="0" w:after="283"/>
              <w:jc w:val="left"/>
              <w:rPr>
                <w:sz w:val="4"/>
                <w:szCs w:val="4"/>
              </w:rPr>
            </w:pPr>
            <w:r>
              <w:rPr>
                <w:sz w:val="4"/>
                <w:szCs w:val="4"/>
              </w:rPr>
            </w:r>
          </w:p>
        </w:tc>
        <w:tc>
          <w:tcPr>
            <w:tcW w:w="677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7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3" descr=""/>
                          <pic:cNvPicPr>
                            <a:picLocks noChangeAspect="1" noChangeArrowheads="1"/>
                          </pic:cNvPicPr>
                        </pic:nvPicPr>
                        <pic:blipFill>
                          <a:blip r:embed="rId7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r>
        <w:rPr>
          <w:rFonts w:ascii="ARIAL" w:hAnsi="ARIAL"/>
          <w:b/>
          <w:color w:val="0054BA"/>
          <w:sz w:val="30"/>
        </w:rPr>
        <w:t xml:space="preserve">OUR BOARD OF DIRECTORS </w:t>
      </w:r>
    </w:p>
    <w:p>
      <w:pPr>
        <w:pStyle w:val="TextBody"/>
        <w:bidi w:val="0"/>
        <w:spacing w:before="80" w:after="0"/>
        <w:jc w:val="left"/>
        <w:rPr>
          <w:rFonts w:ascii="ARIAL" w:hAnsi="ARIAL"/>
          <w:sz w:val="18"/>
        </w:rPr>
      </w:pPr>
      <w:r>
        <w:rPr>
          <w:rFonts w:ascii="ARIAL" w:hAnsi="ARIAL"/>
          <w:sz w:val="18"/>
        </w:rPr>
        <w:t xml:space="preserve">The below summarizes information about our director nominees and their Audit, Compensation, and Nominating and Corporate Governance Committee assignments. Our director nominees possess a broad range of skills, experiences, backgrounds, and viewpoints that we believe are essential to an effective Board. Detailed information about each director nominee’s qualifications, skills, experiences, and expertise can be found beginning on page 18. </w:t>
      </w:r>
    </w:p>
    <w:p>
      <w:pPr>
        <w:pStyle w:val="TextBody"/>
        <w:bidi w:val="0"/>
        <w:spacing w:before="240" w:after="0"/>
        <w:jc w:val="left"/>
        <w:rPr>
          <w:rFonts w:ascii="ARIAL" w:hAnsi="ARIAL"/>
          <w:b/>
          <w:sz w:val="18"/>
        </w:rPr>
      </w:pPr>
      <w:r>
        <w:rPr>
          <w:rFonts w:ascii="ARIAL" w:hAnsi="ARIAL"/>
          <w:b/>
          <w:sz w:val="18"/>
        </w:rPr>
        <w:t xml:space="preserve">2026 Director Nominees </w:t>
      </w:r>
    </w:p>
    <w:p>
      <w:pPr>
        <w:pStyle w:val="TextBody"/>
        <w:bidi w:val="0"/>
        <w:spacing w:before="80" w:after="0"/>
        <w:jc w:val="left"/>
        <w:rPr>
          <w:rFonts w:ascii="ARIAL" w:hAnsi="ARIAL"/>
          <w:sz w:val="18"/>
        </w:rPr>
      </w:pPr>
      <w:r>
        <w:rPr>
          <w:rFonts w:ascii="ARIAL" w:hAnsi="ARIAL"/>
          <w:sz w:val="18"/>
        </w:rPr>
        <w:t xml:space="preserve">The table below provides current membership information for each of the Audit, Compensation, and Nominating and Corporate Governance Committees.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60"/>
        <w:gridCol w:w="3379"/>
        <w:gridCol w:w="60"/>
        <w:gridCol w:w="545"/>
        <w:gridCol w:w="60"/>
        <w:gridCol w:w="1340"/>
        <w:gridCol w:w="60"/>
        <w:gridCol w:w="1880"/>
        <w:gridCol w:w="60"/>
        <w:gridCol w:w="630"/>
        <w:gridCol w:w="60"/>
        <w:gridCol w:w="630"/>
        <w:gridCol w:w="60"/>
        <w:gridCol w:w="652"/>
      </w:tblGrid>
      <w:tr>
        <w:trPr/>
        <w:tc>
          <w:tcPr>
            <w:tcW w:w="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4168" w:type="dxa"/>
            <w:gridSpan w:val="3"/>
            <w:tcBorders/>
            <w:shd w:fill="0054BA" w:val="clear"/>
            <w:vAlign w:val="center"/>
          </w:tcPr>
          <w:p>
            <w:pPr>
              <w:pStyle w:val="TableContents"/>
              <w:bidi w:val="0"/>
              <w:spacing w:before="0" w:after="283"/>
              <w:jc w:val="left"/>
              <w:rPr>
                <w:sz w:val="4"/>
                <w:szCs w:val="4"/>
              </w:rPr>
            </w:pPr>
            <w:r>
              <w:rPr>
                <w:sz w:val="4"/>
                <w:szCs w:val="4"/>
              </w:rPr>
            </w:r>
          </w:p>
        </w:tc>
        <w:tc>
          <w:tcPr>
            <w:tcW w:w="605" w:type="dxa"/>
            <w:gridSpan w:val="2"/>
            <w:tcBorders/>
            <w:shd w:fill="0054BA" w:val="clear"/>
            <w:vAlign w:val="center"/>
          </w:tcPr>
          <w:p>
            <w:pPr>
              <w:pStyle w:val="TableContents"/>
              <w:bidi w:val="0"/>
              <w:spacing w:before="0" w:after="283"/>
              <w:jc w:val="left"/>
              <w:rPr>
                <w:sz w:val="4"/>
                <w:szCs w:val="4"/>
              </w:rPr>
            </w:pPr>
            <w:r>
              <w:rPr>
                <w:sz w:val="4"/>
                <w:szCs w:val="4"/>
              </w:rPr>
            </w:r>
          </w:p>
        </w:tc>
        <w:tc>
          <w:tcPr>
            <w:tcW w:w="1400" w:type="dxa"/>
            <w:gridSpan w:val="2"/>
            <w:tcBorders/>
            <w:shd w:fill="0054BA" w:val="clear"/>
            <w:vAlign w:val="center"/>
          </w:tcPr>
          <w:p>
            <w:pPr>
              <w:pStyle w:val="TableContents"/>
              <w:bidi w:val="0"/>
              <w:spacing w:before="0" w:after="283"/>
              <w:jc w:val="left"/>
              <w:rPr>
                <w:sz w:val="4"/>
                <w:szCs w:val="4"/>
              </w:rPr>
            </w:pPr>
            <w:r>
              <w:rPr>
                <w:sz w:val="4"/>
                <w:szCs w:val="4"/>
              </w:rPr>
            </w:r>
          </w:p>
        </w:tc>
        <w:tc>
          <w:tcPr>
            <w:tcW w:w="1940" w:type="dxa"/>
            <w:gridSpan w:val="2"/>
            <w:tcBorders/>
            <w:shd w:fill="0054BA" w:val="clear"/>
            <w:vAlign w:val="center"/>
          </w:tcPr>
          <w:p>
            <w:pPr>
              <w:pStyle w:val="TableContents"/>
              <w:bidi w:val="0"/>
              <w:spacing w:before="0" w:after="283"/>
              <w:jc w:val="left"/>
              <w:rPr>
                <w:sz w:val="4"/>
                <w:szCs w:val="4"/>
              </w:rPr>
            </w:pPr>
            <w:r>
              <w:rPr>
                <w:sz w:val="4"/>
                <w:szCs w:val="4"/>
              </w:rPr>
            </w:r>
          </w:p>
        </w:tc>
        <w:tc>
          <w:tcPr>
            <w:tcW w:w="690" w:type="dxa"/>
            <w:gridSpan w:val="2"/>
            <w:tcBorders/>
            <w:shd w:fill="0054BA" w:val="clear"/>
            <w:vAlign w:val="center"/>
          </w:tcPr>
          <w:p>
            <w:pPr>
              <w:pStyle w:val="TableContents"/>
              <w:bidi w:val="0"/>
              <w:spacing w:before="0" w:after="283"/>
              <w:jc w:val="left"/>
              <w:rPr>
                <w:sz w:val="4"/>
                <w:szCs w:val="4"/>
              </w:rPr>
            </w:pPr>
            <w:r>
              <w:rPr>
                <w:sz w:val="4"/>
                <w:szCs w:val="4"/>
              </w:rPr>
            </w:r>
          </w:p>
        </w:tc>
        <w:tc>
          <w:tcPr>
            <w:tcW w:w="690" w:type="dxa"/>
            <w:gridSpan w:val="2"/>
            <w:tcBorders/>
            <w:shd w:fill="0054BA" w:val="clear"/>
            <w:vAlign w:val="center"/>
          </w:tcPr>
          <w:p>
            <w:pPr>
              <w:pStyle w:val="TableContents"/>
              <w:bidi w:val="0"/>
              <w:spacing w:before="0" w:after="283"/>
              <w:jc w:val="left"/>
              <w:rPr>
                <w:sz w:val="4"/>
                <w:szCs w:val="4"/>
              </w:rPr>
            </w:pPr>
            <w:r>
              <w:rPr>
                <w:sz w:val="4"/>
                <w:szCs w:val="4"/>
              </w:rPr>
            </w:r>
          </w:p>
        </w:tc>
        <w:tc>
          <w:tcPr>
            <w:tcW w:w="712"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4168" w:type="dxa"/>
            <w:gridSpan w:val="3"/>
            <w:tcBorders>
              <w:bottom w:val="single" w:sz="6" w:space="0" w:color="0054BA"/>
            </w:tcBorders>
            <w:shd w:fill="0054BA" w:val="clear"/>
            <w:tcMar>
              <w:bottom w:w="60"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NAME AND PRINCIPAL OCCUPATION</w:t>
            </w:r>
          </w:p>
        </w:tc>
        <w:tc>
          <w:tcPr>
            <w:tcW w:w="60" w:type="dxa"/>
            <w:tcBorders>
              <w:bottom w:val="single" w:sz="6" w:space="0" w:color="0054BA"/>
            </w:tcBorders>
            <w:shd w:fill="0054BA" w:val="clear"/>
            <w:tcMar>
              <w:bottom w:w="28" w:type="dxa"/>
            </w:tcMar>
            <w:vAlign w:val="center"/>
          </w:tcPr>
          <w:p>
            <w:pPr>
              <w:pStyle w:val="TableContents"/>
              <w:bidi w:val="0"/>
              <w:spacing w:before="0" w:after="283"/>
              <w:jc w:val="left"/>
              <w:rPr/>
            </w:pPr>
            <w:r>
              <w:rPr/>
              <w:t> </w:t>
            </w:r>
          </w:p>
        </w:tc>
        <w:tc>
          <w:tcPr>
            <w:tcW w:w="545" w:type="dxa"/>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AGE</w:t>
            </w:r>
          </w:p>
        </w:tc>
        <w:tc>
          <w:tcPr>
            <w:tcW w:w="60" w:type="dxa"/>
            <w:tcBorders>
              <w:bottom w:val="single" w:sz="6" w:space="0" w:color="0054BA"/>
            </w:tcBorders>
            <w:shd w:fill="0054BA" w:val="clear"/>
            <w:tcMar>
              <w:bottom w:w="28" w:type="dxa"/>
            </w:tcMar>
            <w:vAlign w:val="center"/>
          </w:tcPr>
          <w:p>
            <w:pPr>
              <w:pStyle w:val="TableContents"/>
              <w:bidi w:val="0"/>
              <w:spacing w:before="0" w:after="283"/>
              <w:jc w:val="left"/>
              <w:rPr/>
            </w:pPr>
            <w:r>
              <w:rPr/>
              <w:t> </w:t>
            </w:r>
          </w:p>
        </w:tc>
        <w:tc>
          <w:tcPr>
            <w:tcW w:w="1340" w:type="dxa"/>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DIRECTOR</w:t>
              <w:br/>
              <w:t>SINCE</w:t>
            </w:r>
          </w:p>
        </w:tc>
        <w:tc>
          <w:tcPr>
            <w:tcW w:w="60" w:type="dxa"/>
            <w:tcBorders>
              <w:bottom w:val="single" w:sz="6" w:space="0" w:color="0054BA"/>
            </w:tcBorders>
            <w:shd w:fill="0054BA" w:val="clear"/>
            <w:tcMar>
              <w:bottom w:w="28" w:type="dxa"/>
            </w:tcMar>
            <w:vAlign w:val="center"/>
          </w:tcPr>
          <w:p>
            <w:pPr>
              <w:pStyle w:val="TableContents"/>
              <w:bidi w:val="0"/>
              <w:spacing w:before="0" w:after="283"/>
              <w:jc w:val="left"/>
              <w:rPr/>
            </w:pPr>
            <w:r>
              <w:rPr/>
              <w:t> </w:t>
            </w:r>
          </w:p>
        </w:tc>
        <w:tc>
          <w:tcPr>
            <w:tcW w:w="1880" w:type="dxa"/>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OTHER PUBLIC</w:t>
              <w:br/>
              <w:t>COMPANY</w:t>
              <w:br/>
              <w:t>BOARDS</w:t>
            </w:r>
          </w:p>
        </w:tc>
        <w:tc>
          <w:tcPr>
            <w:tcW w:w="60" w:type="dxa"/>
            <w:tcBorders>
              <w:bottom w:val="single" w:sz="6" w:space="0" w:color="0054BA"/>
            </w:tcBorders>
            <w:shd w:fill="0054BA" w:val="clear"/>
            <w:tcMar>
              <w:bottom w:w="28" w:type="dxa"/>
            </w:tcMar>
            <w:vAlign w:val="center"/>
          </w:tcPr>
          <w:p>
            <w:pPr>
              <w:pStyle w:val="TableContents"/>
              <w:bidi w:val="0"/>
              <w:spacing w:before="0" w:after="283"/>
              <w:jc w:val="left"/>
              <w:rPr/>
            </w:pPr>
            <w:r>
              <w:rPr/>
              <w:t> </w:t>
            </w:r>
          </w:p>
        </w:tc>
        <w:tc>
          <w:tcPr>
            <w:tcW w:w="630" w:type="dxa"/>
            <w:tcBorders>
              <w:bottom w:val="single" w:sz="6" w:space="0" w:color="0054BA"/>
            </w:tcBorders>
            <w:shd w:fill="0054BA" w:val="clear"/>
            <w:tcMar>
              <w:bottom w:w="60" w:type="dxa"/>
            </w:tcMar>
            <w:vAlign w:val="center"/>
          </w:tcPr>
          <w:p>
            <w:pPr>
              <w:pStyle w:val="TableContents"/>
              <w:bidi w:val="0"/>
              <w:spacing w:before="0" w:after="283"/>
              <w:jc w:val="center"/>
              <w:rPr>
                <w:color w:val="FFFFFF"/>
              </w:rPr>
            </w:pPr>
            <w:r>
              <w:rPr>
                <w:color w:val="FFFFFF"/>
              </w:rPr>
              <w:t> </w:t>
            </w:r>
            <w:r>
              <w:rPr>
                <w:b/>
                <w:color w:val="FFFFFF"/>
              </w:rPr>
              <w:t>A  </w:t>
            </w:r>
          </w:p>
        </w:tc>
        <w:tc>
          <w:tcPr>
            <w:tcW w:w="60" w:type="dxa"/>
            <w:tcBorders>
              <w:bottom w:val="single" w:sz="6" w:space="0" w:color="0054BA"/>
            </w:tcBorders>
            <w:shd w:fill="0054BA" w:val="clear"/>
            <w:tcMar>
              <w:bottom w:w="28" w:type="dxa"/>
            </w:tcMar>
            <w:vAlign w:val="center"/>
          </w:tcPr>
          <w:p>
            <w:pPr>
              <w:pStyle w:val="TableContents"/>
              <w:bidi w:val="0"/>
              <w:spacing w:before="0" w:after="283"/>
              <w:jc w:val="left"/>
              <w:rPr/>
            </w:pPr>
            <w:r>
              <w:rPr/>
              <w:t> </w:t>
            </w:r>
          </w:p>
        </w:tc>
        <w:tc>
          <w:tcPr>
            <w:tcW w:w="630" w:type="dxa"/>
            <w:tcBorders>
              <w:bottom w:val="single" w:sz="6" w:space="0" w:color="0054BA"/>
            </w:tcBorders>
            <w:shd w:fill="0054BA" w:val="clear"/>
            <w:tcMar>
              <w:bottom w:w="60" w:type="dxa"/>
            </w:tcMar>
            <w:vAlign w:val="center"/>
          </w:tcPr>
          <w:p>
            <w:pPr>
              <w:pStyle w:val="TableContents"/>
              <w:bidi w:val="0"/>
              <w:spacing w:before="0" w:after="283"/>
              <w:jc w:val="center"/>
              <w:rPr>
                <w:color w:val="FFFFFF"/>
              </w:rPr>
            </w:pPr>
            <w:r>
              <w:rPr>
                <w:color w:val="FFFFFF"/>
              </w:rPr>
              <w:t> </w:t>
            </w:r>
            <w:r>
              <w:rPr>
                <w:b/>
                <w:color w:val="FFFFFF"/>
              </w:rPr>
              <w:t>C  </w:t>
            </w:r>
          </w:p>
        </w:tc>
        <w:tc>
          <w:tcPr>
            <w:tcW w:w="60" w:type="dxa"/>
            <w:tcBorders>
              <w:bottom w:val="single" w:sz="6" w:space="0" w:color="0054BA"/>
            </w:tcBorders>
            <w:shd w:fill="0054BA" w:val="clear"/>
            <w:tcMar>
              <w:bottom w:w="28" w:type="dxa"/>
            </w:tcMar>
            <w:vAlign w:val="center"/>
          </w:tcPr>
          <w:p>
            <w:pPr>
              <w:pStyle w:val="TableContents"/>
              <w:bidi w:val="0"/>
              <w:spacing w:before="0" w:after="283"/>
              <w:jc w:val="left"/>
              <w:rPr/>
            </w:pPr>
            <w:r>
              <w:rPr/>
              <w:t> </w:t>
            </w:r>
          </w:p>
        </w:tc>
        <w:tc>
          <w:tcPr>
            <w:tcW w:w="652" w:type="dxa"/>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NCG </w:t>
            </w:r>
          </w:p>
        </w:tc>
      </w:tr>
      <w:tr>
        <w:trPr/>
        <w:tc>
          <w:tcPr>
            <w:tcW w:w="729"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shd w:fill="DAEDFA" w:val="clear"/>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29" w:type="dxa"/>
            <w:tcBorders>
              <w:bottom w:val="single" w:sz="6" w:space="0" w:color="000000"/>
            </w:tcBorders>
            <w:tcMar>
              <w:bottom w:w="100" w:type="dxa"/>
            </w:tcMar>
            <w:vAlign w:val="center"/>
          </w:tcPr>
          <w:p>
            <w:pPr>
              <w:pStyle w:val="TableContents"/>
              <w:bidi w:val="0"/>
              <w:spacing w:before="0" w:after="0"/>
              <w:jc w:val="left"/>
              <w:rPr/>
            </w:pPr>
            <w:r>
              <w:rPr/>
              <w:drawing>
                <wp:inline distT="0" distB="0" distL="0" distR="0">
                  <wp:extent cx="441960" cy="457200"/>
                  <wp:effectExtent l="0" t="0" r="0" b="0"/>
                  <wp:docPr id="7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4" descr=""/>
                          <pic:cNvPicPr>
                            <a:picLocks noChangeAspect="1" noChangeArrowheads="1"/>
                          </pic:cNvPicPr>
                        </pic:nvPicPr>
                        <pic:blipFill>
                          <a:blip r:embed="rId71"/>
                          <a:stretch>
                            <a:fillRect/>
                          </a:stretch>
                        </pic:blipFill>
                        <pic:spPr bwMode="auto">
                          <a:xfrm>
                            <a:off x="0" y="0"/>
                            <a:ext cx="441960" cy="4572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7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Andrew C. Florance</w:t>
            </w:r>
          </w:p>
          <w:p>
            <w:pPr>
              <w:pStyle w:val="TableContents"/>
              <w:bidi w:val="0"/>
              <w:spacing w:before="0" w:after="0"/>
              <w:jc w:val="left"/>
              <w:rPr>
                <w:rFonts w:ascii="ARIAL" w:hAnsi="ARIAL"/>
                <w:sz w:val="18"/>
              </w:rPr>
            </w:pPr>
            <w:r>
              <w:rPr>
                <w:rFonts w:ascii="ARIAL" w:hAnsi="ARIAL"/>
                <w:sz w:val="18"/>
              </w:rPr>
              <w:t>Founder and Chief Executive Officer,</w:t>
            </w:r>
          </w:p>
          <w:p>
            <w:pPr>
              <w:pStyle w:val="TableContents"/>
              <w:bidi w:val="0"/>
              <w:spacing w:before="0" w:after="20"/>
              <w:jc w:val="left"/>
              <w:rPr>
                <w:rFonts w:ascii="ARIAL" w:hAnsi="ARIAL"/>
                <w:sz w:val="18"/>
              </w:rPr>
            </w:pPr>
            <w:r>
              <w:rPr>
                <w:rFonts w:ascii="ARIAL" w:hAnsi="ARIAL"/>
                <w:sz w:val="18"/>
              </w:rPr>
              <w:t>CoStar Group, Inc.</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00" w:type="dxa"/>
            </w:tcMar>
            <w:vAlign w:val="center"/>
          </w:tcPr>
          <w:p>
            <w:pPr>
              <w:pStyle w:val="TableContents"/>
              <w:bidi w:val="0"/>
              <w:spacing w:before="0" w:after="283"/>
              <w:jc w:val="center"/>
              <w:rPr/>
            </w:pPr>
            <w:r>
              <w:rPr/>
              <w:t>62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100" w:type="dxa"/>
            </w:tcMar>
            <w:vAlign w:val="center"/>
          </w:tcPr>
          <w:p>
            <w:pPr>
              <w:pStyle w:val="TableContents"/>
              <w:bidi w:val="0"/>
              <w:spacing w:before="0" w:after="283"/>
              <w:jc w:val="center"/>
              <w:rPr/>
            </w:pPr>
            <w:r>
              <w:rPr/>
              <w:t>1987</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52"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shd w:fill="DAEDFA" w:val="clear"/>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2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41960" cy="457200"/>
                  <wp:effectExtent l="0" t="0" r="0" b="0"/>
                  <wp:docPr id="7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5" descr=""/>
                          <pic:cNvPicPr>
                            <a:picLocks noChangeAspect="1" noChangeArrowheads="1"/>
                          </pic:cNvPicPr>
                        </pic:nvPicPr>
                        <pic:blipFill>
                          <a:blip r:embed="rId72"/>
                          <a:stretch>
                            <a:fillRect/>
                          </a:stretch>
                        </pic:blipFill>
                        <pic:spPr bwMode="auto">
                          <a:xfrm>
                            <a:off x="0" y="0"/>
                            <a:ext cx="441960" cy="4572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7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Louise S. Sams</w:t>
            </w:r>
          </w:p>
          <w:p>
            <w:pPr>
              <w:pStyle w:val="TableContents"/>
              <w:bidi w:val="0"/>
              <w:spacing w:before="0" w:after="0"/>
              <w:jc w:val="left"/>
              <w:rPr>
                <w:rFonts w:ascii="ARIAL" w:hAnsi="ARIAL"/>
                <w:sz w:val="18"/>
              </w:rPr>
            </w:pPr>
            <w:r>
              <w:rPr>
                <w:rFonts w:ascii="ARIAL" w:hAnsi="ARIAL"/>
                <w:sz w:val="18"/>
              </w:rPr>
              <w:t xml:space="preserve">Board Chair, CoStar Group, Inc.; Former EVP &amp; General Counsel, Turner Broadcasting System, Inc. </w:t>
            </w:r>
          </w:p>
          <w:p>
            <w:pPr>
              <w:pStyle w:val="TableContents"/>
              <w:bidi w:val="0"/>
              <w:spacing w:before="0" w:after="20"/>
              <w:jc w:val="left"/>
              <w:rPr>
                <w:rFonts w:ascii="ARIAL" w:hAnsi="ARIAL"/>
                <w:b/>
                <w:i/>
                <w:sz w:val="18"/>
              </w:rPr>
            </w:pPr>
            <w:r>
              <w:rPr>
                <w:rFonts w:ascii="ARIAL" w:hAnsi="ARIAL"/>
                <w:b/>
                <w:i/>
                <w:sz w:val="18"/>
              </w:rPr>
              <w:t>Independent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00" w:type="dxa"/>
            </w:tcMar>
            <w:vAlign w:val="center"/>
          </w:tcPr>
          <w:p>
            <w:pPr>
              <w:pStyle w:val="TableContents"/>
              <w:bidi w:val="0"/>
              <w:spacing w:before="0" w:after="283"/>
              <w:jc w:val="center"/>
              <w:rPr/>
            </w:pPr>
            <w:r>
              <w:rPr/>
              <w:t>68</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100" w:type="dxa"/>
            </w:tcMar>
            <w:vAlign w:val="center"/>
          </w:tcPr>
          <w:p>
            <w:pPr>
              <w:pStyle w:val="TableContents"/>
              <w:bidi w:val="0"/>
              <w:spacing w:before="0" w:after="283"/>
              <w:jc w:val="center"/>
              <w:rPr/>
            </w:pPr>
            <w:r>
              <w:rPr/>
              <w:t>2019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100" w:type="dxa"/>
            </w:tcMar>
            <w:vAlign w:val="center"/>
          </w:tcPr>
          <w:p>
            <w:pPr>
              <w:pStyle w:val="TableContents"/>
              <w:bidi w:val="0"/>
              <w:spacing w:before="0" w:after="283"/>
              <w:jc w:val="center"/>
              <w:rPr/>
            </w:pPr>
            <w:r>
              <w:rPr/>
              <w:t>2</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shd w:fill="DAEDFA" w:val="clear"/>
            <w:tcMar>
              <w:bottom w:w="100" w:type="dxa"/>
            </w:tcMar>
            <w:vAlign w:val="center"/>
          </w:tcPr>
          <w:p>
            <w:pPr>
              <w:pStyle w:val="TableContents"/>
              <w:bidi w:val="0"/>
              <w:spacing w:before="0" w:after="283"/>
              <w:jc w:val="center"/>
              <w:rPr/>
            </w:pPr>
            <w:r>
              <w:rPr/>
              <w:drawing>
                <wp:inline distT="0" distB="0" distL="0" distR="0">
                  <wp:extent cx="114300" cy="107315"/>
                  <wp:effectExtent l="0" t="0" r="0" b="0"/>
                  <wp:docPr id="8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6" descr=""/>
                          <pic:cNvPicPr>
                            <a:picLocks noChangeAspect="1" noChangeArrowheads="1"/>
                          </pic:cNvPicPr>
                        </pic:nvPicPr>
                        <pic:blipFill>
                          <a:blip r:embed="rId73"/>
                          <a:stretch>
                            <a:fillRect/>
                          </a:stretch>
                        </pic:blipFill>
                        <pic:spPr bwMode="auto">
                          <a:xfrm>
                            <a:off x="0" y="0"/>
                            <a:ext cx="114300" cy="10731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52" w:type="dxa"/>
            <w:tcBorders>
              <w:bottom w:val="single" w:sz="6" w:space="0" w:color="000000"/>
            </w:tcBorders>
            <w:shd w:fill="DAEDFA" w:val="clear"/>
            <w:tcMar>
              <w:bottom w:w="100" w:type="dxa"/>
            </w:tcMar>
            <w:vAlign w:val="center"/>
          </w:tcPr>
          <w:p>
            <w:pPr>
              <w:pStyle w:val="TableContents"/>
              <w:bidi w:val="0"/>
              <w:spacing w:before="0" w:after="283"/>
              <w:jc w:val="center"/>
              <w:rPr/>
            </w:pPr>
            <w:r>
              <w:rPr/>
              <w:drawing>
                <wp:inline distT="0" distB="0" distL="0" distR="0">
                  <wp:extent cx="107950" cy="116205"/>
                  <wp:effectExtent l="0" t="0" r="0" b="0"/>
                  <wp:docPr id="8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7" descr=""/>
                          <pic:cNvPicPr>
                            <a:picLocks noChangeAspect="1" noChangeArrowheads="1"/>
                          </pic:cNvPicPr>
                        </pic:nvPicPr>
                        <pic:blipFill>
                          <a:blip r:embed="rId74"/>
                          <a:stretch>
                            <a:fillRect/>
                          </a:stretch>
                        </pic:blipFill>
                        <pic:spPr bwMode="auto">
                          <a:xfrm>
                            <a:off x="0" y="0"/>
                            <a:ext cx="107950" cy="116205"/>
                          </a:xfrm>
                          <a:prstGeom prst="rect">
                            <a:avLst/>
                          </a:prstGeom>
                        </pic:spPr>
                      </pic:pic>
                    </a:graphicData>
                  </a:graphic>
                </wp:inline>
              </w:drawing>
            </w:r>
            <w:r>
              <w:rPr/>
              <w:t xml:space="preserve">  </w:t>
            </w:r>
          </w:p>
        </w:tc>
      </w:tr>
      <w:tr>
        <w:trPr/>
        <w:tc>
          <w:tcPr>
            <w:tcW w:w="729"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shd w:fill="DAEDFA" w:val="clear"/>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29" w:type="dxa"/>
            <w:tcBorders>
              <w:bottom w:val="single" w:sz="6" w:space="0" w:color="000000"/>
            </w:tcBorders>
            <w:tcMar>
              <w:bottom w:w="100" w:type="dxa"/>
            </w:tcMar>
            <w:vAlign w:val="center"/>
          </w:tcPr>
          <w:p>
            <w:pPr>
              <w:pStyle w:val="TableContents"/>
              <w:bidi w:val="0"/>
              <w:spacing w:before="0" w:after="0"/>
              <w:jc w:val="left"/>
              <w:rPr/>
            </w:pPr>
            <w:r>
              <w:rPr/>
              <w:drawing>
                <wp:inline distT="0" distB="0" distL="0" distR="0">
                  <wp:extent cx="441960" cy="457200"/>
                  <wp:effectExtent l="0" t="0" r="0" b="0"/>
                  <wp:docPr id="8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8" descr=""/>
                          <pic:cNvPicPr>
                            <a:picLocks noChangeAspect="1" noChangeArrowheads="1"/>
                          </pic:cNvPicPr>
                        </pic:nvPicPr>
                        <pic:blipFill>
                          <a:blip r:embed="rId75"/>
                          <a:stretch>
                            <a:fillRect/>
                          </a:stretch>
                        </pic:blipFill>
                        <pic:spPr bwMode="auto">
                          <a:xfrm>
                            <a:off x="0" y="0"/>
                            <a:ext cx="441960" cy="4572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7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John L. Berisford</w:t>
            </w:r>
          </w:p>
          <w:p>
            <w:pPr>
              <w:pStyle w:val="TableContents"/>
              <w:bidi w:val="0"/>
              <w:spacing w:before="0" w:after="0"/>
              <w:jc w:val="left"/>
              <w:rPr>
                <w:rFonts w:ascii="ARIAL" w:hAnsi="ARIAL"/>
                <w:sz w:val="18"/>
              </w:rPr>
            </w:pPr>
            <w:r>
              <w:rPr>
                <w:rFonts w:ascii="ARIAL" w:hAnsi="ARIAL"/>
                <w:sz w:val="18"/>
              </w:rPr>
              <w:t>Former President, S&amp;P Global Ratings</w:t>
            </w:r>
          </w:p>
          <w:p>
            <w:pPr>
              <w:pStyle w:val="TableContents"/>
              <w:bidi w:val="0"/>
              <w:spacing w:before="0" w:after="20"/>
              <w:jc w:val="left"/>
              <w:rPr>
                <w:rFonts w:ascii="ARIAL" w:hAnsi="ARIAL"/>
                <w:b/>
                <w:i/>
                <w:sz w:val="18"/>
              </w:rPr>
            </w:pPr>
            <w:r>
              <w:rPr>
                <w:rFonts w:ascii="ARIAL" w:hAnsi="ARIAL"/>
                <w:b/>
                <w:i/>
                <w:sz w:val="18"/>
              </w:rPr>
              <w:t>Independent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00" w:type="dxa"/>
            </w:tcMar>
            <w:vAlign w:val="center"/>
          </w:tcPr>
          <w:p>
            <w:pPr>
              <w:pStyle w:val="TableContents"/>
              <w:bidi w:val="0"/>
              <w:spacing w:before="0" w:after="283"/>
              <w:jc w:val="center"/>
              <w:rPr/>
            </w:pPr>
            <w:r>
              <w:rPr/>
              <w:t>62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100" w:type="dxa"/>
            </w:tcMar>
            <w:vAlign w:val="center"/>
          </w:tcPr>
          <w:p>
            <w:pPr>
              <w:pStyle w:val="TableContents"/>
              <w:bidi w:val="0"/>
              <w:spacing w:before="0" w:after="283"/>
              <w:jc w:val="center"/>
              <w:rPr/>
            </w:pPr>
            <w:r>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91440" cy="91440"/>
                  <wp:effectExtent l="0" t="0" r="0" b="0"/>
                  <wp:docPr id="8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9" descr=""/>
                          <pic:cNvPicPr>
                            <a:picLocks noChangeAspect="1" noChangeArrowheads="1"/>
                          </pic:cNvPicPr>
                        </pic:nvPicPr>
                        <pic:blipFill>
                          <a:blip r:embed="rId76"/>
                          <a:stretch>
                            <a:fillRect/>
                          </a:stretch>
                        </pic:blipFill>
                        <pic:spPr bwMode="auto">
                          <a:xfrm>
                            <a:off x="0" y="0"/>
                            <a:ext cx="91440" cy="91440"/>
                          </a:xfrm>
                          <a:prstGeom prst="rect">
                            <a:avLst/>
                          </a:prstGeom>
                        </pic:spPr>
                      </pic:pic>
                    </a:graphicData>
                  </a:graphic>
                </wp:inline>
              </w:drawing>
            </w:r>
            <w:r>
              <w:rPr/>
              <w:t xml:space="preserve">  </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52"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shd w:fill="DAEDFA" w:val="clear"/>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29" w:type="dxa"/>
            <w:tcBorders>
              <w:bottom w:val="single" w:sz="6" w:space="0" w:color="000000"/>
            </w:tcBorders>
            <w:tcMar>
              <w:bottom w:w="100" w:type="dxa"/>
            </w:tcMar>
            <w:vAlign w:val="center"/>
          </w:tcPr>
          <w:p>
            <w:pPr>
              <w:pStyle w:val="TableContents"/>
              <w:bidi w:val="0"/>
              <w:spacing w:before="0" w:after="0"/>
              <w:jc w:val="left"/>
              <w:rPr/>
            </w:pPr>
            <w:r>
              <w:rPr/>
              <w:drawing>
                <wp:inline distT="0" distB="0" distL="0" distR="0">
                  <wp:extent cx="441960" cy="457200"/>
                  <wp:effectExtent l="0" t="0" r="0" b="0"/>
                  <wp:docPr id="8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0" descr=""/>
                          <pic:cNvPicPr>
                            <a:picLocks noChangeAspect="1" noChangeArrowheads="1"/>
                          </pic:cNvPicPr>
                        </pic:nvPicPr>
                        <pic:blipFill>
                          <a:blip r:embed="rId77"/>
                          <a:stretch>
                            <a:fillRect/>
                          </a:stretch>
                        </pic:blipFill>
                        <pic:spPr bwMode="auto">
                          <a:xfrm>
                            <a:off x="0" y="0"/>
                            <a:ext cx="441960" cy="4572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7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Angelique G. Brunner</w:t>
            </w:r>
          </w:p>
          <w:p>
            <w:pPr>
              <w:pStyle w:val="TableContents"/>
              <w:bidi w:val="0"/>
              <w:spacing w:before="0" w:after="0"/>
              <w:jc w:val="left"/>
              <w:rPr>
                <w:rFonts w:ascii="ARIAL" w:hAnsi="ARIAL"/>
                <w:sz w:val="18"/>
              </w:rPr>
            </w:pPr>
            <w:r>
              <w:rPr>
                <w:rFonts w:ascii="ARIAL" w:hAnsi="ARIAL"/>
                <w:sz w:val="18"/>
              </w:rPr>
              <w:t>Chief Executive Officer and Founder, EB5 Capital</w:t>
            </w:r>
          </w:p>
          <w:p>
            <w:pPr>
              <w:pStyle w:val="TableContents"/>
              <w:bidi w:val="0"/>
              <w:spacing w:before="0" w:after="20"/>
              <w:jc w:val="left"/>
              <w:rPr>
                <w:rFonts w:ascii="ARIAL" w:hAnsi="ARIAL"/>
                <w:b/>
                <w:i/>
                <w:sz w:val="18"/>
              </w:rPr>
            </w:pPr>
            <w:r>
              <w:rPr>
                <w:rFonts w:ascii="ARIAL" w:hAnsi="ARIAL"/>
                <w:b/>
                <w:i/>
                <w:sz w:val="18"/>
              </w:rPr>
              <w:t>Independent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00" w:type="dxa"/>
            </w:tcMar>
            <w:vAlign w:val="center"/>
          </w:tcPr>
          <w:p>
            <w:pPr>
              <w:pStyle w:val="TableContents"/>
              <w:bidi w:val="0"/>
              <w:spacing w:before="0" w:after="283"/>
              <w:jc w:val="center"/>
              <w:rPr/>
            </w:pPr>
            <w:r>
              <w:rPr/>
              <w:t>54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100" w:type="dxa"/>
            </w:tcMar>
            <w:vAlign w:val="center"/>
          </w:tcPr>
          <w:p>
            <w:pPr>
              <w:pStyle w:val="TableContents"/>
              <w:bidi w:val="0"/>
              <w:spacing w:before="0" w:after="283"/>
              <w:jc w:val="center"/>
              <w:rPr/>
            </w:pPr>
            <w:r>
              <w:rPr/>
              <w:t>2023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shd w:fill="DAEDFA" w:val="clear"/>
            <w:tcMar>
              <w:bottom w:w="100" w:type="dxa"/>
            </w:tcMar>
            <w:vAlign w:val="center"/>
          </w:tcPr>
          <w:p>
            <w:pPr>
              <w:pStyle w:val="TableContents"/>
              <w:bidi w:val="0"/>
              <w:spacing w:before="0" w:after="283"/>
              <w:jc w:val="center"/>
              <w:rPr/>
            </w:pPr>
            <w:r>
              <w:rPr/>
              <w:drawing>
                <wp:inline distT="0" distB="0" distL="0" distR="0">
                  <wp:extent cx="114300" cy="107315"/>
                  <wp:effectExtent l="0" t="0" r="0" b="0"/>
                  <wp:docPr id="8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1" descr=""/>
                          <pic:cNvPicPr>
                            <a:picLocks noChangeAspect="1" noChangeArrowheads="1"/>
                          </pic:cNvPicPr>
                        </pic:nvPicPr>
                        <pic:blipFill>
                          <a:blip r:embed="rId78"/>
                          <a:stretch>
                            <a:fillRect/>
                          </a:stretch>
                        </pic:blipFill>
                        <pic:spPr bwMode="auto">
                          <a:xfrm>
                            <a:off x="0" y="0"/>
                            <a:ext cx="114300" cy="10731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91440" cy="91440"/>
                  <wp:effectExtent l="0" t="0" r="0" b="0"/>
                  <wp:docPr id="8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2" descr=""/>
                          <pic:cNvPicPr>
                            <a:picLocks noChangeAspect="1" noChangeArrowheads="1"/>
                          </pic:cNvPicPr>
                        </pic:nvPicPr>
                        <pic:blipFill>
                          <a:blip r:embed="rId79"/>
                          <a:stretch>
                            <a:fillRect/>
                          </a:stretch>
                        </pic:blipFill>
                        <pic:spPr bwMode="auto">
                          <a:xfrm>
                            <a:off x="0" y="0"/>
                            <a:ext cx="91440" cy="91440"/>
                          </a:xfrm>
                          <a:prstGeom prst="rect">
                            <a:avLst/>
                          </a:prstGeom>
                        </pic:spPr>
                      </pic:pic>
                    </a:graphicData>
                  </a:graphic>
                </wp:inline>
              </w:drawing>
            </w:r>
            <w:r>
              <w:rPr/>
              <w:t xml:space="preserve">  </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52"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shd w:fill="DAEDFA" w:val="clear"/>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29" w:type="dxa"/>
            <w:tcBorders>
              <w:bottom w:val="single" w:sz="6" w:space="0" w:color="000000"/>
            </w:tcBorders>
            <w:tcMar>
              <w:bottom w:w="100" w:type="dxa"/>
            </w:tcMar>
            <w:vAlign w:val="center"/>
          </w:tcPr>
          <w:p>
            <w:pPr>
              <w:pStyle w:val="TableContents"/>
              <w:bidi w:val="0"/>
              <w:spacing w:before="0" w:after="0"/>
              <w:jc w:val="left"/>
              <w:rPr/>
            </w:pPr>
            <w:r>
              <w:rPr/>
              <w:drawing>
                <wp:inline distT="0" distB="0" distL="0" distR="0">
                  <wp:extent cx="441960" cy="457200"/>
                  <wp:effectExtent l="0" t="0" r="0" b="0"/>
                  <wp:docPr id="8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3" descr=""/>
                          <pic:cNvPicPr>
                            <a:picLocks noChangeAspect="1" noChangeArrowheads="1"/>
                          </pic:cNvPicPr>
                        </pic:nvPicPr>
                        <pic:blipFill>
                          <a:blip r:embed="rId80"/>
                          <a:stretch>
                            <a:fillRect/>
                          </a:stretch>
                        </pic:blipFill>
                        <pic:spPr bwMode="auto">
                          <a:xfrm>
                            <a:off x="0" y="0"/>
                            <a:ext cx="441960" cy="4572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7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Rachel C. Glaser</w:t>
            </w:r>
          </w:p>
          <w:p>
            <w:pPr>
              <w:pStyle w:val="TableContents"/>
              <w:bidi w:val="0"/>
              <w:spacing w:before="0" w:after="0"/>
              <w:jc w:val="left"/>
              <w:rPr>
                <w:rFonts w:ascii="ARIAL" w:hAnsi="ARIAL"/>
                <w:sz w:val="18"/>
              </w:rPr>
            </w:pPr>
            <w:r>
              <w:rPr>
                <w:rFonts w:ascii="ARIAL" w:hAnsi="ARIAL"/>
                <w:sz w:val="18"/>
              </w:rPr>
              <w:t>Former Chief Financial Officer, Etsy, Inc.</w:t>
            </w:r>
          </w:p>
          <w:p>
            <w:pPr>
              <w:pStyle w:val="TableContents"/>
              <w:bidi w:val="0"/>
              <w:spacing w:before="0" w:after="20"/>
              <w:jc w:val="left"/>
              <w:rPr>
                <w:rFonts w:ascii="ARIAL" w:hAnsi="ARIAL"/>
                <w:b/>
                <w:i/>
                <w:sz w:val="18"/>
              </w:rPr>
            </w:pPr>
            <w:r>
              <w:rPr>
                <w:rFonts w:ascii="ARIAL" w:hAnsi="ARIAL"/>
                <w:b/>
                <w:i/>
                <w:sz w:val="18"/>
              </w:rPr>
              <w:t>Independent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00" w:type="dxa"/>
            </w:tcMar>
            <w:vAlign w:val="center"/>
          </w:tcPr>
          <w:p>
            <w:pPr>
              <w:pStyle w:val="TableContents"/>
              <w:bidi w:val="0"/>
              <w:spacing w:before="0" w:after="283"/>
              <w:jc w:val="center"/>
              <w:rPr/>
            </w:pPr>
            <w:r>
              <w:rPr/>
              <w:t>64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100" w:type="dxa"/>
            </w:tcMar>
            <w:vAlign w:val="center"/>
          </w:tcPr>
          <w:p>
            <w:pPr>
              <w:pStyle w:val="TableContents"/>
              <w:bidi w:val="0"/>
              <w:spacing w:before="0" w:after="283"/>
              <w:jc w:val="center"/>
              <w:rPr/>
            </w:pPr>
            <w:r>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100" w:type="dxa"/>
            </w:tcMar>
            <w:vAlign w:val="center"/>
          </w:tcPr>
          <w:p>
            <w:pPr>
              <w:pStyle w:val="TableContents"/>
              <w:bidi w:val="0"/>
              <w:spacing w:before="0" w:after="283"/>
              <w:jc w:val="center"/>
              <w:rPr/>
            </w:pPr>
            <w:r>
              <w:rPr/>
              <w:t>1</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shd w:fill="DAEDFA" w:val="clear"/>
            <w:tcMar>
              <w:bottom w:w="100" w:type="dxa"/>
            </w:tcMar>
            <w:vAlign w:val="center"/>
          </w:tcPr>
          <w:p>
            <w:pPr>
              <w:pStyle w:val="TableContents"/>
              <w:bidi w:val="0"/>
              <w:spacing w:before="0" w:after="283"/>
              <w:jc w:val="center"/>
              <w:rPr/>
            </w:pPr>
            <w:r>
              <w:rPr/>
              <w:drawing>
                <wp:inline distT="0" distB="0" distL="0" distR="0">
                  <wp:extent cx="114300" cy="107315"/>
                  <wp:effectExtent l="0" t="0" r="0" b="0"/>
                  <wp:docPr id="8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4" descr=""/>
                          <pic:cNvPicPr>
                            <a:picLocks noChangeAspect="1" noChangeArrowheads="1"/>
                          </pic:cNvPicPr>
                        </pic:nvPicPr>
                        <pic:blipFill>
                          <a:blip r:embed="rId81"/>
                          <a:stretch>
                            <a:fillRect/>
                          </a:stretch>
                        </pic:blipFill>
                        <pic:spPr bwMode="auto">
                          <a:xfrm>
                            <a:off x="0" y="0"/>
                            <a:ext cx="114300" cy="10731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52" w:type="dxa"/>
            <w:tcBorders>
              <w:bottom w:val="single" w:sz="6" w:space="0" w:color="000000"/>
            </w:tcBorders>
            <w:shd w:fill="DAEDFA" w:val="clear"/>
            <w:tcMar>
              <w:bottom w:w="100" w:type="dxa"/>
            </w:tcMar>
            <w:vAlign w:val="center"/>
          </w:tcPr>
          <w:p>
            <w:pPr>
              <w:pStyle w:val="TableContents"/>
              <w:bidi w:val="0"/>
              <w:spacing w:before="0" w:after="283"/>
              <w:jc w:val="center"/>
              <w:rPr/>
            </w:pPr>
            <w:r>
              <w:rPr/>
              <w:drawing>
                <wp:inline distT="0" distB="0" distL="0" distR="0">
                  <wp:extent cx="114300" cy="107315"/>
                  <wp:effectExtent l="0" t="0" r="0" b="0"/>
                  <wp:docPr id="8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5" descr=""/>
                          <pic:cNvPicPr>
                            <a:picLocks noChangeAspect="1" noChangeArrowheads="1"/>
                          </pic:cNvPicPr>
                        </pic:nvPicPr>
                        <pic:blipFill>
                          <a:blip r:embed="rId82"/>
                          <a:stretch>
                            <a:fillRect/>
                          </a:stretch>
                        </pic:blipFill>
                        <pic:spPr bwMode="auto">
                          <a:xfrm>
                            <a:off x="0" y="0"/>
                            <a:ext cx="114300" cy="107315"/>
                          </a:xfrm>
                          <a:prstGeom prst="rect">
                            <a:avLst/>
                          </a:prstGeom>
                        </pic:spPr>
                      </pic:pic>
                    </a:graphicData>
                  </a:graphic>
                </wp:inline>
              </w:drawing>
            </w:r>
            <w:r>
              <w:rPr/>
              <w:t xml:space="preserve">  </w:t>
            </w:r>
          </w:p>
        </w:tc>
      </w:tr>
      <w:tr>
        <w:trPr/>
        <w:tc>
          <w:tcPr>
            <w:tcW w:w="729"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shd w:fill="DAEDFA" w:val="clear"/>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29" w:type="dxa"/>
            <w:tcBorders>
              <w:bottom w:val="single" w:sz="6" w:space="0" w:color="000000"/>
            </w:tcBorders>
            <w:tcMar>
              <w:bottom w:w="100" w:type="dxa"/>
            </w:tcMar>
            <w:vAlign w:val="center"/>
          </w:tcPr>
          <w:p>
            <w:pPr>
              <w:pStyle w:val="TableContents"/>
              <w:bidi w:val="0"/>
              <w:spacing w:before="0" w:after="0"/>
              <w:jc w:val="left"/>
              <w:rPr/>
            </w:pPr>
            <w:r>
              <w:rPr/>
              <w:drawing>
                <wp:inline distT="0" distB="0" distL="0" distR="0">
                  <wp:extent cx="441960" cy="457200"/>
                  <wp:effectExtent l="0" t="0" r="0" b="0"/>
                  <wp:docPr id="9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6" descr=""/>
                          <pic:cNvPicPr>
                            <a:picLocks noChangeAspect="1" noChangeArrowheads="1"/>
                          </pic:cNvPicPr>
                        </pic:nvPicPr>
                        <pic:blipFill>
                          <a:blip r:embed="rId83"/>
                          <a:stretch>
                            <a:fillRect/>
                          </a:stretch>
                        </pic:blipFill>
                        <pic:spPr bwMode="auto">
                          <a:xfrm>
                            <a:off x="0" y="0"/>
                            <a:ext cx="441960" cy="4572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7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John W. Hill</w:t>
            </w:r>
          </w:p>
          <w:p>
            <w:pPr>
              <w:pStyle w:val="TableContents"/>
              <w:bidi w:val="0"/>
              <w:spacing w:before="0" w:after="0"/>
              <w:jc w:val="left"/>
              <w:rPr>
                <w:rFonts w:ascii="ARIAL" w:hAnsi="ARIAL"/>
                <w:sz w:val="18"/>
              </w:rPr>
            </w:pPr>
            <w:r>
              <w:rPr>
                <w:rFonts w:ascii="ARIAL" w:hAnsi="ARIAL"/>
                <w:sz w:val="18"/>
              </w:rPr>
              <w:t>Founder and Chief Executive Officer, J Hill Group</w:t>
            </w:r>
          </w:p>
          <w:p>
            <w:pPr>
              <w:pStyle w:val="TableContents"/>
              <w:bidi w:val="0"/>
              <w:spacing w:before="0" w:after="20"/>
              <w:jc w:val="left"/>
              <w:rPr>
                <w:rFonts w:ascii="ARIAL" w:hAnsi="ARIAL"/>
                <w:b/>
                <w:i/>
                <w:sz w:val="18"/>
              </w:rPr>
            </w:pPr>
            <w:r>
              <w:rPr>
                <w:rFonts w:ascii="ARIAL" w:hAnsi="ARIAL"/>
                <w:b/>
                <w:i/>
                <w:sz w:val="18"/>
              </w:rPr>
              <w:t>Independent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00" w:type="dxa"/>
            </w:tcMar>
            <w:vAlign w:val="center"/>
          </w:tcPr>
          <w:p>
            <w:pPr>
              <w:pStyle w:val="TableContents"/>
              <w:bidi w:val="0"/>
              <w:spacing w:before="0" w:after="283"/>
              <w:jc w:val="center"/>
              <w:rPr/>
            </w:pPr>
            <w:r>
              <w:rPr/>
              <w:t>71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100" w:type="dxa"/>
            </w:tcMar>
            <w:vAlign w:val="center"/>
          </w:tcPr>
          <w:p>
            <w:pPr>
              <w:pStyle w:val="TableContents"/>
              <w:bidi w:val="0"/>
              <w:spacing w:before="0" w:after="283"/>
              <w:jc w:val="center"/>
              <w:rPr/>
            </w:pPr>
            <w:r>
              <w:rPr/>
              <w:t>2012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shd w:fill="DAEDFA" w:val="clear"/>
            <w:tcMar>
              <w:bottom w:w="100" w:type="dxa"/>
            </w:tcMar>
            <w:vAlign w:val="center"/>
          </w:tcPr>
          <w:p>
            <w:pPr>
              <w:pStyle w:val="TableContents"/>
              <w:bidi w:val="0"/>
              <w:spacing w:before="0" w:after="283"/>
              <w:jc w:val="center"/>
              <w:rPr/>
            </w:pPr>
            <w:r>
              <w:rPr/>
              <w:drawing>
                <wp:inline distT="0" distB="0" distL="0" distR="0">
                  <wp:extent cx="107950" cy="116205"/>
                  <wp:effectExtent l="0" t="0" r="0" b="0"/>
                  <wp:docPr id="9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7" descr=""/>
                          <pic:cNvPicPr>
                            <a:picLocks noChangeAspect="1" noChangeArrowheads="1"/>
                          </pic:cNvPicPr>
                        </pic:nvPicPr>
                        <pic:blipFill>
                          <a:blip r:embed="rId84"/>
                          <a:stretch>
                            <a:fillRect/>
                          </a:stretch>
                        </pic:blipFill>
                        <pic:spPr bwMode="auto">
                          <a:xfrm>
                            <a:off x="0" y="0"/>
                            <a:ext cx="107950" cy="11620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52"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shd w:fill="DAEDFA" w:val="clear"/>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29" w:type="dxa"/>
            <w:tcBorders>
              <w:bottom w:val="single" w:sz="6" w:space="0" w:color="000000"/>
            </w:tcBorders>
            <w:tcMar>
              <w:bottom w:w="100" w:type="dxa"/>
            </w:tcMar>
            <w:vAlign w:val="center"/>
          </w:tcPr>
          <w:p>
            <w:pPr>
              <w:pStyle w:val="TableContents"/>
              <w:bidi w:val="0"/>
              <w:spacing w:before="0" w:after="0"/>
              <w:jc w:val="left"/>
              <w:rPr/>
            </w:pPr>
            <w:r>
              <w:rPr/>
              <w:drawing>
                <wp:inline distT="0" distB="0" distL="0" distR="0">
                  <wp:extent cx="441960" cy="457200"/>
                  <wp:effectExtent l="0" t="0" r="0" b="0"/>
                  <wp:docPr id="9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8" descr=""/>
                          <pic:cNvPicPr>
                            <a:picLocks noChangeAspect="1" noChangeArrowheads="1"/>
                          </pic:cNvPicPr>
                        </pic:nvPicPr>
                        <pic:blipFill>
                          <a:blip r:embed="rId85"/>
                          <a:stretch>
                            <a:fillRect/>
                          </a:stretch>
                        </pic:blipFill>
                        <pic:spPr bwMode="auto">
                          <a:xfrm>
                            <a:off x="0" y="0"/>
                            <a:ext cx="441960" cy="4572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7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Christine M. McCarthy</w:t>
            </w:r>
          </w:p>
          <w:p>
            <w:pPr>
              <w:pStyle w:val="TableContents"/>
              <w:bidi w:val="0"/>
              <w:spacing w:before="0" w:after="0"/>
              <w:jc w:val="left"/>
              <w:rPr>
                <w:rFonts w:ascii="ARIAL" w:hAnsi="ARIAL"/>
                <w:sz w:val="18"/>
              </w:rPr>
            </w:pPr>
            <w:r>
              <w:rPr>
                <w:rFonts w:ascii="ARIAL" w:hAnsi="ARIAL"/>
                <w:sz w:val="18"/>
              </w:rPr>
              <w:t xml:space="preserve">Former Executive Vice President and Chief Financial Officer, The Walt Disney Company </w:t>
            </w:r>
          </w:p>
          <w:p>
            <w:pPr>
              <w:pStyle w:val="TableContents"/>
              <w:bidi w:val="0"/>
              <w:spacing w:before="0" w:after="20"/>
              <w:jc w:val="left"/>
              <w:rPr>
                <w:rFonts w:ascii="ARIAL" w:hAnsi="ARIAL"/>
                <w:b/>
                <w:i/>
                <w:sz w:val="18"/>
              </w:rPr>
            </w:pPr>
            <w:r>
              <w:rPr>
                <w:rFonts w:ascii="ARIAL" w:hAnsi="ARIAL"/>
                <w:b/>
                <w:i/>
                <w:sz w:val="18"/>
              </w:rPr>
              <w:t>Independent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00" w:type="dxa"/>
            </w:tcMar>
            <w:vAlign w:val="center"/>
          </w:tcPr>
          <w:p>
            <w:pPr>
              <w:pStyle w:val="TableContents"/>
              <w:bidi w:val="0"/>
              <w:spacing w:before="0" w:after="283"/>
              <w:jc w:val="center"/>
              <w:rPr/>
            </w:pPr>
            <w:r>
              <w:rPr/>
              <w:t>70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100" w:type="dxa"/>
            </w:tcMar>
            <w:vAlign w:val="center"/>
          </w:tcPr>
          <w:p>
            <w:pPr>
              <w:pStyle w:val="TableContents"/>
              <w:bidi w:val="0"/>
              <w:spacing w:before="0" w:after="283"/>
              <w:jc w:val="center"/>
              <w:rPr/>
            </w:pPr>
            <w:r>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100" w:type="dxa"/>
            </w:tcMar>
            <w:vAlign w:val="center"/>
          </w:tcPr>
          <w:p>
            <w:pPr>
              <w:pStyle w:val="TableContents"/>
              <w:bidi w:val="0"/>
              <w:spacing w:before="0" w:after="283"/>
              <w:jc w:val="center"/>
              <w:rPr/>
            </w:pPr>
            <w:r>
              <w:rPr/>
              <w:t>2</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52" w:type="dxa"/>
            <w:tcBorders>
              <w:bottom w:val="single" w:sz="6" w:space="0" w:color="000000"/>
            </w:tcBorders>
            <w:shd w:fill="DAEDFA" w:val="clear"/>
            <w:tcMar>
              <w:bottom w:w="100" w:type="dxa"/>
            </w:tcMar>
            <w:vAlign w:val="center"/>
          </w:tcPr>
          <w:p>
            <w:pPr>
              <w:pStyle w:val="TableContents"/>
              <w:bidi w:val="0"/>
              <w:spacing w:before="0" w:after="283"/>
              <w:jc w:val="center"/>
              <w:rPr/>
            </w:pPr>
            <w:r>
              <w:rPr/>
              <w:drawing>
                <wp:inline distT="0" distB="0" distL="0" distR="0">
                  <wp:extent cx="114300" cy="107315"/>
                  <wp:effectExtent l="0" t="0" r="0" b="0"/>
                  <wp:docPr id="9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9" descr=""/>
                          <pic:cNvPicPr>
                            <a:picLocks noChangeAspect="1" noChangeArrowheads="1"/>
                          </pic:cNvPicPr>
                        </pic:nvPicPr>
                        <pic:blipFill>
                          <a:blip r:embed="rId86"/>
                          <a:stretch>
                            <a:fillRect/>
                          </a:stretch>
                        </pic:blipFill>
                        <pic:spPr bwMode="auto">
                          <a:xfrm>
                            <a:off x="0" y="0"/>
                            <a:ext cx="114300" cy="107315"/>
                          </a:xfrm>
                          <a:prstGeom prst="rect">
                            <a:avLst/>
                          </a:prstGeom>
                        </pic:spPr>
                      </pic:pic>
                    </a:graphicData>
                  </a:graphic>
                </wp:inline>
              </w:drawing>
            </w:r>
            <w:r>
              <w:rPr/>
              <w:t xml:space="preserve">  </w:t>
            </w:r>
          </w:p>
        </w:tc>
      </w:tr>
      <w:tr>
        <w:trPr/>
        <w:tc>
          <w:tcPr>
            <w:tcW w:w="729"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shd w:fill="DAEDFA" w:val="clear"/>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29" w:type="dxa"/>
            <w:tcBorders>
              <w:bottom w:val="single" w:sz="6" w:space="0" w:color="000000"/>
            </w:tcBorders>
            <w:tcMar>
              <w:bottom w:w="100" w:type="dxa"/>
            </w:tcMar>
            <w:vAlign w:val="center"/>
          </w:tcPr>
          <w:p>
            <w:pPr>
              <w:pStyle w:val="TableContents"/>
              <w:bidi w:val="0"/>
              <w:spacing w:before="0" w:after="0"/>
              <w:jc w:val="left"/>
              <w:rPr/>
            </w:pPr>
            <w:r>
              <w:rPr/>
              <w:drawing>
                <wp:inline distT="0" distB="0" distL="0" distR="0">
                  <wp:extent cx="441960" cy="457200"/>
                  <wp:effectExtent l="0" t="0" r="0" b="0"/>
                  <wp:docPr id="9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0" descr=""/>
                          <pic:cNvPicPr>
                            <a:picLocks noChangeAspect="1" noChangeArrowheads="1"/>
                          </pic:cNvPicPr>
                        </pic:nvPicPr>
                        <pic:blipFill>
                          <a:blip r:embed="rId87"/>
                          <a:stretch>
                            <a:fillRect/>
                          </a:stretch>
                        </pic:blipFill>
                        <pic:spPr bwMode="auto">
                          <a:xfrm>
                            <a:off x="0" y="0"/>
                            <a:ext cx="441960" cy="45720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7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Robert W. Musslewhite</w:t>
            </w:r>
          </w:p>
          <w:p>
            <w:pPr>
              <w:pStyle w:val="TableContents"/>
              <w:bidi w:val="0"/>
              <w:spacing w:before="0" w:after="0"/>
              <w:jc w:val="left"/>
              <w:rPr>
                <w:rFonts w:ascii="ARIAL" w:hAnsi="ARIAL"/>
                <w:sz w:val="18"/>
              </w:rPr>
            </w:pPr>
            <w:r>
              <w:rPr>
                <w:rFonts w:ascii="ARIAL" w:hAnsi="ARIAL"/>
                <w:sz w:val="18"/>
              </w:rPr>
              <w:t>Former Chief Executive Officer, Definitive Healthcare Corp</w:t>
            </w:r>
          </w:p>
          <w:p>
            <w:pPr>
              <w:pStyle w:val="TableContents"/>
              <w:bidi w:val="0"/>
              <w:spacing w:before="0" w:after="20"/>
              <w:jc w:val="left"/>
              <w:rPr>
                <w:rFonts w:ascii="ARIAL" w:hAnsi="ARIAL"/>
                <w:b/>
                <w:i/>
                <w:sz w:val="18"/>
              </w:rPr>
            </w:pPr>
            <w:r>
              <w:rPr>
                <w:rFonts w:ascii="ARIAL" w:hAnsi="ARIAL"/>
                <w:b/>
                <w:i/>
                <w:sz w:val="18"/>
              </w:rPr>
              <w:t>Independent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00" w:type="dxa"/>
            </w:tcMar>
            <w:vAlign w:val="center"/>
          </w:tcPr>
          <w:p>
            <w:pPr>
              <w:pStyle w:val="TableContents"/>
              <w:bidi w:val="0"/>
              <w:spacing w:before="0" w:after="283"/>
              <w:jc w:val="center"/>
              <w:rPr/>
            </w:pPr>
            <w:r>
              <w:rPr/>
              <w:t>56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100" w:type="dxa"/>
            </w:tcMar>
            <w:vAlign w:val="center"/>
          </w:tcPr>
          <w:p>
            <w:pPr>
              <w:pStyle w:val="TableContents"/>
              <w:bidi w:val="0"/>
              <w:spacing w:before="0" w:after="283"/>
              <w:jc w:val="center"/>
              <w:rPr/>
            </w:pPr>
            <w:r>
              <w:rPr/>
              <w:t>2019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100" w:type="dxa"/>
            </w:tcMar>
            <w:vAlign w:val="center"/>
          </w:tcPr>
          <w:p>
            <w:pPr>
              <w:pStyle w:val="TableContents"/>
              <w:bidi w:val="0"/>
              <w:spacing w:before="0" w:after="283"/>
              <w:jc w:val="center"/>
              <w:rPr/>
            </w:pPr>
            <w:r>
              <w:rPr/>
              <w:t>1</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91440" cy="91440"/>
                  <wp:effectExtent l="0" t="0" r="0" b="0"/>
                  <wp:docPr id="9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1" descr=""/>
                          <pic:cNvPicPr>
                            <a:picLocks noChangeAspect="1" noChangeArrowheads="1"/>
                          </pic:cNvPicPr>
                        </pic:nvPicPr>
                        <pic:blipFill>
                          <a:blip r:embed="rId88"/>
                          <a:stretch>
                            <a:fillRect/>
                          </a:stretch>
                        </pic:blipFill>
                        <pic:spPr bwMode="auto">
                          <a:xfrm>
                            <a:off x="0" y="0"/>
                            <a:ext cx="91440" cy="91440"/>
                          </a:xfrm>
                          <a:prstGeom prst="rect">
                            <a:avLst/>
                          </a:prstGeom>
                        </pic:spPr>
                      </pic:pic>
                    </a:graphicData>
                  </a:graphic>
                </wp:inline>
              </w:drawing>
            </w:r>
            <w:r>
              <w:rPr/>
              <w:t xml:space="preserve">  </w:t>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652"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r>
    </w:tbl>
    <w:p>
      <w:pPr>
        <w:pStyle w:val="TextBody"/>
        <w:bidi w:val="0"/>
        <w:spacing w:before="800" w:after="0"/>
        <w:jc w:val="left"/>
        <w:rPr>
          <w:rFonts w:ascii="ARIAL" w:hAnsi="ARIAL"/>
          <w:b/>
          <w:sz w:val="18"/>
        </w:rPr>
      </w:pPr>
      <w:r>
        <w:rPr>
          <w:rFonts w:ascii="ARIAL" w:hAnsi="ARIAL"/>
          <w:b/>
          <w:sz w:val="18"/>
        </w:rPr>
        <w:t xml:space="preserve">COMMITTEES </w:t>
      </w:r>
    </w:p>
    <w:p>
      <w:pPr>
        <w:pStyle w:val="TextBody"/>
        <w:bidi w:val="0"/>
        <w:spacing w:before="80" w:after="0"/>
        <w:jc w:val="left"/>
        <w:rPr>
          <w:rFonts w:ascii="ARIAL" w:hAnsi="ARIAL"/>
          <w:sz w:val="18"/>
        </w:rPr>
      </w:pPr>
      <w:r>
        <w:rPr>
          <w:rFonts w:ascii="ARIAL" w:hAnsi="ARIAL"/>
          <w:b/>
          <w:sz w:val="18"/>
        </w:rPr>
        <w:t xml:space="preserve">A </w:t>
      </w:r>
      <w:r>
        <w:rPr>
          <w:rFonts w:ascii="ARIAL" w:hAnsi="ARIAL"/>
          <w:sz w:val="18"/>
        </w:rPr>
        <w:t>Audit </w:t>
      </w:r>
      <w:r>
        <w:rPr>
          <w:rFonts w:ascii="ARIAL" w:hAnsi="ARIAL"/>
          <w:b/>
          <w:sz w:val="18"/>
        </w:rPr>
        <w:t xml:space="preserve">C </w:t>
      </w:r>
      <w:r>
        <w:rPr>
          <w:rFonts w:ascii="ARIAL" w:hAnsi="ARIAL"/>
          <w:sz w:val="18"/>
        </w:rPr>
        <w:t>Compensation </w:t>
      </w:r>
      <w:r>
        <w:rPr>
          <w:rFonts w:ascii="ARIAL" w:hAnsi="ARIAL"/>
          <w:b/>
          <w:sz w:val="18"/>
        </w:rPr>
        <w:t xml:space="preserve">NCG </w:t>
      </w:r>
      <w:r>
        <w:rPr>
          <w:rFonts w:ascii="ARIAL" w:hAnsi="ARIAL"/>
          <w:sz w:val="18"/>
        </w:rPr>
        <w:t xml:space="preserve">Nominating and Corporate Governance  </w:t>
      </w:r>
      <w:r>
        <w:rPr>
          <w:rFonts w:ascii="ARIAL" w:hAnsi="ARIAL"/>
          <w:sz w:val="18"/>
        </w:rPr>
        <w:drawing>
          <wp:inline distT="0" distB="0" distL="0" distR="0">
            <wp:extent cx="91440" cy="91440"/>
            <wp:effectExtent l="0" t="0" r="0" b="0"/>
            <wp:docPr id="9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2" descr=""/>
                    <pic:cNvPicPr>
                      <a:picLocks noChangeAspect="1" noChangeArrowheads="1"/>
                    </pic:cNvPicPr>
                  </pic:nvPicPr>
                  <pic:blipFill>
                    <a:blip r:embed="rId89"/>
                    <a:stretch>
                      <a:fillRect/>
                    </a:stretch>
                  </pic:blipFill>
                  <pic:spPr bwMode="auto">
                    <a:xfrm>
                      <a:off x="0" y="0"/>
                      <a:ext cx="91440" cy="91440"/>
                    </a:xfrm>
                    <a:prstGeom prst="rect">
                      <a:avLst/>
                    </a:prstGeom>
                  </pic:spPr>
                </pic:pic>
              </a:graphicData>
            </a:graphic>
          </wp:inline>
        </w:drawing>
      </w:r>
      <w:r>
        <w:rPr>
          <w:rFonts w:ascii="ARIAL" w:hAnsi="ARIAL"/>
          <w:sz w:val="18"/>
        </w:rPr>
        <w:t xml:space="preserve"> Chair  </w:t>
      </w:r>
      <w:r>
        <w:rPr>
          <w:rFonts w:ascii="ARIAL" w:hAnsi="ARIAL"/>
          <w:sz w:val="18"/>
        </w:rPr>
        <w:drawing>
          <wp:inline distT="0" distB="0" distL="0" distR="0">
            <wp:extent cx="91440" cy="91440"/>
            <wp:effectExtent l="0" t="0" r="0" b="0"/>
            <wp:docPr id="9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3" descr=""/>
                    <pic:cNvPicPr>
                      <a:picLocks noChangeAspect="1" noChangeArrowheads="1"/>
                    </pic:cNvPicPr>
                  </pic:nvPicPr>
                  <pic:blipFill>
                    <a:blip r:embed="rId90"/>
                    <a:stretch>
                      <a:fillRect/>
                    </a:stretch>
                  </pic:blipFill>
                  <pic:spPr bwMode="auto">
                    <a:xfrm>
                      <a:off x="0" y="0"/>
                      <a:ext cx="91440" cy="91440"/>
                    </a:xfrm>
                    <a:prstGeom prst="rect">
                      <a:avLst/>
                    </a:prstGeom>
                  </pic:spPr>
                </pic:pic>
              </a:graphicData>
            </a:graphic>
          </wp:inline>
        </w:drawing>
      </w:r>
      <w:r>
        <w:rPr>
          <w:rFonts w:ascii="ARIAL" w:hAnsi="ARIAL"/>
          <w:sz w:val="18"/>
        </w:rPr>
        <w:t xml:space="preserve"> Member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505"/>
        <w:gridCol w:w="120"/>
        <w:gridCol w:w="188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9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4" descr=""/>
                          <pic:cNvPicPr>
                            <a:picLocks noChangeAspect="1" noChangeArrowheads="1"/>
                          </pic:cNvPicPr>
                        </pic:nvPicPr>
                        <pic:blipFill>
                          <a:blip r:embed="rId9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Director Nominee Experience Highlights </w:t>
      </w:r>
    </w:p>
    <w:p>
      <w:pPr>
        <w:pStyle w:val="TextBody"/>
        <w:bidi w:val="0"/>
        <w:spacing w:before="120" w:after="0"/>
        <w:jc w:val="left"/>
        <w:rPr>
          <w:rFonts w:ascii="ARIAL" w:hAnsi="ARIAL"/>
          <w:sz w:val="18"/>
        </w:rPr>
      </w:pPr>
      <w:r>
        <w:rPr>
          <w:rFonts w:ascii="ARIAL" w:hAnsi="ARIAL"/>
          <w:sz w:val="18"/>
        </w:rPr>
        <w:t xml:space="preserve">Our director nominees have a broad range of skills and experiences, including some or significant experience in the following: </w:t>
      </w:r>
    </w:p>
    <w:p>
      <w:pPr>
        <w:pStyle w:val="TextBody"/>
        <w:bidi w:val="0"/>
        <w:spacing w:before="0" w:after="0"/>
        <w:jc w:val="left"/>
        <w:rPr/>
      </w:pPr>
      <w:r>
        <w:rPr/>
        <w:t> </w:t>
      </w:r>
    </w:p>
    <w:tbl>
      <w:tblPr>
        <w:tblW w:w="10789" w:type="dxa"/>
        <w:jc w:val="left"/>
        <w:tblInd w:w="0" w:type="dxa"/>
        <w:tblLayout w:type="fixed"/>
        <w:tblCellMar>
          <w:top w:w="0" w:type="dxa"/>
          <w:left w:w="0" w:type="dxa"/>
          <w:bottom w:w="0" w:type="dxa"/>
          <w:right w:w="0" w:type="dxa"/>
        </w:tblCellMar>
      </w:tblPr>
      <w:tblGrid>
        <w:gridCol w:w="6486"/>
        <w:gridCol w:w="60"/>
        <w:gridCol w:w="4243"/>
      </w:tblGrid>
      <w:tr>
        <w:trPr/>
        <w:tc>
          <w:tcPr>
            <w:tcW w:w="6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3" w:type="dxa"/>
            <w:tcBorders/>
            <w:vAlign w:val="center"/>
          </w:tcPr>
          <w:p>
            <w:pPr>
              <w:pStyle w:val="TableContents"/>
              <w:bidi w:val="0"/>
              <w:spacing w:before="0" w:after="283"/>
              <w:jc w:val="left"/>
              <w:rPr>
                <w:sz w:val="4"/>
                <w:szCs w:val="4"/>
              </w:rPr>
            </w:pPr>
            <w:r>
              <w:rPr>
                <w:sz w:val="4"/>
                <w:szCs w:val="4"/>
              </w:rPr>
            </w:r>
          </w:p>
        </w:tc>
      </w:tr>
      <w:tr>
        <w:trPr/>
        <w:tc>
          <w:tcPr>
            <w:tcW w:w="6486" w:type="dxa"/>
            <w:tcBorders/>
            <w:vAlign w:val="center"/>
          </w:tcPr>
          <w:p>
            <w:pPr>
              <w:pStyle w:val="TableContents"/>
              <w:bidi w:val="0"/>
              <w:spacing w:before="0" w:after="0"/>
              <w:jc w:val="left"/>
              <w:rPr/>
            </w:pPr>
            <w:r>
              <w:rPr/>
              <w:drawing>
                <wp:inline distT="0" distB="0" distL="0" distR="0">
                  <wp:extent cx="2442845" cy="395605"/>
                  <wp:effectExtent l="0" t="0" r="0" b="0"/>
                  <wp:docPr id="9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5" descr=""/>
                          <pic:cNvPicPr>
                            <a:picLocks noChangeAspect="1" noChangeArrowheads="1"/>
                          </pic:cNvPicPr>
                        </pic:nvPicPr>
                        <pic:blipFill>
                          <a:blip r:embed="rId92"/>
                          <a:stretch>
                            <a:fillRect/>
                          </a:stretch>
                        </pic:blipFill>
                        <pic:spPr bwMode="auto">
                          <a:xfrm>
                            <a:off x="0" y="0"/>
                            <a:ext cx="244284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1575" cy="395605"/>
                  <wp:effectExtent l="0" t="0" r="0" b="0"/>
                  <wp:docPr id="10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6" descr=""/>
                          <pic:cNvPicPr>
                            <a:picLocks noChangeAspect="1" noChangeArrowheads="1"/>
                          </pic:cNvPicPr>
                        </pic:nvPicPr>
                        <pic:blipFill>
                          <a:blip r:embed="rId93"/>
                          <a:stretch>
                            <a:fillRect/>
                          </a:stretch>
                        </pic:blipFill>
                        <pic:spPr bwMode="auto">
                          <a:xfrm>
                            <a:off x="0" y="0"/>
                            <a:ext cx="244157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1575" cy="395605"/>
                  <wp:effectExtent l="0" t="0" r="0" b="0"/>
                  <wp:docPr id="10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7" descr=""/>
                          <pic:cNvPicPr>
                            <a:picLocks noChangeAspect="1" noChangeArrowheads="1"/>
                          </pic:cNvPicPr>
                        </pic:nvPicPr>
                        <pic:blipFill>
                          <a:blip r:embed="rId94"/>
                          <a:stretch>
                            <a:fillRect/>
                          </a:stretch>
                        </pic:blipFill>
                        <pic:spPr bwMode="auto">
                          <a:xfrm>
                            <a:off x="0" y="0"/>
                            <a:ext cx="244157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4115" cy="395605"/>
                  <wp:effectExtent l="0" t="0" r="0" b="0"/>
                  <wp:docPr id="10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8" descr=""/>
                          <pic:cNvPicPr>
                            <a:picLocks noChangeAspect="1" noChangeArrowheads="1"/>
                          </pic:cNvPicPr>
                        </pic:nvPicPr>
                        <pic:blipFill>
                          <a:blip r:embed="rId95"/>
                          <a:stretch>
                            <a:fillRect/>
                          </a:stretch>
                        </pic:blipFill>
                        <pic:spPr bwMode="auto">
                          <a:xfrm>
                            <a:off x="0" y="0"/>
                            <a:ext cx="244411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1575" cy="395605"/>
                  <wp:effectExtent l="0" t="0" r="0" b="0"/>
                  <wp:docPr id="10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9" descr=""/>
                          <pic:cNvPicPr>
                            <a:picLocks noChangeAspect="1" noChangeArrowheads="1"/>
                          </pic:cNvPicPr>
                        </pic:nvPicPr>
                        <pic:blipFill>
                          <a:blip r:embed="rId96"/>
                          <a:stretch>
                            <a:fillRect/>
                          </a:stretch>
                        </pic:blipFill>
                        <pic:spPr bwMode="auto">
                          <a:xfrm>
                            <a:off x="0" y="0"/>
                            <a:ext cx="244157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1575" cy="395605"/>
                  <wp:effectExtent l="0" t="0" r="0" b="0"/>
                  <wp:docPr id="10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0" descr=""/>
                          <pic:cNvPicPr>
                            <a:picLocks noChangeAspect="1" noChangeArrowheads="1"/>
                          </pic:cNvPicPr>
                        </pic:nvPicPr>
                        <pic:blipFill>
                          <a:blip r:embed="rId97"/>
                          <a:stretch>
                            <a:fillRect/>
                          </a:stretch>
                        </pic:blipFill>
                        <pic:spPr bwMode="auto">
                          <a:xfrm>
                            <a:off x="0" y="0"/>
                            <a:ext cx="244157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4109085" cy="594360"/>
                  <wp:effectExtent l="0" t="0" r="0" b="0"/>
                  <wp:docPr id="1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1" descr=""/>
                          <pic:cNvPicPr>
                            <a:picLocks noChangeAspect="1" noChangeArrowheads="1"/>
                          </pic:cNvPicPr>
                        </pic:nvPicPr>
                        <pic:blipFill>
                          <a:blip r:embed="rId98"/>
                          <a:stretch>
                            <a:fillRect/>
                          </a:stretch>
                        </pic:blipFill>
                        <pic:spPr bwMode="auto">
                          <a:xfrm>
                            <a:off x="0" y="0"/>
                            <a:ext cx="4109085" cy="59436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243" w:type="dxa"/>
            <w:tcBorders/>
            <w:vAlign w:val="center"/>
          </w:tcPr>
          <w:p>
            <w:pPr>
              <w:pStyle w:val="TableContents"/>
              <w:bidi w:val="0"/>
              <w:spacing w:before="0" w:after="0"/>
              <w:jc w:val="left"/>
              <w:rPr/>
            </w:pPr>
            <w:r>
              <w:rPr/>
              <w:drawing>
                <wp:inline distT="0" distB="0" distL="0" distR="0">
                  <wp:extent cx="2684780" cy="395605"/>
                  <wp:effectExtent l="0" t="0" r="0" b="0"/>
                  <wp:docPr id="10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2" descr=""/>
                          <pic:cNvPicPr>
                            <a:picLocks noChangeAspect="1" noChangeArrowheads="1"/>
                          </pic:cNvPicPr>
                        </pic:nvPicPr>
                        <pic:blipFill>
                          <a:blip r:embed="rId99"/>
                          <a:stretch>
                            <a:fillRect/>
                          </a:stretch>
                        </pic:blipFill>
                        <pic:spPr bwMode="auto">
                          <a:xfrm>
                            <a:off x="0" y="0"/>
                            <a:ext cx="2684780"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1575" cy="395605"/>
                  <wp:effectExtent l="0" t="0" r="0" b="0"/>
                  <wp:docPr id="10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3" descr=""/>
                          <pic:cNvPicPr>
                            <a:picLocks noChangeAspect="1" noChangeArrowheads="1"/>
                          </pic:cNvPicPr>
                        </pic:nvPicPr>
                        <pic:blipFill>
                          <a:blip r:embed="rId100"/>
                          <a:stretch>
                            <a:fillRect/>
                          </a:stretch>
                        </pic:blipFill>
                        <pic:spPr bwMode="auto">
                          <a:xfrm>
                            <a:off x="0" y="0"/>
                            <a:ext cx="244157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4115" cy="395605"/>
                  <wp:effectExtent l="0" t="0" r="0" b="0"/>
                  <wp:docPr id="1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4" descr=""/>
                          <pic:cNvPicPr>
                            <a:picLocks noChangeAspect="1" noChangeArrowheads="1"/>
                          </pic:cNvPicPr>
                        </pic:nvPicPr>
                        <pic:blipFill>
                          <a:blip r:embed="rId101"/>
                          <a:stretch>
                            <a:fillRect/>
                          </a:stretch>
                        </pic:blipFill>
                        <pic:spPr bwMode="auto">
                          <a:xfrm>
                            <a:off x="0" y="0"/>
                            <a:ext cx="244411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1575" cy="395605"/>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102"/>
                          <a:stretch>
                            <a:fillRect/>
                          </a:stretch>
                        </pic:blipFill>
                        <pic:spPr bwMode="auto">
                          <a:xfrm>
                            <a:off x="0" y="0"/>
                            <a:ext cx="244157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1575" cy="395605"/>
                  <wp:effectExtent l="0" t="0" r="0" b="0"/>
                  <wp:docPr id="1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6" descr=""/>
                          <pic:cNvPicPr>
                            <a:picLocks noChangeAspect="1" noChangeArrowheads="1"/>
                          </pic:cNvPicPr>
                        </pic:nvPicPr>
                        <pic:blipFill>
                          <a:blip r:embed="rId103"/>
                          <a:stretch>
                            <a:fillRect/>
                          </a:stretch>
                        </pic:blipFill>
                        <pic:spPr bwMode="auto">
                          <a:xfrm>
                            <a:off x="0" y="0"/>
                            <a:ext cx="2441575" cy="395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41575" cy="395605"/>
                  <wp:effectExtent l="0" t="0" r="0" b="0"/>
                  <wp:docPr id="1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7" descr=""/>
                          <pic:cNvPicPr>
                            <a:picLocks noChangeAspect="1" noChangeArrowheads="1"/>
                          </pic:cNvPicPr>
                        </pic:nvPicPr>
                        <pic:blipFill>
                          <a:blip r:embed="rId104"/>
                          <a:stretch>
                            <a:fillRect/>
                          </a:stretch>
                        </pic:blipFill>
                        <pic:spPr bwMode="auto">
                          <a:xfrm>
                            <a:off x="0" y="0"/>
                            <a:ext cx="2441575" cy="395605"/>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360" w:after="0"/>
        <w:jc w:val="left"/>
        <w:rPr>
          <w:rFonts w:ascii="ARIAL" w:hAnsi="ARIAL"/>
          <w:b/>
          <w:sz w:val="24"/>
        </w:rPr>
      </w:pPr>
      <w:r>
        <w:rPr>
          <w:rFonts w:ascii="ARIAL" w:hAnsi="ARIAL"/>
          <w:b/>
          <w:sz w:val="24"/>
        </w:rPr>
        <w:t xml:space="preserve">Key Director Attributes </w:t>
      </w:r>
    </w:p>
    <w:p>
      <w:pPr>
        <w:pStyle w:val="TextBody"/>
        <w:bidi w:val="0"/>
        <w:spacing w:before="0" w:after="0"/>
        <w:jc w:val="left"/>
        <w:rPr/>
      </w:pPr>
      <w:r>
        <w:rPr/>
        <w:t> </w:t>
      </w:r>
    </w:p>
    <w:tbl>
      <w:tblPr>
        <w:tblW w:w="8198" w:type="dxa"/>
        <w:jc w:val="left"/>
        <w:tblInd w:w="0" w:type="dxa"/>
        <w:tblLayout w:type="fixed"/>
        <w:tblCellMar>
          <w:top w:w="0" w:type="dxa"/>
          <w:left w:w="0" w:type="dxa"/>
          <w:bottom w:w="0" w:type="dxa"/>
          <w:right w:w="0" w:type="dxa"/>
        </w:tblCellMar>
      </w:tblPr>
      <w:tblGrid>
        <w:gridCol w:w="3263"/>
        <w:gridCol w:w="120"/>
        <w:gridCol w:w="1860"/>
        <w:gridCol w:w="120"/>
        <w:gridCol w:w="2835"/>
      </w:tblGrid>
      <w:tr>
        <w:trPr/>
        <w:tc>
          <w:tcPr>
            <w:tcW w:w="3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r>
      <w:tr>
        <w:trPr/>
        <w:tc>
          <w:tcPr>
            <w:tcW w:w="3263" w:type="dxa"/>
            <w:tcBorders/>
            <w:vAlign w:val="center"/>
          </w:tcPr>
          <w:p>
            <w:pPr>
              <w:pStyle w:val="TableContents"/>
              <w:bidi w:val="0"/>
              <w:spacing w:before="0" w:after="283"/>
              <w:jc w:val="left"/>
              <w:rPr>
                <w:sz w:val="4"/>
                <w:szCs w:val="4"/>
              </w:rPr>
            </w:pPr>
            <w:r>
              <w:rPr>
                <w:sz w:val="4"/>
                <w:szCs w:val="4"/>
              </w:rPr>
            </w:r>
          </w:p>
        </w:tc>
        <w:tc>
          <w:tcPr>
            <w:tcW w:w="1980" w:type="dxa"/>
            <w:gridSpan w:val="2"/>
            <w:tcBorders/>
            <w:vAlign w:val="center"/>
          </w:tcPr>
          <w:p>
            <w:pPr>
              <w:pStyle w:val="TableContents"/>
              <w:bidi w:val="0"/>
              <w:spacing w:before="0" w:after="283"/>
              <w:jc w:val="left"/>
              <w:rPr>
                <w:sz w:val="4"/>
                <w:szCs w:val="4"/>
              </w:rPr>
            </w:pPr>
            <w:r>
              <w:rPr>
                <w:sz w:val="4"/>
                <w:szCs w:val="4"/>
              </w:rPr>
            </w:r>
          </w:p>
        </w:tc>
        <w:tc>
          <w:tcPr>
            <w:tcW w:w="2955" w:type="dxa"/>
            <w:gridSpan w:val="2"/>
            <w:tcBorders/>
            <w:vAlign w:val="center"/>
          </w:tcPr>
          <w:p>
            <w:pPr>
              <w:pStyle w:val="TableContents"/>
              <w:bidi w:val="0"/>
              <w:spacing w:before="0" w:after="283"/>
              <w:jc w:val="left"/>
              <w:rPr>
                <w:sz w:val="4"/>
                <w:szCs w:val="4"/>
              </w:rPr>
            </w:pPr>
            <w:r>
              <w:rPr>
                <w:sz w:val="4"/>
                <w:szCs w:val="4"/>
              </w:rPr>
            </w:r>
          </w:p>
        </w:tc>
      </w:tr>
      <w:tr>
        <w:trPr/>
        <w:tc>
          <w:tcPr>
            <w:tcW w:w="3263" w:type="dxa"/>
            <w:tcBorders/>
            <w:vAlign w:val="center"/>
          </w:tcPr>
          <w:p>
            <w:pPr>
              <w:pStyle w:val="TableContents"/>
              <w:bidi w:val="0"/>
              <w:spacing w:before="0" w:after="0"/>
              <w:jc w:val="center"/>
              <w:rPr/>
            </w:pPr>
            <w:r>
              <w:rPr/>
              <w:drawing>
                <wp:inline distT="0" distB="0" distL="0" distR="0">
                  <wp:extent cx="1168400" cy="1547495"/>
                  <wp:effectExtent l="0" t="0" r="0" b="0"/>
                  <wp:docPr id="1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8" descr=""/>
                          <pic:cNvPicPr>
                            <a:picLocks noChangeAspect="1" noChangeArrowheads="1"/>
                          </pic:cNvPicPr>
                        </pic:nvPicPr>
                        <pic:blipFill>
                          <a:blip r:embed="rId105"/>
                          <a:stretch>
                            <a:fillRect/>
                          </a:stretch>
                        </pic:blipFill>
                        <pic:spPr bwMode="auto">
                          <a:xfrm>
                            <a:off x="0" y="0"/>
                            <a:ext cx="1168400" cy="154749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0"/>
              <w:jc w:val="center"/>
              <w:rPr/>
            </w:pPr>
            <w:r>
              <w:rPr/>
              <w:drawing>
                <wp:inline distT="0" distB="0" distL="0" distR="0">
                  <wp:extent cx="1143000" cy="1544955"/>
                  <wp:effectExtent l="0" t="0" r="0" b="0"/>
                  <wp:docPr id="11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9" descr=""/>
                          <pic:cNvPicPr>
                            <a:picLocks noChangeAspect="1" noChangeArrowheads="1"/>
                          </pic:cNvPicPr>
                        </pic:nvPicPr>
                        <pic:blipFill>
                          <a:blip r:embed="rId106"/>
                          <a:stretch>
                            <a:fillRect/>
                          </a:stretch>
                        </pic:blipFill>
                        <pic:spPr bwMode="auto">
                          <a:xfrm>
                            <a:off x="0" y="0"/>
                            <a:ext cx="1143000" cy="154495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center"/>
              <w:rPr/>
            </w:pPr>
            <w:r>
              <w:rPr/>
              <w:drawing>
                <wp:inline distT="0" distB="0" distL="0" distR="0">
                  <wp:extent cx="1752600" cy="1683385"/>
                  <wp:effectExtent l="0" t="0" r="0" b="0"/>
                  <wp:docPr id="11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0" descr=""/>
                          <pic:cNvPicPr>
                            <a:picLocks noChangeAspect="1" noChangeArrowheads="1"/>
                          </pic:cNvPicPr>
                        </pic:nvPicPr>
                        <pic:blipFill>
                          <a:blip r:embed="rId107"/>
                          <a:stretch>
                            <a:fillRect/>
                          </a:stretch>
                        </pic:blipFill>
                        <pic:spPr bwMode="auto">
                          <a:xfrm>
                            <a:off x="0" y="0"/>
                            <a:ext cx="1752600" cy="1683385"/>
                          </a:xfrm>
                          <a:prstGeom prst="rect">
                            <a:avLst/>
                          </a:prstGeom>
                        </pic:spPr>
                      </pic:pic>
                    </a:graphicData>
                  </a:graphic>
                </wp:inline>
              </w:drawing>
            </w:r>
            <w:r>
              <w:rPr/>
              <w:t xml:space="preserve"> </w:t>
            </w:r>
          </w:p>
        </w:tc>
      </w:tr>
      <w:tr>
        <w:trPr/>
        <w:tc>
          <w:tcPr>
            <w:tcW w:w="3263" w:type="dxa"/>
            <w:tcBorders/>
            <w:vAlign w:val="center"/>
          </w:tcPr>
          <w:p>
            <w:pPr>
              <w:pStyle w:val="TableContents"/>
              <w:bidi w:val="0"/>
              <w:spacing w:before="0" w:after="283"/>
              <w:jc w:val="left"/>
              <w:rPr>
                <w:sz w:val="4"/>
                <w:szCs w:val="4"/>
              </w:rPr>
            </w:pPr>
            <w:r>
              <w:rPr>
                <w:sz w:val="4"/>
                <w:szCs w:val="4"/>
              </w:rPr>
            </w:r>
          </w:p>
        </w:tc>
        <w:tc>
          <w:tcPr>
            <w:tcW w:w="1980" w:type="dxa"/>
            <w:gridSpan w:val="2"/>
            <w:tcBorders/>
            <w:vAlign w:val="center"/>
          </w:tcPr>
          <w:p>
            <w:pPr>
              <w:pStyle w:val="TableContents"/>
              <w:bidi w:val="0"/>
              <w:spacing w:before="0" w:after="283"/>
              <w:jc w:val="left"/>
              <w:rPr>
                <w:sz w:val="4"/>
                <w:szCs w:val="4"/>
              </w:rPr>
            </w:pPr>
            <w:r>
              <w:rPr>
                <w:sz w:val="4"/>
                <w:szCs w:val="4"/>
              </w:rPr>
            </w:r>
          </w:p>
        </w:tc>
        <w:tc>
          <w:tcPr>
            <w:tcW w:w="2955" w:type="dxa"/>
            <w:gridSpan w:val="2"/>
            <w:tcBorders/>
            <w:vAlign w:val="center"/>
          </w:tcPr>
          <w:p>
            <w:pPr>
              <w:pStyle w:val="TableContents"/>
              <w:bidi w:val="0"/>
              <w:spacing w:before="0" w:after="283"/>
              <w:jc w:val="left"/>
              <w:rPr>
                <w:sz w:val="4"/>
                <w:szCs w:val="4"/>
              </w:rPr>
            </w:pPr>
            <w:r>
              <w:rPr>
                <w:sz w:val="4"/>
                <w:szCs w:val="4"/>
              </w:rPr>
            </w:r>
          </w:p>
        </w:tc>
      </w:tr>
      <w:tr>
        <w:trPr/>
        <w:tc>
          <w:tcPr>
            <w:tcW w:w="3263" w:type="dxa"/>
            <w:tcBorders/>
            <w:vAlign w:val="center"/>
          </w:tcPr>
          <w:p>
            <w:pPr>
              <w:pStyle w:val="TableContents"/>
              <w:bidi w:val="0"/>
              <w:spacing w:before="0" w:after="283"/>
              <w:jc w:val="center"/>
              <w:rPr/>
            </w:pPr>
            <w:r>
              <w:rPr/>
              <w:drawing>
                <wp:inline distT="0" distB="0" distL="0" distR="0">
                  <wp:extent cx="2024380" cy="1546225"/>
                  <wp:effectExtent l="0" t="0" r="0" b="0"/>
                  <wp:docPr id="11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1" descr=""/>
                          <pic:cNvPicPr>
                            <a:picLocks noChangeAspect="1" noChangeArrowheads="1"/>
                          </pic:cNvPicPr>
                        </pic:nvPicPr>
                        <pic:blipFill>
                          <a:blip r:embed="rId108"/>
                          <a:stretch>
                            <a:fillRect/>
                          </a:stretch>
                        </pic:blipFill>
                        <pic:spPr bwMode="auto">
                          <a:xfrm>
                            <a:off x="0" y="0"/>
                            <a:ext cx="2024380" cy="15462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center"/>
              <w:rPr/>
            </w:pPr>
            <w:r>
              <w:rPr/>
              <w:drawing>
                <wp:inline distT="0" distB="0" distL="0" distR="0">
                  <wp:extent cx="1143000" cy="1690370"/>
                  <wp:effectExtent l="0" t="0" r="0" b="0"/>
                  <wp:docPr id="11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2" descr=""/>
                          <pic:cNvPicPr>
                            <a:picLocks noChangeAspect="1" noChangeArrowheads="1"/>
                          </pic:cNvPicPr>
                        </pic:nvPicPr>
                        <pic:blipFill>
                          <a:blip r:embed="rId109"/>
                          <a:stretch>
                            <a:fillRect/>
                          </a:stretch>
                        </pic:blipFill>
                        <pic:spPr bwMode="auto">
                          <a:xfrm>
                            <a:off x="0" y="0"/>
                            <a:ext cx="1143000" cy="169037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center"/>
              <w:rPr/>
            </w:pPr>
            <w:r>
              <w:rPr/>
              <w:drawing>
                <wp:inline distT="0" distB="0" distL="0" distR="0">
                  <wp:extent cx="1143000" cy="1690370"/>
                  <wp:effectExtent l="0" t="0" r="0" b="0"/>
                  <wp:docPr id="11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3" descr=""/>
                          <pic:cNvPicPr>
                            <a:picLocks noChangeAspect="1" noChangeArrowheads="1"/>
                          </pic:cNvPicPr>
                        </pic:nvPicPr>
                        <pic:blipFill>
                          <a:blip r:embed="rId110"/>
                          <a:stretch>
                            <a:fillRect/>
                          </a:stretch>
                        </pic:blipFill>
                        <pic:spPr bwMode="auto">
                          <a:xfrm>
                            <a:off x="0" y="0"/>
                            <a:ext cx="1143000" cy="1690370"/>
                          </a:xfrm>
                          <a:prstGeom prst="rect">
                            <a:avLst/>
                          </a:prstGeom>
                        </pic:spPr>
                      </pic:pic>
                    </a:graphicData>
                  </a:graphic>
                </wp:inline>
              </w:drawing>
            </w:r>
            <w:r>
              <w:rPr/>
              <w:t xml:space="preserve"> </w:t>
            </w:r>
          </w:p>
        </w:tc>
      </w:tr>
    </w:tbl>
    <w:tbl>
      <w:tblPr>
        <w:tblW w:w="3655" w:type="dxa"/>
        <w:jc w:val="left"/>
        <w:tblInd w:w="0" w:type="dxa"/>
        <w:tblLayout w:type="fixed"/>
        <w:tblCellMar>
          <w:top w:w="0" w:type="dxa"/>
          <w:left w:w="0" w:type="dxa"/>
          <w:bottom w:w="0" w:type="dxa"/>
          <w:right w:w="0" w:type="dxa"/>
        </w:tblCellMar>
      </w:tblPr>
      <w:tblGrid>
        <w:gridCol w:w="155"/>
        <w:gridCol w:w="3500"/>
      </w:tblGrid>
      <w:tr>
        <w:trPr/>
        <w:tc>
          <w:tcPr>
            <w:tcW w:w="155" w:type="dxa"/>
            <w:tcBorders/>
            <w:vAlign w:val="center"/>
          </w:tcPr>
          <w:p>
            <w:pPr>
              <w:pStyle w:val="TableContents"/>
              <w:bidi w:val="0"/>
              <w:spacing w:before="0" w:after="283"/>
              <w:jc w:val="left"/>
              <w:rPr>
                <w:i/>
              </w:rPr>
            </w:pPr>
            <w:r>
              <w:rPr>
                <w:i/>
              </w:rPr>
              <w:t>*</w:t>
            </w:r>
          </w:p>
        </w:tc>
        <w:tc>
          <w:tcPr>
            <w:tcW w:w="3500" w:type="dxa"/>
            <w:tcBorders/>
            <w:vAlign w:val="center"/>
          </w:tcPr>
          <w:p>
            <w:pPr>
              <w:pStyle w:val="TableContents"/>
              <w:bidi w:val="0"/>
              <w:spacing w:before="0" w:after="0"/>
              <w:jc w:val="left"/>
              <w:rPr>
                <w:rFonts w:ascii="ARIAL" w:hAnsi="ARIAL"/>
                <w:i/>
                <w:sz w:val="16"/>
              </w:rPr>
            </w:pPr>
            <w:r>
              <w:rPr>
                <w:rFonts w:ascii="ARIAL" w:hAnsi="ARIAL"/>
                <w:i/>
                <w:sz w:val="16"/>
              </w:rPr>
              <w:t xml:space="preserve">Key Director Attributes are as of April 28, 2026.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11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4" descr=""/>
                          <pic:cNvPicPr>
                            <a:picLocks noChangeAspect="1" noChangeArrowheads="1"/>
                          </pic:cNvPicPr>
                        </pic:nvPicPr>
                        <pic:blipFill>
                          <a:blip r:embed="rId11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2267585" cy="8719820"/>
                <wp:effectExtent l="0" t="0" r="0" b="0"/>
                <wp:wrapSquare wrapText="right"/>
                <wp:docPr id="119" name="Frame10"/>
                <a:graphic xmlns:a="http://schemas.openxmlformats.org/drawingml/2006/main">
                  <a:graphicData uri="http://schemas.microsoft.com/office/word/2010/wordprocessingShape">
                    <wps:wsp>
                      <wps:cNvSpPr txBox="1"/>
                      <wps:spPr>
                        <a:xfrm>
                          <a:off x="0" y="0"/>
                          <a:ext cx="2267585" cy="8719820"/>
                        </a:xfrm>
                        <a:prstGeom prst="rect"/>
                        <a:solidFill>
                          <a:srgbClr val="FFFFFF"/>
                        </a:solidFill>
                      </wps:spPr>
                      <wps:txbx>
                        <w:txbxContent>
                          <w:p>
                            <w:pPr>
                              <w:pStyle w:val="TextBody"/>
                              <w:bidi w:val="0"/>
                              <w:spacing w:before="0" w:after="0"/>
                              <w:jc w:val="left"/>
                              <w:rPr/>
                            </w:pPr>
                            <w:r>
                              <w:rPr/>
                              <w:drawing>
                                <wp:inline distT="0" distB="0" distL="0" distR="0">
                                  <wp:extent cx="2286000" cy="8686800"/>
                                  <wp:effectExtent l="0" t="0" r="0" b="0"/>
                                  <wp:docPr id="12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7" descr=""/>
                                          <pic:cNvPicPr>
                                            <a:picLocks noChangeAspect="1" noChangeArrowheads="1"/>
                                          </pic:cNvPicPr>
                                        </pic:nvPicPr>
                                        <pic:blipFill>
                                          <a:blip r:embed="rId112"/>
                                          <a:stretch>
                                            <a:fillRect/>
                                          </a:stretch>
                                        </pic:blipFill>
                                        <pic:spPr bwMode="auto">
                                          <a:xfrm>
                                            <a:off x="0" y="0"/>
                                            <a:ext cx="2286000" cy="868680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35000</wp14:pctWidth>
                </wp14:sizeRelH>
              </wp:anchor>
            </w:drawing>
          </mc:Choice>
          <mc:Fallback>
            <w:pict>
              <v:rect style="position:absolute;rotation:-0;width:178.55pt;height:686.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2286000" cy="8686800"/>
                            <wp:effectExtent l="0" t="0" r="0" b="0"/>
                            <wp:docPr id="12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7" descr=""/>
                                    <pic:cNvPicPr>
                                      <a:picLocks noChangeAspect="1" noChangeArrowheads="1"/>
                                    </pic:cNvPicPr>
                                  </pic:nvPicPr>
                                  <pic:blipFill>
                                    <a:blip r:embed="rId113"/>
                                    <a:stretch>
                                      <a:fillRect/>
                                    </a:stretch>
                                  </pic:blipFill>
                                  <pic:spPr bwMode="auto">
                                    <a:xfrm>
                                      <a:off x="0" y="0"/>
                                      <a:ext cx="2286000" cy="86868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4017645" cy="9972040"/>
                <wp:effectExtent l="0" t="0" r="0" b="0"/>
                <wp:wrapSquare wrapText="right"/>
                <wp:docPr id="122" name="Frame9"/>
                <a:graphic xmlns:a="http://schemas.openxmlformats.org/drawingml/2006/main">
                  <a:graphicData uri="http://schemas.microsoft.com/office/word/2010/wordprocessingShape">
                    <wps:wsp>
                      <wps:cNvSpPr txBox="1"/>
                      <wps:spPr>
                        <a:xfrm>
                          <a:off x="0" y="0"/>
                          <a:ext cx="4017645" cy="9972040"/>
                        </a:xfrm>
                        <a:prstGeom prst="rect"/>
                        <a:solidFill>
                          <a:srgbClr val="FFFFFF"/>
                        </a:solidFill>
                      </wps:spPr>
                      <wps:txbx>
                        <w:txbxContent>
                          <w:p>
                            <w:pPr>
                              <w:pStyle w:val="TextBody"/>
                              <w:bidi w:val="0"/>
                              <w:spacing w:lineRule="atLeast" w:line="240" w:before="0" w:after="0"/>
                              <w:jc w:val="left"/>
                              <w:rPr>
                                <w:rFonts w:ascii="ARIAL" w:hAnsi="ARIAL"/>
                                <w:b/>
                                <w:sz w:val="24"/>
                              </w:rPr>
                            </w:pPr>
                            <w:r>
                              <w:rPr>
                                <w:rFonts w:ascii="ARIAL" w:hAnsi="ARIAL"/>
                                <w:b/>
                                <w:sz w:val="24"/>
                              </w:rPr>
                              <w:t xml:space="preserve">Board Refreshment and Tenure Profile </w:t>
                            </w:r>
                          </w:p>
                          <w:p>
                            <w:pPr>
                              <w:pStyle w:val="TextBody"/>
                              <w:bidi w:val="0"/>
                              <w:spacing w:lineRule="atLeast" w:line="200" w:before="80" w:after="0"/>
                              <w:jc w:val="left"/>
                              <w:rPr>
                                <w:rFonts w:ascii="ARIAL" w:hAnsi="ARIAL"/>
                                <w:sz w:val="18"/>
                              </w:rPr>
                            </w:pPr>
                            <w:r>
                              <w:rPr>
                                <w:rFonts w:ascii="ARIAL" w:hAnsi="ARIAL"/>
                                <w:sz w:val="18"/>
                              </w:rPr>
                              <w:t xml:space="preserve">We regularly evaluate the Board’s composition to ensure that we have the right mix of skill and experience and tenure profile to oversee the ongoing execution of our strategy as we work to enhance stockholder value. We also regularly engage with our stockholders to understand their perspectives on many important topics. Our Board values the views of our stockholders regarding board composition and tenure and, in response to stockholder input, has made board refreshment a priority. Since 2023, we have significantly refreshed the Board by adding an independent director in 2023, and replacing three retired directors with three new independent directors in 2025. As a result, more than half of our independent directors have joined since 2023, bringing fresh perspectives and capital allocation and capital deployment experiences to support our long-term growth strategy. </w:t>
                            </w:r>
                          </w:p>
                          <w:p>
                            <w:pPr>
                              <w:pStyle w:val="TextBody"/>
                              <w:bidi w:val="0"/>
                              <w:spacing w:lineRule="atLeast" w:line="240" w:before="360" w:after="0"/>
                              <w:jc w:val="left"/>
                              <w:rPr>
                                <w:rFonts w:ascii="ARIAL" w:hAnsi="ARIAL"/>
                                <w:b/>
                                <w:sz w:val="24"/>
                              </w:rPr>
                            </w:pPr>
                            <w:r>
                              <w:rPr>
                                <w:rFonts w:ascii="ARIAL" w:hAnsi="ARIAL"/>
                                <w:b/>
                                <w:sz w:val="24"/>
                              </w:rPr>
                              <w:t xml:space="preserve">Committee Rotations </w:t>
                            </w:r>
                          </w:p>
                          <w:p>
                            <w:pPr>
                              <w:pStyle w:val="TextBody"/>
                              <w:bidi w:val="0"/>
                              <w:spacing w:lineRule="atLeast" w:line="200" w:before="80" w:after="0"/>
                              <w:jc w:val="left"/>
                              <w:rPr>
                                <w:rFonts w:ascii="ARIAL" w:hAnsi="ARIAL"/>
                                <w:sz w:val="18"/>
                              </w:rPr>
                            </w:pPr>
                            <w:r>
                              <w:rPr>
                                <w:rFonts w:ascii="ARIAL" w:hAnsi="ARIAL"/>
                                <w:sz w:val="18"/>
                              </w:rPr>
                              <w:t xml:space="preserve">In 2025, the Board reconstituted its committees as part of its ongoing evaluation of Board composition and committee effectiveness. Following the re-election of directors at the 2025 Annual Meeting of Stockholders, the Board reconstituted the independent committees to align committee leadership and membership with directors’ skills, experience, and the Company’s evolving priorities. Mr. Hill advised the Board of his intention to step down as Chair of the Audit Committee, following the 2026 Annual Meeting, while remaining a member of the Audit Committee to ensure a smooth transition. In connection with this change, the Board expects to appoint Ms. Glaser as Chair of the Audit Committee. </w:t>
                            </w:r>
                          </w:p>
                          <w:p>
                            <w:pPr>
                              <w:pStyle w:val="TextBody"/>
                              <w:bidi w:val="0"/>
                              <w:spacing w:before="0" w:after="0"/>
                              <w:jc w:val="left"/>
                              <w:rPr/>
                            </w:pPr>
                            <w:r>
                              <w:rPr/>
                              <w:t> </w:t>
                            </w:r>
                          </w:p>
                          <w:tbl>
                            <w:tblPr>
                              <w:tblW w:w="6360" w:type="dxa"/>
                              <w:jc w:val="left"/>
                              <w:tblInd w:w="0" w:type="dxa"/>
                              <w:tblLayout w:type="fixed"/>
                              <w:tblCellMar>
                                <w:top w:w="0" w:type="dxa"/>
                                <w:left w:w="0" w:type="dxa"/>
                                <w:bottom w:w="0" w:type="dxa"/>
                                <w:right w:w="0" w:type="dxa"/>
                              </w:tblCellMar>
                            </w:tblPr>
                            <w:tblGrid>
                              <w:gridCol w:w="1805"/>
                              <w:gridCol w:w="60"/>
                              <w:gridCol w:w="2510"/>
                              <w:gridCol w:w="60"/>
                              <w:gridCol w:w="1925"/>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0054BA" w:val="clear"/>
                                  <w:vAlign w:val="center"/>
                                </w:tcPr>
                                <w:p>
                                  <w:pPr>
                                    <w:pStyle w:val="TableContents"/>
                                    <w:bidi w:val="0"/>
                                    <w:spacing w:before="0" w:after="283"/>
                                    <w:jc w:val="left"/>
                                    <w:rPr>
                                      <w:sz w:val="4"/>
                                      <w:szCs w:val="4"/>
                                    </w:rPr>
                                  </w:pPr>
                                  <w:r>
                                    <w:rPr>
                                      <w:sz w:val="4"/>
                                      <w:szCs w:val="4"/>
                                    </w:rPr>
                                  </w:r>
                                </w:p>
                              </w:tc>
                              <w:tc>
                                <w:tcPr>
                                  <w:tcW w:w="2570" w:type="dxa"/>
                                  <w:gridSpan w:val="2"/>
                                  <w:tcBorders>
                                    <w:left w:val="single" w:sz="6" w:space="0" w:color="FFFFFF"/>
                                    <w:right w:val="single" w:sz="6" w:space="0" w:color="FFFFFF"/>
                                  </w:tcBorders>
                                  <w:shd w:fill="0054BA" w:val="clear"/>
                                  <w:tcMar>
                                    <w:left w:w="28" w:type="dxa"/>
                                    <w:right w:w="28" w:type="dxa"/>
                                  </w:tcMar>
                                  <w:vAlign w:val="center"/>
                                </w:tcPr>
                                <w:p>
                                  <w:pPr>
                                    <w:pStyle w:val="TableContents"/>
                                    <w:bidi w:val="0"/>
                                    <w:spacing w:before="0" w:after="283"/>
                                    <w:jc w:val="left"/>
                                    <w:rPr/>
                                  </w:pPr>
                                  <w:r>
                                    <w:rPr/>
                                    <w:t> </w:t>
                                  </w:r>
                                </w:p>
                              </w:tc>
                              <w:tc>
                                <w:tcPr>
                                  <w:tcW w:w="1985"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1805" w:type="dxa"/>
                                  <w:tcBorders/>
                                  <w:shd w:fill="0054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AUDIT</w:t>
                                  </w:r>
                                </w:p>
                                <w:p>
                                  <w:pPr>
                                    <w:pStyle w:val="TableContents"/>
                                    <w:bidi w:val="0"/>
                                    <w:spacing w:before="0" w:after="20"/>
                                    <w:jc w:val="center"/>
                                    <w:rPr>
                                      <w:rFonts w:ascii="ARIAL" w:hAnsi="ARIAL"/>
                                      <w:b/>
                                      <w:color w:val="FFFFFF"/>
                                      <w:sz w:val="18"/>
                                    </w:rPr>
                                  </w:pPr>
                                  <w:r>
                                    <w:rPr>
                                      <w:rFonts w:ascii="ARIAL" w:hAnsi="ARIAL"/>
                                      <w:b/>
                                      <w:color w:val="FFFFFF"/>
                                      <w:sz w:val="18"/>
                                    </w:rPr>
                                    <w:t>COMMITTEE</w:t>
                                  </w:r>
                                </w:p>
                              </w:tc>
                              <w:tc>
                                <w:tcPr>
                                  <w:tcW w:w="60" w:type="dxa"/>
                                  <w:tcBorders>
                                    <w:left w:val="single" w:sz="6" w:space="0" w:color="FFFFFF"/>
                                  </w:tcBorders>
                                  <w:shd w:fill="0054BA" w:val="clear"/>
                                  <w:tcMar>
                                    <w:left w:w="28" w:type="dxa"/>
                                  </w:tcMar>
                                  <w:vAlign w:val="center"/>
                                </w:tcPr>
                                <w:p>
                                  <w:pPr>
                                    <w:pStyle w:val="TableContents"/>
                                    <w:bidi w:val="0"/>
                                    <w:spacing w:before="0" w:after="283"/>
                                    <w:jc w:val="left"/>
                                    <w:rPr/>
                                  </w:pPr>
                                  <w:r>
                                    <w:rPr/>
                                    <w:t> </w:t>
                                  </w:r>
                                </w:p>
                              </w:tc>
                              <w:tc>
                                <w:tcPr>
                                  <w:tcW w:w="2510" w:type="dxa"/>
                                  <w:tcBorders>
                                    <w:right w:val="single" w:sz="6" w:space="0" w:color="FFFFFF"/>
                                  </w:tcBorders>
                                  <w:shd w:fill="0054BA"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COMPENSATION</w:t>
                                  </w:r>
                                </w:p>
                                <w:p>
                                  <w:pPr>
                                    <w:pStyle w:val="TableContents"/>
                                    <w:bidi w:val="0"/>
                                    <w:spacing w:before="0" w:after="20"/>
                                    <w:jc w:val="center"/>
                                    <w:rPr>
                                      <w:rFonts w:ascii="ARIAL" w:hAnsi="ARIAL"/>
                                      <w:b/>
                                      <w:color w:val="FFFFFF"/>
                                      <w:sz w:val="18"/>
                                    </w:rPr>
                                  </w:pPr>
                                  <w:r>
                                    <w:rPr>
                                      <w:rFonts w:ascii="ARIAL" w:hAnsi="ARIAL"/>
                                      <w:b/>
                                      <w:color w:val="FFFFFF"/>
                                      <w:sz w:val="18"/>
                                    </w:rPr>
                                    <w:t>COMMITTEE</w:t>
                                  </w:r>
                                </w:p>
                              </w:tc>
                              <w:tc>
                                <w:tcPr>
                                  <w:tcW w:w="60" w:type="dxa"/>
                                  <w:tcBorders/>
                                  <w:shd w:fill="0054BA" w:val="clear"/>
                                  <w:vAlign w:val="center"/>
                                </w:tcPr>
                                <w:p>
                                  <w:pPr>
                                    <w:pStyle w:val="TableContents"/>
                                    <w:bidi w:val="0"/>
                                    <w:spacing w:before="0" w:after="283"/>
                                    <w:jc w:val="left"/>
                                    <w:rPr/>
                                  </w:pPr>
                                  <w:r>
                                    <w:rPr/>
                                    <w:t> </w:t>
                                  </w:r>
                                </w:p>
                              </w:tc>
                              <w:tc>
                                <w:tcPr>
                                  <w:tcW w:w="1925" w:type="dxa"/>
                                  <w:tcBorders/>
                                  <w:shd w:fill="0054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NOMINATING</w:t>
                                  </w:r>
                                </w:p>
                                <w:p>
                                  <w:pPr>
                                    <w:pStyle w:val="TableContents"/>
                                    <w:bidi w:val="0"/>
                                    <w:spacing w:before="0" w:after="0"/>
                                    <w:jc w:val="center"/>
                                    <w:rPr>
                                      <w:rFonts w:ascii="ARIAL" w:hAnsi="ARIAL"/>
                                      <w:b/>
                                      <w:color w:val="FFFFFF"/>
                                      <w:sz w:val="18"/>
                                    </w:rPr>
                                  </w:pPr>
                                  <w:r>
                                    <w:rPr>
                                      <w:rFonts w:ascii="ARIAL" w:hAnsi="ARIAL"/>
                                      <w:b/>
                                      <w:color w:val="FFFFFF"/>
                                      <w:sz w:val="18"/>
                                    </w:rPr>
                                    <w:t>AND CORPORATE</w:t>
                                  </w:r>
                                </w:p>
                                <w:p>
                                  <w:pPr>
                                    <w:pStyle w:val="TableContents"/>
                                    <w:bidi w:val="0"/>
                                    <w:spacing w:before="0" w:after="0"/>
                                    <w:jc w:val="center"/>
                                    <w:rPr>
                                      <w:rFonts w:ascii="ARIAL" w:hAnsi="ARIAL"/>
                                      <w:b/>
                                      <w:color w:val="FFFFFF"/>
                                      <w:sz w:val="18"/>
                                    </w:rPr>
                                  </w:pPr>
                                  <w:r>
                                    <w:rPr>
                                      <w:rFonts w:ascii="ARIAL" w:hAnsi="ARIAL"/>
                                      <w:b/>
                                      <w:color w:val="FFFFFF"/>
                                      <w:sz w:val="18"/>
                                    </w:rPr>
                                    <w:t>GOVERNANCE</w:t>
                                  </w:r>
                                </w:p>
                                <w:p>
                                  <w:pPr>
                                    <w:pStyle w:val="TableContents"/>
                                    <w:bidi w:val="0"/>
                                    <w:spacing w:before="0" w:after="20"/>
                                    <w:jc w:val="center"/>
                                    <w:rPr>
                                      <w:rFonts w:ascii="ARIAL" w:hAnsi="ARIAL"/>
                                      <w:b/>
                                      <w:color w:val="FFFFFF"/>
                                      <w:sz w:val="18"/>
                                    </w:rPr>
                                  </w:pPr>
                                  <w:r>
                                    <w:rPr>
                                      <w:rFonts w:ascii="ARIAL" w:hAnsi="ARIAL"/>
                                      <w:b/>
                                      <w:color w:val="FFFFFF"/>
                                      <w:sz w:val="18"/>
                                    </w:rPr>
                                    <w:t>COMMITTEE</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57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John W. Hill (</w:t>
                                  </w:r>
                                  <w:r>
                                    <w:rPr>
                                      <w:rFonts w:ascii="ARIAL" w:hAnsi="ARIAL"/>
                                      <w:i/>
                                      <w:sz w:val="18"/>
                                    </w:rPr>
                                    <w:t>Chair</w:t>
                                  </w:r>
                                  <w:r>
                                    <w:rPr>
                                      <w:rFonts w:ascii="ARIAL" w:hAnsi="ARIAL"/>
                                      <w:sz w:val="18"/>
                                    </w:rPr>
                                    <w:t>)</w:t>
                                  </w:r>
                                </w:p>
                                <w:p>
                                  <w:pPr>
                                    <w:pStyle w:val="TableContents"/>
                                    <w:bidi w:val="0"/>
                                    <w:spacing w:before="0" w:after="0"/>
                                    <w:jc w:val="left"/>
                                    <w:rPr>
                                      <w:rFonts w:ascii="ARIAL" w:hAnsi="ARIAL"/>
                                      <w:sz w:val="18"/>
                                    </w:rPr>
                                  </w:pPr>
                                  <w:r>
                                    <w:rPr>
                                      <w:rFonts w:ascii="ARIAL" w:hAnsi="ARIAL"/>
                                      <w:sz w:val="18"/>
                                    </w:rPr>
                                    <w:t>Angelique G. Brunner</w:t>
                                  </w:r>
                                </w:p>
                                <w:p>
                                  <w:pPr>
                                    <w:pStyle w:val="TableContents"/>
                                    <w:bidi w:val="0"/>
                                    <w:spacing w:before="0" w:after="0"/>
                                    <w:jc w:val="left"/>
                                    <w:rPr>
                                      <w:rFonts w:ascii="ARIAL" w:hAnsi="ARIAL"/>
                                      <w:sz w:val="18"/>
                                    </w:rPr>
                                  </w:pPr>
                                  <w:r>
                                    <w:rPr>
                                      <w:rFonts w:ascii="ARIAL" w:hAnsi="ARIAL"/>
                                      <w:sz w:val="18"/>
                                    </w:rPr>
                                    <w:t>Rachel C. Glaser</w:t>
                                  </w:r>
                                </w:p>
                                <w:p>
                                  <w:pPr>
                                    <w:pStyle w:val="TableContents"/>
                                    <w:bidi w:val="0"/>
                                    <w:spacing w:before="0" w:after="20"/>
                                    <w:jc w:val="left"/>
                                    <w:rPr>
                                      <w:rFonts w:ascii="ARIAL" w:hAnsi="ARIAL"/>
                                      <w:sz w:val="18"/>
                                    </w:rPr>
                                  </w:pPr>
                                  <w:r>
                                    <w:rPr>
                                      <w:rFonts w:ascii="ARIAL" w:hAnsi="ARIAL"/>
                                      <w:sz w:val="18"/>
                                    </w:rPr>
                                    <w:t>Louise S. Sams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10" w:type="dxa"/>
                                  <w:tcBorders>
                                    <w:bottom w:val="single" w:sz="6" w:space="0" w:color="000000"/>
                                    <w:right w:val="single" w:sz="6" w:space="0" w:color="000000"/>
                                  </w:tcBorders>
                                  <w:tcMar>
                                    <w:bottom w:w="100" w:type="dxa"/>
                                    <w:right w:w="28" w:type="dxa"/>
                                  </w:tcMar>
                                  <w:vAlign w:val="center"/>
                                </w:tcPr>
                                <w:p>
                                  <w:pPr>
                                    <w:pStyle w:val="TableContents"/>
                                    <w:bidi w:val="0"/>
                                    <w:spacing w:before="0" w:after="0"/>
                                    <w:jc w:val="left"/>
                                    <w:rPr>
                                      <w:rFonts w:ascii="ARIAL" w:hAnsi="ARIAL"/>
                                      <w:sz w:val="18"/>
                                    </w:rPr>
                                  </w:pPr>
                                  <w:r>
                                    <w:rPr>
                                      <w:rFonts w:ascii="ARIAL" w:hAnsi="ARIAL"/>
                                      <w:sz w:val="18"/>
                                    </w:rPr>
                                    <w:t>Robert W. Musslewhite (</w:t>
                                  </w:r>
                                  <w:r>
                                    <w:rPr>
                                      <w:rFonts w:ascii="ARIAL" w:hAnsi="ARIAL"/>
                                      <w:i/>
                                      <w:sz w:val="18"/>
                                    </w:rPr>
                                    <w:t>Chair</w:t>
                                  </w:r>
                                  <w:r>
                                    <w:rPr>
                                      <w:rFonts w:ascii="ARIAL" w:hAnsi="ARIAL"/>
                                      <w:sz w:val="18"/>
                                    </w:rPr>
                                    <w:t>)</w:t>
                                  </w:r>
                                </w:p>
                                <w:p>
                                  <w:pPr>
                                    <w:pStyle w:val="TableContents"/>
                                    <w:bidi w:val="0"/>
                                    <w:spacing w:before="0" w:after="0"/>
                                    <w:jc w:val="left"/>
                                    <w:rPr>
                                      <w:rFonts w:ascii="ARIAL" w:hAnsi="ARIAL"/>
                                      <w:sz w:val="18"/>
                                    </w:rPr>
                                  </w:pPr>
                                  <w:r>
                                    <w:rPr>
                                      <w:rFonts w:ascii="ARIAL" w:hAnsi="ARIAL"/>
                                      <w:sz w:val="18"/>
                                    </w:rPr>
                                    <w:t>John L. Berisford</w:t>
                                  </w:r>
                                </w:p>
                                <w:p>
                                  <w:pPr>
                                    <w:pStyle w:val="TableContents"/>
                                    <w:bidi w:val="0"/>
                                    <w:spacing w:before="0" w:after="20"/>
                                    <w:jc w:val="left"/>
                                    <w:rPr>
                                      <w:rFonts w:ascii="ARIAL" w:hAnsi="ARIAL"/>
                                      <w:sz w:val="18"/>
                                    </w:rPr>
                                  </w:pPr>
                                  <w:r>
                                    <w:rPr>
                                      <w:rFonts w:ascii="ARIAL" w:hAnsi="ARIAL"/>
                                      <w:sz w:val="18"/>
                                    </w:rPr>
                                    <w:t>Angelique G. Brunner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2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Louise S. Sams (</w:t>
                                  </w:r>
                                  <w:r>
                                    <w:rPr>
                                      <w:rFonts w:ascii="ARIAL" w:hAnsi="ARIAL"/>
                                      <w:i/>
                                      <w:sz w:val="18"/>
                                    </w:rPr>
                                    <w:t>Chair</w:t>
                                  </w:r>
                                  <w:r>
                                    <w:rPr>
                                      <w:rFonts w:ascii="ARIAL" w:hAnsi="ARIAL"/>
                                      <w:sz w:val="18"/>
                                    </w:rPr>
                                    <w:t>)</w:t>
                                  </w:r>
                                </w:p>
                                <w:p>
                                  <w:pPr>
                                    <w:pStyle w:val="TableContents"/>
                                    <w:bidi w:val="0"/>
                                    <w:spacing w:before="0" w:after="0"/>
                                    <w:jc w:val="left"/>
                                    <w:rPr>
                                      <w:rFonts w:ascii="ARIAL" w:hAnsi="ARIAL"/>
                                      <w:sz w:val="18"/>
                                    </w:rPr>
                                  </w:pPr>
                                  <w:r>
                                    <w:rPr>
                                      <w:rFonts w:ascii="ARIAL" w:hAnsi="ARIAL"/>
                                      <w:sz w:val="18"/>
                                    </w:rPr>
                                    <w:t>Rachel C. Glaser</w:t>
                                  </w:r>
                                </w:p>
                                <w:p>
                                  <w:pPr>
                                    <w:pStyle w:val="TableContents"/>
                                    <w:bidi w:val="0"/>
                                    <w:spacing w:before="0" w:after="20"/>
                                    <w:jc w:val="left"/>
                                    <w:rPr>
                                      <w:rFonts w:ascii="ARIAL" w:hAnsi="ARIAL"/>
                                      <w:sz w:val="18"/>
                                    </w:rPr>
                                  </w:pPr>
                                  <w:r>
                                    <w:rPr>
                                      <w:rFonts w:ascii="ARIAL" w:hAnsi="ARIAL"/>
                                      <w:sz w:val="18"/>
                                    </w:rPr>
                                    <w:t>Christine M. McCarthy</w:t>
                                  </w:r>
                                </w:p>
                              </w:tc>
                            </w:tr>
                          </w:tbl>
                          <w:p>
                            <w:pPr>
                              <w:pStyle w:val="TextBody"/>
                              <w:bidi w:val="0"/>
                              <w:spacing w:lineRule="atLeast" w:line="240" w:before="360" w:after="0"/>
                              <w:jc w:val="left"/>
                              <w:rPr>
                                <w:rFonts w:ascii="ARIAL" w:hAnsi="ARIAL"/>
                                <w:b/>
                                <w:sz w:val="24"/>
                              </w:rPr>
                            </w:pPr>
                            <w:r>
                              <w:rPr>
                                <w:rFonts w:ascii="ARIAL" w:hAnsi="ARIAL"/>
                                <w:b/>
                                <w:sz w:val="24"/>
                              </w:rPr>
                              <w:t xml:space="preserve">Communicating with Our Directors </w:t>
                            </w:r>
                          </w:p>
                          <w:p>
                            <w:pPr>
                              <w:pStyle w:val="TextBody"/>
                              <w:bidi w:val="0"/>
                              <w:spacing w:lineRule="atLeast" w:line="200" w:before="80" w:after="0"/>
                              <w:jc w:val="left"/>
                              <w:rPr>
                                <w:rFonts w:ascii="ARIAL" w:hAnsi="ARIAL"/>
                                <w:sz w:val="18"/>
                              </w:rPr>
                            </w:pPr>
                            <w:r>
                              <w:rPr>
                                <w:rFonts w:ascii="ARIAL" w:hAnsi="ARIAL"/>
                                <w:sz w:val="18"/>
                              </w:rPr>
                              <w:t xml:space="preserve">Any stockholder or other interested party may communicate with our independent directors, a committee of the Board of Directors, the independent Board Chair, or the Board generally. The Corporate Secretary opens and retains a copy of the contents of such correspondence and promptly forwards such correspondence to the Chair of the Nominating and Corporate Governance Committee and, if addressed to a particular committee or Board member, to that committee’s Chair or such Board member. The Corporate Secretary, together with the Chair of the Nominating and Corporate Governance Committee and his duly authorized agents, are responsible for collecting and organizing stockholder communications. Absent a conflict of interest, the Chair of the Nominating and Corporate Governance Committee is responsible for evaluating the materiality of each stockholder communication and determining which stockholder communications will be presented to the full Board, individual directors or other appropriate body. All concerns related to audit or accounting matters will be referred to the Audit Committee. </w:t>
                            </w:r>
                          </w:p>
                          <w:p>
                            <w:pPr>
                              <w:pStyle w:val="TextBody"/>
                              <w:bidi w:val="0"/>
                              <w:spacing w:before="0" w:after="0"/>
                              <w:jc w:val="left"/>
                              <w:rPr/>
                            </w:pPr>
                            <w:r>
                              <w:rPr/>
                              <w:t> </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DAEDFA" w:val="clear"/>
                                  <w:vAlign w:val="center"/>
                                </w:tcPr>
                                <w:p>
                                  <w:pPr>
                                    <w:pStyle w:val="TableContents"/>
                                    <w:bidi w:val="0"/>
                                    <w:spacing w:before="0" w:after="283"/>
                                    <w:jc w:val="left"/>
                                    <w:rPr>
                                      <w:sz w:val="4"/>
                                      <w:szCs w:val="4"/>
                                    </w:rPr>
                                  </w:pPr>
                                  <w:r>
                                    <w:rPr>
                                      <w:sz w:val="4"/>
                                      <w:szCs w:val="4"/>
                                    </w:rPr>
                                  </w:r>
                                </w:p>
                              </w:tc>
                            </w:tr>
                            <w:tr>
                              <w:trPr/>
                              <w:tc>
                                <w:tcPr>
                                  <w:tcW w:w="2285" w:type="dxa"/>
                                  <w:tcBorders/>
                                  <w:shd w:fill="DAEDFA" w:val="clear"/>
                                  <w:vAlign w:val="center"/>
                                </w:tcPr>
                                <w:p>
                                  <w:pPr>
                                    <w:pStyle w:val="TableContents"/>
                                    <w:bidi w:val="0"/>
                                    <w:spacing w:before="0" w:after="0"/>
                                    <w:jc w:val="center"/>
                                    <w:rPr/>
                                  </w:pPr>
                                  <w:r>
                                    <w:rPr/>
                                    <w:drawing>
                                      <wp:inline distT="0" distB="0" distL="0" distR="0">
                                        <wp:extent cx="497205" cy="450215"/>
                                        <wp:effectExtent l="0" t="0" r="0" b="0"/>
                                        <wp:docPr id="12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5" descr=""/>
                                                <pic:cNvPicPr>
                                                  <a:picLocks noChangeAspect="1" noChangeArrowheads="1"/>
                                                </pic:cNvPicPr>
                                              </pic:nvPicPr>
                                              <pic:blipFill>
                                                <a:blip r:embed="rId114"/>
                                                <a:stretch>
                                                  <a:fillRect/>
                                                </a:stretch>
                                              </pic:blipFill>
                                              <pic:spPr bwMode="auto">
                                                <a:xfrm>
                                                  <a:off x="0" y="0"/>
                                                  <a:ext cx="497205" cy="450215"/>
                                                </a:xfrm>
                                                <a:prstGeom prst="rect">
                                                  <a:avLst/>
                                                </a:prstGeom>
                                              </pic:spPr>
                                            </pic:pic>
                                          </a:graphicData>
                                        </a:graphic>
                                      </wp:inline>
                                    </w:drawing>
                                  </w:r>
                                  <w:r>
                                    <w:rPr/>
                                    <w:t xml:space="preserve"> </w:t>
                                  </w:r>
                                </w:p>
                                <w:p>
                                  <w:pPr>
                                    <w:pStyle w:val="TableContents"/>
                                    <w:bidi w:val="0"/>
                                    <w:spacing w:before="0" w:after="0"/>
                                    <w:jc w:val="center"/>
                                    <w:rPr>
                                      <w:rFonts w:ascii="ARIAL" w:hAnsi="ARIAL"/>
                                      <w:b/>
                                      <w:sz w:val="18"/>
                                    </w:rPr>
                                  </w:pPr>
                                  <w:r>
                                    <w:rPr>
                                      <w:rFonts w:ascii="ARIAL" w:hAnsi="ARIAL"/>
                                      <w:b/>
                                      <w:sz w:val="18"/>
                                    </w:rPr>
                                    <w:t>Attn: Corporate Secretary</w:t>
                                  </w:r>
                                </w:p>
                                <w:p>
                                  <w:pPr>
                                    <w:pStyle w:val="TableContents"/>
                                    <w:bidi w:val="0"/>
                                    <w:spacing w:before="0" w:after="0"/>
                                    <w:jc w:val="center"/>
                                    <w:rPr>
                                      <w:rFonts w:ascii="ARIAL" w:hAnsi="ARIAL"/>
                                      <w:sz w:val="18"/>
                                    </w:rPr>
                                  </w:pPr>
                                  <w:r>
                                    <w:rPr>
                                      <w:rFonts w:ascii="ARIAL" w:hAnsi="ARIAL"/>
                                      <w:sz w:val="18"/>
                                    </w:rPr>
                                    <w:t>CoStar Group, Inc.</w:t>
                                  </w:r>
                                </w:p>
                                <w:p>
                                  <w:pPr>
                                    <w:pStyle w:val="TableContents"/>
                                    <w:bidi w:val="0"/>
                                    <w:spacing w:before="0" w:after="0"/>
                                    <w:jc w:val="center"/>
                                    <w:rPr>
                                      <w:rFonts w:ascii="ARIAL" w:hAnsi="ARIAL"/>
                                      <w:sz w:val="18"/>
                                    </w:rPr>
                                  </w:pPr>
                                  <w:r>
                                    <w:rPr>
                                      <w:rFonts w:ascii="ARIAL" w:hAnsi="ARIAL"/>
                                      <w:sz w:val="18"/>
                                    </w:rPr>
                                    <w:t>1201 Wilson Boulevard</w:t>
                                  </w:r>
                                </w:p>
                                <w:p>
                                  <w:pPr>
                                    <w:pStyle w:val="TableContents"/>
                                    <w:bidi w:val="0"/>
                                    <w:spacing w:before="0" w:after="0"/>
                                    <w:jc w:val="center"/>
                                    <w:rPr>
                                      <w:rFonts w:ascii="ARIAL" w:hAnsi="ARIAL"/>
                                      <w:sz w:val="18"/>
                                    </w:rPr>
                                  </w:pPr>
                                  <w:r>
                                    <w:rPr>
                                      <w:rFonts w:ascii="ARIAL" w:hAnsi="ARIAL"/>
                                      <w:sz w:val="18"/>
                                    </w:rPr>
                                    <w:t>Arlington, Va 22209</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03"/>
                              <w:gridCol w:w="120"/>
                              <w:gridCol w:w="1482"/>
                            </w:tblGrid>
                            <w:tr>
                              <w:trPr/>
                              <w:tc>
                                <w:tcPr>
                                  <w:tcW w:w="86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8603" w:type="dxa"/>
                                  <w:tcBorders/>
                                  <w:vAlign w:val="center"/>
                                </w:tcPr>
                                <w:p>
                                  <w:pPr>
                                    <w:pStyle w:val="TableContents"/>
                                    <w:bidi w:val="0"/>
                                    <w:spacing w:before="0" w:after="0"/>
                                    <w:jc w:val="left"/>
                                    <w:rPr/>
                                  </w:pPr>
                                  <w:r>
                                    <w:rPr/>
                                    <w:drawing>
                                      <wp:inline distT="0" distB="0" distL="0" distR="0">
                                        <wp:extent cx="908050" cy="156210"/>
                                        <wp:effectExtent l="0" t="0" r="0" b="0"/>
                                        <wp:docPr id="12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6" descr=""/>
                                                <pic:cNvPicPr>
                                                  <a:picLocks noChangeAspect="1" noChangeArrowheads="1"/>
                                                </pic:cNvPicPr>
                                              </pic:nvPicPr>
                                              <pic:blipFill>
                                                <a:blip r:embed="rId11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11</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62000</wp14:pctWidth>
                </wp14:sizeRelH>
              </wp:anchor>
            </w:drawing>
          </mc:Choice>
          <mc:Fallback>
            <w:pict>
              <v:rect style="position:absolute;rotation:-0;width:316.35pt;height:785.2pt;mso-wrap-distance-left:0pt;mso-wrap-distance-right:0pt;mso-wrap-distance-top:0pt;mso-wrap-distance-bottom:0pt;margin-top:0pt;mso-position-vertical:top;mso-position-vertical-relative:text;margin-left:178.55pt;mso-position-horizontal:left;mso-position-horizontal-relative:text">
                <v:textbox inset="0in,0in,0in,0in">
                  <w:txbxContent>
                    <w:p>
                      <w:pPr>
                        <w:pStyle w:val="TextBody"/>
                        <w:bidi w:val="0"/>
                        <w:spacing w:lineRule="atLeast" w:line="240" w:before="0" w:after="0"/>
                        <w:jc w:val="left"/>
                        <w:rPr>
                          <w:rFonts w:ascii="ARIAL" w:hAnsi="ARIAL"/>
                          <w:b/>
                          <w:sz w:val="24"/>
                        </w:rPr>
                      </w:pPr>
                      <w:r>
                        <w:rPr>
                          <w:rFonts w:ascii="ARIAL" w:hAnsi="ARIAL"/>
                          <w:b/>
                          <w:sz w:val="24"/>
                        </w:rPr>
                        <w:t xml:space="preserve">Board Refreshment and Tenure Profile </w:t>
                      </w:r>
                    </w:p>
                    <w:p>
                      <w:pPr>
                        <w:pStyle w:val="TextBody"/>
                        <w:bidi w:val="0"/>
                        <w:spacing w:lineRule="atLeast" w:line="200" w:before="80" w:after="0"/>
                        <w:jc w:val="left"/>
                        <w:rPr>
                          <w:rFonts w:ascii="ARIAL" w:hAnsi="ARIAL"/>
                          <w:sz w:val="18"/>
                        </w:rPr>
                      </w:pPr>
                      <w:r>
                        <w:rPr>
                          <w:rFonts w:ascii="ARIAL" w:hAnsi="ARIAL"/>
                          <w:sz w:val="18"/>
                        </w:rPr>
                        <w:t xml:space="preserve">We regularly evaluate the Board’s composition to ensure that we have the right mix of skill and experience and tenure profile to oversee the ongoing execution of our strategy as we work to enhance stockholder value. We also regularly engage with our stockholders to understand their perspectives on many important topics. Our Board values the views of our stockholders regarding board composition and tenure and, in response to stockholder input, has made board refreshment a priority. Since 2023, we have significantly refreshed the Board by adding an independent director in 2023, and replacing three retired directors with three new independent directors in 2025. As a result, more than half of our independent directors have joined since 2023, bringing fresh perspectives and capital allocation and capital deployment experiences to support our long-term growth strategy. </w:t>
                      </w:r>
                    </w:p>
                    <w:p>
                      <w:pPr>
                        <w:pStyle w:val="TextBody"/>
                        <w:bidi w:val="0"/>
                        <w:spacing w:lineRule="atLeast" w:line="240" w:before="360" w:after="0"/>
                        <w:jc w:val="left"/>
                        <w:rPr>
                          <w:rFonts w:ascii="ARIAL" w:hAnsi="ARIAL"/>
                          <w:b/>
                          <w:sz w:val="24"/>
                        </w:rPr>
                      </w:pPr>
                      <w:r>
                        <w:rPr>
                          <w:rFonts w:ascii="ARIAL" w:hAnsi="ARIAL"/>
                          <w:b/>
                          <w:sz w:val="24"/>
                        </w:rPr>
                        <w:t xml:space="preserve">Committee Rotations </w:t>
                      </w:r>
                    </w:p>
                    <w:p>
                      <w:pPr>
                        <w:pStyle w:val="TextBody"/>
                        <w:bidi w:val="0"/>
                        <w:spacing w:lineRule="atLeast" w:line="200" w:before="80" w:after="0"/>
                        <w:jc w:val="left"/>
                        <w:rPr>
                          <w:rFonts w:ascii="ARIAL" w:hAnsi="ARIAL"/>
                          <w:sz w:val="18"/>
                        </w:rPr>
                      </w:pPr>
                      <w:r>
                        <w:rPr>
                          <w:rFonts w:ascii="ARIAL" w:hAnsi="ARIAL"/>
                          <w:sz w:val="18"/>
                        </w:rPr>
                        <w:t xml:space="preserve">In 2025, the Board reconstituted its committees as part of its ongoing evaluation of Board composition and committee effectiveness. Following the re-election of directors at the 2025 Annual Meeting of Stockholders, the Board reconstituted the independent committees to align committee leadership and membership with directors’ skills, experience, and the Company’s evolving priorities. Mr. Hill advised the Board of his intention to step down as Chair of the Audit Committee, following the 2026 Annual Meeting, while remaining a member of the Audit Committee to ensure a smooth transition. In connection with this change, the Board expects to appoint Ms. Glaser as Chair of the Audit Committee. </w:t>
                      </w:r>
                    </w:p>
                    <w:p>
                      <w:pPr>
                        <w:pStyle w:val="TextBody"/>
                        <w:bidi w:val="0"/>
                        <w:spacing w:before="0" w:after="0"/>
                        <w:jc w:val="left"/>
                        <w:rPr/>
                      </w:pPr>
                      <w:r>
                        <w:rPr/>
                        <w:t> </w:t>
                      </w:r>
                    </w:p>
                    <w:tbl>
                      <w:tblPr>
                        <w:tblW w:w="6360" w:type="dxa"/>
                        <w:jc w:val="left"/>
                        <w:tblInd w:w="0" w:type="dxa"/>
                        <w:tblLayout w:type="fixed"/>
                        <w:tblCellMar>
                          <w:top w:w="0" w:type="dxa"/>
                          <w:left w:w="0" w:type="dxa"/>
                          <w:bottom w:w="0" w:type="dxa"/>
                          <w:right w:w="0" w:type="dxa"/>
                        </w:tblCellMar>
                      </w:tblPr>
                      <w:tblGrid>
                        <w:gridCol w:w="1805"/>
                        <w:gridCol w:w="60"/>
                        <w:gridCol w:w="2510"/>
                        <w:gridCol w:w="60"/>
                        <w:gridCol w:w="1925"/>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0054BA" w:val="clear"/>
                            <w:vAlign w:val="center"/>
                          </w:tcPr>
                          <w:p>
                            <w:pPr>
                              <w:pStyle w:val="TableContents"/>
                              <w:bidi w:val="0"/>
                              <w:spacing w:before="0" w:after="283"/>
                              <w:jc w:val="left"/>
                              <w:rPr>
                                <w:sz w:val="4"/>
                                <w:szCs w:val="4"/>
                              </w:rPr>
                            </w:pPr>
                            <w:r>
                              <w:rPr>
                                <w:sz w:val="4"/>
                                <w:szCs w:val="4"/>
                              </w:rPr>
                            </w:r>
                          </w:p>
                        </w:tc>
                        <w:tc>
                          <w:tcPr>
                            <w:tcW w:w="2570" w:type="dxa"/>
                            <w:gridSpan w:val="2"/>
                            <w:tcBorders>
                              <w:left w:val="single" w:sz="6" w:space="0" w:color="FFFFFF"/>
                              <w:right w:val="single" w:sz="6" w:space="0" w:color="FFFFFF"/>
                            </w:tcBorders>
                            <w:shd w:fill="0054BA" w:val="clear"/>
                            <w:tcMar>
                              <w:left w:w="28" w:type="dxa"/>
                              <w:right w:w="28" w:type="dxa"/>
                            </w:tcMar>
                            <w:vAlign w:val="center"/>
                          </w:tcPr>
                          <w:p>
                            <w:pPr>
                              <w:pStyle w:val="TableContents"/>
                              <w:bidi w:val="0"/>
                              <w:spacing w:before="0" w:after="283"/>
                              <w:jc w:val="left"/>
                              <w:rPr/>
                            </w:pPr>
                            <w:r>
                              <w:rPr/>
                              <w:t> </w:t>
                            </w:r>
                          </w:p>
                        </w:tc>
                        <w:tc>
                          <w:tcPr>
                            <w:tcW w:w="1985"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1805" w:type="dxa"/>
                            <w:tcBorders/>
                            <w:shd w:fill="0054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AUDIT</w:t>
                            </w:r>
                          </w:p>
                          <w:p>
                            <w:pPr>
                              <w:pStyle w:val="TableContents"/>
                              <w:bidi w:val="0"/>
                              <w:spacing w:before="0" w:after="20"/>
                              <w:jc w:val="center"/>
                              <w:rPr>
                                <w:rFonts w:ascii="ARIAL" w:hAnsi="ARIAL"/>
                                <w:b/>
                                <w:color w:val="FFFFFF"/>
                                <w:sz w:val="18"/>
                              </w:rPr>
                            </w:pPr>
                            <w:r>
                              <w:rPr>
                                <w:rFonts w:ascii="ARIAL" w:hAnsi="ARIAL"/>
                                <w:b/>
                                <w:color w:val="FFFFFF"/>
                                <w:sz w:val="18"/>
                              </w:rPr>
                              <w:t>COMMITTEE</w:t>
                            </w:r>
                          </w:p>
                        </w:tc>
                        <w:tc>
                          <w:tcPr>
                            <w:tcW w:w="60" w:type="dxa"/>
                            <w:tcBorders>
                              <w:left w:val="single" w:sz="6" w:space="0" w:color="FFFFFF"/>
                            </w:tcBorders>
                            <w:shd w:fill="0054BA" w:val="clear"/>
                            <w:tcMar>
                              <w:left w:w="28" w:type="dxa"/>
                            </w:tcMar>
                            <w:vAlign w:val="center"/>
                          </w:tcPr>
                          <w:p>
                            <w:pPr>
                              <w:pStyle w:val="TableContents"/>
                              <w:bidi w:val="0"/>
                              <w:spacing w:before="0" w:after="283"/>
                              <w:jc w:val="left"/>
                              <w:rPr/>
                            </w:pPr>
                            <w:r>
                              <w:rPr/>
                              <w:t> </w:t>
                            </w:r>
                          </w:p>
                        </w:tc>
                        <w:tc>
                          <w:tcPr>
                            <w:tcW w:w="2510" w:type="dxa"/>
                            <w:tcBorders>
                              <w:right w:val="single" w:sz="6" w:space="0" w:color="FFFFFF"/>
                            </w:tcBorders>
                            <w:shd w:fill="0054BA"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COMPENSATION</w:t>
                            </w:r>
                          </w:p>
                          <w:p>
                            <w:pPr>
                              <w:pStyle w:val="TableContents"/>
                              <w:bidi w:val="0"/>
                              <w:spacing w:before="0" w:after="20"/>
                              <w:jc w:val="center"/>
                              <w:rPr>
                                <w:rFonts w:ascii="ARIAL" w:hAnsi="ARIAL"/>
                                <w:b/>
                                <w:color w:val="FFFFFF"/>
                                <w:sz w:val="18"/>
                              </w:rPr>
                            </w:pPr>
                            <w:r>
                              <w:rPr>
                                <w:rFonts w:ascii="ARIAL" w:hAnsi="ARIAL"/>
                                <w:b/>
                                <w:color w:val="FFFFFF"/>
                                <w:sz w:val="18"/>
                              </w:rPr>
                              <w:t>COMMITTEE</w:t>
                            </w:r>
                          </w:p>
                        </w:tc>
                        <w:tc>
                          <w:tcPr>
                            <w:tcW w:w="60" w:type="dxa"/>
                            <w:tcBorders/>
                            <w:shd w:fill="0054BA" w:val="clear"/>
                            <w:vAlign w:val="center"/>
                          </w:tcPr>
                          <w:p>
                            <w:pPr>
                              <w:pStyle w:val="TableContents"/>
                              <w:bidi w:val="0"/>
                              <w:spacing w:before="0" w:after="283"/>
                              <w:jc w:val="left"/>
                              <w:rPr/>
                            </w:pPr>
                            <w:r>
                              <w:rPr/>
                              <w:t> </w:t>
                            </w:r>
                          </w:p>
                        </w:tc>
                        <w:tc>
                          <w:tcPr>
                            <w:tcW w:w="1925" w:type="dxa"/>
                            <w:tcBorders/>
                            <w:shd w:fill="0054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NOMINATING</w:t>
                            </w:r>
                          </w:p>
                          <w:p>
                            <w:pPr>
                              <w:pStyle w:val="TableContents"/>
                              <w:bidi w:val="0"/>
                              <w:spacing w:before="0" w:after="0"/>
                              <w:jc w:val="center"/>
                              <w:rPr>
                                <w:rFonts w:ascii="ARIAL" w:hAnsi="ARIAL"/>
                                <w:b/>
                                <w:color w:val="FFFFFF"/>
                                <w:sz w:val="18"/>
                              </w:rPr>
                            </w:pPr>
                            <w:r>
                              <w:rPr>
                                <w:rFonts w:ascii="ARIAL" w:hAnsi="ARIAL"/>
                                <w:b/>
                                <w:color w:val="FFFFFF"/>
                                <w:sz w:val="18"/>
                              </w:rPr>
                              <w:t>AND CORPORATE</w:t>
                            </w:r>
                          </w:p>
                          <w:p>
                            <w:pPr>
                              <w:pStyle w:val="TableContents"/>
                              <w:bidi w:val="0"/>
                              <w:spacing w:before="0" w:after="0"/>
                              <w:jc w:val="center"/>
                              <w:rPr>
                                <w:rFonts w:ascii="ARIAL" w:hAnsi="ARIAL"/>
                                <w:b/>
                                <w:color w:val="FFFFFF"/>
                                <w:sz w:val="18"/>
                              </w:rPr>
                            </w:pPr>
                            <w:r>
                              <w:rPr>
                                <w:rFonts w:ascii="ARIAL" w:hAnsi="ARIAL"/>
                                <w:b/>
                                <w:color w:val="FFFFFF"/>
                                <w:sz w:val="18"/>
                              </w:rPr>
                              <w:t>GOVERNANCE</w:t>
                            </w:r>
                          </w:p>
                          <w:p>
                            <w:pPr>
                              <w:pStyle w:val="TableContents"/>
                              <w:bidi w:val="0"/>
                              <w:spacing w:before="0" w:after="20"/>
                              <w:jc w:val="center"/>
                              <w:rPr>
                                <w:rFonts w:ascii="ARIAL" w:hAnsi="ARIAL"/>
                                <w:b/>
                                <w:color w:val="FFFFFF"/>
                                <w:sz w:val="18"/>
                              </w:rPr>
                            </w:pPr>
                            <w:r>
                              <w:rPr>
                                <w:rFonts w:ascii="ARIAL" w:hAnsi="ARIAL"/>
                                <w:b/>
                                <w:color w:val="FFFFFF"/>
                                <w:sz w:val="18"/>
                              </w:rPr>
                              <w:t>COMMITTEE</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57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John W. Hill (</w:t>
                            </w:r>
                            <w:r>
                              <w:rPr>
                                <w:rFonts w:ascii="ARIAL" w:hAnsi="ARIAL"/>
                                <w:i/>
                                <w:sz w:val="18"/>
                              </w:rPr>
                              <w:t>Chair</w:t>
                            </w:r>
                            <w:r>
                              <w:rPr>
                                <w:rFonts w:ascii="ARIAL" w:hAnsi="ARIAL"/>
                                <w:sz w:val="18"/>
                              </w:rPr>
                              <w:t>)</w:t>
                            </w:r>
                          </w:p>
                          <w:p>
                            <w:pPr>
                              <w:pStyle w:val="TableContents"/>
                              <w:bidi w:val="0"/>
                              <w:spacing w:before="0" w:after="0"/>
                              <w:jc w:val="left"/>
                              <w:rPr>
                                <w:rFonts w:ascii="ARIAL" w:hAnsi="ARIAL"/>
                                <w:sz w:val="18"/>
                              </w:rPr>
                            </w:pPr>
                            <w:r>
                              <w:rPr>
                                <w:rFonts w:ascii="ARIAL" w:hAnsi="ARIAL"/>
                                <w:sz w:val="18"/>
                              </w:rPr>
                              <w:t>Angelique G. Brunner</w:t>
                            </w:r>
                          </w:p>
                          <w:p>
                            <w:pPr>
                              <w:pStyle w:val="TableContents"/>
                              <w:bidi w:val="0"/>
                              <w:spacing w:before="0" w:after="0"/>
                              <w:jc w:val="left"/>
                              <w:rPr>
                                <w:rFonts w:ascii="ARIAL" w:hAnsi="ARIAL"/>
                                <w:sz w:val="18"/>
                              </w:rPr>
                            </w:pPr>
                            <w:r>
                              <w:rPr>
                                <w:rFonts w:ascii="ARIAL" w:hAnsi="ARIAL"/>
                                <w:sz w:val="18"/>
                              </w:rPr>
                              <w:t>Rachel C. Glaser</w:t>
                            </w:r>
                          </w:p>
                          <w:p>
                            <w:pPr>
                              <w:pStyle w:val="TableContents"/>
                              <w:bidi w:val="0"/>
                              <w:spacing w:before="0" w:after="20"/>
                              <w:jc w:val="left"/>
                              <w:rPr>
                                <w:rFonts w:ascii="ARIAL" w:hAnsi="ARIAL"/>
                                <w:sz w:val="18"/>
                              </w:rPr>
                            </w:pPr>
                            <w:r>
                              <w:rPr>
                                <w:rFonts w:ascii="ARIAL" w:hAnsi="ARIAL"/>
                                <w:sz w:val="18"/>
                              </w:rPr>
                              <w:t>Louise S. Sams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10" w:type="dxa"/>
                            <w:tcBorders>
                              <w:bottom w:val="single" w:sz="6" w:space="0" w:color="000000"/>
                              <w:right w:val="single" w:sz="6" w:space="0" w:color="000000"/>
                            </w:tcBorders>
                            <w:tcMar>
                              <w:bottom w:w="100" w:type="dxa"/>
                              <w:right w:w="28" w:type="dxa"/>
                            </w:tcMar>
                            <w:vAlign w:val="center"/>
                          </w:tcPr>
                          <w:p>
                            <w:pPr>
                              <w:pStyle w:val="TableContents"/>
                              <w:bidi w:val="0"/>
                              <w:spacing w:before="0" w:after="0"/>
                              <w:jc w:val="left"/>
                              <w:rPr>
                                <w:rFonts w:ascii="ARIAL" w:hAnsi="ARIAL"/>
                                <w:sz w:val="18"/>
                              </w:rPr>
                            </w:pPr>
                            <w:r>
                              <w:rPr>
                                <w:rFonts w:ascii="ARIAL" w:hAnsi="ARIAL"/>
                                <w:sz w:val="18"/>
                              </w:rPr>
                              <w:t>Robert W. Musslewhite (</w:t>
                            </w:r>
                            <w:r>
                              <w:rPr>
                                <w:rFonts w:ascii="ARIAL" w:hAnsi="ARIAL"/>
                                <w:i/>
                                <w:sz w:val="18"/>
                              </w:rPr>
                              <w:t>Chair</w:t>
                            </w:r>
                            <w:r>
                              <w:rPr>
                                <w:rFonts w:ascii="ARIAL" w:hAnsi="ARIAL"/>
                                <w:sz w:val="18"/>
                              </w:rPr>
                              <w:t>)</w:t>
                            </w:r>
                          </w:p>
                          <w:p>
                            <w:pPr>
                              <w:pStyle w:val="TableContents"/>
                              <w:bidi w:val="0"/>
                              <w:spacing w:before="0" w:after="0"/>
                              <w:jc w:val="left"/>
                              <w:rPr>
                                <w:rFonts w:ascii="ARIAL" w:hAnsi="ARIAL"/>
                                <w:sz w:val="18"/>
                              </w:rPr>
                            </w:pPr>
                            <w:r>
                              <w:rPr>
                                <w:rFonts w:ascii="ARIAL" w:hAnsi="ARIAL"/>
                                <w:sz w:val="18"/>
                              </w:rPr>
                              <w:t>John L. Berisford</w:t>
                            </w:r>
                          </w:p>
                          <w:p>
                            <w:pPr>
                              <w:pStyle w:val="TableContents"/>
                              <w:bidi w:val="0"/>
                              <w:spacing w:before="0" w:after="20"/>
                              <w:jc w:val="left"/>
                              <w:rPr>
                                <w:rFonts w:ascii="ARIAL" w:hAnsi="ARIAL"/>
                                <w:sz w:val="18"/>
                              </w:rPr>
                            </w:pPr>
                            <w:r>
                              <w:rPr>
                                <w:rFonts w:ascii="ARIAL" w:hAnsi="ARIAL"/>
                                <w:sz w:val="18"/>
                              </w:rPr>
                              <w:t>Angelique G. Brunner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2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Louise S. Sams (</w:t>
                            </w:r>
                            <w:r>
                              <w:rPr>
                                <w:rFonts w:ascii="ARIAL" w:hAnsi="ARIAL"/>
                                <w:i/>
                                <w:sz w:val="18"/>
                              </w:rPr>
                              <w:t>Chair</w:t>
                            </w:r>
                            <w:r>
                              <w:rPr>
                                <w:rFonts w:ascii="ARIAL" w:hAnsi="ARIAL"/>
                                <w:sz w:val="18"/>
                              </w:rPr>
                              <w:t>)</w:t>
                            </w:r>
                          </w:p>
                          <w:p>
                            <w:pPr>
                              <w:pStyle w:val="TableContents"/>
                              <w:bidi w:val="0"/>
                              <w:spacing w:before="0" w:after="0"/>
                              <w:jc w:val="left"/>
                              <w:rPr>
                                <w:rFonts w:ascii="ARIAL" w:hAnsi="ARIAL"/>
                                <w:sz w:val="18"/>
                              </w:rPr>
                            </w:pPr>
                            <w:r>
                              <w:rPr>
                                <w:rFonts w:ascii="ARIAL" w:hAnsi="ARIAL"/>
                                <w:sz w:val="18"/>
                              </w:rPr>
                              <w:t>Rachel C. Glaser</w:t>
                            </w:r>
                          </w:p>
                          <w:p>
                            <w:pPr>
                              <w:pStyle w:val="TableContents"/>
                              <w:bidi w:val="0"/>
                              <w:spacing w:before="0" w:after="20"/>
                              <w:jc w:val="left"/>
                              <w:rPr>
                                <w:rFonts w:ascii="ARIAL" w:hAnsi="ARIAL"/>
                                <w:sz w:val="18"/>
                              </w:rPr>
                            </w:pPr>
                            <w:r>
                              <w:rPr>
                                <w:rFonts w:ascii="ARIAL" w:hAnsi="ARIAL"/>
                                <w:sz w:val="18"/>
                              </w:rPr>
                              <w:t>Christine M. McCarthy</w:t>
                            </w:r>
                          </w:p>
                        </w:tc>
                      </w:tr>
                    </w:tbl>
                    <w:p>
                      <w:pPr>
                        <w:pStyle w:val="TextBody"/>
                        <w:bidi w:val="0"/>
                        <w:spacing w:lineRule="atLeast" w:line="240" w:before="360" w:after="0"/>
                        <w:jc w:val="left"/>
                        <w:rPr>
                          <w:rFonts w:ascii="ARIAL" w:hAnsi="ARIAL"/>
                          <w:b/>
                          <w:sz w:val="24"/>
                        </w:rPr>
                      </w:pPr>
                      <w:r>
                        <w:rPr>
                          <w:rFonts w:ascii="ARIAL" w:hAnsi="ARIAL"/>
                          <w:b/>
                          <w:sz w:val="24"/>
                        </w:rPr>
                        <w:t xml:space="preserve">Communicating with Our Directors </w:t>
                      </w:r>
                    </w:p>
                    <w:p>
                      <w:pPr>
                        <w:pStyle w:val="TextBody"/>
                        <w:bidi w:val="0"/>
                        <w:spacing w:lineRule="atLeast" w:line="200" w:before="80" w:after="0"/>
                        <w:jc w:val="left"/>
                        <w:rPr>
                          <w:rFonts w:ascii="ARIAL" w:hAnsi="ARIAL"/>
                          <w:sz w:val="18"/>
                        </w:rPr>
                      </w:pPr>
                      <w:r>
                        <w:rPr>
                          <w:rFonts w:ascii="ARIAL" w:hAnsi="ARIAL"/>
                          <w:sz w:val="18"/>
                        </w:rPr>
                        <w:t xml:space="preserve">Any stockholder or other interested party may communicate with our independent directors, a committee of the Board of Directors, the independent Board Chair, or the Board generally. The Corporate Secretary opens and retains a copy of the contents of such correspondence and promptly forwards such correspondence to the Chair of the Nominating and Corporate Governance Committee and, if addressed to a particular committee or Board member, to that committee’s Chair or such Board member. The Corporate Secretary, together with the Chair of the Nominating and Corporate Governance Committee and his duly authorized agents, are responsible for collecting and organizing stockholder communications. Absent a conflict of interest, the Chair of the Nominating and Corporate Governance Committee is responsible for evaluating the materiality of each stockholder communication and determining which stockholder communications will be presented to the full Board, individual directors or other appropriate body. All concerns related to audit or accounting matters will be referred to the Audit Committee. </w:t>
                      </w:r>
                    </w:p>
                    <w:p>
                      <w:pPr>
                        <w:pStyle w:val="TextBody"/>
                        <w:bidi w:val="0"/>
                        <w:spacing w:before="0" w:after="0"/>
                        <w:jc w:val="left"/>
                        <w:rPr/>
                      </w:pPr>
                      <w:r>
                        <w:rPr/>
                        <w:t> </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DAEDFA" w:val="clear"/>
                            <w:vAlign w:val="center"/>
                          </w:tcPr>
                          <w:p>
                            <w:pPr>
                              <w:pStyle w:val="TableContents"/>
                              <w:bidi w:val="0"/>
                              <w:spacing w:before="0" w:after="283"/>
                              <w:jc w:val="left"/>
                              <w:rPr>
                                <w:sz w:val="4"/>
                                <w:szCs w:val="4"/>
                              </w:rPr>
                            </w:pPr>
                            <w:r>
                              <w:rPr>
                                <w:sz w:val="4"/>
                                <w:szCs w:val="4"/>
                              </w:rPr>
                            </w:r>
                          </w:p>
                        </w:tc>
                      </w:tr>
                      <w:tr>
                        <w:trPr/>
                        <w:tc>
                          <w:tcPr>
                            <w:tcW w:w="2285" w:type="dxa"/>
                            <w:tcBorders/>
                            <w:shd w:fill="DAEDFA" w:val="clear"/>
                            <w:vAlign w:val="center"/>
                          </w:tcPr>
                          <w:p>
                            <w:pPr>
                              <w:pStyle w:val="TableContents"/>
                              <w:bidi w:val="0"/>
                              <w:spacing w:before="0" w:after="0"/>
                              <w:jc w:val="center"/>
                              <w:rPr/>
                            </w:pPr>
                            <w:r>
                              <w:rPr/>
                              <w:drawing>
                                <wp:inline distT="0" distB="0" distL="0" distR="0">
                                  <wp:extent cx="497205" cy="450215"/>
                                  <wp:effectExtent l="0" t="0" r="0" b="0"/>
                                  <wp:docPr id="12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5" descr=""/>
                                          <pic:cNvPicPr>
                                            <a:picLocks noChangeAspect="1" noChangeArrowheads="1"/>
                                          </pic:cNvPicPr>
                                        </pic:nvPicPr>
                                        <pic:blipFill>
                                          <a:blip r:embed="rId116"/>
                                          <a:stretch>
                                            <a:fillRect/>
                                          </a:stretch>
                                        </pic:blipFill>
                                        <pic:spPr bwMode="auto">
                                          <a:xfrm>
                                            <a:off x="0" y="0"/>
                                            <a:ext cx="497205" cy="450215"/>
                                          </a:xfrm>
                                          <a:prstGeom prst="rect">
                                            <a:avLst/>
                                          </a:prstGeom>
                                        </pic:spPr>
                                      </pic:pic>
                                    </a:graphicData>
                                  </a:graphic>
                                </wp:inline>
                              </w:drawing>
                            </w:r>
                            <w:r>
                              <w:rPr/>
                              <w:t xml:space="preserve"> </w:t>
                            </w:r>
                          </w:p>
                          <w:p>
                            <w:pPr>
                              <w:pStyle w:val="TableContents"/>
                              <w:bidi w:val="0"/>
                              <w:spacing w:before="0" w:after="0"/>
                              <w:jc w:val="center"/>
                              <w:rPr>
                                <w:rFonts w:ascii="ARIAL" w:hAnsi="ARIAL"/>
                                <w:b/>
                                <w:sz w:val="18"/>
                              </w:rPr>
                            </w:pPr>
                            <w:r>
                              <w:rPr>
                                <w:rFonts w:ascii="ARIAL" w:hAnsi="ARIAL"/>
                                <w:b/>
                                <w:sz w:val="18"/>
                              </w:rPr>
                              <w:t>Attn: Corporate Secretary</w:t>
                            </w:r>
                          </w:p>
                          <w:p>
                            <w:pPr>
                              <w:pStyle w:val="TableContents"/>
                              <w:bidi w:val="0"/>
                              <w:spacing w:before="0" w:after="0"/>
                              <w:jc w:val="center"/>
                              <w:rPr>
                                <w:rFonts w:ascii="ARIAL" w:hAnsi="ARIAL"/>
                                <w:sz w:val="18"/>
                              </w:rPr>
                            </w:pPr>
                            <w:r>
                              <w:rPr>
                                <w:rFonts w:ascii="ARIAL" w:hAnsi="ARIAL"/>
                                <w:sz w:val="18"/>
                              </w:rPr>
                              <w:t>CoStar Group, Inc.</w:t>
                            </w:r>
                          </w:p>
                          <w:p>
                            <w:pPr>
                              <w:pStyle w:val="TableContents"/>
                              <w:bidi w:val="0"/>
                              <w:spacing w:before="0" w:after="0"/>
                              <w:jc w:val="center"/>
                              <w:rPr>
                                <w:rFonts w:ascii="ARIAL" w:hAnsi="ARIAL"/>
                                <w:sz w:val="18"/>
                              </w:rPr>
                            </w:pPr>
                            <w:r>
                              <w:rPr>
                                <w:rFonts w:ascii="ARIAL" w:hAnsi="ARIAL"/>
                                <w:sz w:val="18"/>
                              </w:rPr>
                              <w:t>1201 Wilson Boulevard</w:t>
                            </w:r>
                          </w:p>
                          <w:p>
                            <w:pPr>
                              <w:pStyle w:val="TableContents"/>
                              <w:bidi w:val="0"/>
                              <w:spacing w:before="0" w:after="0"/>
                              <w:jc w:val="center"/>
                              <w:rPr>
                                <w:rFonts w:ascii="ARIAL" w:hAnsi="ARIAL"/>
                                <w:sz w:val="18"/>
                              </w:rPr>
                            </w:pPr>
                            <w:r>
                              <w:rPr>
                                <w:rFonts w:ascii="ARIAL" w:hAnsi="ARIAL"/>
                                <w:sz w:val="18"/>
                              </w:rPr>
                              <w:t>Arlington, Va 22209</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03"/>
                        <w:gridCol w:w="120"/>
                        <w:gridCol w:w="1482"/>
                      </w:tblGrid>
                      <w:tr>
                        <w:trPr/>
                        <w:tc>
                          <w:tcPr>
                            <w:tcW w:w="86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8603" w:type="dxa"/>
                            <w:tcBorders/>
                            <w:vAlign w:val="center"/>
                          </w:tcPr>
                          <w:p>
                            <w:pPr>
                              <w:pStyle w:val="TableContents"/>
                              <w:bidi w:val="0"/>
                              <w:spacing w:before="0" w:after="0"/>
                              <w:jc w:val="left"/>
                              <w:rPr/>
                            </w:pPr>
                            <w:r>
                              <w:rPr/>
                              <w:drawing>
                                <wp:inline distT="0" distB="0" distL="0" distR="0">
                                  <wp:extent cx="908050" cy="156210"/>
                                  <wp:effectExtent l="0" t="0" r="0" b="0"/>
                                  <wp:docPr id="12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6" descr=""/>
                                          <pic:cNvPicPr>
                                            <a:picLocks noChangeAspect="1" noChangeArrowheads="1"/>
                                          </pic:cNvPicPr>
                                        </pic:nvPicPr>
                                        <pic:blipFill>
                                          <a:blip r:embed="rId11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11</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8" w:type="dxa"/>
        <w:jc w:val="left"/>
        <w:tblInd w:w="0" w:type="dxa"/>
        <w:tblLayout w:type="fixed"/>
        <w:tblCellMar>
          <w:top w:w="0" w:type="dxa"/>
          <w:left w:w="0" w:type="dxa"/>
          <w:bottom w:w="0" w:type="dxa"/>
          <w:right w:w="0" w:type="dxa"/>
        </w:tblCellMar>
      </w:tblPr>
      <w:tblGrid>
        <w:gridCol w:w="38"/>
        <w:gridCol w:w="1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7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PROXY SUMMARY</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r>
        <w:rPr>
          <w:rFonts w:ascii="ARIAL" w:hAnsi="ARIAL"/>
          <w:b/>
          <w:color w:val="0054BA"/>
          <w:sz w:val="30"/>
        </w:rPr>
        <w:t xml:space="preserve">CORPORATE RESPONSIBILITY HIGHLIGHTS </w:t>
      </w:r>
    </w:p>
    <w:p>
      <w:pPr>
        <w:pStyle w:val="TextBody"/>
        <w:bidi w:val="0"/>
        <w:spacing w:before="80" w:after="0"/>
        <w:jc w:val="left"/>
        <w:rPr>
          <w:rFonts w:ascii="ARIAL" w:hAnsi="ARIAL"/>
          <w:sz w:val="18"/>
        </w:rPr>
      </w:pPr>
      <w:r>
        <w:rPr>
          <w:rFonts w:ascii="ARIAL" w:hAnsi="ARIAL"/>
          <w:sz w:val="18"/>
        </w:rPr>
        <w:t xml:space="preserve">Our corporate responsibility program reflects our commitment to operating responsibly while supporting the communities where we live and work—through employee engagement, community investment, workforce development, and efforts to reduce our environmental impact. </w:t>
      </w:r>
    </w:p>
    <w:p>
      <w:pPr>
        <w:pStyle w:val="TextBody"/>
        <w:bidi w:val="0"/>
        <w:spacing w:before="0" w:after="0"/>
        <w:jc w:val="left"/>
        <w:rPr/>
      </w:pPr>
      <w:r>
        <w:rPr/>
        <w:t> </w:t>
      </w:r>
    </w:p>
    <w:tbl>
      <w:tblPr>
        <w:tblW w:w="8191" w:type="dxa"/>
        <w:jc w:val="left"/>
        <w:tblInd w:w="0" w:type="dxa"/>
        <w:tblLayout w:type="fixed"/>
        <w:tblCellMar>
          <w:top w:w="0" w:type="dxa"/>
          <w:left w:w="0" w:type="dxa"/>
          <w:bottom w:w="0" w:type="dxa"/>
          <w:right w:w="0" w:type="dxa"/>
        </w:tblCellMar>
      </w:tblPr>
      <w:tblGrid>
        <w:gridCol w:w="3065"/>
        <w:gridCol w:w="60"/>
        <w:gridCol w:w="23"/>
        <w:gridCol w:w="60"/>
        <w:gridCol w:w="2060"/>
        <w:gridCol w:w="60"/>
        <w:gridCol w:w="23"/>
        <w:gridCol w:w="60"/>
        <w:gridCol w:w="2780"/>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3065" w:type="dxa"/>
            <w:tcBorders>
              <w:top w:val="single" w:sz="12" w:space="0" w:color="0054BA"/>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2120" w:type="dxa"/>
            <w:gridSpan w:val="2"/>
            <w:tcBorders>
              <w:top w:val="single" w:sz="12" w:space="0" w:color="0054BA"/>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2840" w:type="dxa"/>
            <w:gridSpan w:val="2"/>
            <w:tcBorders>
              <w:top w:val="single" w:sz="12" w:space="0" w:color="0054BA"/>
            </w:tcBorders>
            <w:tcMar>
              <w:top w:w="28" w:type="dxa"/>
            </w:tcMar>
            <w:vAlign w:val="center"/>
          </w:tcPr>
          <w:p>
            <w:pPr>
              <w:pStyle w:val="TableContents"/>
              <w:bidi w:val="0"/>
              <w:spacing w:before="0" w:after="283"/>
              <w:jc w:val="left"/>
              <w:rPr/>
            </w:pPr>
            <w:r>
              <w:rPr/>
              <w:t> </w:t>
            </w:r>
          </w:p>
        </w:tc>
      </w:tr>
      <w:tr>
        <w:trPr/>
        <w:tc>
          <w:tcPr>
            <w:tcW w:w="3065" w:type="dxa"/>
            <w:tcBorders>
              <w:bottom w:val="single" w:sz="12" w:space="0" w:color="0054BA"/>
            </w:tcBorders>
            <w:tcMar>
              <w:bottom w:w="28" w:type="dxa"/>
            </w:tcMar>
            <w:vAlign w:val="center"/>
          </w:tcPr>
          <w:p>
            <w:pPr>
              <w:pStyle w:val="TableContents"/>
              <w:bidi w:val="0"/>
              <w:spacing w:before="0" w:after="0"/>
              <w:jc w:val="center"/>
              <w:rPr>
                <w:rFonts w:ascii="ARIAL" w:hAnsi="ARIAL"/>
                <w:b/>
                <w:color w:val="0054BA"/>
                <w:sz w:val="80"/>
              </w:rPr>
            </w:pPr>
            <w:r>
              <w:rPr>
                <w:rFonts w:ascii="ARIAL" w:hAnsi="ARIAL"/>
                <w:b/>
                <w:color w:val="0054BA"/>
                <w:sz w:val="80"/>
              </w:rPr>
              <w:t>56</w:t>
            </w:r>
          </w:p>
          <w:p>
            <w:pPr>
              <w:pStyle w:val="TableContents"/>
              <w:bidi w:val="0"/>
              <w:spacing w:before="0" w:after="20"/>
              <w:jc w:val="center"/>
              <w:rPr>
                <w:rFonts w:ascii="ARIAL" w:hAnsi="ARIAL"/>
                <w:sz w:val="18"/>
              </w:rPr>
            </w:pPr>
            <w:r>
              <w:rPr>
                <w:rFonts w:ascii="ARIAL" w:hAnsi="ARIAL"/>
                <w:sz w:val="18"/>
              </w:rPr>
              <w:t>Average training hours per employee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12" w:space="0" w:color="0054BA"/>
            </w:tcBorders>
            <w:tcMar>
              <w:bottom w:w="28" w:type="dxa"/>
            </w:tcMar>
            <w:vAlign w:val="center"/>
          </w:tcPr>
          <w:p>
            <w:pPr>
              <w:pStyle w:val="TableContents"/>
              <w:bidi w:val="0"/>
              <w:spacing w:before="0" w:after="283"/>
              <w:jc w:val="left"/>
              <w:rPr/>
            </w:pPr>
            <w:r>
              <w:rPr/>
              <w:t> </w:t>
            </w:r>
          </w:p>
        </w:tc>
        <w:tc>
          <w:tcPr>
            <w:tcW w:w="2060" w:type="dxa"/>
            <w:tcBorders>
              <w:bottom w:val="single" w:sz="12" w:space="0" w:color="0054BA"/>
            </w:tcBorders>
            <w:tcMar>
              <w:bottom w:w="28" w:type="dxa"/>
            </w:tcMar>
            <w:vAlign w:val="center"/>
          </w:tcPr>
          <w:p>
            <w:pPr>
              <w:pStyle w:val="TableContents"/>
              <w:bidi w:val="0"/>
              <w:spacing w:before="0" w:after="0"/>
              <w:jc w:val="center"/>
              <w:rPr>
                <w:rFonts w:ascii="ARIAL" w:hAnsi="ARIAL"/>
                <w:b/>
                <w:color w:val="0054BA"/>
                <w:sz w:val="80"/>
              </w:rPr>
            </w:pPr>
            <w:r>
              <w:rPr>
                <w:rFonts w:ascii="ARIAL" w:hAnsi="ARIAL"/>
                <w:b/>
                <w:color w:val="0054BA"/>
                <w:sz w:val="80"/>
              </w:rPr>
              <w:t>50</w:t>
            </w:r>
          </w:p>
          <w:p>
            <w:pPr>
              <w:pStyle w:val="TableContents"/>
              <w:bidi w:val="0"/>
              <w:spacing w:before="0" w:after="20"/>
              <w:jc w:val="center"/>
              <w:rPr>
                <w:rFonts w:ascii="ARIAL" w:hAnsi="ARIAL"/>
                <w:sz w:val="18"/>
              </w:rPr>
            </w:pPr>
            <w:r>
              <w:rPr>
                <w:rFonts w:ascii="ARIAL" w:hAnsi="ARIAL"/>
                <w:sz w:val="18"/>
              </w:rPr>
              <w:t>Volunteer events in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12" w:space="0" w:color="0054BA"/>
            </w:tcBorders>
            <w:tcMar>
              <w:bottom w:w="28" w:type="dxa"/>
            </w:tcMar>
            <w:vAlign w:val="center"/>
          </w:tcPr>
          <w:p>
            <w:pPr>
              <w:pStyle w:val="TableContents"/>
              <w:bidi w:val="0"/>
              <w:spacing w:before="0" w:after="283"/>
              <w:jc w:val="left"/>
              <w:rPr/>
            </w:pPr>
            <w:r>
              <w:rPr/>
              <w:t> </w:t>
            </w:r>
          </w:p>
        </w:tc>
        <w:tc>
          <w:tcPr>
            <w:tcW w:w="2780" w:type="dxa"/>
            <w:tcBorders>
              <w:bottom w:val="single" w:sz="12" w:space="0" w:color="0054BA"/>
            </w:tcBorders>
            <w:tcMar>
              <w:bottom w:w="28" w:type="dxa"/>
            </w:tcMar>
            <w:vAlign w:val="center"/>
          </w:tcPr>
          <w:p>
            <w:pPr>
              <w:pStyle w:val="TableContents"/>
              <w:bidi w:val="0"/>
              <w:spacing w:before="0" w:after="0"/>
              <w:jc w:val="center"/>
              <w:rPr>
                <w:rFonts w:ascii="ARIAL" w:hAnsi="ARIAL"/>
                <w:b/>
                <w:color w:val="0054BA"/>
                <w:sz w:val="80"/>
              </w:rPr>
            </w:pPr>
            <w:r>
              <w:rPr>
                <w:rFonts w:ascii="ARIAL" w:hAnsi="ARIAL"/>
                <w:b/>
                <w:color w:val="0054BA"/>
                <w:sz w:val="80"/>
              </w:rPr>
              <w:t>$3.2M+</w:t>
            </w:r>
          </w:p>
          <w:p>
            <w:pPr>
              <w:pStyle w:val="TableContents"/>
              <w:bidi w:val="0"/>
              <w:spacing w:before="0" w:after="0"/>
              <w:jc w:val="center"/>
              <w:rPr>
                <w:rFonts w:ascii="ARIAL" w:hAnsi="ARIAL"/>
                <w:sz w:val="18"/>
              </w:rPr>
            </w:pPr>
            <w:r>
              <w:rPr>
                <w:rFonts w:ascii="ARIAL" w:hAnsi="ARIAL"/>
                <w:sz w:val="18"/>
              </w:rPr>
              <w:t>Donated to more than 85 partners</w:t>
            </w:r>
          </w:p>
          <w:p>
            <w:pPr>
              <w:pStyle w:val="TableContents"/>
              <w:bidi w:val="0"/>
              <w:spacing w:before="0" w:after="20"/>
              <w:jc w:val="left"/>
              <w:rPr/>
            </w:pPr>
            <w:r>
              <w:rPr/>
              <w:t> </w:t>
            </w:r>
          </w:p>
        </w:tc>
      </w:tr>
    </w:tbl>
    <w:p>
      <w:pPr>
        <w:pStyle w:val="TextBody"/>
        <w:bidi w:val="0"/>
        <w:spacing w:before="0" w:after="0"/>
        <w:jc w:val="left"/>
        <w:rPr/>
      </w:pPr>
      <w:r>
        <w:rPr/>
        <w:t> </w:t>
      </w:r>
    </w:p>
    <w:tbl>
      <w:tblPr>
        <w:tblW w:w="3290" w:type="dxa"/>
        <w:jc w:val="left"/>
        <w:tblInd w:w="0" w:type="dxa"/>
        <w:shd w:fill="DAEDFA" w:val="clear"/>
        <w:tblLayout w:type="fixed"/>
        <w:tblCellMar>
          <w:top w:w="0" w:type="dxa"/>
          <w:left w:w="0" w:type="dxa"/>
          <w:bottom w:w="0" w:type="dxa"/>
          <w:right w:w="0" w:type="dxa"/>
        </w:tblCellMar>
      </w:tblPr>
      <w:tblGrid>
        <w:gridCol w:w="3290"/>
      </w:tblGrid>
      <w:tr>
        <w:trPr/>
        <w:tc>
          <w:tcPr>
            <w:tcW w:w="3290" w:type="dxa"/>
            <w:tcBorders/>
            <w:shd w:fill="DAEDFA" w:val="clear"/>
            <w:vAlign w:val="center"/>
          </w:tcPr>
          <w:p>
            <w:pPr>
              <w:pStyle w:val="TableContents"/>
              <w:bidi w:val="0"/>
              <w:spacing w:before="0" w:after="283"/>
              <w:jc w:val="left"/>
              <w:rPr>
                <w:sz w:val="4"/>
                <w:szCs w:val="4"/>
              </w:rPr>
            </w:pPr>
            <w:r>
              <w:rPr>
                <w:sz w:val="4"/>
                <w:szCs w:val="4"/>
              </w:rPr>
            </w:r>
          </w:p>
        </w:tc>
      </w:tr>
      <w:tr>
        <w:trPr/>
        <w:tc>
          <w:tcPr>
            <w:tcW w:w="3290" w:type="dxa"/>
            <w:tcBorders/>
            <w:shd w:fill="DAEDFA"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54BA"/>
                <w:sz w:val="80"/>
              </w:rPr>
            </w:pPr>
            <w:r>
              <w:rPr>
                <w:rFonts w:ascii="ARIAL" w:hAnsi="ARIAL"/>
                <w:b/>
                <w:color w:val="0054BA"/>
                <w:sz w:val="80"/>
              </w:rPr>
              <w:t>10%</w:t>
            </w:r>
          </w:p>
          <w:p>
            <w:pPr>
              <w:pStyle w:val="TableContents"/>
              <w:bidi w:val="0"/>
              <w:spacing w:before="0" w:after="20"/>
              <w:jc w:val="left"/>
              <w:rPr/>
            </w:pPr>
            <w:r>
              <w:rPr/>
              <w:t> </w:t>
            </w:r>
          </w:p>
        </w:tc>
      </w:tr>
      <w:tr>
        <w:trPr/>
        <w:tc>
          <w:tcPr>
            <w:tcW w:w="3290" w:type="dxa"/>
            <w:tcBorders/>
            <w:shd w:fill="DAEDFA" w:val="clear"/>
            <w:vAlign w:val="center"/>
          </w:tcPr>
          <w:p>
            <w:pPr>
              <w:pStyle w:val="TableContents"/>
              <w:bidi w:val="0"/>
              <w:spacing w:before="0" w:after="0"/>
              <w:jc w:val="center"/>
              <w:rPr>
                <w:rFonts w:ascii="ARIAL" w:hAnsi="ARIAL"/>
                <w:b/>
                <w:sz w:val="20"/>
              </w:rPr>
            </w:pPr>
            <w:r>
              <w:rPr>
                <w:rFonts w:ascii="ARIAL" w:hAnsi="ARIAL"/>
                <w:b/>
                <w:sz w:val="20"/>
              </w:rPr>
              <w:t>COMBINED REDUCTION ACROSS</w:t>
            </w:r>
          </w:p>
          <w:p>
            <w:pPr>
              <w:pStyle w:val="TableContents"/>
              <w:bidi w:val="0"/>
              <w:spacing w:before="0" w:after="0"/>
              <w:jc w:val="center"/>
              <w:rPr>
                <w:rFonts w:ascii="ARIAL" w:hAnsi="ARIAL"/>
                <w:b/>
                <w:sz w:val="20"/>
              </w:rPr>
            </w:pPr>
            <w:r>
              <w:rPr>
                <w:rFonts w:ascii="ARIAL" w:hAnsi="ARIAL"/>
                <w:b/>
                <w:sz w:val="20"/>
              </w:rPr>
              <w:t>SCOPES 1, 2 &amp; 3 GHG EMISSIONS</w:t>
            </w:r>
          </w:p>
          <w:p>
            <w:pPr>
              <w:pStyle w:val="TableContents"/>
              <w:bidi w:val="0"/>
              <w:spacing w:before="0" w:after="20"/>
              <w:jc w:val="left"/>
              <w:rPr/>
            </w:pPr>
            <w:r>
              <w:rPr/>
              <w:t> </w:t>
            </w:r>
          </w:p>
        </w:tc>
      </w:tr>
    </w:tbl>
    <w:p>
      <w:pPr>
        <w:pStyle w:val="TextBody"/>
        <w:bidi w:val="0"/>
        <w:spacing w:before="480" w:after="0"/>
        <w:jc w:val="left"/>
        <w:rPr>
          <w:rFonts w:ascii="ARIAL" w:hAnsi="ARIAL"/>
          <w:b/>
          <w:color w:val="0054BA"/>
          <w:sz w:val="30"/>
        </w:rPr>
      </w:pPr>
      <w:r>
        <w:rPr>
          <w:rFonts w:ascii="ARIAL" w:hAnsi="ARIAL"/>
          <w:b/>
          <w:color w:val="0054BA"/>
          <w:sz w:val="30"/>
        </w:rPr>
        <w:t xml:space="preserve">HUMAN CAPITAL MANAGEMENT </w:t>
      </w:r>
    </w:p>
    <w:p>
      <w:pPr>
        <w:pStyle w:val="TextBody"/>
        <w:bidi w:val="0"/>
        <w:spacing w:before="80" w:after="0"/>
        <w:jc w:val="left"/>
        <w:rPr>
          <w:rFonts w:ascii="ARIAL" w:hAnsi="ARIAL"/>
          <w:sz w:val="18"/>
        </w:rPr>
      </w:pPr>
      <w:r>
        <w:rPr>
          <w:rFonts w:ascii="ARIAL" w:hAnsi="ARIAL"/>
          <w:sz w:val="18"/>
        </w:rPr>
        <w:t xml:space="preserve">We measure our success in providing a positive work environment through a yearly Employee Engagement Survey administered by a third-party agency. Surveying our employees each year gives us an opportunity to see where we are excelling and what areas need improvement. The results of these surveys have helped us innovate how we look at employee programs, benefits, environment, and our internal protocols. </w:t>
      </w:r>
    </w:p>
    <w:p>
      <w:pPr>
        <w:pStyle w:val="TextBody"/>
        <w:bidi w:val="0"/>
        <w:spacing w:before="240" w:after="0"/>
        <w:jc w:val="left"/>
        <w:rPr>
          <w:rFonts w:ascii="ARIAL" w:hAnsi="ARIAL"/>
          <w:sz w:val="18"/>
        </w:rPr>
      </w:pPr>
      <w:r>
        <w:rPr>
          <w:rFonts w:ascii="ARIAL" w:hAnsi="ARIAL"/>
          <w:sz w:val="18"/>
        </w:rPr>
        <w:t xml:space="preserve">In 2025, 91% of employees participated in the survey, and we celebrate our outstanding employee engagement scores, with an overall engagement score of 81%. We are proud to have a highly engaged workforce, reflected in our average monthly employee retention rate of 99%. </w:t>
      </w:r>
    </w:p>
    <w:p>
      <w:pPr>
        <w:pStyle w:val="TextBody"/>
        <w:bidi w:val="0"/>
        <w:spacing w:before="0" w:after="0"/>
        <w:jc w:val="left"/>
        <w:rPr/>
      </w:pPr>
      <w:r>
        <w:rPr/>
        <w:t> </w:t>
      </w:r>
    </w:p>
    <w:tbl>
      <w:tblPr>
        <w:tblW w:w="7321" w:type="dxa"/>
        <w:jc w:val="left"/>
        <w:tblInd w:w="0" w:type="dxa"/>
        <w:tblLayout w:type="fixed"/>
        <w:tblCellMar>
          <w:top w:w="0" w:type="dxa"/>
          <w:left w:w="0" w:type="dxa"/>
          <w:bottom w:w="0" w:type="dxa"/>
          <w:right w:w="0" w:type="dxa"/>
        </w:tblCellMar>
      </w:tblPr>
      <w:tblGrid>
        <w:gridCol w:w="2270"/>
        <w:gridCol w:w="60"/>
        <w:gridCol w:w="23"/>
        <w:gridCol w:w="60"/>
        <w:gridCol w:w="2180"/>
        <w:gridCol w:w="60"/>
        <w:gridCol w:w="23"/>
        <w:gridCol w:w="60"/>
        <w:gridCol w:w="258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2270" w:type="dxa"/>
            <w:tcBorders>
              <w:top w:val="single" w:sz="12" w:space="0" w:color="0054BA"/>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top w:val="single" w:sz="12" w:space="0" w:color="0054BA"/>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2645" w:type="dxa"/>
            <w:gridSpan w:val="2"/>
            <w:tcBorders>
              <w:top w:val="single" w:sz="12" w:space="0" w:color="0054BA"/>
            </w:tcBorders>
            <w:tcMar>
              <w:top w:w="28" w:type="dxa"/>
            </w:tcMar>
            <w:vAlign w:val="center"/>
          </w:tcPr>
          <w:p>
            <w:pPr>
              <w:pStyle w:val="TableContents"/>
              <w:bidi w:val="0"/>
              <w:spacing w:before="0" w:after="283"/>
              <w:jc w:val="left"/>
              <w:rPr/>
            </w:pPr>
            <w:r>
              <w:rPr/>
              <w:t> </w:t>
            </w:r>
          </w:p>
        </w:tc>
      </w:tr>
      <w:tr>
        <w:trPr/>
        <w:tc>
          <w:tcPr>
            <w:tcW w:w="2270" w:type="dxa"/>
            <w:tcBorders>
              <w:bottom w:val="single" w:sz="12" w:space="0" w:color="0054BA"/>
            </w:tcBorders>
            <w:tcMar>
              <w:bottom w:w="28" w:type="dxa"/>
            </w:tcMar>
            <w:vAlign w:val="center"/>
          </w:tcPr>
          <w:p>
            <w:pPr>
              <w:pStyle w:val="TableContents"/>
              <w:bidi w:val="0"/>
              <w:spacing w:before="0" w:after="0"/>
              <w:jc w:val="center"/>
              <w:rPr>
                <w:rFonts w:ascii="ARIAL" w:hAnsi="ARIAL"/>
                <w:b/>
                <w:color w:val="0054BA"/>
                <w:sz w:val="80"/>
              </w:rPr>
            </w:pPr>
            <w:r>
              <w:rPr>
                <w:rFonts w:ascii="ARIAL" w:hAnsi="ARIAL"/>
                <w:b/>
                <w:color w:val="0054BA"/>
                <w:sz w:val="80"/>
              </w:rPr>
              <w:t>99%</w:t>
            </w:r>
          </w:p>
          <w:p>
            <w:pPr>
              <w:pStyle w:val="TableContents"/>
              <w:bidi w:val="0"/>
              <w:spacing w:before="0" w:after="0"/>
              <w:jc w:val="center"/>
              <w:rPr>
                <w:rFonts w:ascii="ARIAL" w:hAnsi="ARIAL"/>
                <w:sz w:val="18"/>
              </w:rPr>
            </w:pPr>
            <w:r>
              <w:rPr>
                <w:rFonts w:ascii="ARIAL" w:hAnsi="ARIAL"/>
                <w:sz w:val="18"/>
              </w:rPr>
              <w:t>Average monthly employee</w:t>
            </w:r>
          </w:p>
          <w:p>
            <w:pPr>
              <w:pStyle w:val="TableContents"/>
              <w:bidi w:val="0"/>
              <w:spacing w:before="0" w:after="20"/>
              <w:jc w:val="center"/>
              <w:rPr>
                <w:rFonts w:ascii="ARIAL" w:hAnsi="ARIAL"/>
                <w:sz w:val="18"/>
              </w:rPr>
            </w:pPr>
            <w:r>
              <w:rPr>
                <w:rFonts w:ascii="ARIAL" w:hAnsi="ARIAL"/>
                <w:sz w:val="18"/>
              </w:rPr>
              <w:t>retention rate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12" w:space="0" w:color="0054BA"/>
            </w:tcBorders>
            <w:tcMar>
              <w:bottom w:w="28" w:type="dxa"/>
            </w:tcMar>
            <w:vAlign w:val="center"/>
          </w:tcPr>
          <w:p>
            <w:pPr>
              <w:pStyle w:val="TableContents"/>
              <w:bidi w:val="0"/>
              <w:spacing w:before="0" w:after="283"/>
              <w:jc w:val="left"/>
              <w:rPr/>
            </w:pPr>
            <w:r>
              <w:rPr/>
              <w:t> </w:t>
            </w:r>
          </w:p>
        </w:tc>
        <w:tc>
          <w:tcPr>
            <w:tcW w:w="2180" w:type="dxa"/>
            <w:tcBorders>
              <w:bottom w:val="single" w:sz="12" w:space="0" w:color="0054BA"/>
            </w:tcBorders>
            <w:tcMar>
              <w:bottom w:w="28" w:type="dxa"/>
            </w:tcMar>
            <w:vAlign w:val="center"/>
          </w:tcPr>
          <w:p>
            <w:pPr>
              <w:pStyle w:val="TableContents"/>
              <w:bidi w:val="0"/>
              <w:spacing w:before="0" w:after="0"/>
              <w:jc w:val="center"/>
              <w:rPr>
                <w:rFonts w:ascii="ARIAL" w:hAnsi="ARIAL"/>
                <w:b/>
                <w:color w:val="0054BA"/>
                <w:sz w:val="80"/>
              </w:rPr>
            </w:pPr>
            <w:r>
              <w:rPr>
                <w:rFonts w:ascii="ARIAL" w:hAnsi="ARIAL"/>
                <w:b/>
                <w:color w:val="0054BA"/>
                <w:sz w:val="80"/>
              </w:rPr>
              <w:t>81%</w:t>
            </w:r>
          </w:p>
          <w:p>
            <w:pPr>
              <w:pStyle w:val="TableContents"/>
              <w:bidi w:val="0"/>
              <w:spacing w:before="0" w:after="20"/>
              <w:jc w:val="center"/>
              <w:rPr>
                <w:rFonts w:ascii="ARIAL" w:hAnsi="ARIAL"/>
                <w:sz w:val="18"/>
              </w:rPr>
            </w:pPr>
            <w:r>
              <w:rPr>
                <w:rFonts w:ascii="ARIAL" w:hAnsi="ARIAL"/>
                <w:sz w:val="18"/>
              </w:rPr>
              <w:t>Overall engagement score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12" w:space="0" w:color="0054BA"/>
            </w:tcBorders>
            <w:tcMar>
              <w:bottom w:w="28" w:type="dxa"/>
            </w:tcMar>
            <w:vAlign w:val="center"/>
          </w:tcPr>
          <w:p>
            <w:pPr>
              <w:pStyle w:val="TableContents"/>
              <w:bidi w:val="0"/>
              <w:spacing w:before="0" w:after="283"/>
              <w:jc w:val="left"/>
              <w:rPr/>
            </w:pPr>
            <w:r>
              <w:rPr/>
              <w:t> </w:t>
            </w:r>
          </w:p>
        </w:tc>
        <w:tc>
          <w:tcPr>
            <w:tcW w:w="2585" w:type="dxa"/>
            <w:tcBorders>
              <w:bottom w:val="single" w:sz="12" w:space="0" w:color="0054BA"/>
            </w:tcBorders>
            <w:tcMar>
              <w:bottom w:w="28" w:type="dxa"/>
            </w:tcMar>
            <w:vAlign w:val="center"/>
          </w:tcPr>
          <w:p>
            <w:pPr>
              <w:pStyle w:val="TableContents"/>
              <w:bidi w:val="0"/>
              <w:spacing w:before="0" w:after="0"/>
              <w:jc w:val="center"/>
              <w:rPr>
                <w:rFonts w:ascii="ARIAL" w:hAnsi="ARIAL"/>
                <w:b/>
                <w:color w:val="0054BA"/>
                <w:sz w:val="80"/>
              </w:rPr>
            </w:pPr>
            <w:r>
              <w:rPr>
                <w:rFonts w:ascii="ARIAL" w:hAnsi="ARIAL"/>
                <w:b/>
                <w:color w:val="0054BA"/>
                <w:sz w:val="80"/>
              </w:rPr>
              <w:t>13%</w:t>
            </w:r>
          </w:p>
          <w:p>
            <w:pPr>
              <w:pStyle w:val="TableContents"/>
              <w:bidi w:val="0"/>
              <w:spacing w:before="0" w:after="0"/>
              <w:jc w:val="center"/>
              <w:rPr>
                <w:rFonts w:ascii="ARIAL" w:hAnsi="ARIAL"/>
                <w:sz w:val="18"/>
              </w:rPr>
            </w:pPr>
            <w:r>
              <w:rPr>
                <w:rFonts w:ascii="ARIAL" w:hAnsi="ARIAL"/>
                <w:sz w:val="18"/>
              </w:rPr>
              <w:t>Employees moved to new roles</w:t>
              <w:br/>
              <w:t>internally in 2025</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12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8" descr=""/>
                          <pic:cNvPicPr>
                            <a:picLocks noChangeAspect="1" noChangeArrowheads="1"/>
                          </pic:cNvPicPr>
                        </pic:nvPicPr>
                        <pic:blipFill>
                          <a:blip r:embed="rId11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64"/>
        </w:rPr>
      </w:pPr>
      <w:r>
        <w:rPr>
          <w:rFonts w:ascii="ARIAL" w:hAnsi="ARIAL"/>
          <w:b/>
          <w:sz w:val="64"/>
        </w:rPr>
        <w:t xml:space="preserve">COSTAR GROUP, INC. </w:t>
      </w:r>
    </w:p>
    <w:p>
      <w:pPr>
        <w:pStyle w:val="TextBody"/>
        <w:bidi w:val="0"/>
        <w:spacing w:before="240" w:after="0"/>
        <w:jc w:val="center"/>
        <w:rPr>
          <w:rFonts w:ascii="ARIAL" w:hAnsi="ARIAL"/>
          <w:b/>
          <w:sz w:val="28"/>
        </w:rPr>
      </w:pPr>
      <w:bookmarkStart w:id="5" w:name="toc903159_3"/>
      <w:bookmarkEnd w:id="5"/>
      <w:r>
        <w:rPr>
          <w:rFonts w:ascii="ARIAL" w:hAnsi="ARIAL"/>
          <w:b/>
          <w:sz w:val="28"/>
        </w:rPr>
        <w:t xml:space="preserve">PROXY STATEMENT </w:t>
      </w:r>
    </w:p>
    <w:p>
      <w:pPr>
        <w:pStyle w:val="TextBody"/>
        <w:bidi w:val="0"/>
        <w:spacing w:before="240" w:after="0"/>
        <w:jc w:val="center"/>
        <w:rPr>
          <w:rFonts w:ascii="ARIAL" w:hAnsi="ARIAL"/>
          <w:b/>
          <w:sz w:val="28"/>
        </w:rPr>
      </w:pPr>
      <w:r>
        <w:rPr>
          <w:rFonts w:ascii="ARIAL" w:hAnsi="ARIAL"/>
          <w:b/>
          <w:sz w:val="28"/>
        </w:rPr>
        <w:t xml:space="preserve">ANNUAL MEETING OF STOCKHOLDERS </w:t>
      </w:r>
    </w:p>
    <w:p>
      <w:pPr>
        <w:pStyle w:val="TextBody"/>
        <w:bidi w:val="0"/>
        <w:spacing w:before="0" w:after="0"/>
        <w:jc w:val="center"/>
        <w:rPr>
          <w:rFonts w:ascii="ARIAL" w:hAnsi="ARIAL"/>
          <w:b/>
          <w:sz w:val="28"/>
        </w:rPr>
      </w:pPr>
      <w:r>
        <w:rPr>
          <w:rFonts w:ascii="ARIAL" w:hAnsi="ARIAL"/>
          <w:b/>
          <w:sz w:val="28"/>
        </w:rPr>
        <w:t xml:space="preserve">TO BE HELD ON TUESDAY, JUNE 23, 2026 </w:t>
      </w:r>
    </w:p>
    <w:p>
      <w:pPr>
        <w:pStyle w:val="TextBody"/>
        <w:bidi w:val="0"/>
        <w:spacing w:before="720" w:after="0"/>
        <w:jc w:val="left"/>
        <w:rPr>
          <w:rFonts w:ascii="ARIAL" w:hAnsi="ARIAL"/>
          <w:sz w:val="18"/>
        </w:rPr>
      </w:pPr>
      <w:r>
        <w:rPr>
          <w:rFonts w:ascii="ARIAL" w:hAnsi="ARIAL"/>
          <w:sz w:val="18"/>
        </w:rPr>
        <w:t xml:space="preserve">The Board of Directors (the “Board”) of CoStar Group, Inc. (“CoStar,” “CoStar Group,” “we,” “our,” “us,” or the “Company”) solicits your proxy for use at the Annual Meeting of Stockholders (the “Annual Meeting”) to be held at 10:00 a.m., Eastern Time, on Tuesday, June 23, 2026, and at any adjournment or postponement of the Annual Meeting. The Annual Meeting will be held online only as a live webcast via the internet at www.virtualshareholdermeeting.com/CSGP2026. The webcast replay of the Annual Meeting will be made available in the Investors section of CoStar Group’s website after completion of the Annual Meeting and will remain available for a period of time following the call. </w:t>
      </w:r>
    </w:p>
    <w:p>
      <w:pPr>
        <w:pStyle w:val="TextBody"/>
        <w:bidi w:val="0"/>
        <w:spacing w:before="120" w:after="0"/>
        <w:jc w:val="left"/>
        <w:rPr>
          <w:rFonts w:ascii="ARIAL" w:hAnsi="ARIAL"/>
          <w:sz w:val="18"/>
        </w:rPr>
      </w:pPr>
      <w:r>
        <w:rPr>
          <w:rFonts w:ascii="ARIAL" w:hAnsi="ARIAL"/>
          <w:sz w:val="18"/>
        </w:rPr>
        <w:t xml:space="preserve">We are mailing the Notice of Internet Availability of Proxy Materials (the “Notice”) to our stockholders eligible to vote at the Annual Meeting on or about April 30, 2026. If you are a registered stockholder, to be admitted to the Annual Meeting, you will need to enter the 16-digit control number found on your Notice or proxy card. If your shares are held in brokerage accounts and your voting instruction form or the Notice indicates that you may vote those shares through the www.proxyvote.com website, then you may be admitted to the Annual Meeting using the 16-digit control number indicated on that voting instruction form or the Notice. Otherwise, stockholders who hold their shares in brokerage accounts should contact their bank, broker or other nominee (preferably at least five days before the Annual Meeting) and obtain a “legal proxy” in order to be able to attend, participate in or vote at the Annual Meeting. </w:t>
      </w:r>
    </w:p>
    <w:p>
      <w:pPr>
        <w:pStyle w:val="TextBody"/>
        <w:bidi w:val="0"/>
        <w:spacing w:before="120" w:after="0"/>
        <w:jc w:val="left"/>
        <w:rPr>
          <w:rFonts w:ascii="ARIAL" w:hAnsi="ARIAL"/>
          <w:sz w:val="18"/>
        </w:rPr>
      </w:pPr>
      <w:r>
        <w:rPr>
          <w:rFonts w:ascii="ARIAL" w:hAnsi="ARIAL"/>
          <w:sz w:val="18"/>
        </w:rPr>
        <w:t xml:space="preserve">The Annual Meeting will include a question and answer session, and stockholders may submit questions appropriate to our business during the Annual Meeting. Questions may be submitted during the Annual Meeting through www.virtualshareholdermeeting.com/CSGP2026. Questions pertinent to meeting matters that comply with the meeting rules of conduct will be answered during the question and answer session, subject to time constraints. However, we reserve the right to exclude questions that are not pertinent to meeting matters, irrelevant to the business of the Company, derogatory or in bad taste, or relate to pending or threatened litigation, personal grievances or are otherwise inappropriate. Questions that are substantially similar may be grouped and answered once to avoid repetition. If there are any questions pertinent to meeting matters that cannot be answered during the meeting due to time constraints, management expects to post answers to those questions on the “Investor Relations” section of the Company’s website at investors.costargroup.com as soon as practicable after the meeting. </w:t>
      </w:r>
    </w:p>
    <w:p>
      <w:pPr>
        <w:pStyle w:val="TextBody"/>
        <w:bidi w:val="0"/>
        <w:spacing w:before="120" w:after="0"/>
        <w:jc w:val="left"/>
        <w:rPr>
          <w:rFonts w:ascii="ARIAL" w:hAnsi="ARIAL"/>
          <w:sz w:val="18"/>
        </w:rPr>
      </w:pPr>
      <w:r>
        <w:rPr>
          <w:rFonts w:ascii="ARIAL" w:hAnsi="ARIAL"/>
          <w:sz w:val="18"/>
        </w:rPr>
        <w:t xml:space="preserve">We encourage you to access the Annual Meeting 15 minutes before it begins to avoid any delay from technical issues. If you encounter technical issues accessing the virtual Annual Meeting, you can contact the technical support number posted on the login page at www.virtualshareholdermeeting.com/CSGP2026.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12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9" descr=""/>
                          <pic:cNvPicPr>
                            <a:picLocks noChangeAspect="1" noChangeArrowheads="1"/>
                          </pic:cNvPicPr>
                        </pic:nvPicPr>
                        <pic:blipFill>
                          <a:blip r:embed="rId11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54BA"/>
          <w:sz w:val="44"/>
        </w:rPr>
      </w:pPr>
      <w:bookmarkStart w:id="6" w:name="toc903159_4"/>
      <w:bookmarkEnd w:id="6"/>
      <w:r>
        <w:rPr>
          <w:rFonts w:ascii="ARIAL" w:hAnsi="ARIAL"/>
          <w:b/>
          <w:color w:val="0054BA"/>
          <w:sz w:val="44"/>
        </w:rPr>
        <w:t xml:space="preserve">Proposal 1 </w:t>
      </w:r>
    </w:p>
    <w:p>
      <w:pPr>
        <w:pStyle w:val="TextBody"/>
        <w:bidi w:val="0"/>
        <w:spacing w:before="0" w:after="0"/>
        <w:jc w:val="left"/>
        <w:rPr>
          <w:rFonts w:ascii="ARIAL" w:hAnsi="ARIAL"/>
          <w:b/>
          <w:sz w:val="64"/>
        </w:rPr>
      </w:pPr>
      <w:r>
        <w:rPr>
          <w:rFonts w:ascii="ARIAL" w:hAnsi="ARIAL"/>
          <w:b/>
          <w:sz w:val="64"/>
        </w:rPr>
        <w:t xml:space="preserve">ELECTION OF DIRECTORS </w:t>
      </w:r>
    </w:p>
    <w:p>
      <w:pPr>
        <w:pStyle w:val="TextBody"/>
        <w:bidi w:val="0"/>
        <w:spacing w:before="720" w:after="0"/>
        <w:jc w:val="left"/>
        <w:rPr>
          <w:rFonts w:ascii="ARIAL" w:hAnsi="ARIAL"/>
          <w:sz w:val="18"/>
        </w:rPr>
      </w:pPr>
      <w:r>
        <w:rPr>
          <w:rFonts w:ascii="ARIAL" w:hAnsi="ARIAL"/>
          <w:sz w:val="18"/>
        </w:rPr>
        <w:t xml:space="preserve">At the recommendation of the Nominating and Corporate Governance Committee, the Board has nominated all eight of the current directors for reelection, all of whom were last elected at the 2025 Annual Meeting of Stockholders. On April 27, 2026, Nana Banerjee resigned from the Board and the Board size was reduced to eight directors. Dr. Banerjee’s resignation was due to personal reasons unrelated to the Company and was not the result of any disagreement with the Company or any matter relating to the Company’s operations, policies or practices. </w:t>
      </w:r>
    </w:p>
    <w:p>
      <w:pPr>
        <w:pStyle w:val="TextBody"/>
        <w:bidi w:val="0"/>
        <w:spacing w:before="120" w:after="0"/>
        <w:jc w:val="left"/>
        <w:rPr>
          <w:rFonts w:ascii="ARIAL" w:hAnsi="ARIAL"/>
          <w:sz w:val="18"/>
        </w:rPr>
      </w:pPr>
      <w:r>
        <w:rPr>
          <w:rFonts w:ascii="ARIAL" w:hAnsi="ARIAL"/>
          <w:sz w:val="18"/>
        </w:rPr>
        <w:t xml:space="preserve">Each director elected at the Annual Meeting will serve until the next Annual Meeting of Stockholders or until his or her successor is elected and qualified. We know of no reason why any nominee would be unable to serve. If any nominee becomes unable to serve prior to the Annual Meeting, the Board may reduce the size of the Board or designate substitute nominees, and proxies that do not withhold authority to vote for directors will be voted for such substitute nominees. In no event may proxies be voted for a greater number of persons than the number of nominees named. </w:t>
      </w:r>
    </w:p>
    <w:p>
      <w:pPr>
        <w:pStyle w:val="TextBody"/>
        <w:bidi w:val="0"/>
        <w:spacing w:before="0" w:after="0"/>
        <w:jc w:val="left"/>
        <w:rPr/>
      </w:pPr>
      <w:r>
        <w:rPr/>
        <w:t> </w:t>
      </w:r>
    </w:p>
    <w:tbl>
      <w:tblPr>
        <w:tblW w:w="10205" w:type="dxa"/>
        <w:jc w:val="left"/>
        <w:tblInd w:w="0" w:type="dxa"/>
        <w:shd w:fill="DAEDFA" w:val="clear"/>
        <w:tblLayout w:type="fixed"/>
        <w:tblCellMar>
          <w:top w:w="0" w:type="dxa"/>
          <w:left w:w="0" w:type="dxa"/>
          <w:bottom w:w="0" w:type="dxa"/>
          <w:right w:w="0" w:type="dxa"/>
        </w:tblCellMar>
      </w:tblPr>
      <w:tblGrid>
        <w:gridCol w:w="861"/>
        <w:gridCol w:w="120"/>
        <w:gridCol w:w="9224"/>
      </w:tblGrid>
      <w:tr>
        <w:trPr/>
        <w:tc>
          <w:tcPr>
            <w:tcW w:w="861"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sz w:val="4"/>
                <w:szCs w:val="4"/>
              </w:rPr>
            </w:pPr>
            <w:r>
              <w:rPr>
                <w:sz w:val="4"/>
                <w:szCs w:val="4"/>
              </w:rPr>
            </w:r>
          </w:p>
        </w:tc>
        <w:tc>
          <w:tcPr>
            <w:tcW w:w="9224" w:type="dxa"/>
            <w:tcBorders/>
            <w:shd w:fill="DAEDFA" w:val="clear"/>
            <w:vAlign w:val="center"/>
          </w:tcPr>
          <w:p>
            <w:pPr>
              <w:pStyle w:val="TableContents"/>
              <w:bidi w:val="0"/>
              <w:spacing w:before="0" w:after="283"/>
              <w:jc w:val="left"/>
              <w:rPr>
                <w:sz w:val="4"/>
                <w:szCs w:val="4"/>
              </w:rPr>
            </w:pPr>
            <w:r>
              <w:rPr>
                <w:sz w:val="4"/>
                <w:szCs w:val="4"/>
              </w:rPr>
            </w:r>
          </w:p>
        </w:tc>
      </w:tr>
      <w:tr>
        <w:trPr/>
        <w:tc>
          <w:tcPr>
            <w:tcW w:w="861" w:type="dxa"/>
            <w:tcBorders/>
            <w:shd w:fill="DAEDFA" w:val="clear"/>
            <w:vAlign w:val="center"/>
          </w:tcPr>
          <w:p>
            <w:pPr>
              <w:pStyle w:val="TableContents"/>
              <w:bidi w:val="0"/>
              <w:spacing w:before="0" w:after="283"/>
              <w:jc w:val="left"/>
              <w:rPr>
                <w:sz w:val="4"/>
                <w:szCs w:val="4"/>
              </w:rPr>
            </w:pPr>
            <w:r>
              <w:rPr>
                <w:sz w:val="4"/>
                <w:szCs w:val="4"/>
              </w:rPr>
            </w:r>
          </w:p>
        </w:tc>
        <w:tc>
          <w:tcPr>
            <w:tcW w:w="9344"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861" w:type="dxa"/>
            <w:tcBorders/>
            <w:shd w:fill="DAEDFA" w:val="clear"/>
            <w:vAlign w:val="center"/>
          </w:tcPr>
          <w:p>
            <w:pPr>
              <w:pStyle w:val="TableContents"/>
              <w:bidi w:val="0"/>
              <w:spacing w:before="0" w:after="283"/>
              <w:jc w:val="left"/>
              <w:rPr/>
            </w:pPr>
            <w:r>
              <w:rPr/>
              <w:t xml:space="preserve">  </w:t>
            </w:r>
            <w:r>
              <w:rPr/>
              <w:drawing>
                <wp:inline distT="0" distB="0" distL="0" distR="0">
                  <wp:extent cx="340995" cy="404495"/>
                  <wp:effectExtent l="0" t="0" r="0" b="0"/>
                  <wp:docPr id="12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0" descr=""/>
                          <pic:cNvPicPr>
                            <a:picLocks noChangeAspect="1" noChangeArrowheads="1"/>
                          </pic:cNvPicPr>
                        </pic:nvPicPr>
                        <pic:blipFill>
                          <a:blip r:embed="rId120"/>
                          <a:stretch>
                            <a:fillRect/>
                          </a:stretch>
                        </pic:blipFill>
                        <pic:spPr bwMode="auto">
                          <a:xfrm>
                            <a:off x="0" y="0"/>
                            <a:ext cx="340995" cy="404495"/>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9224" w:type="dxa"/>
            <w:tcBorders/>
            <w:shd w:fill="DAEDFA" w:val="clear"/>
            <w:vAlign w:val="center"/>
          </w:tcPr>
          <w:p>
            <w:pPr>
              <w:pStyle w:val="TableContents"/>
              <w:bidi w:val="0"/>
              <w:spacing w:before="0" w:after="283"/>
              <w:jc w:val="left"/>
              <w:rPr/>
            </w:pPr>
            <w:r>
              <w:rPr/>
              <w:t xml:space="preserve">THE BOARD UNANIMOUSLY RECOMMENDS A VOTE </w:t>
            </w:r>
            <w:r>
              <w:rPr>
                <w:b/>
                <w:color w:val="0054BA"/>
                <w:sz w:val="28"/>
              </w:rPr>
              <w:t xml:space="preserve">FOR </w:t>
            </w:r>
            <w:r>
              <w:rPr/>
              <w:t>EACH OF THE DIRECTOR NOMINEES</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13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1" descr=""/>
                          <pic:cNvPicPr>
                            <a:picLocks noChangeAspect="1" noChangeArrowheads="1"/>
                          </pic:cNvPicPr>
                        </pic:nvPicPr>
                        <pic:blipFill>
                          <a:blip r:embed="rId12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7" w:name="toc903159_5"/>
      <w:bookmarkEnd w:id="7"/>
      <w:r>
        <w:rPr>
          <w:rFonts w:ascii="ARIAL" w:hAnsi="ARIAL"/>
          <w:b/>
          <w:sz w:val="24"/>
        </w:rPr>
        <w:t xml:space="preserve">Board Composition </w:t>
      </w:r>
    </w:p>
    <w:p>
      <w:pPr>
        <w:pStyle w:val="TextBody"/>
        <w:bidi w:val="0"/>
        <w:spacing w:before="80" w:after="0"/>
        <w:jc w:val="left"/>
        <w:rPr>
          <w:rFonts w:ascii="ARIAL" w:hAnsi="ARIAL"/>
          <w:sz w:val="18"/>
        </w:rPr>
      </w:pPr>
      <w:r>
        <w:rPr>
          <w:rFonts w:ascii="ARIAL" w:hAnsi="ARIAL"/>
          <w:sz w:val="18"/>
        </w:rPr>
        <w:t xml:space="preserve">Our Nominating and Corporate Governance Committee reviews and assesses with the Board the Board’s membership criteria on an annual basis. These criteria include independence, judgment, integrity, ability to commit sufficient time and attention to the activities of the Board, absence of potential conflicts with the Company’s interests, knowledge, business experience, skills and background, including an understanding of and experience with real estate, information services, marketplace and technology industries, and finance, capital allocation, and marketing expertise. </w:t>
      </w:r>
    </w:p>
    <w:p>
      <w:pPr>
        <w:pStyle w:val="TextBody"/>
        <w:bidi w:val="0"/>
        <w:spacing w:before="120" w:after="0"/>
        <w:jc w:val="left"/>
        <w:rPr>
          <w:rFonts w:ascii="ARIAL" w:hAnsi="ARIAL"/>
          <w:sz w:val="18"/>
        </w:rPr>
      </w:pPr>
      <w:r>
        <w:rPr>
          <w:rFonts w:ascii="ARIAL" w:hAnsi="ARIAL"/>
          <w:sz w:val="18"/>
        </w:rPr>
        <w:t xml:space="preserve">In addition, the Nominating and Corporate Governance Committee evaluates the composition of the Board to assess the skills and experience that are currently represented on the Board, as well as the skills and experience that the Nominating and Corporate Governance Committee believes the Board will find valuable in the future given the Company’s current standing and strategic plans. This evaluation enables the Nominating and Corporate Governance Committee to assess its effectiveness at achieving these Board membership objectives. Our Board believes that a balanced range of director skills, experience, and tenure is a strategic asset for stockholders. The Board’s tenure profile includes directors with deep institutional knowledge of CoStar and its competitive environment, complemented by directors who bring a variety of professional backgrounds and fresh perspectives. This approach to Board refreshment balances continuity and experience with the addition of new viewpoints. </w:t>
      </w:r>
    </w:p>
    <w:p>
      <w:pPr>
        <w:pStyle w:val="TextBody"/>
        <w:bidi w:val="0"/>
        <w:spacing w:before="360" w:after="0"/>
        <w:jc w:val="left"/>
        <w:rPr>
          <w:rFonts w:ascii="ARIAL" w:hAnsi="ARIAL"/>
          <w:b/>
          <w:sz w:val="24"/>
        </w:rPr>
      </w:pPr>
      <w:r>
        <w:rPr>
          <w:rFonts w:ascii="ARIAL" w:hAnsi="ARIAL"/>
          <w:b/>
          <w:sz w:val="24"/>
        </w:rPr>
        <w:t xml:space="preserve">Identifying and Evaluating Director Nominees </w:t>
      </w:r>
    </w:p>
    <w:p>
      <w:pPr>
        <w:pStyle w:val="TextBody"/>
        <w:bidi w:val="0"/>
        <w:spacing w:before="80" w:after="0"/>
        <w:jc w:val="left"/>
        <w:rPr>
          <w:rFonts w:ascii="ARIAL" w:hAnsi="ARIAL"/>
          <w:sz w:val="18"/>
        </w:rPr>
      </w:pPr>
      <w:r>
        <w:rPr>
          <w:rFonts w:ascii="ARIAL" w:hAnsi="ARIAL"/>
          <w:sz w:val="18"/>
        </w:rPr>
        <w:t xml:space="preserve">The Nominating and Corporate Governance Committee identifies nominees for director, and considers recommendations from other members of the Board, officers and employees of CoStar, and other sources that the Nominating and Corporate Governance Committee deems appropriate, which may include professional search firms. The Nominating and Corporate Governance Committee will also consider Board nominees suggested by stockholders if such recommendations are submitted timely, and include the required information specified in our By-Laws, as described under “Stockholder Proposals and Nominations for Directors for the 2027 Annual Meeting of Stockholders” below. </w:t>
      </w:r>
    </w:p>
    <w:p>
      <w:pPr>
        <w:pStyle w:val="TextBody"/>
        <w:bidi w:val="0"/>
        <w:spacing w:before="120" w:after="0"/>
        <w:jc w:val="left"/>
        <w:rPr>
          <w:rFonts w:ascii="ARIAL" w:hAnsi="ARIAL"/>
          <w:sz w:val="18"/>
        </w:rPr>
      </w:pPr>
      <w:r>
        <w:rPr>
          <w:rFonts w:ascii="ARIAL" w:hAnsi="ARIAL"/>
          <w:sz w:val="18"/>
        </w:rPr>
        <w:t xml:space="preserve">The Company may require any proposed nominee to furnish other information as reasonably required to determine eligibility to serve as a director of the Company, including information regarding the proposed nominee’s independence. There is no difference in the manner by which the Nominating and Corporate Governance Committee evaluates prospective nominees for director based on the source from which the individual was first identified. </w:t>
      </w:r>
    </w:p>
    <w:p>
      <w:pPr>
        <w:pStyle w:val="TextBody"/>
        <w:bidi w:val="0"/>
        <w:spacing w:before="120" w:after="0"/>
        <w:jc w:val="left"/>
        <w:rPr>
          <w:rFonts w:ascii="ARIAL" w:hAnsi="ARIAL"/>
          <w:sz w:val="18"/>
        </w:rPr>
      </w:pPr>
      <w:r>
        <w:rPr>
          <w:rFonts w:ascii="ARIAL" w:hAnsi="ARIAL"/>
          <w:sz w:val="18"/>
        </w:rPr>
        <w:t xml:space="preserve">When evaluating nominees for director, the Nominating and Corporate Governance Committee considers candidates consistent with the Board membership criteria described above. If the nominee is a director standing for reelection, that individual’s past contribution, engagement, and commitment to CoStar are also considered. The Nominating and Corporate Governance Committee evaluates the totality of the merits of each prospective nominee that it considers and does not establish minimum qualifications or attributes. </w:t>
      </w:r>
    </w:p>
    <w:p>
      <w:pPr>
        <w:pStyle w:val="TextBody"/>
        <w:bidi w:val="0"/>
        <w:spacing w:before="120" w:after="0"/>
        <w:jc w:val="left"/>
        <w:rPr>
          <w:rFonts w:ascii="ARIAL" w:hAnsi="ARIAL"/>
          <w:sz w:val="18"/>
        </w:rPr>
      </w:pPr>
      <w:r>
        <w:rPr>
          <w:rFonts w:ascii="ARIAL" w:hAnsi="ARIAL"/>
          <w:sz w:val="18"/>
        </w:rPr>
        <w:t xml:space="preserve">John L. Berisford, Rachel C. Glaser, and Christine M. McCarthy, appointed in 2025, were identified through a rigorous director search process led by a special committee of the Board, leveraging an external search firm. The process included an extensive evaluation of candidates against the Board membership criteria described above and supportive engagement with certain stockholders. The special committee conducted multiple rounds of review, interviews, and deliberations to ensure that the selected directors would complement the Board’s existing strengths. </w:t>
      </w:r>
    </w:p>
    <w:p>
      <w:pPr>
        <w:pStyle w:val="TextBody"/>
        <w:bidi w:val="0"/>
        <w:spacing w:before="120" w:after="0"/>
        <w:jc w:val="left"/>
        <w:rPr>
          <w:rFonts w:ascii="ARIAL" w:hAnsi="ARIAL"/>
          <w:sz w:val="18"/>
        </w:rPr>
      </w:pPr>
      <w:r>
        <w:rPr>
          <w:rFonts w:ascii="ARIAL" w:hAnsi="ARIAL"/>
          <w:sz w:val="18"/>
        </w:rPr>
        <w:t xml:space="preserve">We expect that our Board members will have a varied portfolio of skills, experiences, and backgrounds and that each will contribute to the composition of the Board so that, collectively, the Board will possess the necessary skills, experience, and background to oversee our business and affairs in light of the Company’s current standing and strategic plans. </w:t>
      </w:r>
    </w:p>
    <w:p>
      <w:pPr>
        <w:pStyle w:val="TextBody"/>
        <w:bidi w:val="0"/>
        <w:spacing w:before="120" w:after="0"/>
        <w:jc w:val="left"/>
        <w:rPr>
          <w:rFonts w:ascii="ARIAL" w:hAnsi="ARIAL"/>
          <w:sz w:val="18"/>
        </w:rPr>
      </w:pPr>
      <w:r>
        <w:rPr>
          <w:rFonts w:ascii="ARIAL" w:hAnsi="ARIAL"/>
          <w:sz w:val="18"/>
        </w:rPr>
        <w:t xml:space="preserve">Below is a list of key skills and experience that our directors bring to our Board that we consider important in light of our current business and structure.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13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2" descr=""/>
                          <pic:cNvPicPr>
                            <a:picLocks noChangeAspect="1" noChangeArrowheads="1"/>
                          </pic:cNvPicPr>
                        </pic:nvPicPr>
                        <pic:blipFill>
                          <a:blip r:embed="rId12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67"/>
        <w:gridCol w:w="60"/>
        <w:gridCol w:w="230"/>
        <w:gridCol w:w="60"/>
        <w:gridCol w:w="230"/>
        <w:gridCol w:w="60"/>
        <w:gridCol w:w="230"/>
        <w:gridCol w:w="60"/>
        <w:gridCol w:w="230"/>
        <w:gridCol w:w="60"/>
        <w:gridCol w:w="230"/>
        <w:gridCol w:w="60"/>
        <w:gridCol w:w="230"/>
        <w:gridCol w:w="60"/>
        <w:gridCol w:w="230"/>
        <w:gridCol w:w="60"/>
        <w:gridCol w:w="248"/>
      </w:tblGrid>
      <w:tr>
        <w:trPr/>
        <w:tc>
          <w:tcPr>
            <w:tcW w:w="7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7867" w:type="dxa"/>
            <w:tcBorders>
              <w:top w:val="single" w:sz="6" w:space="0" w:color="7F7F7F"/>
            </w:tcBorders>
            <w:shd w:fill="0054BA" w:val="clear"/>
            <w:tcMar>
              <w:top w:w="28" w:type="dxa"/>
            </w:tcMar>
            <w:vAlign w:val="center"/>
          </w:tcPr>
          <w:p>
            <w:pPr>
              <w:pStyle w:val="TableContents"/>
              <w:bidi w:val="0"/>
              <w:spacing w:before="0" w:after="283"/>
              <w:jc w:val="left"/>
              <w:rPr/>
            </w:pPr>
            <w:r>
              <w:rPr/>
              <w:t> </w:t>
            </w:r>
          </w:p>
        </w:tc>
        <w:tc>
          <w:tcPr>
            <w:tcW w:w="290" w:type="dxa"/>
            <w:gridSpan w:val="2"/>
            <w:tcBorders>
              <w:top w:val="single" w:sz="6" w:space="0" w:color="7F7F7F"/>
            </w:tcBorders>
            <w:shd w:fill="0054BA" w:val="clear"/>
            <w:tcMar>
              <w:top w:w="28" w:type="dxa"/>
            </w:tcMar>
            <w:vAlign w:val="center"/>
          </w:tcPr>
          <w:p>
            <w:pPr>
              <w:pStyle w:val="TableContents"/>
              <w:bidi w:val="0"/>
              <w:spacing w:before="0" w:after="283"/>
              <w:jc w:val="left"/>
              <w:rPr/>
            </w:pPr>
            <w:r>
              <w:rPr/>
              <w:t> </w:t>
            </w:r>
          </w:p>
        </w:tc>
        <w:tc>
          <w:tcPr>
            <w:tcW w:w="290" w:type="dxa"/>
            <w:gridSpan w:val="2"/>
            <w:tcBorders>
              <w:top w:val="single" w:sz="6" w:space="0" w:color="7F7F7F"/>
            </w:tcBorders>
            <w:shd w:fill="0054BA" w:val="clear"/>
            <w:tcMar>
              <w:top w:w="28" w:type="dxa"/>
            </w:tcMar>
            <w:vAlign w:val="center"/>
          </w:tcPr>
          <w:p>
            <w:pPr>
              <w:pStyle w:val="TableContents"/>
              <w:bidi w:val="0"/>
              <w:spacing w:before="0" w:after="283"/>
              <w:jc w:val="left"/>
              <w:rPr/>
            </w:pPr>
            <w:r>
              <w:rPr/>
              <w:t> </w:t>
            </w:r>
          </w:p>
        </w:tc>
        <w:tc>
          <w:tcPr>
            <w:tcW w:w="290" w:type="dxa"/>
            <w:gridSpan w:val="2"/>
            <w:tcBorders>
              <w:top w:val="single" w:sz="6" w:space="0" w:color="7F7F7F"/>
            </w:tcBorders>
            <w:shd w:fill="0054BA" w:val="clear"/>
            <w:tcMar>
              <w:top w:w="28" w:type="dxa"/>
            </w:tcMar>
            <w:vAlign w:val="center"/>
          </w:tcPr>
          <w:p>
            <w:pPr>
              <w:pStyle w:val="TableContents"/>
              <w:bidi w:val="0"/>
              <w:spacing w:before="0" w:after="283"/>
              <w:jc w:val="left"/>
              <w:rPr/>
            </w:pPr>
            <w:r>
              <w:rPr/>
              <w:t> </w:t>
            </w:r>
          </w:p>
        </w:tc>
        <w:tc>
          <w:tcPr>
            <w:tcW w:w="290" w:type="dxa"/>
            <w:gridSpan w:val="2"/>
            <w:tcBorders>
              <w:top w:val="single" w:sz="6" w:space="0" w:color="7F7F7F"/>
            </w:tcBorders>
            <w:shd w:fill="0054BA" w:val="clear"/>
            <w:tcMar>
              <w:top w:w="28" w:type="dxa"/>
            </w:tcMar>
            <w:vAlign w:val="center"/>
          </w:tcPr>
          <w:p>
            <w:pPr>
              <w:pStyle w:val="TableContents"/>
              <w:bidi w:val="0"/>
              <w:spacing w:before="0" w:after="283"/>
              <w:jc w:val="left"/>
              <w:rPr/>
            </w:pPr>
            <w:r>
              <w:rPr/>
              <w:t> </w:t>
            </w:r>
          </w:p>
        </w:tc>
        <w:tc>
          <w:tcPr>
            <w:tcW w:w="290" w:type="dxa"/>
            <w:gridSpan w:val="2"/>
            <w:tcBorders>
              <w:top w:val="single" w:sz="6" w:space="0" w:color="7F7F7F"/>
            </w:tcBorders>
            <w:shd w:fill="0054BA" w:val="clear"/>
            <w:tcMar>
              <w:top w:w="28" w:type="dxa"/>
            </w:tcMar>
            <w:vAlign w:val="center"/>
          </w:tcPr>
          <w:p>
            <w:pPr>
              <w:pStyle w:val="TableContents"/>
              <w:bidi w:val="0"/>
              <w:spacing w:before="0" w:after="283"/>
              <w:jc w:val="left"/>
              <w:rPr/>
            </w:pPr>
            <w:r>
              <w:rPr/>
              <w:t> </w:t>
            </w:r>
          </w:p>
        </w:tc>
        <w:tc>
          <w:tcPr>
            <w:tcW w:w="290" w:type="dxa"/>
            <w:gridSpan w:val="2"/>
            <w:tcBorders>
              <w:top w:val="single" w:sz="6" w:space="0" w:color="7F7F7F"/>
            </w:tcBorders>
            <w:shd w:fill="0054BA" w:val="clear"/>
            <w:tcMar>
              <w:top w:w="28" w:type="dxa"/>
            </w:tcMar>
            <w:vAlign w:val="center"/>
          </w:tcPr>
          <w:p>
            <w:pPr>
              <w:pStyle w:val="TableContents"/>
              <w:bidi w:val="0"/>
              <w:spacing w:before="0" w:after="283"/>
              <w:jc w:val="left"/>
              <w:rPr/>
            </w:pPr>
            <w:r>
              <w:rPr/>
              <w:t> </w:t>
            </w:r>
          </w:p>
        </w:tc>
        <w:tc>
          <w:tcPr>
            <w:tcW w:w="290" w:type="dxa"/>
            <w:gridSpan w:val="2"/>
            <w:tcBorders>
              <w:top w:val="single" w:sz="6" w:space="0" w:color="7F7F7F"/>
            </w:tcBorders>
            <w:shd w:fill="0054BA" w:val="clear"/>
            <w:tcMar>
              <w:top w:w="28" w:type="dxa"/>
            </w:tcMar>
            <w:vAlign w:val="center"/>
          </w:tcPr>
          <w:p>
            <w:pPr>
              <w:pStyle w:val="TableContents"/>
              <w:bidi w:val="0"/>
              <w:spacing w:before="0" w:after="283"/>
              <w:jc w:val="left"/>
              <w:rPr/>
            </w:pPr>
            <w:r>
              <w:rPr/>
              <w:t> </w:t>
            </w:r>
          </w:p>
        </w:tc>
        <w:tc>
          <w:tcPr>
            <w:tcW w:w="308" w:type="dxa"/>
            <w:gridSpan w:val="2"/>
            <w:tcBorders>
              <w:top w:val="single" w:sz="6" w:space="0" w:color="7F7F7F"/>
            </w:tcBorders>
            <w:shd w:fill="0054BA" w:val="clear"/>
            <w:tcMar>
              <w:top w:w="28" w:type="dxa"/>
            </w:tcMar>
            <w:vAlign w:val="center"/>
          </w:tcPr>
          <w:p>
            <w:pPr>
              <w:pStyle w:val="TableContents"/>
              <w:bidi w:val="0"/>
              <w:spacing w:before="0" w:after="283"/>
              <w:jc w:val="left"/>
              <w:rPr/>
            </w:pPr>
            <w:r>
              <w:rPr/>
              <w:t> </w:t>
            </w:r>
          </w:p>
        </w:tc>
      </w:tr>
      <w:tr>
        <w:trPr/>
        <w:tc>
          <w:tcPr>
            <w:tcW w:w="7867" w:type="dxa"/>
            <w:tcBorders/>
            <w:shd w:fill="0054BA" w:val="clear"/>
            <w:vAlign w:val="center"/>
          </w:tcPr>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48" w:type="dxa"/>
            <w:tcBorders/>
            <w:shd w:fill="0054BA" w:val="clear"/>
            <w:vAlign w:val="center"/>
          </w:tcPr>
          <w:p>
            <w:pPr>
              <w:pStyle w:val="TableContents"/>
              <w:bidi w:val="0"/>
              <w:spacing w:before="0" w:after="283"/>
              <w:jc w:val="left"/>
              <w:rPr/>
            </w:pPr>
            <w:r>
              <w:rPr/>
              <w:t> </w:t>
            </w:r>
          </w:p>
        </w:tc>
      </w:tr>
      <w:tr>
        <w:trPr/>
        <w:tc>
          <w:tcPr>
            <w:tcW w:w="7867" w:type="dxa"/>
            <w:tcBorders/>
            <w:shd w:fill="0054BA" w:val="clear"/>
            <w:vAlign w:val="center"/>
          </w:tcPr>
          <w:p>
            <w:pPr>
              <w:pStyle w:val="TableContents"/>
              <w:bidi w:val="0"/>
              <w:spacing w:before="0" w:after="283"/>
              <w:jc w:val="left"/>
              <w:rPr>
                <w:sz w:val="4"/>
                <w:szCs w:val="4"/>
              </w:rPr>
            </w:pPr>
            <w:r>
              <w:rPr>
                <w:sz w:val="4"/>
                <w:szCs w:val="4"/>
              </w:rPr>
            </w:r>
          </w:p>
        </w:tc>
        <w:tc>
          <w:tcPr>
            <w:tcW w:w="290" w:type="dxa"/>
            <w:gridSpan w:val="2"/>
            <w:tcBorders/>
            <w:shd w:fill="0054BA" w:val="clear"/>
            <w:vAlign w:val="center"/>
          </w:tcPr>
          <w:p>
            <w:pPr>
              <w:pStyle w:val="TableContents"/>
              <w:bidi w:val="0"/>
              <w:spacing w:before="0" w:after="283"/>
              <w:jc w:val="left"/>
              <w:rPr>
                <w:sz w:val="4"/>
                <w:szCs w:val="4"/>
              </w:rPr>
            </w:pPr>
            <w:r>
              <w:rPr>
                <w:sz w:val="4"/>
                <w:szCs w:val="4"/>
              </w:rPr>
            </w:r>
          </w:p>
        </w:tc>
        <w:tc>
          <w:tcPr>
            <w:tcW w:w="290" w:type="dxa"/>
            <w:gridSpan w:val="2"/>
            <w:tcBorders/>
            <w:shd w:fill="0054BA" w:val="clear"/>
            <w:vAlign w:val="center"/>
          </w:tcPr>
          <w:p>
            <w:pPr>
              <w:pStyle w:val="TableContents"/>
              <w:bidi w:val="0"/>
              <w:spacing w:before="0" w:after="283"/>
              <w:jc w:val="left"/>
              <w:rPr>
                <w:sz w:val="4"/>
                <w:szCs w:val="4"/>
              </w:rPr>
            </w:pPr>
            <w:r>
              <w:rPr>
                <w:sz w:val="4"/>
                <w:szCs w:val="4"/>
              </w:rPr>
            </w:r>
          </w:p>
        </w:tc>
        <w:tc>
          <w:tcPr>
            <w:tcW w:w="290" w:type="dxa"/>
            <w:gridSpan w:val="2"/>
            <w:tcBorders/>
            <w:shd w:fill="0054BA" w:val="clear"/>
            <w:vAlign w:val="center"/>
          </w:tcPr>
          <w:p>
            <w:pPr>
              <w:pStyle w:val="TableContents"/>
              <w:bidi w:val="0"/>
              <w:spacing w:before="0" w:after="283"/>
              <w:jc w:val="left"/>
              <w:rPr>
                <w:sz w:val="4"/>
                <w:szCs w:val="4"/>
              </w:rPr>
            </w:pPr>
            <w:r>
              <w:rPr>
                <w:sz w:val="4"/>
                <w:szCs w:val="4"/>
              </w:rPr>
            </w:r>
          </w:p>
        </w:tc>
        <w:tc>
          <w:tcPr>
            <w:tcW w:w="290" w:type="dxa"/>
            <w:gridSpan w:val="2"/>
            <w:tcBorders/>
            <w:shd w:fill="0054BA" w:val="clear"/>
            <w:vAlign w:val="center"/>
          </w:tcPr>
          <w:p>
            <w:pPr>
              <w:pStyle w:val="TableContents"/>
              <w:bidi w:val="0"/>
              <w:spacing w:before="0" w:after="283"/>
              <w:jc w:val="left"/>
              <w:rPr>
                <w:sz w:val="4"/>
                <w:szCs w:val="4"/>
              </w:rPr>
            </w:pPr>
            <w:r>
              <w:rPr>
                <w:sz w:val="4"/>
                <w:szCs w:val="4"/>
              </w:rPr>
            </w:r>
          </w:p>
        </w:tc>
        <w:tc>
          <w:tcPr>
            <w:tcW w:w="290" w:type="dxa"/>
            <w:gridSpan w:val="2"/>
            <w:tcBorders/>
            <w:shd w:fill="0054BA" w:val="clear"/>
            <w:vAlign w:val="center"/>
          </w:tcPr>
          <w:p>
            <w:pPr>
              <w:pStyle w:val="TableContents"/>
              <w:bidi w:val="0"/>
              <w:spacing w:before="0" w:after="283"/>
              <w:jc w:val="left"/>
              <w:rPr>
                <w:sz w:val="4"/>
                <w:szCs w:val="4"/>
              </w:rPr>
            </w:pPr>
            <w:r>
              <w:rPr>
                <w:sz w:val="4"/>
                <w:szCs w:val="4"/>
              </w:rPr>
            </w:r>
          </w:p>
        </w:tc>
        <w:tc>
          <w:tcPr>
            <w:tcW w:w="290" w:type="dxa"/>
            <w:gridSpan w:val="2"/>
            <w:tcBorders/>
            <w:shd w:fill="0054BA" w:val="clear"/>
            <w:vAlign w:val="center"/>
          </w:tcPr>
          <w:p>
            <w:pPr>
              <w:pStyle w:val="TableContents"/>
              <w:bidi w:val="0"/>
              <w:spacing w:before="0" w:after="283"/>
              <w:jc w:val="left"/>
              <w:rPr>
                <w:sz w:val="4"/>
                <w:szCs w:val="4"/>
              </w:rPr>
            </w:pPr>
            <w:r>
              <w:rPr>
                <w:sz w:val="4"/>
                <w:szCs w:val="4"/>
              </w:rPr>
            </w:r>
          </w:p>
        </w:tc>
        <w:tc>
          <w:tcPr>
            <w:tcW w:w="290" w:type="dxa"/>
            <w:gridSpan w:val="2"/>
            <w:tcBorders/>
            <w:shd w:fill="0054BA" w:val="clear"/>
            <w:vAlign w:val="center"/>
          </w:tcPr>
          <w:p>
            <w:pPr>
              <w:pStyle w:val="TableContents"/>
              <w:bidi w:val="0"/>
              <w:spacing w:before="0" w:after="283"/>
              <w:jc w:val="left"/>
              <w:rPr>
                <w:sz w:val="4"/>
                <w:szCs w:val="4"/>
              </w:rPr>
            </w:pPr>
            <w:r>
              <w:rPr>
                <w:sz w:val="4"/>
                <w:szCs w:val="4"/>
              </w:rPr>
            </w:r>
          </w:p>
        </w:tc>
        <w:tc>
          <w:tcPr>
            <w:tcW w:w="308"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7867" w:type="dxa"/>
            <w:tcBorders/>
            <w:shd w:fill="0054BA" w:val="clear"/>
            <w:vAlign w:val="center"/>
          </w:tcPr>
          <w:p>
            <w:pPr>
              <w:pStyle w:val="TableContents"/>
              <w:bidi w:val="0"/>
              <w:spacing w:before="0" w:after="0"/>
              <w:jc w:val="left"/>
              <w:rPr>
                <w:rFonts w:ascii="ARIAL" w:hAnsi="ARIAL"/>
                <w:b/>
                <w:color w:val="FFFFFF"/>
                <w:sz w:val="18"/>
              </w:rPr>
            </w:pPr>
            <w:r>
              <w:rPr>
                <w:rFonts w:ascii="ARIAL" w:hAnsi="ARIAL"/>
                <w:b/>
                <w:color w:val="FFFFFF"/>
                <w:sz w:val="18"/>
              </w:rPr>
              <w:t>DIRECTOR SKILLS/EXPERIENCE</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center"/>
              <w:rPr/>
            </w:pPr>
            <w:r>
              <w:rPr/>
              <w:drawing>
                <wp:inline distT="0" distB="0" distL="0" distR="0">
                  <wp:extent cx="126365" cy="635000"/>
                  <wp:effectExtent l="0" t="0" r="0" b="0"/>
                  <wp:docPr id="13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3" descr=""/>
                          <pic:cNvPicPr>
                            <a:picLocks noChangeAspect="1" noChangeArrowheads="1"/>
                          </pic:cNvPicPr>
                        </pic:nvPicPr>
                        <pic:blipFill>
                          <a:blip r:embed="rId123"/>
                          <a:stretch>
                            <a:fillRect/>
                          </a:stretch>
                        </pic:blipFill>
                        <pic:spPr bwMode="auto">
                          <a:xfrm>
                            <a:off x="0" y="0"/>
                            <a:ext cx="126365" cy="635000"/>
                          </a:xfrm>
                          <a:prstGeom prst="rect">
                            <a:avLst/>
                          </a:prstGeom>
                        </pic:spPr>
                      </pic:pic>
                    </a:graphicData>
                  </a:graphic>
                </wp:inline>
              </w:drawing>
            </w:r>
            <w:r>
              <w:rPr/>
              <w:t xml:space="preserve">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center"/>
              <w:rPr/>
            </w:pPr>
            <w:r>
              <w:rPr/>
              <w:drawing>
                <wp:inline distT="0" distB="0" distL="0" distR="0">
                  <wp:extent cx="126365" cy="339725"/>
                  <wp:effectExtent l="0" t="0" r="0" b="0"/>
                  <wp:docPr id="13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4" descr=""/>
                          <pic:cNvPicPr>
                            <a:picLocks noChangeAspect="1" noChangeArrowheads="1"/>
                          </pic:cNvPicPr>
                        </pic:nvPicPr>
                        <pic:blipFill>
                          <a:blip r:embed="rId124"/>
                          <a:stretch>
                            <a:fillRect/>
                          </a:stretch>
                        </pic:blipFill>
                        <pic:spPr bwMode="auto">
                          <a:xfrm>
                            <a:off x="0" y="0"/>
                            <a:ext cx="126365" cy="339725"/>
                          </a:xfrm>
                          <a:prstGeom prst="rect">
                            <a:avLst/>
                          </a:prstGeom>
                        </pic:spPr>
                      </pic:pic>
                    </a:graphicData>
                  </a:graphic>
                </wp:inline>
              </w:drawing>
            </w:r>
            <w:r>
              <w:rPr/>
              <w:t xml:space="preserve">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center"/>
              <w:rPr/>
            </w:pPr>
            <w:r>
              <w:rPr/>
              <w:drawing>
                <wp:inline distT="0" distB="0" distL="0" distR="0">
                  <wp:extent cx="126365" cy="678180"/>
                  <wp:effectExtent l="0" t="0" r="0" b="0"/>
                  <wp:docPr id="13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5" descr=""/>
                          <pic:cNvPicPr>
                            <a:picLocks noChangeAspect="1" noChangeArrowheads="1"/>
                          </pic:cNvPicPr>
                        </pic:nvPicPr>
                        <pic:blipFill>
                          <a:blip r:embed="rId125"/>
                          <a:stretch>
                            <a:fillRect/>
                          </a:stretch>
                        </pic:blipFill>
                        <pic:spPr bwMode="auto">
                          <a:xfrm>
                            <a:off x="0" y="0"/>
                            <a:ext cx="126365" cy="678180"/>
                          </a:xfrm>
                          <a:prstGeom prst="rect">
                            <a:avLst/>
                          </a:prstGeom>
                        </pic:spPr>
                      </pic:pic>
                    </a:graphicData>
                  </a:graphic>
                </wp:inline>
              </w:drawing>
            </w:r>
            <w:r>
              <w:rPr/>
              <w:t xml:space="preserve">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center"/>
              <w:rPr/>
            </w:pPr>
            <w:r>
              <w:rPr/>
              <w:drawing>
                <wp:inline distT="0" distB="0" distL="0" distR="0">
                  <wp:extent cx="126365" cy="600075"/>
                  <wp:effectExtent l="0" t="0" r="0" b="0"/>
                  <wp:docPr id="13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6" descr=""/>
                          <pic:cNvPicPr>
                            <a:picLocks noChangeAspect="1" noChangeArrowheads="1"/>
                          </pic:cNvPicPr>
                        </pic:nvPicPr>
                        <pic:blipFill>
                          <a:blip r:embed="rId126"/>
                          <a:stretch>
                            <a:fillRect/>
                          </a:stretch>
                        </pic:blipFill>
                        <pic:spPr bwMode="auto">
                          <a:xfrm>
                            <a:off x="0" y="0"/>
                            <a:ext cx="126365" cy="600075"/>
                          </a:xfrm>
                          <a:prstGeom prst="rect">
                            <a:avLst/>
                          </a:prstGeom>
                        </pic:spPr>
                      </pic:pic>
                    </a:graphicData>
                  </a:graphic>
                </wp:inline>
              </w:drawing>
            </w:r>
            <w:r>
              <w:rPr/>
              <w:t xml:space="preserve">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center"/>
              <w:rPr/>
            </w:pPr>
            <w:r>
              <w:rPr/>
              <w:drawing>
                <wp:inline distT="0" distB="0" distL="0" distR="0">
                  <wp:extent cx="126365" cy="485140"/>
                  <wp:effectExtent l="0" t="0" r="0" b="0"/>
                  <wp:docPr id="13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7" descr=""/>
                          <pic:cNvPicPr>
                            <a:picLocks noChangeAspect="1" noChangeArrowheads="1"/>
                          </pic:cNvPicPr>
                        </pic:nvPicPr>
                        <pic:blipFill>
                          <a:blip r:embed="rId127"/>
                          <a:stretch>
                            <a:fillRect/>
                          </a:stretch>
                        </pic:blipFill>
                        <pic:spPr bwMode="auto">
                          <a:xfrm>
                            <a:off x="0" y="0"/>
                            <a:ext cx="126365" cy="485140"/>
                          </a:xfrm>
                          <a:prstGeom prst="rect">
                            <a:avLst/>
                          </a:prstGeom>
                        </pic:spPr>
                      </pic:pic>
                    </a:graphicData>
                  </a:graphic>
                </wp:inline>
              </w:drawing>
            </w:r>
            <w:r>
              <w:rPr/>
              <w:t xml:space="preserve">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center"/>
              <w:rPr/>
            </w:pPr>
            <w:r>
              <w:rPr/>
              <w:drawing>
                <wp:inline distT="0" distB="0" distL="0" distR="0">
                  <wp:extent cx="126365" cy="272415"/>
                  <wp:effectExtent l="0" t="0" r="0" b="0"/>
                  <wp:docPr id="13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8" descr=""/>
                          <pic:cNvPicPr>
                            <a:picLocks noChangeAspect="1" noChangeArrowheads="1"/>
                          </pic:cNvPicPr>
                        </pic:nvPicPr>
                        <pic:blipFill>
                          <a:blip r:embed="rId128"/>
                          <a:stretch>
                            <a:fillRect/>
                          </a:stretch>
                        </pic:blipFill>
                        <pic:spPr bwMode="auto">
                          <a:xfrm>
                            <a:off x="0" y="0"/>
                            <a:ext cx="126365" cy="272415"/>
                          </a:xfrm>
                          <a:prstGeom prst="rect">
                            <a:avLst/>
                          </a:prstGeom>
                        </pic:spPr>
                      </pic:pic>
                    </a:graphicData>
                  </a:graphic>
                </wp:inline>
              </w:drawing>
            </w:r>
            <w:r>
              <w:rPr/>
              <w:t xml:space="preserve"> </w:t>
            </w:r>
          </w:p>
        </w:tc>
        <w:tc>
          <w:tcPr>
            <w:tcW w:w="60" w:type="dxa"/>
            <w:tcBorders/>
            <w:shd w:fill="0054BA" w:val="clear"/>
            <w:vAlign w:val="center"/>
          </w:tcPr>
          <w:p>
            <w:pPr>
              <w:pStyle w:val="TableContents"/>
              <w:bidi w:val="0"/>
              <w:spacing w:before="0" w:after="283"/>
              <w:jc w:val="left"/>
              <w:rPr/>
            </w:pPr>
            <w:r>
              <w:rPr/>
              <w:t> </w:t>
            </w:r>
          </w:p>
        </w:tc>
        <w:tc>
          <w:tcPr>
            <w:tcW w:w="230" w:type="dxa"/>
            <w:tcBorders/>
            <w:shd w:fill="0054BA" w:val="clear"/>
            <w:vAlign w:val="center"/>
          </w:tcPr>
          <w:p>
            <w:pPr>
              <w:pStyle w:val="TableContents"/>
              <w:bidi w:val="0"/>
              <w:spacing w:before="0" w:after="283"/>
              <w:jc w:val="center"/>
              <w:rPr/>
            </w:pPr>
            <w:r>
              <w:rPr/>
              <w:drawing>
                <wp:inline distT="0" distB="0" distL="0" distR="0">
                  <wp:extent cx="126365" cy="665480"/>
                  <wp:effectExtent l="0" t="0" r="0" b="0"/>
                  <wp:docPr id="13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9" descr=""/>
                          <pic:cNvPicPr>
                            <a:picLocks noChangeAspect="1" noChangeArrowheads="1"/>
                          </pic:cNvPicPr>
                        </pic:nvPicPr>
                        <pic:blipFill>
                          <a:blip r:embed="rId129"/>
                          <a:stretch>
                            <a:fillRect/>
                          </a:stretch>
                        </pic:blipFill>
                        <pic:spPr bwMode="auto">
                          <a:xfrm>
                            <a:off x="0" y="0"/>
                            <a:ext cx="126365" cy="665480"/>
                          </a:xfrm>
                          <a:prstGeom prst="rect">
                            <a:avLst/>
                          </a:prstGeom>
                        </pic:spPr>
                      </pic:pic>
                    </a:graphicData>
                  </a:graphic>
                </wp:inline>
              </w:drawing>
            </w:r>
            <w:r>
              <w:rPr/>
              <w:t xml:space="preserve"> </w:t>
            </w:r>
          </w:p>
        </w:tc>
        <w:tc>
          <w:tcPr>
            <w:tcW w:w="60" w:type="dxa"/>
            <w:tcBorders/>
            <w:shd w:fill="0054BA" w:val="clear"/>
            <w:vAlign w:val="center"/>
          </w:tcPr>
          <w:p>
            <w:pPr>
              <w:pStyle w:val="TableContents"/>
              <w:bidi w:val="0"/>
              <w:spacing w:before="0" w:after="283"/>
              <w:jc w:val="left"/>
              <w:rPr/>
            </w:pPr>
            <w:r>
              <w:rPr/>
              <w:t> </w:t>
            </w:r>
          </w:p>
        </w:tc>
        <w:tc>
          <w:tcPr>
            <w:tcW w:w="248" w:type="dxa"/>
            <w:tcBorders/>
            <w:shd w:fill="0054BA" w:val="clear"/>
            <w:vAlign w:val="center"/>
          </w:tcPr>
          <w:p>
            <w:pPr>
              <w:pStyle w:val="TableContents"/>
              <w:bidi w:val="0"/>
              <w:spacing w:before="0" w:after="283"/>
              <w:jc w:val="center"/>
              <w:rPr/>
            </w:pPr>
            <w:r>
              <w:rPr/>
              <w:drawing>
                <wp:inline distT="0" distB="0" distL="0" distR="0">
                  <wp:extent cx="126365" cy="849630"/>
                  <wp:effectExtent l="0" t="0" r="0" b="0"/>
                  <wp:docPr id="13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0" descr=""/>
                          <pic:cNvPicPr>
                            <a:picLocks noChangeAspect="1" noChangeArrowheads="1"/>
                          </pic:cNvPicPr>
                        </pic:nvPicPr>
                        <pic:blipFill>
                          <a:blip r:embed="rId130"/>
                          <a:stretch>
                            <a:fillRect/>
                          </a:stretch>
                        </pic:blipFill>
                        <pic:spPr bwMode="auto">
                          <a:xfrm>
                            <a:off x="0" y="0"/>
                            <a:ext cx="126365" cy="849630"/>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Industry I Commercial Real Estate:</w:t>
            </w:r>
            <w:r>
              <w:rPr>
                <w:rFonts w:ascii="ARIAL" w:hAnsi="ARIAL"/>
                <w:sz w:val="18"/>
              </w:rPr>
              <w:t xml:space="preserve"> Experience in the real estate, information services, and technology industries areas is valuable in understanding our growth and development efforts, as well as the market segments in which we operate.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4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1" descr=""/>
                          <pic:cNvPicPr>
                            <a:picLocks noChangeAspect="1" noChangeArrowheads="1"/>
                          </pic:cNvPicPr>
                        </pic:nvPicPr>
                        <pic:blipFill>
                          <a:blip r:embed="rId131"/>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4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2" descr=""/>
                          <pic:cNvPicPr>
                            <a:picLocks noChangeAspect="1" noChangeArrowheads="1"/>
                          </pic:cNvPicPr>
                        </pic:nvPicPr>
                        <pic:blipFill>
                          <a:blip r:embed="rId132"/>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4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3" descr=""/>
                          <pic:cNvPicPr>
                            <a:picLocks noChangeAspect="1" noChangeArrowheads="1"/>
                          </pic:cNvPicPr>
                        </pic:nvPicPr>
                        <pic:blipFill>
                          <a:blip r:embed="rId133"/>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4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4" descr=""/>
                          <pic:cNvPicPr>
                            <a:picLocks noChangeAspect="1" noChangeArrowheads="1"/>
                          </pic:cNvPicPr>
                        </pic:nvPicPr>
                        <pic:blipFill>
                          <a:blip r:embed="rId134"/>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4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5" descr=""/>
                          <pic:cNvPicPr>
                            <a:picLocks noChangeAspect="1" noChangeArrowheads="1"/>
                          </pic:cNvPicPr>
                        </pic:nvPicPr>
                        <pic:blipFill>
                          <a:blip r:embed="rId135"/>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4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6" descr=""/>
                          <pic:cNvPicPr>
                            <a:picLocks noChangeAspect="1" noChangeArrowheads="1"/>
                          </pic:cNvPicPr>
                        </pic:nvPicPr>
                        <pic:blipFill>
                          <a:blip r:embed="rId136"/>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4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7" descr=""/>
                          <pic:cNvPicPr>
                            <a:picLocks noChangeAspect="1" noChangeArrowheads="1"/>
                          </pic:cNvPicPr>
                        </pic:nvPicPr>
                        <pic:blipFill>
                          <a:blip r:embed="rId137"/>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106680" cy="107315"/>
                  <wp:effectExtent l="0" t="0" r="0" b="0"/>
                  <wp:docPr id="14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8" descr=""/>
                          <pic:cNvPicPr>
                            <a:picLocks noChangeAspect="1" noChangeArrowheads="1"/>
                          </pic:cNvPicPr>
                        </pic:nvPicPr>
                        <pic:blipFill>
                          <a:blip r:embed="rId138"/>
                          <a:stretch>
                            <a:fillRect/>
                          </a:stretch>
                        </pic:blipFill>
                        <pic:spPr bwMode="auto">
                          <a:xfrm>
                            <a:off x="0" y="0"/>
                            <a:ext cx="10668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Public Company Governance:</w:t>
            </w:r>
            <w:r>
              <w:rPr>
                <w:rFonts w:ascii="ARIAL" w:hAnsi="ARIAL"/>
                <w:sz w:val="18"/>
              </w:rPr>
              <w:t xml:space="preserve"> Experience with reporting obligations, investor interaction, public company governance, knowledge and understanding of governance planning, and experience in encouraging management accountability and protecting stockholder interests.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4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9" descr=""/>
                          <pic:cNvPicPr>
                            <a:picLocks noChangeAspect="1" noChangeArrowheads="1"/>
                          </pic:cNvPicPr>
                        </pic:nvPicPr>
                        <pic:blipFill>
                          <a:blip r:embed="rId139"/>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4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0" descr=""/>
                          <pic:cNvPicPr>
                            <a:picLocks noChangeAspect="1" noChangeArrowheads="1"/>
                          </pic:cNvPicPr>
                        </pic:nvPicPr>
                        <pic:blipFill>
                          <a:blip r:embed="rId140"/>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1" descr=""/>
                          <pic:cNvPicPr>
                            <a:picLocks noChangeAspect="1" noChangeArrowheads="1"/>
                          </pic:cNvPicPr>
                        </pic:nvPicPr>
                        <pic:blipFill>
                          <a:blip r:embed="rId141"/>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2" descr=""/>
                          <pic:cNvPicPr>
                            <a:picLocks noChangeAspect="1" noChangeArrowheads="1"/>
                          </pic:cNvPicPr>
                        </pic:nvPicPr>
                        <pic:blipFill>
                          <a:blip r:embed="rId142"/>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3" descr=""/>
                          <pic:cNvPicPr>
                            <a:picLocks noChangeAspect="1" noChangeArrowheads="1"/>
                          </pic:cNvPicPr>
                        </pic:nvPicPr>
                        <pic:blipFill>
                          <a:blip r:embed="rId143"/>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4" descr=""/>
                          <pic:cNvPicPr>
                            <a:picLocks noChangeAspect="1" noChangeArrowheads="1"/>
                          </pic:cNvPicPr>
                        </pic:nvPicPr>
                        <pic:blipFill>
                          <a:blip r:embed="rId144"/>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5" descr=""/>
                          <pic:cNvPicPr>
                            <a:picLocks noChangeAspect="1" noChangeArrowheads="1"/>
                          </pic:cNvPicPr>
                        </pic:nvPicPr>
                        <pic:blipFill>
                          <a:blip r:embed="rId145"/>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106680" cy="107315"/>
                  <wp:effectExtent l="0" t="0" r="0" b="0"/>
                  <wp:docPr id="15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6" descr=""/>
                          <pic:cNvPicPr>
                            <a:picLocks noChangeAspect="1" noChangeArrowheads="1"/>
                          </pic:cNvPicPr>
                        </pic:nvPicPr>
                        <pic:blipFill>
                          <a:blip r:embed="rId146"/>
                          <a:stretch>
                            <a:fillRect/>
                          </a:stretch>
                        </pic:blipFill>
                        <pic:spPr bwMode="auto">
                          <a:xfrm>
                            <a:off x="0" y="0"/>
                            <a:ext cx="10668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Global Business:</w:t>
            </w:r>
            <w:r>
              <w:rPr>
                <w:rFonts w:ascii="ARIAL" w:hAnsi="ARIAL"/>
                <w:sz w:val="18"/>
              </w:rPr>
              <w:t xml:space="preserve"> Broad exposure to companies or organizations that have a significant global presence, including developing and managing business in markets around the world.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7" descr=""/>
                          <pic:cNvPicPr>
                            <a:picLocks noChangeAspect="1" noChangeArrowheads="1"/>
                          </pic:cNvPicPr>
                        </pic:nvPicPr>
                        <pic:blipFill>
                          <a:blip r:embed="rId147"/>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8" descr=""/>
                          <pic:cNvPicPr>
                            <a:picLocks noChangeAspect="1" noChangeArrowheads="1"/>
                          </pic:cNvPicPr>
                        </pic:nvPicPr>
                        <pic:blipFill>
                          <a:blip r:embed="rId148"/>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9" descr=""/>
                          <pic:cNvPicPr>
                            <a:picLocks noChangeAspect="1" noChangeArrowheads="1"/>
                          </pic:cNvPicPr>
                        </pic:nvPicPr>
                        <pic:blipFill>
                          <a:blip r:embed="rId149"/>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5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0" descr=""/>
                          <pic:cNvPicPr>
                            <a:picLocks noChangeAspect="1" noChangeArrowheads="1"/>
                          </pic:cNvPicPr>
                        </pic:nvPicPr>
                        <pic:blipFill>
                          <a:blip r:embed="rId150"/>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6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1" descr=""/>
                          <pic:cNvPicPr>
                            <a:picLocks noChangeAspect="1" noChangeArrowheads="1"/>
                          </pic:cNvPicPr>
                        </pic:nvPicPr>
                        <pic:blipFill>
                          <a:blip r:embed="rId151"/>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6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2" descr=""/>
                          <pic:cNvPicPr>
                            <a:picLocks noChangeAspect="1" noChangeArrowheads="1"/>
                          </pic:cNvPicPr>
                        </pic:nvPicPr>
                        <pic:blipFill>
                          <a:blip r:embed="rId152"/>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6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3" descr=""/>
                          <pic:cNvPicPr>
                            <a:picLocks noChangeAspect="1" noChangeArrowheads="1"/>
                          </pic:cNvPicPr>
                        </pic:nvPicPr>
                        <pic:blipFill>
                          <a:blip r:embed="rId153"/>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53340" cy="107315"/>
                  <wp:effectExtent l="0" t="0" r="0" b="0"/>
                  <wp:docPr id="16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4" descr=""/>
                          <pic:cNvPicPr>
                            <a:picLocks noChangeAspect="1" noChangeArrowheads="1"/>
                          </pic:cNvPicPr>
                        </pic:nvPicPr>
                        <pic:blipFill>
                          <a:blip r:embed="rId154"/>
                          <a:stretch>
                            <a:fillRect/>
                          </a:stretch>
                        </pic:blipFill>
                        <pic:spPr bwMode="auto">
                          <a:xfrm>
                            <a:off x="0" y="0"/>
                            <a:ext cx="5334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Financial Accounting and Reporting:</w:t>
            </w:r>
            <w:r>
              <w:rPr>
                <w:rFonts w:ascii="ARIAL" w:hAnsi="ARIAL"/>
                <w:sz w:val="18"/>
              </w:rPr>
              <w:t xml:space="preserve"> Experience in accounting or financial reporting, including understanding of internal controls; experience in overseeing such reporting and controls.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6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5" descr=""/>
                          <pic:cNvPicPr>
                            <a:picLocks noChangeAspect="1" noChangeArrowheads="1"/>
                          </pic:cNvPicPr>
                        </pic:nvPicPr>
                        <pic:blipFill>
                          <a:blip r:embed="rId155"/>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6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6" descr=""/>
                          <pic:cNvPicPr>
                            <a:picLocks noChangeAspect="1" noChangeArrowheads="1"/>
                          </pic:cNvPicPr>
                        </pic:nvPicPr>
                        <pic:blipFill>
                          <a:blip r:embed="rId156"/>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6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7" descr=""/>
                          <pic:cNvPicPr>
                            <a:picLocks noChangeAspect="1" noChangeArrowheads="1"/>
                          </pic:cNvPicPr>
                        </pic:nvPicPr>
                        <pic:blipFill>
                          <a:blip r:embed="rId157"/>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6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8" descr=""/>
                          <pic:cNvPicPr>
                            <a:picLocks noChangeAspect="1" noChangeArrowheads="1"/>
                          </pic:cNvPicPr>
                        </pic:nvPicPr>
                        <pic:blipFill>
                          <a:blip r:embed="rId158"/>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6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9" descr=""/>
                          <pic:cNvPicPr>
                            <a:picLocks noChangeAspect="1" noChangeArrowheads="1"/>
                          </pic:cNvPicPr>
                        </pic:nvPicPr>
                        <pic:blipFill>
                          <a:blip r:embed="rId159"/>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6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0" descr=""/>
                          <pic:cNvPicPr>
                            <a:picLocks noChangeAspect="1" noChangeArrowheads="1"/>
                          </pic:cNvPicPr>
                        </pic:nvPicPr>
                        <pic:blipFill>
                          <a:blip r:embed="rId160"/>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7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1" descr=""/>
                          <pic:cNvPicPr>
                            <a:picLocks noChangeAspect="1" noChangeArrowheads="1"/>
                          </pic:cNvPicPr>
                        </pic:nvPicPr>
                        <pic:blipFill>
                          <a:blip r:embed="rId161"/>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106680" cy="107315"/>
                  <wp:effectExtent l="0" t="0" r="0" b="0"/>
                  <wp:docPr id="17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2" descr=""/>
                          <pic:cNvPicPr>
                            <a:picLocks noChangeAspect="1" noChangeArrowheads="1"/>
                          </pic:cNvPicPr>
                        </pic:nvPicPr>
                        <pic:blipFill>
                          <a:blip r:embed="rId162"/>
                          <a:stretch>
                            <a:fillRect/>
                          </a:stretch>
                        </pic:blipFill>
                        <pic:spPr bwMode="auto">
                          <a:xfrm>
                            <a:off x="0" y="0"/>
                            <a:ext cx="10668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Legal, Public Policy, and Regulatory:</w:t>
            </w:r>
            <w:r>
              <w:rPr>
                <w:rFonts w:ascii="ARIAL" w:hAnsi="ARIAL"/>
                <w:sz w:val="18"/>
              </w:rPr>
              <w:t xml:space="preserve"> Expertise in compliance with applicable governmental regulations; experience in legal and regulatory matters, and corporate compliance and ethics policies; experience in managing the effects of government policies and regulations.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7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3" descr=""/>
                          <pic:cNvPicPr>
                            <a:picLocks noChangeAspect="1" noChangeArrowheads="1"/>
                          </pic:cNvPicPr>
                        </pic:nvPicPr>
                        <pic:blipFill>
                          <a:blip r:embed="rId163"/>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7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4" descr=""/>
                          <pic:cNvPicPr>
                            <a:picLocks noChangeAspect="1" noChangeArrowheads="1"/>
                          </pic:cNvPicPr>
                        </pic:nvPicPr>
                        <pic:blipFill>
                          <a:blip r:embed="rId164"/>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7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5" descr=""/>
                          <pic:cNvPicPr>
                            <a:picLocks noChangeAspect="1" noChangeArrowheads="1"/>
                          </pic:cNvPicPr>
                        </pic:nvPicPr>
                        <pic:blipFill>
                          <a:blip r:embed="rId165"/>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7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6" descr=""/>
                          <pic:cNvPicPr>
                            <a:picLocks noChangeAspect="1" noChangeArrowheads="1"/>
                          </pic:cNvPicPr>
                        </pic:nvPicPr>
                        <pic:blipFill>
                          <a:blip r:embed="rId166"/>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7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7" descr=""/>
                          <pic:cNvPicPr>
                            <a:picLocks noChangeAspect="1" noChangeArrowheads="1"/>
                          </pic:cNvPicPr>
                        </pic:nvPicPr>
                        <pic:blipFill>
                          <a:blip r:embed="rId167"/>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7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8" descr=""/>
                          <pic:cNvPicPr>
                            <a:picLocks noChangeAspect="1" noChangeArrowheads="1"/>
                          </pic:cNvPicPr>
                        </pic:nvPicPr>
                        <pic:blipFill>
                          <a:blip r:embed="rId168"/>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7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9" descr=""/>
                          <pic:cNvPicPr>
                            <a:picLocks noChangeAspect="1" noChangeArrowheads="1"/>
                          </pic:cNvPicPr>
                        </pic:nvPicPr>
                        <pic:blipFill>
                          <a:blip r:embed="rId169"/>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53340" cy="107315"/>
                  <wp:effectExtent l="0" t="0" r="0" b="0"/>
                  <wp:docPr id="17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0" descr=""/>
                          <pic:cNvPicPr>
                            <a:picLocks noChangeAspect="1" noChangeArrowheads="1"/>
                          </pic:cNvPicPr>
                        </pic:nvPicPr>
                        <pic:blipFill>
                          <a:blip r:embed="rId170"/>
                          <a:stretch>
                            <a:fillRect/>
                          </a:stretch>
                        </pic:blipFill>
                        <pic:spPr bwMode="auto">
                          <a:xfrm>
                            <a:off x="0" y="0"/>
                            <a:ext cx="5334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Business Development and M&amp;A:</w:t>
            </w:r>
            <w:r>
              <w:rPr>
                <w:rFonts w:ascii="ARIAL" w:hAnsi="ARIAL"/>
                <w:sz w:val="18"/>
              </w:rPr>
              <w:t xml:space="preserve"> Expertise in and understanding of business development, strategic planning, and implementation; experience in leading strategy discussion at the board level; experience with developing and implementing strategies for growth, including mergers and acquisitions and divestitures.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8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1" descr=""/>
                          <pic:cNvPicPr>
                            <a:picLocks noChangeAspect="1" noChangeArrowheads="1"/>
                          </pic:cNvPicPr>
                        </pic:nvPicPr>
                        <pic:blipFill>
                          <a:blip r:embed="rId171"/>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8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2" descr=""/>
                          <pic:cNvPicPr>
                            <a:picLocks noChangeAspect="1" noChangeArrowheads="1"/>
                          </pic:cNvPicPr>
                        </pic:nvPicPr>
                        <pic:blipFill>
                          <a:blip r:embed="rId172"/>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8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3" descr=""/>
                          <pic:cNvPicPr>
                            <a:picLocks noChangeAspect="1" noChangeArrowheads="1"/>
                          </pic:cNvPicPr>
                        </pic:nvPicPr>
                        <pic:blipFill>
                          <a:blip r:embed="rId173"/>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8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4" descr=""/>
                          <pic:cNvPicPr>
                            <a:picLocks noChangeAspect="1" noChangeArrowheads="1"/>
                          </pic:cNvPicPr>
                        </pic:nvPicPr>
                        <pic:blipFill>
                          <a:blip r:embed="rId174"/>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8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5" descr=""/>
                          <pic:cNvPicPr>
                            <a:picLocks noChangeAspect="1" noChangeArrowheads="1"/>
                          </pic:cNvPicPr>
                        </pic:nvPicPr>
                        <pic:blipFill>
                          <a:blip r:embed="rId175"/>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8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6" descr=""/>
                          <pic:cNvPicPr>
                            <a:picLocks noChangeAspect="1" noChangeArrowheads="1"/>
                          </pic:cNvPicPr>
                        </pic:nvPicPr>
                        <pic:blipFill>
                          <a:blip r:embed="rId176"/>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8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7" descr=""/>
                          <pic:cNvPicPr>
                            <a:picLocks noChangeAspect="1" noChangeArrowheads="1"/>
                          </pic:cNvPicPr>
                        </pic:nvPicPr>
                        <pic:blipFill>
                          <a:blip r:embed="rId177"/>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106680" cy="107315"/>
                  <wp:effectExtent l="0" t="0" r="0" b="0"/>
                  <wp:docPr id="187"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8" descr=""/>
                          <pic:cNvPicPr>
                            <a:picLocks noChangeAspect="1" noChangeArrowheads="1"/>
                          </pic:cNvPicPr>
                        </pic:nvPicPr>
                        <pic:blipFill>
                          <a:blip r:embed="rId178"/>
                          <a:stretch>
                            <a:fillRect/>
                          </a:stretch>
                        </pic:blipFill>
                        <pic:spPr bwMode="auto">
                          <a:xfrm>
                            <a:off x="0" y="0"/>
                            <a:ext cx="10668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Talent Management and Executive Compensation:</w:t>
            </w:r>
            <w:r>
              <w:rPr>
                <w:rFonts w:ascii="ARIAL" w:hAnsi="ARIAL"/>
                <w:sz w:val="18"/>
              </w:rPr>
              <w:t xml:space="preserve"> Broad experience in executive development, performance, and compensation; experience with HR processes and strategies and efforts to attract, motivate, and retain candidates for key positions; experience in talent development.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8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9" descr=""/>
                          <pic:cNvPicPr>
                            <a:picLocks noChangeAspect="1" noChangeArrowheads="1"/>
                          </pic:cNvPicPr>
                        </pic:nvPicPr>
                        <pic:blipFill>
                          <a:blip r:embed="rId179"/>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89"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0" descr=""/>
                          <pic:cNvPicPr>
                            <a:picLocks noChangeAspect="1" noChangeArrowheads="1"/>
                          </pic:cNvPicPr>
                        </pic:nvPicPr>
                        <pic:blipFill>
                          <a:blip r:embed="rId180"/>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90"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1" descr=""/>
                          <pic:cNvPicPr>
                            <a:picLocks noChangeAspect="1" noChangeArrowheads="1"/>
                          </pic:cNvPicPr>
                        </pic:nvPicPr>
                        <pic:blipFill>
                          <a:blip r:embed="rId181"/>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9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2" descr=""/>
                          <pic:cNvPicPr>
                            <a:picLocks noChangeAspect="1" noChangeArrowheads="1"/>
                          </pic:cNvPicPr>
                        </pic:nvPicPr>
                        <pic:blipFill>
                          <a:blip r:embed="rId182"/>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9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3" descr=""/>
                          <pic:cNvPicPr>
                            <a:picLocks noChangeAspect="1" noChangeArrowheads="1"/>
                          </pic:cNvPicPr>
                        </pic:nvPicPr>
                        <pic:blipFill>
                          <a:blip r:embed="rId183"/>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93"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4" descr=""/>
                          <pic:cNvPicPr>
                            <a:picLocks noChangeAspect="1" noChangeArrowheads="1"/>
                          </pic:cNvPicPr>
                        </pic:nvPicPr>
                        <pic:blipFill>
                          <a:blip r:embed="rId184"/>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94"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5" descr=""/>
                          <pic:cNvPicPr>
                            <a:picLocks noChangeAspect="1" noChangeArrowheads="1"/>
                          </pic:cNvPicPr>
                        </pic:nvPicPr>
                        <pic:blipFill>
                          <a:blip r:embed="rId185"/>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106680" cy="107315"/>
                  <wp:effectExtent l="0" t="0" r="0" b="0"/>
                  <wp:docPr id="195"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6" descr=""/>
                          <pic:cNvPicPr>
                            <a:picLocks noChangeAspect="1" noChangeArrowheads="1"/>
                          </pic:cNvPicPr>
                        </pic:nvPicPr>
                        <pic:blipFill>
                          <a:blip r:embed="rId186"/>
                          <a:stretch>
                            <a:fillRect/>
                          </a:stretch>
                        </pic:blipFill>
                        <pic:spPr bwMode="auto">
                          <a:xfrm>
                            <a:off x="0" y="0"/>
                            <a:ext cx="10668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Marketing and Sales:</w:t>
            </w:r>
            <w:r>
              <w:rPr>
                <w:rFonts w:ascii="ARIAL" w:hAnsi="ARIAL"/>
                <w:sz w:val="18"/>
              </w:rPr>
              <w:t xml:space="preserve"> Experience with enhancing sales in existing markets; experience in developing new products and services and markets for growth; experience in marketing communication, brand strategy development, and advertising.</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96"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7" descr=""/>
                          <pic:cNvPicPr>
                            <a:picLocks noChangeAspect="1" noChangeArrowheads="1"/>
                          </pic:cNvPicPr>
                        </pic:nvPicPr>
                        <pic:blipFill>
                          <a:blip r:embed="rId187"/>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197"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8" descr=""/>
                          <pic:cNvPicPr>
                            <a:picLocks noChangeAspect="1" noChangeArrowheads="1"/>
                          </pic:cNvPicPr>
                        </pic:nvPicPr>
                        <pic:blipFill>
                          <a:blip r:embed="rId188"/>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9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9" descr=""/>
                          <pic:cNvPicPr>
                            <a:picLocks noChangeAspect="1" noChangeArrowheads="1"/>
                          </pic:cNvPicPr>
                        </pic:nvPicPr>
                        <pic:blipFill>
                          <a:blip r:embed="rId189"/>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19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0" descr=""/>
                          <pic:cNvPicPr>
                            <a:picLocks noChangeAspect="1" noChangeArrowheads="1"/>
                          </pic:cNvPicPr>
                        </pic:nvPicPr>
                        <pic:blipFill>
                          <a:blip r:embed="rId190"/>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0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1" descr=""/>
                          <pic:cNvPicPr>
                            <a:picLocks noChangeAspect="1" noChangeArrowheads="1"/>
                          </pic:cNvPicPr>
                        </pic:nvPicPr>
                        <pic:blipFill>
                          <a:blip r:embed="rId191"/>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0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2" descr=""/>
                          <pic:cNvPicPr>
                            <a:picLocks noChangeAspect="1" noChangeArrowheads="1"/>
                          </pic:cNvPicPr>
                        </pic:nvPicPr>
                        <pic:blipFill>
                          <a:blip r:embed="rId192"/>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0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3" descr=""/>
                          <pic:cNvPicPr>
                            <a:picLocks noChangeAspect="1" noChangeArrowheads="1"/>
                          </pic:cNvPicPr>
                        </pic:nvPicPr>
                        <pic:blipFill>
                          <a:blip r:embed="rId193"/>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106680" cy="107315"/>
                  <wp:effectExtent l="0" t="0" r="0" b="0"/>
                  <wp:docPr id="20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4" descr=""/>
                          <pic:cNvPicPr>
                            <a:picLocks noChangeAspect="1" noChangeArrowheads="1"/>
                          </pic:cNvPicPr>
                        </pic:nvPicPr>
                        <pic:blipFill>
                          <a:blip r:embed="rId194"/>
                          <a:stretch>
                            <a:fillRect/>
                          </a:stretch>
                        </pic:blipFill>
                        <pic:spPr bwMode="auto">
                          <a:xfrm>
                            <a:off x="0" y="0"/>
                            <a:ext cx="10668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Risk Management:</w:t>
            </w:r>
            <w:r>
              <w:rPr>
                <w:rFonts w:ascii="ARIAL" w:hAnsi="ARIAL"/>
                <w:sz w:val="18"/>
              </w:rPr>
              <w:t xml:space="preserve"> Experience in the management of critical business and/or legal risk; understanding of risk management functions, including risk identification/classification, crisis management, and similar functions; ability to think strategically about risk and provide oversight and advice relating to risk.</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0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5" descr=""/>
                          <pic:cNvPicPr>
                            <a:picLocks noChangeAspect="1" noChangeArrowheads="1"/>
                          </pic:cNvPicPr>
                        </pic:nvPicPr>
                        <pic:blipFill>
                          <a:blip r:embed="rId195"/>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0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6" descr=""/>
                          <pic:cNvPicPr>
                            <a:picLocks noChangeAspect="1" noChangeArrowheads="1"/>
                          </pic:cNvPicPr>
                        </pic:nvPicPr>
                        <pic:blipFill>
                          <a:blip r:embed="rId196"/>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0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7" descr=""/>
                          <pic:cNvPicPr>
                            <a:picLocks noChangeAspect="1" noChangeArrowheads="1"/>
                          </pic:cNvPicPr>
                        </pic:nvPicPr>
                        <pic:blipFill>
                          <a:blip r:embed="rId197"/>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0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8" descr=""/>
                          <pic:cNvPicPr>
                            <a:picLocks noChangeAspect="1" noChangeArrowheads="1"/>
                          </pic:cNvPicPr>
                        </pic:nvPicPr>
                        <pic:blipFill>
                          <a:blip r:embed="rId198"/>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08"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9" descr=""/>
                          <pic:cNvPicPr>
                            <a:picLocks noChangeAspect="1" noChangeArrowheads="1"/>
                          </pic:cNvPicPr>
                        </pic:nvPicPr>
                        <pic:blipFill>
                          <a:blip r:embed="rId199"/>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09"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0" descr=""/>
                          <pic:cNvPicPr>
                            <a:picLocks noChangeAspect="1" noChangeArrowheads="1"/>
                          </pic:cNvPicPr>
                        </pic:nvPicPr>
                        <pic:blipFill>
                          <a:blip r:embed="rId200"/>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1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1" descr=""/>
                          <pic:cNvPicPr>
                            <a:picLocks noChangeAspect="1" noChangeArrowheads="1"/>
                          </pic:cNvPicPr>
                        </pic:nvPicPr>
                        <pic:blipFill>
                          <a:blip r:embed="rId201"/>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106680" cy="107315"/>
                  <wp:effectExtent l="0" t="0" r="0" b="0"/>
                  <wp:docPr id="21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2" descr=""/>
                          <pic:cNvPicPr>
                            <a:picLocks noChangeAspect="1" noChangeArrowheads="1"/>
                          </pic:cNvPicPr>
                        </pic:nvPicPr>
                        <pic:blipFill>
                          <a:blip r:embed="rId202"/>
                          <a:stretch>
                            <a:fillRect/>
                          </a:stretch>
                        </pic:blipFill>
                        <pic:spPr bwMode="auto">
                          <a:xfrm>
                            <a:off x="0" y="0"/>
                            <a:ext cx="10668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Senior Management and Leadership:</w:t>
            </w:r>
            <w:r>
              <w:rPr>
                <w:rFonts w:ascii="ARIAL" w:hAnsi="ARIAL"/>
                <w:sz w:val="18"/>
              </w:rPr>
              <w:t xml:space="preserve"> Experience as chief executive officer, president, chairman, or at similar leadership position in a large company or other large organization.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1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3" descr=""/>
                          <pic:cNvPicPr>
                            <a:picLocks noChangeAspect="1" noChangeArrowheads="1"/>
                          </pic:cNvPicPr>
                        </pic:nvPicPr>
                        <pic:blipFill>
                          <a:blip r:embed="rId203"/>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13"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4" descr=""/>
                          <pic:cNvPicPr>
                            <a:picLocks noChangeAspect="1" noChangeArrowheads="1"/>
                          </pic:cNvPicPr>
                        </pic:nvPicPr>
                        <pic:blipFill>
                          <a:blip r:embed="rId204"/>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14"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5" descr=""/>
                          <pic:cNvPicPr>
                            <a:picLocks noChangeAspect="1" noChangeArrowheads="1"/>
                          </pic:cNvPicPr>
                        </pic:nvPicPr>
                        <pic:blipFill>
                          <a:blip r:embed="rId205"/>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1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6" descr=""/>
                          <pic:cNvPicPr>
                            <a:picLocks noChangeAspect="1" noChangeArrowheads="1"/>
                          </pic:cNvPicPr>
                        </pic:nvPicPr>
                        <pic:blipFill>
                          <a:blip r:embed="rId206"/>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16"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7" descr=""/>
                          <pic:cNvPicPr>
                            <a:picLocks noChangeAspect="1" noChangeArrowheads="1"/>
                          </pic:cNvPicPr>
                        </pic:nvPicPr>
                        <pic:blipFill>
                          <a:blip r:embed="rId207"/>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1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8" descr=""/>
                          <pic:cNvPicPr>
                            <a:picLocks noChangeAspect="1" noChangeArrowheads="1"/>
                          </pic:cNvPicPr>
                        </pic:nvPicPr>
                        <pic:blipFill>
                          <a:blip r:embed="rId208"/>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1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9" descr=""/>
                          <pic:cNvPicPr>
                            <a:picLocks noChangeAspect="1" noChangeArrowheads="1"/>
                          </pic:cNvPicPr>
                        </pic:nvPicPr>
                        <pic:blipFill>
                          <a:blip r:embed="rId209"/>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106680" cy="107315"/>
                  <wp:effectExtent l="0" t="0" r="0" b="0"/>
                  <wp:docPr id="21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0" descr=""/>
                          <pic:cNvPicPr>
                            <a:picLocks noChangeAspect="1" noChangeArrowheads="1"/>
                          </pic:cNvPicPr>
                        </pic:nvPicPr>
                        <pic:blipFill>
                          <a:blip r:embed="rId210"/>
                          <a:stretch>
                            <a:fillRect/>
                          </a:stretch>
                        </pic:blipFill>
                        <pic:spPr bwMode="auto">
                          <a:xfrm>
                            <a:off x="0" y="0"/>
                            <a:ext cx="10668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Cybersecurity and Data Privacy:</w:t>
            </w:r>
            <w:r>
              <w:rPr>
                <w:rFonts w:ascii="ARIAL" w:hAnsi="ARIAL"/>
                <w:sz w:val="18"/>
              </w:rPr>
              <w:t xml:space="preserve"> Experience in overseeing and managing cybersecurity and data privacy risks; history of leadership roles in cybersecurity risk management; degrees, certifications, or other background in cybersecurity.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2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1" descr=""/>
                          <pic:cNvPicPr>
                            <a:picLocks noChangeAspect="1" noChangeArrowheads="1"/>
                          </pic:cNvPicPr>
                        </pic:nvPicPr>
                        <pic:blipFill>
                          <a:blip r:embed="rId211"/>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2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2" descr=""/>
                          <pic:cNvPicPr>
                            <a:picLocks noChangeAspect="1" noChangeArrowheads="1"/>
                          </pic:cNvPicPr>
                        </pic:nvPicPr>
                        <pic:blipFill>
                          <a:blip r:embed="rId212"/>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2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3" descr=""/>
                          <pic:cNvPicPr>
                            <a:picLocks noChangeAspect="1" noChangeArrowheads="1"/>
                          </pic:cNvPicPr>
                        </pic:nvPicPr>
                        <pic:blipFill>
                          <a:blip r:embed="rId213"/>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23"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4" descr=""/>
                          <pic:cNvPicPr>
                            <a:picLocks noChangeAspect="1" noChangeArrowheads="1"/>
                          </pic:cNvPicPr>
                        </pic:nvPicPr>
                        <pic:blipFill>
                          <a:blip r:embed="rId214"/>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2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5" descr=""/>
                          <pic:cNvPicPr>
                            <a:picLocks noChangeAspect="1" noChangeArrowheads="1"/>
                          </pic:cNvPicPr>
                        </pic:nvPicPr>
                        <pic:blipFill>
                          <a:blip r:embed="rId215"/>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2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6" descr=""/>
                          <pic:cNvPicPr>
                            <a:picLocks noChangeAspect="1" noChangeArrowheads="1"/>
                          </pic:cNvPicPr>
                        </pic:nvPicPr>
                        <pic:blipFill>
                          <a:blip r:embed="rId216"/>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2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7" descr=""/>
                          <pic:cNvPicPr>
                            <a:picLocks noChangeAspect="1" noChangeArrowheads="1"/>
                          </pic:cNvPicPr>
                        </pic:nvPicPr>
                        <pic:blipFill>
                          <a:blip r:embed="rId217"/>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53340" cy="107315"/>
                  <wp:effectExtent l="0" t="0" r="0" b="0"/>
                  <wp:docPr id="227"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8" descr=""/>
                          <pic:cNvPicPr>
                            <a:picLocks noChangeAspect="1" noChangeArrowheads="1"/>
                          </pic:cNvPicPr>
                        </pic:nvPicPr>
                        <pic:blipFill>
                          <a:blip r:embed="rId218"/>
                          <a:stretch>
                            <a:fillRect/>
                          </a:stretch>
                        </pic:blipFill>
                        <pic:spPr bwMode="auto">
                          <a:xfrm>
                            <a:off x="0" y="0"/>
                            <a:ext cx="5334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Corporate Responsibility and Sustainability:</w:t>
            </w:r>
            <w:r>
              <w:rPr>
                <w:rFonts w:ascii="ARIAL" w:hAnsi="ARIAL"/>
                <w:sz w:val="18"/>
              </w:rPr>
              <w:t xml:space="preserve"> Experience in overseeing and managing Corporate Responsibility practices and initiatives; skills and knowledge in climate-related strategic planning, risk mitigation, and management; ability to provide oversight and advice relating to climate-related risks.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28"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9" descr=""/>
                          <pic:cNvPicPr>
                            <a:picLocks noChangeAspect="1" noChangeArrowheads="1"/>
                          </pic:cNvPicPr>
                        </pic:nvPicPr>
                        <pic:blipFill>
                          <a:blip r:embed="rId219"/>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29"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0" descr=""/>
                          <pic:cNvPicPr>
                            <a:picLocks noChangeAspect="1" noChangeArrowheads="1"/>
                          </pic:cNvPicPr>
                        </pic:nvPicPr>
                        <pic:blipFill>
                          <a:blip r:embed="rId220"/>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30"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1" descr=""/>
                          <pic:cNvPicPr>
                            <a:picLocks noChangeAspect="1" noChangeArrowheads="1"/>
                          </pic:cNvPicPr>
                        </pic:nvPicPr>
                        <pic:blipFill>
                          <a:blip r:embed="rId221"/>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31"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2" descr=""/>
                          <pic:cNvPicPr>
                            <a:picLocks noChangeAspect="1" noChangeArrowheads="1"/>
                          </pic:cNvPicPr>
                        </pic:nvPicPr>
                        <pic:blipFill>
                          <a:blip r:embed="rId222"/>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32"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3" descr=""/>
                          <pic:cNvPicPr>
                            <a:picLocks noChangeAspect="1" noChangeArrowheads="1"/>
                          </pic:cNvPicPr>
                        </pic:nvPicPr>
                        <pic:blipFill>
                          <a:blip r:embed="rId223"/>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33"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4" descr=""/>
                          <pic:cNvPicPr>
                            <a:picLocks noChangeAspect="1" noChangeArrowheads="1"/>
                          </pic:cNvPicPr>
                        </pic:nvPicPr>
                        <pic:blipFill>
                          <a:blip r:embed="rId224"/>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34"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5" descr=""/>
                          <pic:cNvPicPr>
                            <a:picLocks noChangeAspect="1" noChangeArrowheads="1"/>
                          </pic:cNvPicPr>
                        </pic:nvPicPr>
                        <pic:blipFill>
                          <a:blip r:embed="rId225"/>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000000"/>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53340" cy="107315"/>
                  <wp:effectExtent l="0" t="0" r="0" b="0"/>
                  <wp:docPr id="235"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6" descr=""/>
                          <pic:cNvPicPr>
                            <a:picLocks noChangeAspect="1" noChangeArrowheads="1"/>
                          </pic:cNvPicPr>
                        </pic:nvPicPr>
                        <pic:blipFill>
                          <a:blip r:embed="rId226"/>
                          <a:stretch>
                            <a:fillRect/>
                          </a:stretch>
                        </pic:blipFill>
                        <pic:spPr bwMode="auto">
                          <a:xfrm>
                            <a:off x="0" y="0"/>
                            <a:ext cx="53340" cy="107315"/>
                          </a:xfrm>
                          <a:prstGeom prst="rect">
                            <a:avLst/>
                          </a:prstGeom>
                        </pic:spPr>
                      </pic:pic>
                    </a:graphicData>
                  </a:graphic>
                </wp:inline>
              </w:drawing>
            </w:r>
            <w:r>
              <w:rPr/>
              <w:t xml:space="preserve">  </w:t>
            </w:r>
          </w:p>
        </w:tc>
      </w:tr>
      <w:tr>
        <w:trPr/>
        <w:tc>
          <w:tcPr>
            <w:tcW w:w="7867" w:type="dxa"/>
            <w:tcBorders/>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08"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867" w:type="dxa"/>
            <w:tcBorders>
              <w:bottom w:val="single" w:sz="6" w:space="0" w:color="7F7F7F"/>
            </w:tcBorders>
            <w:tcMar>
              <w:bottom w:w="100" w:type="dxa"/>
            </w:tcMar>
            <w:vAlign w:val="center"/>
          </w:tcPr>
          <w:p>
            <w:pPr>
              <w:pStyle w:val="TableContents"/>
              <w:bidi w:val="0"/>
              <w:spacing w:before="0" w:after="0"/>
              <w:jc w:val="left"/>
              <w:rPr>
                <w:rFonts w:ascii="ARIAL" w:hAnsi="ARIAL"/>
                <w:sz w:val="18"/>
              </w:rPr>
            </w:pPr>
            <w:r>
              <w:rPr>
                <w:rFonts w:ascii="ARIAL" w:hAnsi="ARIAL"/>
                <w:b/>
                <w:color w:val="0054BA"/>
                <w:sz w:val="18"/>
              </w:rPr>
              <w:t>AI/ Generative AI (GenAI) Strategy</w:t>
            </w:r>
            <w:r>
              <w:rPr>
                <w:rFonts w:ascii="ARIAL" w:hAnsi="ARIAL"/>
                <w:color w:val="0054BA"/>
                <w:sz w:val="18"/>
              </w:rPr>
              <w:t> </w:t>
            </w:r>
            <w:r>
              <w:rPr>
                <w:rFonts w:ascii="ARIAL" w:hAnsi="ARIAL"/>
                <w:b/>
                <w:color w:val="0054BA"/>
                <w:sz w:val="18"/>
              </w:rPr>
              <w:t>&amp; Governance:</w:t>
            </w:r>
            <w:r>
              <w:rPr>
                <w:rFonts w:ascii="ARIAL" w:hAnsi="ARIAL"/>
                <w:sz w:val="18"/>
              </w:rPr>
              <w:t xml:space="preserve"> Experience in deploying or overseeing AI/GenAI to support business strategy, innovation, and performance; familiarity with AI governance frameworks and board oversight structures, including evaluating opportunities and risks and overseeing frameworks or responsible use of AI.</w:t>
            </w:r>
          </w:p>
        </w:tc>
        <w:tc>
          <w:tcPr>
            <w:tcW w:w="60" w:type="dxa"/>
            <w:tcBorders>
              <w:left w:val="single" w:sz="6" w:space="0" w:color="000000"/>
              <w:bottom w:val="single" w:sz="6" w:space="0" w:color="7F7F7F"/>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7F7F7F"/>
            </w:tcBorders>
            <w:tcMar>
              <w:bottom w:w="100" w:type="dxa"/>
            </w:tcMar>
            <w:vAlign w:val="center"/>
          </w:tcPr>
          <w:p>
            <w:pPr>
              <w:pStyle w:val="TableContents"/>
              <w:bidi w:val="0"/>
              <w:spacing w:before="0" w:after="283"/>
              <w:jc w:val="center"/>
              <w:rPr/>
            </w:pPr>
            <w:r>
              <w:rPr/>
              <w:drawing>
                <wp:inline distT="0" distB="0" distL="0" distR="0">
                  <wp:extent cx="106680" cy="107315"/>
                  <wp:effectExtent l="0" t="0" r="0" b="0"/>
                  <wp:docPr id="236"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7" descr=""/>
                          <pic:cNvPicPr>
                            <a:picLocks noChangeAspect="1" noChangeArrowheads="1"/>
                          </pic:cNvPicPr>
                        </pic:nvPicPr>
                        <pic:blipFill>
                          <a:blip r:embed="rId227"/>
                          <a:stretch>
                            <a:fillRect/>
                          </a:stretch>
                        </pic:blipFill>
                        <pic:spPr bwMode="auto">
                          <a:xfrm>
                            <a:off x="0" y="0"/>
                            <a:ext cx="106680" cy="107315"/>
                          </a:xfrm>
                          <a:prstGeom prst="rect">
                            <a:avLst/>
                          </a:prstGeom>
                        </pic:spPr>
                      </pic:pic>
                    </a:graphicData>
                  </a:graphic>
                </wp:inline>
              </w:drawing>
            </w:r>
            <w:r>
              <w:rPr/>
              <w:t xml:space="preserve">  </w:t>
            </w:r>
          </w:p>
        </w:tc>
        <w:tc>
          <w:tcPr>
            <w:tcW w:w="60" w:type="dxa"/>
            <w:tcBorders>
              <w:left w:val="single" w:sz="6" w:space="0" w:color="000000"/>
              <w:bottom w:val="single" w:sz="6" w:space="0" w:color="7F7F7F"/>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7F7F7F"/>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3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8" descr=""/>
                          <pic:cNvPicPr>
                            <a:picLocks noChangeAspect="1" noChangeArrowheads="1"/>
                          </pic:cNvPicPr>
                        </pic:nvPicPr>
                        <pic:blipFill>
                          <a:blip r:embed="rId228"/>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7F7F7F"/>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7F7F7F"/>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38"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9" descr=""/>
                          <pic:cNvPicPr>
                            <a:picLocks noChangeAspect="1" noChangeArrowheads="1"/>
                          </pic:cNvPicPr>
                        </pic:nvPicPr>
                        <pic:blipFill>
                          <a:blip r:embed="rId229"/>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7F7F7F"/>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7F7F7F"/>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39"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0" descr=""/>
                          <pic:cNvPicPr>
                            <a:picLocks noChangeAspect="1" noChangeArrowheads="1"/>
                          </pic:cNvPicPr>
                        </pic:nvPicPr>
                        <pic:blipFill>
                          <a:blip r:embed="rId230"/>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7F7F7F"/>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7F7F7F"/>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40"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1" descr=""/>
                          <pic:cNvPicPr>
                            <a:picLocks noChangeAspect="1" noChangeArrowheads="1"/>
                          </pic:cNvPicPr>
                        </pic:nvPicPr>
                        <pic:blipFill>
                          <a:blip r:embed="rId231"/>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7F7F7F"/>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7F7F7F"/>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41"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2" descr=""/>
                          <pic:cNvPicPr>
                            <a:picLocks noChangeAspect="1" noChangeArrowheads="1"/>
                          </pic:cNvPicPr>
                        </pic:nvPicPr>
                        <pic:blipFill>
                          <a:blip r:embed="rId232"/>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7F7F7F"/>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7F7F7F"/>
            </w:tcBorders>
            <w:tcMar>
              <w:bottom w:w="100" w:type="dxa"/>
            </w:tcMar>
            <w:vAlign w:val="center"/>
          </w:tcPr>
          <w:p>
            <w:pPr>
              <w:pStyle w:val="TableContents"/>
              <w:bidi w:val="0"/>
              <w:spacing w:before="0" w:after="283"/>
              <w:jc w:val="center"/>
              <w:rPr/>
            </w:pPr>
            <w:r>
              <w:rPr/>
              <w:drawing>
                <wp:inline distT="0" distB="0" distL="0" distR="0">
                  <wp:extent cx="53340" cy="107315"/>
                  <wp:effectExtent l="0" t="0" r="0" b="0"/>
                  <wp:docPr id="242"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3" descr=""/>
                          <pic:cNvPicPr>
                            <a:picLocks noChangeAspect="1" noChangeArrowheads="1"/>
                          </pic:cNvPicPr>
                        </pic:nvPicPr>
                        <pic:blipFill>
                          <a:blip r:embed="rId233"/>
                          <a:stretch>
                            <a:fillRect/>
                          </a:stretch>
                        </pic:blipFill>
                        <pic:spPr bwMode="auto">
                          <a:xfrm>
                            <a:off x="0" y="0"/>
                            <a:ext cx="53340" cy="107315"/>
                          </a:xfrm>
                          <a:prstGeom prst="rect">
                            <a:avLst/>
                          </a:prstGeom>
                        </pic:spPr>
                      </pic:pic>
                    </a:graphicData>
                  </a:graphic>
                </wp:inline>
              </w:drawing>
            </w:r>
            <w:r>
              <w:rPr/>
              <w:t xml:space="preserve">  </w:t>
            </w:r>
          </w:p>
        </w:tc>
        <w:tc>
          <w:tcPr>
            <w:tcW w:w="60" w:type="dxa"/>
            <w:tcBorders>
              <w:left w:val="single" w:sz="6" w:space="0" w:color="000000"/>
              <w:bottom w:val="single" w:sz="6" w:space="0" w:color="7F7F7F"/>
            </w:tcBorders>
            <w:tcMar>
              <w:left w:w="28" w:type="dxa"/>
              <w:bottom w:w="28" w:type="dxa"/>
            </w:tcMar>
            <w:vAlign w:val="center"/>
          </w:tcPr>
          <w:p>
            <w:pPr>
              <w:pStyle w:val="TableContents"/>
              <w:bidi w:val="0"/>
              <w:spacing w:before="0" w:after="283"/>
              <w:jc w:val="left"/>
              <w:rPr/>
            </w:pPr>
            <w:r>
              <w:rPr/>
              <w:t> </w:t>
            </w:r>
          </w:p>
        </w:tc>
        <w:tc>
          <w:tcPr>
            <w:tcW w:w="248" w:type="dxa"/>
            <w:tcBorders>
              <w:bottom w:val="single" w:sz="6" w:space="0" w:color="7F7F7F"/>
              <w:right w:val="single" w:sz="6" w:space="0" w:color="000000"/>
            </w:tcBorders>
            <w:tcMar>
              <w:bottom w:w="100" w:type="dxa"/>
              <w:right w:w="28" w:type="dxa"/>
            </w:tcMar>
            <w:vAlign w:val="center"/>
          </w:tcPr>
          <w:p>
            <w:pPr>
              <w:pStyle w:val="TableContents"/>
              <w:bidi w:val="0"/>
              <w:spacing w:before="0" w:after="283"/>
              <w:jc w:val="center"/>
              <w:rPr/>
            </w:pPr>
            <w:r>
              <w:rPr/>
              <w:drawing>
                <wp:inline distT="0" distB="0" distL="0" distR="0">
                  <wp:extent cx="53340" cy="107315"/>
                  <wp:effectExtent l="0" t="0" r="0" b="0"/>
                  <wp:docPr id="243"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4" descr=""/>
                          <pic:cNvPicPr>
                            <a:picLocks noChangeAspect="1" noChangeArrowheads="1"/>
                          </pic:cNvPicPr>
                        </pic:nvPicPr>
                        <pic:blipFill>
                          <a:blip r:embed="rId234"/>
                          <a:stretch>
                            <a:fillRect/>
                          </a:stretch>
                        </pic:blipFill>
                        <pic:spPr bwMode="auto">
                          <a:xfrm>
                            <a:off x="0" y="0"/>
                            <a:ext cx="53340" cy="107315"/>
                          </a:xfrm>
                          <a:prstGeom prst="rect">
                            <a:avLst/>
                          </a:prstGeom>
                        </pic:spPr>
                      </pic:pic>
                    </a:graphicData>
                  </a:graphic>
                </wp:inline>
              </w:drawing>
            </w:r>
            <w:r>
              <w:rPr/>
              <w:t xml:space="preserve">  </w:t>
            </w:r>
          </w:p>
        </w:tc>
      </w:tr>
    </w:tbl>
    <w:p>
      <w:pPr>
        <w:pStyle w:val="TextBody"/>
        <w:bidi w:val="0"/>
        <w:spacing w:before="120" w:after="0"/>
        <w:jc w:val="left"/>
        <w:rPr/>
      </w:pPr>
      <w:r>
        <w:rPr/>
        <w:drawing>
          <wp:inline distT="0" distB="0" distL="0" distR="0">
            <wp:extent cx="106680" cy="107315"/>
            <wp:effectExtent l="0" t="0" r="0" b="0"/>
            <wp:docPr id="244"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5" descr=""/>
                    <pic:cNvPicPr>
                      <a:picLocks noChangeAspect="1" noChangeArrowheads="1"/>
                    </pic:cNvPicPr>
                  </pic:nvPicPr>
                  <pic:blipFill>
                    <a:blip r:embed="rId235"/>
                    <a:stretch>
                      <a:fillRect/>
                    </a:stretch>
                  </pic:blipFill>
                  <pic:spPr bwMode="auto">
                    <a:xfrm>
                      <a:off x="0" y="0"/>
                      <a:ext cx="106680" cy="107315"/>
                    </a:xfrm>
                    <a:prstGeom prst="rect">
                      <a:avLst/>
                    </a:prstGeom>
                  </pic:spPr>
                </pic:pic>
              </a:graphicData>
            </a:graphic>
          </wp:inline>
        </w:drawing>
      </w:r>
      <w:r>
        <w:rPr/>
        <w:t xml:space="preserve">  </w:t>
      </w:r>
      <w:r>
        <w:rPr>
          <w:rFonts w:ascii="ARIAL" w:hAnsi="ARIAL"/>
          <w:sz w:val="16"/>
        </w:rPr>
        <w:t xml:space="preserve">VERY SKILLED/EXPERIENCED      </w:t>
      </w:r>
      <w:r>
        <w:rPr>
          <w:rFonts w:ascii="ARIAL" w:hAnsi="ARIAL"/>
          <w:sz w:val="16"/>
        </w:rPr>
        <w:drawing>
          <wp:inline distT="0" distB="0" distL="0" distR="0">
            <wp:extent cx="53340" cy="107315"/>
            <wp:effectExtent l="0" t="0" r="0" b="0"/>
            <wp:docPr id="245"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6" descr=""/>
                    <pic:cNvPicPr>
                      <a:picLocks noChangeAspect="1" noChangeArrowheads="1"/>
                    </pic:cNvPicPr>
                  </pic:nvPicPr>
                  <pic:blipFill>
                    <a:blip r:embed="rId236"/>
                    <a:stretch>
                      <a:fillRect/>
                    </a:stretch>
                  </pic:blipFill>
                  <pic:spPr bwMode="auto">
                    <a:xfrm>
                      <a:off x="0" y="0"/>
                      <a:ext cx="53340" cy="107315"/>
                    </a:xfrm>
                    <a:prstGeom prst="rect">
                      <a:avLst/>
                    </a:prstGeom>
                  </pic:spPr>
                </pic:pic>
              </a:graphicData>
            </a:graphic>
          </wp:inline>
        </w:drawing>
      </w:r>
      <w:r>
        <w:rPr>
          <w:rFonts w:ascii="ARIAL" w:hAnsi="ARIAL"/>
          <w:sz w:val="16"/>
        </w:rPr>
        <w:t xml:space="preserve">  SOME SKILL/EXPERIENCE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46"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7" descr=""/>
                          <pic:cNvPicPr>
                            <a:picLocks noChangeAspect="1" noChangeArrowheads="1"/>
                          </pic:cNvPicPr>
                        </pic:nvPicPr>
                        <pic:blipFill>
                          <a:blip r:embed="rId23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Tenure and Board Refreshment Profile </w:t>
      </w:r>
    </w:p>
    <w:p>
      <w:pPr>
        <w:pStyle w:val="TextBody"/>
        <w:bidi w:val="0"/>
        <w:spacing w:before="80" w:after="0"/>
        <w:jc w:val="left"/>
        <w:rPr>
          <w:rFonts w:ascii="ARIAL" w:hAnsi="ARIAL"/>
          <w:sz w:val="18"/>
        </w:rPr>
      </w:pPr>
      <w:r>
        <w:rPr>
          <w:rFonts w:ascii="ARIAL" w:hAnsi="ARIAL"/>
          <w:sz w:val="18"/>
        </w:rPr>
        <w:t xml:space="preserve">As previously disclosed, as a result of the Board’s ongoing refreshment and succession planning process and in accordance with support agreements we entered into with certain stockholders, the Board elected each of John L. Berisford, Rachel C. Glaser, and Christine M. McCarthy as new Board members, effective April 6, 2025. Each of these new directors has been determined to (i) be an “independent director” under Nasdaq listing standards and (ii) have no transactions with “related persons,” as defined under the Exchange Act. These new independent directors bring significant experience and expertise relevant to our business and strategy, and we are confident they will help us extend our long track record of creating value for stockholders. Ms. Glaser is a seasoned executive with considerable financial expertise and relevant marketplace experience. Ms. McCarthy is a recognized corporate finance leader with over 30 years of experience. Mr. Berisford is an accomplished executive who most recently served as President of S&amp;P Global Ratings. </w:t>
      </w:r>
    </w:p>
    <w:p>
      <w:pPr>
        <w:pStyle w:val="TextBody"/>
        <w:bidi w:val="0"/>
        <w:spacing w:before="120" w:after="0"/>
        <w:jc w:val="left"/>
        <w:rPr>
          <w:rFonts w:ascii="ARIAL" w:hAnsi="ARIAL"/>
          <w:sz w:val="18"/>
        </w:rPr>
      </w:pPr>
      <w:r>
        <w:rPr>
          <w:rFonts w:ascii="ARIAL" w:hAnsi="ARIAL"/>
          <w:sz w:val="18"/>
        </w:rPr>
        <w:t xml:space="preserve">As a result, three of our seven independent directors have joined since April 2025, bringing fresh perspectives and experiences to support our long-term growth strategy. </w:t>
      </w:r>
    </w:p>
    <w:p>
      <w:pPr>
        <w:pStyle w:val="TextBody"/>
        <w:bidi w:val="0"/>
        <w:spacing w:before="360" w:after="0"/>
        <w:jc w:val="left"/>
        <w:rPr>
          <w:rFonts w:ascii="ARIAL" w:hAnsi="ARIAL"/>
          <w:b/>
          <w:sz w:val="24"/>
        </w:rPr>
      </w:pPr>
      <w:bookmarkStart w:id="8" w:name="toc903159_6"/>
      <w:bookmarkEnd w:id="8"/>
      <w:r>
        <w:rPr>
          <w:rFonts w:ascii="ARIAL" w:hAnsi="ARIAL"/>
          <w:b/>
          <w:sz w:val="24"/>
        </w:rPr>
        <w:t xml:space="preserve">Board and Committee Evaluation Process </w:t>
      </w:r>
    </w:p>
    <w:p>
      <w:pPr>
        <w:pStyle w:val="TextBody"/>
        <w:bidi w:val="0"/>
        <w:spacing w:before="80" w:after="0"/>
        <w:jc w:val="left"/>
        <w:rPr>
          <w:rFonts w:ascii="ARIAL" w:hAnsi="ARIAL"/>
          <w:sz w:val="18"/>
        </w:rPr>
      </w:pPr>
      <w:r>
        <w:rPr>
          <w:rFonts w:ascii="ARIAL" w:hAnsi="ARIAL"/>
          <w:sz w:val="18"/>
        </w:rPr>
        <w:t>The Nominating and Corporate Governance Committee oversees the annual Board and committee evaluation process. Generally, the Board and each committee conduct self-evaluations by means of written questionnaires completed by each director and committee member. The anonymous responses are summarized and provided by the Corporate Secretary without attribution and provided to the Board and each committee at each of their next respective meetings to facilitate an examination and discussion by the Board and each committee of the effectiveness of the Board and committees, Board and committee structure and dynamics, areas for possible improvement, and enhancement of individual director contributions. The Nominating and Corporate Governance Committee reviews and establishes the Board and committee evaluation process each year. From time to time, it may determine to use an independent third party in the evaluation process.</w:t>
      </w:r>
    </w:p>
    <w:p>
      <w:pPr>
        <w:pStyle w:val="TextBody"/>
        <w:bidi w:val="0"/>
        <w:spacing w:before="120" w:after="0"/>
        <w:jc w:val="left"/>
        <w:rPr>
          <w:rFonts w:ascii="ARIAL" w:hAnsi="ARIAL"/>
          <w:sz w:val="18"/>
        </w:rPr>
      </w:pPr>
      <w:r>
        <w:rPr>
          <w:rFonts w:ascii="ARIAL" w:hAnsi="ARIAL"/>
          <w:sz w:val="18"/>
        </w:rPr>
        <w:t xml:space="preserve">Based upon the recommendation of the Nominating and Corporate Governance Committee, the Board determined it was appropriate to implement its standard process for the 2025-2026 self-evaluation cycle. In addition, each standing committee conducted its own self-evaluation. </w:t>
      </w:r>
    </w:p>
    <w:p>
      <w:pPr>
        <w:pStyle w:val="TextBody"/>
        <w:bidi w:val="0"/>
        <w:spacing w:before="120" w:after="0"/>
        <w:jc w:val="left"/>
        <w:rPr>
          <w:rFonts w:ascii="ARIAL" w:hAnsi="ARIAL"/>
          <w:sz w:val="18"/>
        </w:rPr>
      </w:pPr>
      <w:r>
        <w:rPr>
          <w:rFonts w:ascii="ARIAL" w:hAnsi="ARIAL"/>
          <w:sz w:val="18"/>
        </w:rPr>
        <w:t xml:space="preserve">Over the past few years, the evaluation process has highlighted opportunities to strengthen the Board’s practices, structures, and communications. Key themes identified in the evaluation process over the past few years include: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ARIAL" w:hAnsi="ARIAL"/>
                <w:sz w:val="18"/>
              </w:rPr>
            </w:pPr>
            <w:r>
              <w:rPr>
                <w:rFonts w:ascii="ARIAL" w:hAnsi="ARIAL"/>
                <w:sz w:val="18"/>
              </w:rPr>
              <w:t xml:space="preserve">Board composition in support of long-term strategy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ARIAL" w:hAnsi="ARIAL"/>
                <w:sz w:val="18"/>
              </w:rPr>
            </w:pPr>
            <w:r>
              <w:rPr>
                <w:rFonts w:ascii="ARIAL" w:hAnsi="ARIAL"/>
                <w:sz w:val="18"/>
              </w:rPr>
              <w:t xml:space="preserve">Balance and scope of topics and materials covered in Board and Committee meetings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ARIAL" w:hAnsi="ARIAL"/>
                <w:sz w:val="18"/>
              </w:rPr>
            </w:pPr>
            <w:r>
              <w:rPr>
                <w:rFonts w:ascii="ARIAL" w:hAnsi="ARIAL"/>
                <w:sz w:val="18"/>
              </w:rPr>
              <w:t xml:space="preserve">Communication between the Board and its Committees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47"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8" descr=""/>
                          <pic:cNvPicPr>
                            <a:picLocks noChangeAspect="1" noChangeArrowheads="1"/>
                          </pic:cNvPicPr>
                        </pic:nvPicPr>
                        <pic:blipFill>
                          <a:blip r:embed="rId23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58"/>
        <w:gridCol w:w="23"/>
        <w:gridCol w:w="23"/>
        <w:gridCol w:w="23"/>
        <w:gridCol w:w="23"/>
        <w:gridCol w:w="23"/>
        <w:gridCol w:w="23"/>
        <w:gridCol w:w="6609"/>
      </w:tblGrid>
      <w:tr>
        <w:trPr/>
        <w:tc>
          <w:tcPr>
            <w:tcW w:w="345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609" w:type="dxa"/>
            <w:tcBorders/>
            <w:vAlign w:val="center"/>
          </w:tcPr>
          <w:p>
            <w:pPr>
              <w:pStyle w:val="TableContents"/>
              <w:bidi w:val="0"/>
              <w:spacing w:before="0" w:after="283"/>
              <w:jc w:val="left"/>
              <w:rPr>
                <w:sz w:val="4"/>
                <w:szCs w:val="4"/>
              </w:rPr>
            </w:pPr>
            <w:r>
              <w:rPr>
                <w:sz w:val="4"/>
                <w:szCs w:val="4"/>
              </w:rPr>
            </w:r>
          </w:p>
        </w:tc>
      </w:tr>
      <w:tr>
        <w:trPr/>
        <w:tc>
          <w:tcPr>
            <w:tcW w:w="3458" w:type="dxa"/>
            <w:tcBorders/>
            <w:vAlign w:val="center"/>
          </w:tcPr>
          <w:p>
            <w:pPr>
              <w:pStyle w:val="TableContents"/>
              <w:bidi w:val="0"/>
              <w:spacing w:before="0" w:after="0"/>
              <w:jc w:val="left"/>
              <w:rPr/>
            </w:pPr>
            <w:bookmarkStart w:id="9" w:name="toc903159_7"/>
            <w:bookmarkEnd w:id="9"/>
            <w:r>
              <w:rPr/>
              <w:drawing>
                <wp:inline distT="0" distB="0" distL="0" distR="0">
                  <wp:extent cx="2079625" cy="2079625"/>
                  <wp:effectExtent l="0" t="0" r="0" b="0"/>
                  <wp:docPr id="24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9" descr=""/>
                          <pic:cNvPicPr>
                            <a:picLocks noChangeAspect="1" noChangeArrowheads="1"/>
                          </pic:cNvPicPr>
                        </pic:nvPicPr>
                        <pic:blipFill>
                          <a:blip r:embed="rId239"/>
                          <a:stretch>
                            <a:fillRect/>
                          </a:stretch>
                        </pic:blipFill>
                        <pic:spPr bwMode="auto">
                          <a:xfrm>
                            <a:off x="0" y="0"/>
                            <a:ext cx="2079625" cy="20796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4BA"/>
                <w:sz w:val="36"/>
              </w:rPr>
            </w:pPr>
            <w:r>
              <w:rPr>
                <w:rFonts w:ascii="ARIAL" w:hAnsi="ARIAL"/>
                <w:b/>
                <w:color w:val="0054BA"/>
                <w:sz w:val="36"/>
              </w:rPr>
              <w:t>Andrew C. Florance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FOUNDER AND CHIEF EXECUTIVE OFFICER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Director Since:</w:t>
            </w:r>
            <w:r>
              <w:rPr>
                <w:rFonts w:ascii="ARIAL" w:hAnsi="ARIAL"/>
                <w:sz w:val="18"/>
              </w:rPr>
              <w:t xml:space="preserve"> 1987</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Age: </w:t>
            </w:r>
            <w:r>
              <w:rPr>
                <w:rFonts w:ascii="ARIAL" w:hAnsi="ARIAL"/>
                <w:sz w:val="18"/>
              </w:rPr>
              <w:t>62</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Education: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 Economics, Princeton University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609" w:type="dxa"/>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REASONS FOR NOMINATION</w:t>
            </w:r>
          </w:p>
          <w:p>
            <w:pPr>
              <w:pStyle w:val="TableContents"/>
              <w:bidi w:val="0"/>
              <w:spacing w:before="0" w:after="0"/>
              <w:jc w:val="left"/>
              <w:rPr>
                <w:rFonts w:ascii="ARIAL" w:hAnsi="ARIAL"/>
                <w:sz w:val="18"/>
              </w:rPr>
            </w:pPr>
            <w:r>
              <w:rPr>
                <w:rFonts w:ascii="ARIAL" w:hAnsi="ARIAL"/>
                <w:sz w:val="18"/>
              </w:rPr>
              <w:t>Andrew Florance provides the Board with founder-level insight into CoStar Group’s strategy, competitive positioning, and platform development. Since launching the Company in 1987, he has overseen its evolution into a scaled, multi-brand enterprise serving commercial and residential real estate markets. His long-standing leadership, direct involvement in product innovation and capital deployment, and deep understanding of the information services industry provides the Board with valuable perspective on CoStar Group’s key strategic initiatives, operating discipline, and sustained value creation priorities.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SKILLS AND QUALIFICATIONS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Industry / Commercial Real Estate: </w:t>
            </w:r>
            <w:r>
              <w:rPr>
                <w:rFonts w:ascii="ARIAL" w:hAnsi="ARIAL"/>
              </w:rPr>
              <w:t>As Founder and Chief Executive Officer, Mr. Florance has led CoStar Group’s growth from inception through its 1998 initial public offering and into an S&amp;P 500 and NASDAQ-100 company operating across global real estate data, analytics, online marketplaces, and 3D digital twin technology platforms. Under his leadership, CoStar Group has expanded its coverage across office, industrial, retail, multifamily, hospitality, and residential markets, establishing a scaled and comprehensive global digital real estate ecosystem. In 2026, Mr. Florance was named among the top ten most powerful executives in the U.S. residential real estate industry by the Swanepoel Power 200. He was also named a Washingtonian Magazine “Tech Titan” in 2025 for the fourth consecutive year and was included on Commercial Observer’s 2025 Power 100 list.</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Business Development and M&amp;A: </w:t>
            </w:r>
            <w:r>
              <w:rPr>
                <w:rFonts w:ascii="ARIAL" w:hAnsi="ARIAL"/>
              </w:rPr>
              <w:t>Mr. Florance has led more than 40 strategic acquisitions across 14 countries, broadening CoStar Group’s data assets, marketplace capabilities, and reach in existing and adjacent markets. His disciplined approach to both strategic acquisitions and organic investments have supported the continued growth and diversification of CoStar Group’s platforms and revenue streams. In 2025, he led the acquisition of Domain, one of Australia’s most recognized and trusted property platforms, leading to a record number of monthly unique platform visitors within just weeks of acquisition, and the purchase of Matterport, the global leader of 3D digital twin technology for property marketing and visualization. With the 2021 acquisition of Homes.com, Mr. Florance has scaled the CoStar platform to become the second-largest residential real estate portal in the U.S., with 108 million average monthly unique visitors and nearly $100 million in annual run-rate revenue.</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Marketing and Sales: </w:t>
            </w:r>
            <w:r>
              <w:rPr>
                <w:rFonts w:ascii="ARIAL" w:hAnsi="ARIAL"/>
              </w:rPr>
              <w:t>Mr. Florance has built and scaled CoStar Group’s subscription-based business model – leading to durable revenue growth, leverageable margin structures, and robust free cash flow. He spearheaded the digitization of the real estate industry, with CoStar Group now serving clients around the world and attracting over 139 million average monthly unique visitors across the Company’s platforms. He has guided pricing strategy, sales execution, and brand positioning across asset classes, reinforcing CoStar Group’s recurring revenue foundation.</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CAREER HIGHLIGHTS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CoStar Group, Inc. (Nasdaq: CSGP)</w:t>
            </w:r>
            <w:r>
              <w:rPr>
                <w:rFonts w:ascii="ARIAL" w:hAnsi="ARIAL"/>
                <w:sz w:val="18"/>
              </w:rPr>
              <w:t>, a leading global provider of real estate information, analytics, online marketplaces, and 3D digital twin 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Founder and Chief Executive Officer (since 1987)</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5575"/>
                  <wp:effectExtent l="0" t="0" r="0" b="0"/>
                  <wp:docPr id="24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0" descr=""/>
                          <pic:cNvPicPr>
                            <a:picLocks noChangeAspect="1" noChangeArrowheads="1"/>
                          </pic:cNvPicPr>
                        </pic:nvPicPr>
                        <pic:blipFill>
                          <a:blip r:embed="rId240"/>
                          <a:stretch>
                            <a:fillRect/>
                          </a:stretch>
                        </pic:blipFill>
                        <pic:spPr bwMode="auto">
                          <a:xfrm>
                            <a:off x="0" y="0"/>
                            <a:ext cx="908050" cy="1555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17"/>
        <w:gridCol w:w="23"/>
        <w:gridCol w:w="23"/>
        <w:gridCol w:w="23"/>
        <w:gridCol w:w="23"/>
        <w:gridCol w:w="23"/>
        <w:gridCol w:w="23"/>
        <w:gridCol w:w="6550"/>
      </w:tblGrid>
      <w:tr>
        <w:trPr/>
        <w:tc>
          <w:tcPr>
            <w:tcW w:w="351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50" w:type="dxa"/>
            <w:tcBorders/>
            <w:vAlign w:val="center"/>
          </w:tcPr>
          <w:p>
            <w:pPr>
              <w:pStyle w:val="TableContents"/>
              <w:bidi w:val="0"/>
              <w:spacing w:before="0" w:after="283"/>
              <w:jc w:val="left"/>
              <w:rPr>
                <w:sz w:val="4"/>
                <w:szCs w:val="4"/>
              </w:rPr>
            </w:pPr>
            <w:r>
              <w:rPr>
                <w:sz w:val="4"/>
                <w:szCs w:val="4"/>
              </w:rPr>
            </w:r>
          </w:p>
        </w:tc>
      </w:tr>
      <w:tr>
        <w:trPr/>
        <w:tc>
          <w:tcPr>
            <w:tcW w:w="3517" w:type="dxa"/>
            <w:tcBorders/>
            <w:vAlign w:val="center"/>
          </w:tcPr>
          <w:p>
            <w:pPr>
              <w:pStyle w:val="TableContents"/>
              <w:bidi w:val="0"/>
              <w:spacing w:before="0" w:after="0"/>
              <w:jc w:val="left"/>
              <w:rPr/>
            </w:pPr>
            <w:r>
              <w:rPr/>
              <w:drawing>
                <wp:inline distT="0" distB="0" distL="0" distR="0">
                  <wp:extent cx="2080260" cy="2080260"/>
                  <wp:effectExtent l="0" t="0" r="0" b="0"/>
                  <wp:docPr id="250"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1" descr=""/>
                          <pic:cNvPicPr>
                            <a:picLocks noChangeAspect="1" noChangeArrowheads="1"/>
                          </pic:cNvPicPr>
                        </pic:nvPicPr>
                        <pic:blipFill>
                          <a:blip r:embed="rId241"/>
                          <a:stretch>
                            <a:fillRect/>
                          </a:stretch>
                        </pic:blipFill>
                        <pic:spPr bwMode="auto">
                          <a:xfrm>
                            <a:off x="0" y="0"/>
                            <a:ext cx="2080260" cy="20802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4BA"/>
                <w:sz w:val="36"/>
              </w:rPr>
            </w:pPr>
            <w:r>
              <w:rPr>
                <w:rFonts w:ascii="ARIAL" w:hAnsi="ARIAL"/>
                <w:b/>
                <w:color w:val="0054BA"/>
                <w:sz w:val="36"/>
              </w:rPr>
              <w:t>Louise S. Sams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BOARD CHAIR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Director Since:</w:t>
            </w:r>
            <w:r>
              <w:rPr>
                <w:rFonts w:ascii="ARIAL" w:hAnsi="ARIAL"/>
                <w:sz w:val="18"/>
              </w:rPr>
              <w:t xml:space="preserve"> 2019</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Age: </w:t>
            </w:r>
            <w:r>
              <w:rPr>
                <w:rFonts w:ascii="ARIAL" w:hAnsi="ARIAL"/>
                <w:sz w:val="18"/>
              </w:rPr>
              <w:t>68</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Corporate Governance </w:t>
            </w:r>
            <w:r>
              <w:rPr>
                <w:rFonts w:ascii="ARIAL" w:hAnsi="ARIAL"/>
                <w:i/>
              </w:rPr>
              <w:t>(Chair)</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Other Public Company Directorships (past five years):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Rollins, Inc. (NYSE: ROL)</w:t>
              <w:br/>
              <w:t>(since 2022)</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Loop Industries, Inc. (Nasdaq: LOOP)</w:t>
              <w:br/>
              <w:t>(since 2021)</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D&amp;Z Media Acquisition Corp. (former NYSE: DNZ) (2021-2023)</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Education: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 English, Princeton University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J.D., University of Virginia School of Law</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550" w:type="dxa"/>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REASONS FOR NOMINATION</w:t>
            </w:r>
          </w:p>
          <w:p>
            <w:pPr>
              <w:pStyle w:val="TableContents"/>
              <w:bidi w:val="0"/>
              <w:spacing w:before="0" w:after="0"/>
              <w:jc w:val="left"/>
              <w:rPr>
                <w:rFonts w:ascii="ARIAL" w:hAnsi="ARIAL"/>
                <w:sz w:val="18"/>
              </w:rPr>
            </w:pPr>
            <w:r>
              <w:rPr>
                <w:rFonts w:ascii="ARIAL" w:hAnsi="ARIAL"/>
                <w:sz w:val="18"/>
              </w:rPr>
              <w:t>Louise Sams is a seasoned public company executive with deep experience overseeing large-scale businesses where corporate value was driven by proprietary data, technology platforms, and intellectual property. She has led the protection and commercialization of high-value content assets across global distribution channels, providing directly relevant insight for CoStar Group’s datacentric analytics and subscription based business model. Her background in enterprise risk management, compliance, and strategic transactions supports disciplined growth and long-term stockholder value creation.</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SKILLS AND QUALIFICATIONS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Legal, Public Policy, Regulatory: </w:t>
            </w:r>
            <w:r>
              <w:rPr>
                <w:rFonts w:ascii="ARIAL" w:hAnsi="ARIAL"/>
              </w:rPr>
              <w:t>Ms. Sams brings extensive experience navigating complex legal and regulatory environments across global jurisdictions. As General Counsel of Turner Broadcasting System, she led global legal and compliance functions spanning corporate governance, major strategic transactions, intellectual property and licensing, employment matters, and international content distribution.</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Business Development and M&amp;A:</w:t>
            </w:r>
            <w:r>
              <w:rPr>
                <w:rFonts w:ascii="ARIAL" w:hAnsi="ARIAL"/>
              </w:rPr>
              <w:t xml:space="preserve"> As President of Turner Broadcasting System International, Ms. Sams oversaw production, distribution, and ad sales for all children’s and general entertainment networks outside North America, as well as global joint ventures, and led the distribution and commercial operations for CNN’s international services, which ranked as the leading media brand across EMEA and Asia in combined television and digital reach by the end of her tenure. She brings significant transaction experience from her involvement in Turner’s landmark $7.5 billion merger with Time Warner Inc., complemented by her early career advising public companies on M&amp;A and securities law at White &amp; Case LLP.</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Risk Management: </w:t>
            </w:r>
            <w:r>
              <w:rPr>
                <w:rFonts w:ascii="ARIAL" w:hAnsi="ARIAL"/>
              </w:rPr>
              <w:t>As General Counsel of Turner Broadcasting System, Ms. Sams oversaw enterprise risk management and controls related to data- and content-driven operations, information security, and intellectual property, and developed systems designed to mitigate cybersecurity and regulatory risk. Her experience supports effective Board oversight of CoStar Group’s proprietary data assets and analytics platforms, as well as the responsible use and protection of information critical to long-term value creation.</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CAREER HIGHLIGHTS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Turner Broadcasting System, Inc.</w:t>
            </w:r>
            <w:r>
              <w:rPr>
                <w:rFonts w:ascii="ARIAL" w:hAnsi="ARIAL"/>
                <w:sz w:val="18"/>
              </w:rPr>
              <w:t>– a television and media conglomerate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Vice President and General Counsel (2000-2019)</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President, Turner Broadcasting System International, Inc. (2003-2012)</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Various positions of increasing responsibility (1993-2000)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White</w:t>
            </w:r>
            <w:r>
              <w:rPr>
                <w:rFonts w:ascii="ARIAL" w:hAnsi="ARIAL"/>
                <w:color w:val="0054BA"/>
                <w:sz w:val="18"/>
              </w:rPr>
              <w:t> </w:t>
            </w:r>
            <w:r>
              <w:rPr>
                <w:rFonts w:ascii="ARIAL" w:hAnsi="ARIAL"/>
                <w:b/>
                <w:color w:val="0054BA"/>
                <w:sz w:val="18"/>
              </w:rPr>
              <w:t xml:space="preserve">&amp; Case LLP </w:t>
            </w:r>
            <w:r>
              <w:rPr>
                <w:rFonts w:ascii="ARIAL" w:hAnsi="ARIAL"/>
                <w:sz w:val="18"/>
              </w:rPr>
              <w:t>– a global law firm</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Associate (1986-1993)</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51"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2" descr=""/>
                          <pic:cNvPicPr>
                            <a:picLocks noChangeAspect="1" noChangeArrowheads="1"/>
                          </pic:cNvPicPr>
                        </pic:nvPicPr>
                        <pic:blipFill>
                          <a:blip r:embed="rId24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19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95"/>
        <w:gridCol w:w="23"/>
        <w:gridCol w:w="23"/>
        <w:gridCol w:w="23"/>
        <w:gridCol w:w="23"/>
        <w:gridCol w:w="23"/>
        <w:gridCol w:w="23"/>
        <w:gridCol w:w="6572"/>
      </w:tblGrid>
      <w:tr>
        <w:trPr/>
        <w:tc>
          <w:tcPr>
            <w:tcW w:w="34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72" w:type="dxa"/>
            <w:tcBorders/>
            <w:vAlign w:val="center"/>
          </w:tcPr>
          <w:p>
            <w:pPr>
              <w:pStyle w:val="TableContents"/>
              <w:bidi w:val="0"/>
              <w:spacing w:before="0" w:after="283"/>
              <w:jc w:val="left"/>
              <w:rPr>
                <w:sz w:val="4"/>
                <w:szCs w:val="4"/>
              </w:rPr>
            </w:pPr>
            <w:r>
              <w:rPr>
                <w:sz w:val="4"/>
                <w:szCs w:val="4"/>
              </w:rPr>
            </w:r>
          </w:p>
        </w:tc>
      </w:tr>
      <w:tr>
        <w:trPr/>
        <w:tc>
          <w:tcPr>
            <w:tcW w:w="3495" w:type="dxa"/>
            <w:tcBorders/>
            <w:vAlign w:val="center"/>
          </w:tcPr>
          <w:p>
            <w:pPr>
              <w:pStyle w:val="TableContents"/>
              <w:bidi w:val="0"/>
              <w:spacing w:before="0" w:after="0"/>
              <w:jc w:val="left"/>
              <w:rPr/>
            </w:pPr>
            <w:r>
              <w:rPr/>
              <w:drawing>
                <wp:inline distT="0" distB="0" distL="0" distR="0">
                  <wp:extent cx="2080260" cy="2080260"/>
                  <wp:effectExtent l="0" t="0" r="0" b="0"/>
                  <wp:docPr id="252"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33" descr=""/>
                          <pic:cNvPicPr>
                            <a:picLocks noChangeAspect="1" noChangeArrowheads="1"/>
                          </pic:cNvPicPr>
                        </pic:nvPicPr>
                        <pic:blipFill>
                          <a:blip r:embed="rId243"/>
                          <a:stretch>
                            <a:fillRect/>
                          </a:stretch>
                        </pic:blipFill>
                        <pic:spPr bwMode="auto">
                          <a:xfrm>
                            <a:off x="0" y="0"/>
                            <a:ext cx="2080260" cy="20802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4BA"/>
                <w:sz w:val="36"/>
              </w:rPr>
            </w:pPr>
            <w:r>
              <w:rPr>
                <w:rFonts w:ascii="ARIAL" w:hAnsi="ARIAL"/>
                <w:b/>
                <w:color w:val="0054BA"/>
                <w:sz w:val="36"/>
              </w:rPr>
              <w:t>John L. Berisford</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Director Since:</w:t>
            </w:r>
            <w:r>
              <w:rPr>
                <w:rFonts w:ascii="ARIAL" w:hAnsi="ARIAL"/>
                <w:sz w:val="18"/>
              </w:rPr>
              <w:t xml:space="preserve"> 2025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Age: </w:t>
            </w:r>
            <w:r>
              <w:rPr>
                <w:rFonts w:ascii="ARIAL" w:hAnsi="ARIAL"/>
                <w:sz w:val="18"/>
              </w:rPr>
              <w:t>62</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Other Public Company</w:t>
            </w:r>
          </w:p>
          <w:p>
            <w:pPr>
              <w:pStyle w:val="TableContents"/>
              <w:bidi w:val="0"/>
              <w:spacing w:before="0" w:after="0"/>
              <w:jc w:val="left"/>
              <w:rPr>
                <w:rFonts w:ascii="ARIAL" w:hAnsi="ARIAL"/>
                <w:b/>
                <w:color w:val="0054BA"/>
                <w:sz w:val="18"/>
              </w:rPr>
            </w:pPr>
            <w:r>
              <w:rPr>
                <w:rFonts w:ascii="ARIAL" w:hAnsi="ARIAL"/>
                <w:b/>
                <w:color w:val="0054BA"/>
                <w:sz w:val="18"/>
              </w:rPr>
              <w:t>Directorships (past five years):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Heidrick &amp; Struggles International, Inc.</w:t>
              <w:br/>
              <w:t>(former Nasdaq: HSII) (2023-2025)</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CRISIL Ltd. (NSE: CRISIL) (2016-2023)</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Education: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 Political Science, West Liberty University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 Labor and Industrial Relations, West Virginia University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572" w:type="dxa"/>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REASONS FOR NOMINATION</w:t>
            </w:r>
          </w:p>
          <w:p>
            <w:pPr>
              <w:pStyle w:val="TableContents"/>
              <w:bidi w:val="0"/>
              <w:spacing w:before="0" w:after="0"/>
              <w:jc w:val="left"/>
              <w:rPr>
                <w:rFonts w:ascii="ARIAL" w:hAnsi="ARIAL"/>
                <w:sz w:val="18"/>
              </w:rPr>
            </w:pPr>
            <w:r>
              <w:rPr>
                <w:rFonts w:ascii="ARIAL" w:hAnsi="ARIAL"/>
                <w:sz w:val="18"/>
              </w:rPr>
              <w:t>John Berisford’s career spans senior leadership roles in global information services enterprises operating at scale. He has led high-margin, subscription-based businesses built on proprietary data and analytics, offering relevant perspective on CoStar Group’s data-centric platform and recurring-revenue growth model. His experience in enterprise transformation and integration execution, human capital strategy, and risk management supports effective oversight of disciplined growth and long-term stockholder value creation.</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SKILLS AND QUALIFICATIONS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Legal, Public Policy, and Regulatory:</w:t>
            </w:r>
            <w:r>
              <w:rPr>
                <w:rFonts w:ascii="ARIAL" w:hAnsi="ARIAL"/>
              </w:rPr>
              <w:t xml:space="preserve"> As President of S&amp;P Global Ratings, Mr. Berisford led the company’s flagship business, representing more than 50% of total profit, through a period of growth, transformation, and global expansion, including expanding the credit ratings business into China’s market. He has established extensive trusted relationships with 28 global credit rating regulators, providing relevant experience navigating complex regulatory frameworks across multiple jurisdictions.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Business Development and M&amp;A:</w:t>
            </w:r>
            <w:r>
              <w:rPr>
                <w:rFonts w:ascii="ARIAL" w:hAnsi="ARIAL"/>
              </w:rPr>
              <w:t xml:space="preserve"> At S&amp;P Global, Mr. Berisford was instrumental in creating and executing the company’s growth strategy following the sale of McGraw Hill Education, helping lead its evolution from a diversified publishing and media conglomerate into a focused global information services provider with best-in-class data and analytics. As President of S&amp;P Global Ratings, he led the company’s Integration Management Office following the merger with IHS Markit, overseeing large-scale integration initiatives. Earlier in his career, he helped lead the integration of the Pepsi Bottling Group into PepsiCo, bringing experience in executing complex corporate transactions and enterprise-wide strategic initiatives.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Talent Management and Executive Compensation:</w:t>
            </w:r>
            <w:r>
              <w:rPr>
                <w:rFonts w:ascii="ARIAL" w:hAnsi="ARIAL"/>
              </w:rPr>
              <w:t xml:space="preserve"> Mr. Berisford brings deep human capital leadership experience from serving as Executive Vice President of Human Resources at S&amp;P Global and from his 22-year tenure at PepsiCo, including as Chief Human Resources Officer of the Pepsi Bottling Group. His background supports effective Board oversight of executive compensation, succession planning, and leadership development.</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CAREER HIGHLIGHTS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S&amp;P Global, Inc. (NYSE: SPGI)</w:t>
            </w:r>
            <w:r>
              <w:rPr>
                <w:rFonts w:ascii="ARIAL" w:hAnsi="ARIAL"/>
                <w:sz w:val="18"/>
              </w:rPr>
              <w:t xml:space="preserve"> – a global provider of credit ratings, benchmarks, analytics, and data to the capital and commodity markets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President, S&amp;P Global Ratings (2015-2022)</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Vice President, Human Resources (2014- 2015)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McGraw Hill Companies (now S&amp;P Global, Inc.)</w:t>
            </w:r>
            <w:r>
              <w:rPr>
                <w:rFonts w:ascii="ARIAL" w:hAnsi="ARIAL"/>
                <w:sz w:val="18"/>
              </w:rPr>
              <w:t xml:space="preserve"> – a publishing and financial information services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Vice President, Human Resources (2011-2014)</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PepsiCo, Inc. (Nasdaq: PEP)</w:t>
            </w:r>
            <w:r>
              <w:rPr>
                <w:rFonts w:ascii="ARIAL" w:hAnsi="ARIAL"/>
                <w:sz w:val="18"/>
              </w:rPr>
              <w:t xml:space="preserve"> – a global food and beverage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Human Resources Officer, Pepsi Bottling Group (2005-2011)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Various positions within human resources of increasing responsibility (1989-2005)</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5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4" descr=""/>
                          <pic:cNvPicPr>
                            <a:picLocks noChangeAspect="1" noChangeArrowheads="1"/>
                          </pic:cNvPicPr>
                        </pic:nvPicPr>
                        <pic:blipFill>
                          <a:blip r:embed="rId24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35"/>
        <w:gridCol w:w="23"/>
        <w:gridCol w:w="23"/>
        <w:gridCol w:w="23"/>
        <w:gridCol w:w="23"/>
        <w:gridCol w:w="23"/>
        <w:gridCol w:w="23"/>
        <w:gridCol w:w="6732"/>
      </w:tblGrid>
      <w:tr>
        <w:trPr/>
        <w:tc>
          <w:tcPr>
            <w:tcW w:w="33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32"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0"/>
              <w:jc w:val="left"/>
              <w:rPr/>
            </w:pPr>
            <w:r>
              <w:rPr/>
              <w:drawing>
                <wp:inline distT="0" distB="0" distL="0" distR="0">
                  <wp:extent cx="2080260" cy="2080260"/>
                  <wp:effectExtent l="0" t="0" r="0" b="0"/>
                  <wp:docPr id="25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5" descr=""/>
                          <pic:cNvPicPr>
                            <a:picLocks noChangeAspect="1" noChangeArrowheads="1"/>
                          </pic:cNvPicPr>
                        </pic:nvPicPr>
                        <pic:blipFill>
                          <a:blip r:embed="rId245"/>
                          <a:stretch>
                            <a:fillRect/>
                          </a:stretch>
                        </pic:blipFill>
                        <pic:spPr bwMode="auto">
                          <a:xfrm>
                            <a:off x="0" y="0"/>
                            <a:ext cx="2080260" cy="20802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4BA"/>
                <w:sz w:val="36"/>
              </w:rPr>
            </w:pPr>
            <w:r>
              <w:rPr>
                <w:rFonts w:ascii="ARIAL" w:hAnsi="ARIAL"/>
                <w:b/>
                <w:color w:val="0054BA"/>
                <w:sz w:val="36"/>
              </w:rPr>
              <w:t>Angelique G. Brunner</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Director Since:</w:t>
            </w:r>
            <w:r>
              <w:rPr>
                <w:rFonts w:ascii="ARIAL" w:hAnsi="ARIAL"/>
                <w:sz w:val="18"/>
              </w:rPr>
              <w:t xml:space="preserve"> 2023</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Age: </w:t>
            </w:r>
            <w:r>
              <w:rPr>
                <w:rFonts w:ascii="ARIAL" w:hAnsi="ARIAL"/>
                <w:sz w:val="18"/>
              </w:rPr>
              <w:t>54</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Other Public Company</w:t>
            </w:r>
          </w:p>
          <w:p>
            <w:pPr>
              <w:pStyle w:val="TableContents"/>
              <w:bidi w:val="0"/>
              <w:spacing w:before="0" w:after="0"/>
              <w:jc w:val="left"/>
              <w:rPr>
                <w:rFonts w:ascii="ARIAL" w:hAnsi="ARIAL"/>
                <w:b/>
                <w:color w:val="0054BA"/>
                <w:sz w:val="18"/>
              </w:rPr>
            </w:pPr>
            <w:r>
              <w:rPr>
                <w:rFonts w:ascii="ARIAL" w:hAnsi="ARIAL"/>
                <w:b/>
                <w:color w:val="0054BA"/>
                <w:sz w:val="18"/>
              </w:rPr>
              <w:t>Directorships (past five years):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Cushman &amp; Wakefield Ltd</w:t>
              <w:br/>
              <w:t>(NYSE: CWK) (2020-2023)</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Education: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 Public Policy, Brown University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M.P.A., Princeton University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732" w:type="dxa"/>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REASONS FOR NOMINATION</w:t>
            </w:r>
          </w:p>
          <w:p>
            <w:pPr>
              <w:pStyle w:val="TableContents"/>
              <w:bidi w:val="0"/>
              <w:spacing w:before="0" w:after="0"/>
              <w:jc w:val="left"/>
              <w:rPr>
                <w:rFonts w:ascii="ARIAL" w:hAnsi="ARIAL"/>
                <w:sz w:val="18"/>
              </w:rPr>
            </w:pPr>
            <w:r>
              <w:rPr>
                <w:rFonts w:ascii="ARIAL" w:hAnsi="ARIAL"/>
                <w:sz w:val="18"/>
              </w:rPr>
              <w:t>Angelique Brunner brings over 25 years of experience across finance, commercial real estate, and global capital markets. She has structured and deployed capital for large-scale real estate development projects while working extensively with international investors and navigating complex regulatory environments. Her experience in commercial real estate finance, cross-border capital flows, and market dynamics supports the Board’s oversight of CoStar Group’s development and expansion in existing and adjacent markets and position in capital markets.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SKILLS AND QUALIFICATIONS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Industry / Commercial Real Estate:</w:t>
            </w:r>
            <w:r>
              <w:rPr>
                <w:rFonts w:ascii="ARIAL" w:hAnsi="ARIAL"/>
              </w:rPr>
              <w:t xml:space="preserve"> As Founder and Chief Executive Officer of EB5 Capital, Ms. Brunner oversees the development and management of approximately $1 billion in assets across more than 30 U.S. real estate development projects spanning multifamily, hospitality, mixed-use, and other commercial asset classes. She leads the firm’s commercial real estate investments, including deal origination, investor engagement, and strategic execution. During her tenure at Fannie Mae and other companies, she completed more than $3 billion in debt and equity transactions, gaining insight into housing finance, capital structures, and real estate market fundamentals.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Global Business:</w:t>
            </w:r>
            <w:r>
              <w:rPr>
                <w:rFonts w:ascii="ARIAL" w:hAnsi="ARIAL"/>
              </w:rPr>
              <w:t xml:space="preserve"> Ms. Brunner has worked with more than 1,900 clients across 75 countries, structuring cross-border investments in U.S. real estate projects. Her experience provides perspective on international investor considerations and market dynamics influencing real estate markets. She received a presidential appointment to the U.S. Trade Representative’s Trade Advisory Committee on Africa.</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Legal, Public Policy, and Regulatory:</w:t>
            </w:r>
            <w:r>
              <w:rPr>
                <w:rFonts w:ascii="ARIAL" w:hAnsi="ARIAL"/>
              </w:rPr>
              <w:t xml:space="preserve"> Ms. Brunner brings extensive experience navigating complex federal regulatory frameworks and alternative financing structures in support of economic development initiatives. Her background provides insight into legislative and foreign investment policy affecting real estate development and international capital formation. Ms. Brunner maintains active engagement with leading real estate and business organizations, including the Urban Land Institute and the Real Estate Executive Council, providing ongoing exposure to commercial real estate market trends, institutional capital perspectives, and industry leadership dialogue.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CAREER HIGHLIGHTS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EB5 Capital</w:t>
            </w:r>
            <w:r>
              <w:rPr>
                <w:rFonts w:ascii="ARIAL" w:hAnsi="ARIAL"/>
                <w:sz w:val="18"/>
              </w:rPr>
              <w:t xml:space="preserve"> – a commercial real estate investment firm</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Founder and Chief Executive Officer (since 2008)</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Federal National Mortgage Association (“Fannie Mae”) (OTCMKTS: FNMA)</w:t>
            </w:r>
            <w:r>
              <w:rPr>
                <w:rFonts w:ascii="ARIAL" w:hAnsi="ARIAL"/>
                <w:sz w:val="18"/>
              </w:rPr>
              <w:t xml:space="preserve"> – a government-sponsored enterprise providing financing to the U.S. housing market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Senior Business Manager (2006-2008)</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Neighborhood Development Company</w:t>
            </w:r>
            <w:r>
              <w:rPr>
                <w:rFonts w:ascii="ARIAL" w:hAnsi="ARIAL"/>
                <w:sz w:val="18"/>
              </w:rPr>
              <w:t xml:space="preserve"> – a Washington, D.C.– based real estate development firm focused on urban infill and mixed-use projects in emerging neighborhoods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Vice President for Finance (2004-2006)</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5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6" descr=""/>
                          <pic:cNvPicPr>
                            <a:picLocks noChangeAspect="1" noChangeArrowheads="1"/>
                          </pic:cNvPicPr>
                        </pic:nvPicPr>
                        <pic:blipFill>
                          <a:blip r:embed="rId24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91"/>
        <w:gridCol w:w="23"/>
        <w:gridCol w:w="23"/>
        <w:gridCol w:w="23"/>
        <w:gridCol w:w="23"/>
        <w:gridCol w:w="23"/>
        <w:gridCol w:w="23"/>
        <w:gridCol w:w="6576"/>
      </w:tblGrid>
      <w:tr>
        <w:trPr/>
        <w:tc>
          <w:tcPr>
            <w:tcW w:w="349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76" w:type="dxa"/>
            <w:tcBorders/>
            <w:vAlign w:val="center"/>
          </w:tcPr>
          <w:p>
            <w:pPr>
              <w:pStyle w:val="TableContents"/>
              <w:bidi w:val="0"/>
              <w:spacing w:before="0" w:after="283"/>
              <w:jc w:val="left"/>
              <w:rPr>
                <w:sz w:val="4"/>
                <w:szCs w:val="4"/>
              </w:rPr>
            </w:pPr>
            <w:r>
              <w:rPr>
                <w:sz w:val="4"/>
                <w:szCs w:val="4"/>
              </w:rPr>
            </w:r>
          </w:p>
        </w:tc>
      </w:tr>
      <w:tr>
        <w:trPr/>
        <w:tc>
          <w:tcPr>
            <w:tcW w:w="3491" w:type="dxa"/>
            <w:tcBorders/>
            <w:vAlign w:val="center"/>
          </w:tcPr>
          <w:p>
            <w:pPr>
              <w:pStyle w:val="TableContents"/>
              <w:bidi w:val="0"/>
              <w:spacing w:before="0" w:after="0"/>
              <w:jc w:val="left"/>
              <w:rPr/>
            </w:pPr>
            <w:r>
              <w:rPr/>
              <w:drawing>
                <wp:inline distT="0" distB="0" distL="0" distR="0">
                  <wp:extent cx="2080260" cy="2080260"/>
                  <wp:effectExtent l="0" t="0" r="0" b="0"/>
                  <wp:docPr id="256"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7" descr=""/>
                          <pic:cNvPicPr>
                            <a:picLocks noChangeAspect="1" noChangeArrowheads="1"/>
                          </pic:cNvPicPr>
                        </pic:nvPicPr>
                        <pic:blipFill>
                          <a:blip r:embed="rId247"/>
                          <a:stretch>
                            <a:fillRect/>
                          </a:stretch>
                        </pic:blipFill>
                        <pic:spPr bwMode="auto">
                          <a:xfrm>
                            <a:off x="0" y="0"/>
                            <a:ext cx="2080260" cy="20802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4BA"/>
                <w:sz w:val="36"/>
              </w:rPr>
            </w:pPr>
            <w:r>
              <w:rPr>
                <w:rFonts w:ascii="ARIAL" w:hAnsi="ARIAL"/>
                <w:b/>
                <w:color w:val="0054BA"/>
                <w:sz w:val="36"/>
              </w:rPr>
              <w:t>Rachel C. Glaser</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Director Since:</w:t>
            </w:r>
            <w:r>
              <w:rPr>
                <w:rFonts w:ascii="ARIAL" w:hAnsi="ARIAL"/>
                <w:sz w:val="18"/>
              </w:rPr>
              <w:t xml:space="preserve"> 2025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Age: </w:t>
            </w:r>
            <w:r>
              <w:rPr>
                <w:rFonts w:ascii="ARIAL" w:hAnsi="ARIAL"/>
                <w:sz w:val="18"/>
              </w:rPr>
              <w:t>64</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Committees: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Corporate Governance</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Other Public Company Directorships (past five years):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The New York Times Company (NYSE: NYT) (since 2018)</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Education: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 Psychology, University of California, Berkeley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M.B.A., University of Southern California</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576" w:type="dxa"/>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REASONS FOR NOMINATION</w:t>
            </w:r>
          </w:p>
          <w:p>
            <w:pPr>
              <w:pStyle w:val="TableContents"/>
              <w:bidi w:val="0"/>
              <w:spacing w:before="0" w:after="0"/>
              <w:jc w:val="left"/>
              <w:rPr>
                <w:rFonts w:ascii="ARIAL" w:hAnsi="ARIAL"/>
                <w:sz w:val="18"/>
              </w:rPr>
            </w:pPr>
            <w:r>
              <w:rPr>
                <w:rFonts w:ascii="ARIAL" w:hAnsi="ARIAL"/>
                <w:sz w:val="18"/>
              </w:rPr>
              <w:t>Rachel Glaser is a seasoned public company executive with nearly four decades of financial leadership and corporate development experience across global businesses, including marketplace-, subscription-, and ad-based content platforms. She has guided companies through growth and portfolio evolution while overseeing complex financial operations and corporate development initiatives. Her experience shaping business strategy, capital allocation, and investor engagement provides valuable perspective to the CoStar Group Board.</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SKILLS AND QUALIFICATIONS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Financial Accounting and Reporting:</w:t>
            </w:r>
            <w:r>
              <w:rPr>
                <w:rFonts w:ascii="ARIAL" w:hAnsi="ARIAL"/>
              </w:rPr>
              <w:t xml:space="preserve"> As Chief Financial Officer of Etsy, Inc., Leaf Group Ltd., and Move, Inc. (“Move”), Ms. Glaser led global financial operations and oversaw profitable growth strategy, including forecasting and analytics, corporate development, tax and treasury, accounting, SEC reporting, and investor relations. Across her roles, she oversaw capital allocation strategy and balance sheet management, and she led multiple convertible debt offerings and share repurchase programs. During her tenure, Etsy’s consolidated gross merchandise sales increased fourfold and revenue increased sixfold, while the company generated more than $3 billion in net cash from operating activities.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Global Business: </w:t>
            </w:r>
            <w:r>
              <w:rPr>
                <w:rFonts w:ascii="ARIAL" w:hAnsi="ARIAL"/>
              </w:rPr>
              <w:t>Ms. Glaser has deep experience managing the financial and operational complexities, global data, and analytics necessary to scale two-sided global online marketplaces. At Etsy, she helped expand the company’s international multi-brand platform, growing global buyers from 33 million to 96 million and sellers from 2 million to 9 million between 2017 and 2023.</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Business Development and M&amp;A: </w:t>
            </w:r>
            <w:r>
              <w:rPr>
                <w:rFonts w:ascii="ARIAL" w:hAnsi="ARIAL"/>
              </w:rPr>
              <w:t>At Etsy, Ms. Glaser led the $1.625 billion acquisition of Depop in 2021 as part of the company’s multi-brand strategy. Earlier, as Chief Financial Officer of Move, the parent company of Realtor.com, Ms. Glaser helped lead Move’s sale to News Corp in 2014. Her insight into competitive dynamics, monetization models, and data-driven infrastructure supports disciplined evaluation of strategic investments and long-term value creation.</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CAREER HIGHLIGHTS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Etsy, Inc. (NYSE: ETSY) </w:t>
            </w:r>
            <w:r>
              <w:rPr>
                <w:rFonts w:ascii="ARIAL" w:hAnsi="ARIAL"/>
                <w:sz w:val="18"/>
              </w:rPr>
              <w:t>– a global online marketplace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Financial Officer (2017-2025)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Leaf Group Ltd. (former NYSE: LEAF) </w:t>
            </w:r>
            <w:r>
              <w:rPr>
                <w:rFonts w:ascii="ARIAL" w:hAnsi="ARIAL"/>
                <w:sz w:val="18"/>
              </w:rPr>
              <w:t>– a digital media and marketplace operator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Financial Officer (2015-2017)</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Move, Inc.</w:t>
            </w:r>
            <w:r>
              <w:rPr>
                <w:rFonts w:ascii="ARIAL" w:hAnsi="ARIAL"/>
                <w:sz w:val="18"/>
              </w:rPr>
              <w:t xml:space="preserve"> – an operator of online real estate marketplaces, including Realtor.com®</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Financial Officer (2012-2015)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MyLife.com </w:t>
            </w:r>
            <w:r>
              <w:rPr>
                <w:rFonts w:ascii="ARIAL" w:hAnsi="ARIAL"/>
                <w:sz w:val="18"/>
              </w:rPr>
              <w:t>– a subscription-based online background and people search platform</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Operating and Financial Officer (2008-2011)</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Yahoo Inc. </w:t>
            </w:r>
            <w:r>
              <w:rPr>
                <w:rFonts w:ascii="ARIAL" w:hAnsi="ARIAL"/>
                <w:sz w:val="18"/>
              </w:rPr>
              <w:t>– a multinational digital media and technology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Senior Vice President, Finance (2005-2008)</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The Walt Disney Company (NYSE: DIS) </w:t>
            </w:r>
            <w:r>
              <w:rPr>
                <w:rFonts w:ascii="ARIAL" w:hAnsi="ARIAL"/>
                <w:sz w:val="18"/>
              </w:rPr>
              <w:t>– a global media and entertainment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Vice President, Finance and Operations (1992-2005)</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Various positions of increasing responsibility (1986-2005)</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57"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8" descr=""/>
                          <pic:cNvPicPr>
                            <a:picLocks noChangeAspect="1" noChangeArrowheads="1"/>
                          </pic:cNvPicPr>
                        </pic:nvPicPr>
                        <pic:blipFill>
                          <a:blip r:embed="rId24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91"/>
        <w:gridCol w:w="23"/>
        <w:gridCol w:w="23"/>
        <w:gridCol w:w="23"/>
        <w:gridCol w:w="23"/>
        <w:gridCol w:w="23"/>
        <w:gridCol w:w="23"/>
        <w:gridCol w:w="6676"/>
      </w:tblGrid>
      <w:tr>
        <w:trPr/>
        <w:tc>
          <w:tcPr>
            <w:tcW w:w="339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jc w:val="left"/>
              <w:rPr/>
            </w:pPr>
            <w:r>
              <w:rPr/>
              <w:drawing>
                <wp:inline distT="0" distB="0" distL="0" distR="0">
                  <wp:extent cx="2080260" cy="2080260"/>
                  <wp:effectExtent l="0" t="0" r="0" b="0"/>
                  <wp:docPr id="258"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9" descr=""/>
                          <pic:cNvPicPr>
                            <a:picLocks noChangeAspect="1" noChangeArrowheads="1"/>
                          </pic:cNvPicPr>
                        </pic:nvPicPr>
                        <pic:blipFill>
                          <a:blip r:embed="rId249"/>
                          <a:stretch>
                            <a:fillRect/>
                          </a:stretch>
                        </pic:blipFill>
                        <pic:spPr bwMode="auto">
                          <a:xfrm>
                            <a:off x="0" y="0"/>
                            <a:ext cx="2080260" cy="20802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4BA"/>
                <w:sz w:val="36"/>
              </w:rPr>
            </w:pPr>
            <w:r>
              <w:rPr>
                <w:rFonts w:ascii="ARIAL" w:hAnsi="ARIAL"/>
                <w:b/>
                <w:color w:val="0054BA"/>
                <w:sz w:val="36"/>
              </w:rPr>
              <w:t>John W. Hill</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Director Since:</w:t>
            </w:r>
            <w:r>
              <w:rPr>
                <w:rFonts w:ascii="ARIAL" w:hAnsi="ARIAL"/>
                <w:sz w:val="18"/>
              </w:rPr>
              <w:t xml:space="preserve"> 2012</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Age: </w:t>
            </w:r>
            <w:r>
              <w:rPr>
                <w:rFonts w:ascii="ARIAL" w:hAnsi="ARIAL"/>
                <w:sz w:val="18"/>
              </w:rPr>
              <w:t>71</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 xml:space="preserve">Audit </w:t>
            </w:r>
            <w:r>
              <w:rPr>
                <w:rFonts w:ascii="ARIAL" w:hAnsi="ARIAL"/>
                <w:i/>
              </w:rPr>
              <w:t>(Chair)</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Education: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B.S., Accounting, University of Maryland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676" w:type="dxa"/>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REASONS FOR NOMINATION</w:t>
            </w:r>
          </w:p>
          <w:p>
            <w:pPr>
              <w:pStyle w:val="TableContents"/>
              <w:bidi w:val="0"/>
              <w:spacing w:before="0" w:after="0"/>
              <w:jc w:val="left"/>
              <w:rPr>
                <w:rFonts w:ascii="ARIAL" w:hAnsi="ARIAL"/>
                <w:sz w:val="18"/>
              </w:rPr>
            </w:pPr>
            <w:r>
              <w:rPr>
                <w:rFonts w:ascii="ARIAL" w:hAnsi="ARIAL"/>
                <w:sz w:val="18"/>
              </w:rPr>
              <w:t>John Hill offers more than 40 years of experience in accounting, auditing, financial management, and leadership across complex organizations. He has led large-scale financial restructurings, enhanced internal controls, and overseen governance and organizational transformation initiatives. Mr. Hill’s extensive financial expertise supports disciplined Board oversight of financial reporting, enterprise risk management, and long-term financial resiliency.</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SKILLS AND QUALIFICATIONS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Financial Accounting and Reporting:</w:t>
            </w:r>
            <w:r>
              <w:rPr>
                <w:rFonts w:ascii="ARIAL" w:hAnsi="ARIAL"/>
              </w:rPr>
              <w:t xml:space="preserve"> As Chief Financial Officer of the City of Detroit following its bankruptcy, Mr. Hill restructured the City’s financial operations, reduced debt service expenses, and strengthened financial transparency. Under his leadership, Detroit achieved multiple credit rating upgrades, exited federal and state financial oversight for the first time in approximately 40 years, and implemented enhanced budgeting, reporting, and long-term financial planning frameworks.i</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Risk Management: </w:t>
            </w:r>
            <w:r>
              <w:rPr>
                <w:rFonts w:ascii="ARIAL" w:hAnsi="ARIAL"/>
              </w:rPr>
              <w:t>As Detroit’s Chief Financial Officer, Mr. Hill reinforced financial controls, compliance systems, and accountability structures. Through his leadership of J Hill Group, he has advised organizations on strengthening financial management and governance frameworks, including internal control enhancement and risk oversight. His experience supports effective Board oversight of operational, financial, and cybersecurity risk.</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Legal, Public Policy, and Regulatory: </w:t>
            </w:r>
            <w:r>
              <w:rPr>
                <w:rFonts w:ascii="ARIAL" w:hAnsi="ARIAL"/>
              </w:rPr>
              <w:t>Mr. Hill has operated within complex federal, state, and municipal regulatory environments. In his leadership roles in Detroit and previously with the District of Columbia Financial Control Board, he worked within government oversight frameworks to restore fiscal stability and strengthen compliance processes, providing perspective on regulatory risk and governance oversight.</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CAREER HIGHLIGHTS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J Hill Group </w:t>
            </w:r>
            <w:r>
              <w:rPr>
                <w:rFonts w:ascii="ARIAL" w:hAnsi="ARIAL"/>
                <w:sz w:val="18"/>
              </w:rPr>
              <w:t>– a professional services practice focused on operational improvement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Founder and Chief Executive Officer (since 2012)</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City of Detroit, Michigan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Financial Officer (2013-2018)</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Federal City Council </w:t>
            </w:r>
            <w:r>
              <w:rPr>
                <w:rFonts w:ascii="ARIAL" w:hAnsi="ARIAL"/>
                <w:sz w:val="18"/>
              </w:rPr>
              <w:t>– a nonprofit civic leadership organization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Executive Officer (2004-2012)</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In2Books, Inc. </w:t>
            </w:r>
            <w:r>
              <w:rPr>
                <w:rFonts w:ascii="ARIAL" w:hAnsi="ARIAL"/>
                <w:sz w:val="18"/>
              </w:rPr>
              <w:t>– a nonprofit advancing youth literacy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Executive Officer (2002-2004)</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Andersen, LLP </w:t>
            </w:r>
            <w:r>
              <w:rPr>
                <w:rFonts w:ascii="ARIAL" w:hAnsi="ARIAL"/>
                <w:sz w:val="18"/>
              </w:rPr>
              <w:t>– a global tax and advisory firm</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Partner (1999-2002)</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District of Columbia Financial Control Board – </w:t>
            </w:r>
            <w:r>
              <w:rPr>
                <w:rFonts w:ascii="ARIAL" w:hAnsi="ARIAL"/>
                <w:sz w:val="18"/>
              </w:rPr>
              <w:t>an oversight body created by U.S. Congress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Director (1995-1999)</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5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0" descr=""/>
                          <pic:cNvPicPr>
                            <a:picLocks noChangeAspect="1" noChangeArrowheads="1"/>
                          </pic:cNvPicPr>
                        </pic:nvPicPr>
                        <pic:blipFill>
                          <a:blip r:embed="rId25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18"/>
        <w:gridCol w:w="23"/>
        <w:gridCol w:w="23"/>
        <w:gridCol w:w="23"/>
        <w:gridCol w:w="23"/>
        <w:gridCol w:w="23"/>
        <w:gridCol w:w="23"/>
        <w:gridCol w:w="6549"/>
      </w:tblGrid>
      <w:tr>
        <w:trPr/>
        <w:tc>
          <w:tcPr>
            <w:tcW w:w="351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49" w:type="dxa"/>
            <w:tcBorders/>
            <w:vAlign w:val="center"/>
          </w:tcPr>
          <w:p>
            <w:pPr>
              <w:pStyle w:val="TableContents"/>
              <w:bidi w:val="0"/>
              <w:spacing w:before="0" w:after="283"/>
              <w:jc w:val="left"/>
              <w:rPr>
                <w:sz w:val="4"/>
                <w:szCs w:val="4"/>
              </w:rPr>
            </w:pPr>
            <w:r>
              <w:rPr>
                <w:sz w:val="4"/>
                <w:szCs w:val="4"/>
              </w:rPr>
            </w:r>
          </w:p>
        </w:tc>
      </w:tr>
      <w:tr>
        <w:trPr/>
        <w:tc>
          <w:tcPr>
            <w:tcW w:w="3518" w:type="dxa"/>
            <w:tcBorders/>
            <w:vAlign w:val="center"/>
          </w:tcPr>
          <w:p>
            <w:pPr>
              <w:pStyle w:val="TableContents"/>
              <w:bidi w:val="0"/>
              <w:spacing w:before="0" w:after="0"/>
              <w:jc w:val="left"/>
              <w:rPr/>
            </w:pPr>
            <w:r>
              <w:rPr/>
              <w:drawing>
                <wp:inline distT="0" distB="0" distL="0" distR="0">
                  <wp:extent cx="2080260" cy="2080260"/>
                  <wp:effectExtent l="0" t="0" r="0" b="0"/>
                  <wp:docPr id="26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1" descr=""/>
                          <pic:cNvPicPr>
                            <a:picLocks noChangeAspect="1" noChangeArrowheads="1"/>
                          </pic:cNvPicPr>
                        </pic:nvPicPr>
                        <pic:blipFill>
                          <a:blip r:embed="rId251"/>
                          <a:stretch>
                            <a:fillRect/>
                          </a:stretch>
                        </pic:blipFill>
                        <pic:spPr bwMode="auto">
                          <a:xfrm>
                            <a:off x="0" y="0"/>
                            <a:ext cx="2080260" cy="20802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4BA"/>
                <w:sz w:val="36"/>
              </w:rPr>
            </w:pPr>
            <w:r>
              <w:rPr>
                <w:rFonts w:ascii="ARIAL" w:hAnsi="ARIAL"/>
                <w:b/>
                <w:color w:val="0054BA"/>
                <w:sz w:val="36"/>
              </w:rPr>
              <w:t>Christine M. McCarthy</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Director Since:</w:t>
            </w:r>
            <w:r>
              <w:rPr>
                <w:rFonts w:ascii="ARIAL" w:hAnsi="ARIAL"/>
                <w:sz w:val="18"/>
              </w:rPr>
              <w:t xml:space="preserve"> 2025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Age: </w:t>
            </w:r>
            <w:r>
              <w:rPr>
                <w:rFonts w:ascii="ARIAL" w:hAnsi="ARIAL"/>
                <w:sz w:val="18"/>
              </w:rPr>
              <w:t>70</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and Corporate Governance</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Other Public Company Directorships (past five years):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Flutter Entertainment PLC (NYSE: FLUT) (since 2024)</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Procter &amp; Gamble Co (NYSE: PG) (since 2019)</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Education: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 Biology, Smith College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M.B.A., University of California, Los Angeles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549" w:type="dxa"/>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REASONS FOR NOMINATION</w:t>
            </w:r>
          </w:p>
          <w:p>
            <w:pPr>
              <w:pStyle w:val="TableContents"/>
              <w:bidi w:val="0"/>
              <w:spacing w:before="0" w:after="0"/>
              <w:jc w:val="left"/>
              <w:rPr>
                <w:rFonts w:ascii="ARIAL" w:hAnsi="ARIAL"/>
                <w:sz w:val="18"/>
              </w:rPr>
            </w:pPr>
            <w:r>
              <w:rPr>
                <w:rFonts w:ascii="ARIAL" w:hAnsi="ARIAL"/>
                <w:sz w:val="18"/>
              </w:rPr>
              <w:t>Christine McCarthy is a seasoned corporate finance executive with more than 30 years of leadership experience in complex global organizations. She has guided financial strategy and capital deployment through periods of significant transformation. Her experience overseeing global real estate portfolios, large-scale transactions, and enterprise technology governance provides valuable perspective for a data-driven business focused on disciplined growth and sustainable financial performance.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SKILLS AND QUALIFICATIONS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Financial Accounting and Reporting:</w:t>
            </w:r>
            <w:r>
              <w:rPr>
                <w:rFonts w:ascii="ARIAL" w:hAnsi="ARIAL"/>
              </w:rPr>
              <w:t xml:space="preserve"> As Executive Vice President and Chief Financial Officer of The Walt Disney Company</w:t>
            </w:r>
            <w:r>
              <w:rPr>
                <w:rFonts w:ascii="ARIAL" w:hAnsi="ARIAL"/>
                <w:b/>
              </w:rPr>
              <w:t xml:space="preserve">, </w:t>
            </w:r>
            <w:r>
              <w:rPr>
                <w:rFonts w:ascii="ARIAL" w:hAnsi="ARIAL"/>
              </w:rPr>
              <w:t>Ms. McCarthy led Disney’s global finance organization, overseeing financial planning and analysis, tax, treasury, cybersecurity and risk management. She guided financial operations through a period of significant strategic transformation, maintaining disciplined capital deployment and delivering annual revenue growth from $52.5 billion to over $82 billion during her tenure.</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Industry / Commercial Real Estate:</w:t>
            </w:r>
            <w:r>
              <w:rPr>
                <w:rFonts w:ascii="ARIAL" w:hAnsi="ARIAL"/>
              </w:rPr>
              <w:t xml:space="preserve"> In prior roles, Ms. McCarthy led Disney’s global corporate real estate function, overseeing portfolio strategy, facilities, and strategic capital investment decisions across the company’s international asset base. Her experience evaluating real estate investments, optimizing asset utilization, and aligning real estate strategy with business objectives offers insight into enterprise-level real estate economics relevant to CoStar Group.</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 xml:space="preserve">Business Development and M&amp;A: </w:t>
            </w:r>
            <w:r>
              <w:rPr>
                <w:rFonts w:ascii="ARIAL" w:hAnsi="ARIAL"/>
              </w:rPr>
              <w:t>She was a core member of Disney’s acquisition teams for more than 20 years and worked on and led significant international transactions. As Chief Financial Officer at Disney, she oversaw the $71 billion acquisition of 21st Century Fox in 2019. She also guided Disney Accelerator, the business development program designed to identify innovative technologies and business concepts to expand the breadth of the company’s portfolio of experiences.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CAREER HIGHLIGHTS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The Walt Disney Company (NYSE: DIS) </w:t>
            </w:r>
            <w:r>
              <w:rPr>
                <w:rFonts w:ascii="ARIAL" w:hAnsi="ARIAL"/>
                <w:sz w:val="18"/>
              </w:rPr>
              <w:t>(“Disney”) – a global media and entertainment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Vice President and Chief Financial Officer (2015-2023)</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Senior Executive Vice President, Corporate Real Estate, Alliances &amp; Treasurer (2000-2015)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Imperial Bancorp </w:t>
            </w:r>
            <w:r>
              <w:rPr>
                <w:rFonts w:ascii="ARIAL" w:hAnsi="ARIAL"/>
                <w:sz w:val="18"/>
              </w:rPr>
              <w:t>– a bank holding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Vice President and Chief Financial Officer (1997-1999)</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First Interstate Bancorp </w:t>
            </w:r>
            <w:r>
              <w:rPr>
                <w:rFonts w:ascii="ARIAL" w:hAnsi="ARIAL"/>
                <w:sz w:val="18"/>
              </w:rPr>
              <w:t>– a bank holding company (1981-1996)</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Vice President &amp; Chief Financial Officer (1993-1996)</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61"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2" descr=""/>
                          <pic:cNvPicPr>
                            <a:picLocks noChangeAspect="1" noChangeArrowheads="1"/>
                          </pic:cNvPicPr>
                        </pic:nvPicPr>
                        <pic:blipFill>
                          <a:blip r:embed="rId25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50"/>
        <w:gridCol w:w="23"/>
        <w:gridCol w:w="23"/>
        <w:gridCol w:w="23"/>
        <w:gridCol w:w="23"/>
        <w:gridCol w:w="23"/>
        <w:gridCol w:w="23"/>
        <w:gridCol w:w="6617"/>
      </w:tblGrid>
      <w:tr>
        <w:trPr/>
        <w:tc>
          <w:tcPr>
            <w:tcW w:w="34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617" w:type="dxa"/>
            <w:tcBorders/>
            <w:vAlign w:val="center"/>
          </w:tcPr>
          <w:p>
            <w:pPr>
              <w:pStyle w:val="TableContents"/>
              <w:bidi w:val="0"/>
              <w:spacing w:before="0" w:after="283"/>
              <w:jc w:val="left"/>
              <w:rPr>
                <w:sz w:val="4"/>
                <w:szCs w:val="4"/>
              </w:rPr>
            </w:pPr>
            <w:r>
              <w:rPr>
                <w:sz w:val="4"/>
                <w:szCs w:val="4"/>
              </w:rPr>
            </w:r>
          </w:p>
        </w:tc>
      </w:tr>
      <w:tr>
        <w:trPr/>
        <w:tc>
          <w:tcPr>
            <w:tcW w:w="3450" w:type="dxa"/>
            <w:tcBorders/>
            <w:vAlign w:val="center"/>
          </w:tcPr>
          <w:p>
            <w:pPr>
              <w:pStyle w:val="TableContents"/>
              <w:bidi w:val="0"/>
              <w:spacing w:before="0" w:after="0"/>
              <w:jc w:val="left"/>
              <w:rPr/>
            </w:pPr>
            <w:r>
              <w:rPr/>
              <w:drawing>
                <wp:inline distT="0" distB="0" distL="0" distR="0">
                  <wp:extent cx="2080260" cy="2080260"/>
                  <wp:effectExtent l="0" t="0" r="0" b="0"/>
                  <wp:docPr id="262"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43" descr=""/>
                          <pic:cNvPicPr>
                            <a:picLocks noChangeAspect="1" noChangeArrowheads="1"/>
                          </pic:cNvPicPr>
                        </pic:nvPicPr>
                        <pic:blipFill>
                          <a:blip r:embed="rId253"/>
                          <a:stretch>
                            <a:fillRect/>
                          </a:stretch>
                        </pic:blipFill>
                        <pic:spPr bwMode="auto">
                          <a:xfrm>
                            <a:off x="0" y="0"/>
                            <a:ext cx="2080260" cy="20802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4BA"/>
                <w:sz w:val="36"/>
              </w:rPr>
            </w:pPr>
            <w:r>
              <w:rPr>
                <w:rFonts w:ascii="ARIAL" w:hAnsi="ARIAL"/>
                <w:b/>
                <w:color w:val="0054BA"/>
                <w:sz w:val="36"/>
              </w:rPr>
              <w:t>Robert W. Musslewhite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Director Since:</w:t>
            </w:r>
            <w:r>
              <w:rPr>
                <w:rFonts w:ascii="ARIAL" w:hAnsi="ARIAL"/>
                <w:sz w:val="18"/>
              </w:rPr>
              <w:t xml:space="preserve"> 2019</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Age: </w:t>
            </w:r>
            <w:r>
              <w:rPr>
                <w:rFonts w:ascii="ARIAL" w:hAnsi="ARIAL"/>
                <w:sz w:val="18"/>
              </w:rPr>
              <w:t>56</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Committee: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 xml:space="preserve">Compensation </w:t>
            </w:r>
            <w:r>
              <w:rPr>
                <w:rFonts w:ascii="ARIAL" w:hAnsi="ARIAL"/>
                <w:i/>
              </w:rPr>
              <w:t>(Chair)</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Other Public Company Directorships (past five years):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Cardinal Health Inc (NYSE: CAH) (since 2025)</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Definitive Healthcare Corp. (Nasdaq: DH) (2021-2024)</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Education: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B.A., Economics, Princeton University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J.D., Harvard Law School</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617" w:type="dxa"/>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REASONS FOR NOMINATION</w:t>
            </w:r>
          </w:p>
          <w:p>
            <w:pPr>
              <w:pStyle w:val="TableContents"/>
              <w:bidi w:val="0"/>
              <w:spacing w:before="0" w:after="0"/>
              <w:jc w:val="left"/>
              <w:rPr>
                <w:rFonts w:ascii="ARIAL" w:hAnsi="ARIAL"/>
                <w:sz w:val="18"/>
              </w:rPr>
            </w:pPr>
            <w:r>
              <w:rPr>
                <w:rFonts w:ascii="ARIAL" w:hAnsi="ARIAL"/>
                <w:sz w:val="18"/>
              </w:rPr>
              <w:t>Robert Musslewhite is an experienced public company chief executive with a strong track record of leading subscription-based and analytics-driven businesses. He has scaled SaaS and analytics platforms, executed strategic transactions, and integrated technology-enabled businesses in highly competitive markets. His expertise in capital allocation and enterprise risk oversight provides valuable perspective as CoStar Group continues to scale its global digital real estate ecosystem and expand its data, analytics, and AI capabilities.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SKILLS AND QUALIFICATIONS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Marketing and Sales:</w:t>
            </w:r>
            <w:r>
              <w:rPr>
                <w:rFonts w:ascii="ARIAL" w:hAnsi="ARIAL"/>
              </w:rPr>
              <w:t xml:space="preserve"> Mr. Musslewhite has extensive experience leading commercial organizations and driving sustained revenue growth in subscription-based businesses. As Chief Executive Officer of Definitive Healthcare, he directed global go-to-market initiatives, sharpened market positioning, and expanded recurring revenue through focused customer acquisition and account development strategies. At The Advisory Board Company, he accelerated top-line growth from approximately $200 million to $800 million by scaling a research, analytics, and technology-enabled services model and broadening the company’s client base.</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Business Development and M&amp;A:</w:t>
            </w:r>
            <w:r>
              <w:rPr>
                <w:rFonts w:ascii="ARIAL" w:hAnsi="ARIAL"/>
              </w:rPr>
              <w:t xml:space="preserve"> As Chief Executive Officer of OptumInsight, Optum’s $19 billion publicly reported business unit, Mr. Musslewhite led numerous health care technology and services acquisitions, most notably the $13 billion acquisition of Change Healthcare. As Chief Executive Officer of The Advisory Board Company, Mr. Musslewhite evaluated strategic alternatives and led significant transactions, including the $1.3 billion sale of its healthcare business to Optum and the $1.5 billion sale of its education business to Vista Equity Partners. He also led the founding of Evolent Health within the Advisory Board, ultimately launching its IPO into a public company (EVH).</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b/>
                <w:color w:val="0054BA"/>
              </w:rPr>
              <w:t>Risk Management:</w:t>
            </w:r>
            <w:r>
              <w:rPr>
                <w:rFonts w:ascii="ARIAL" w:hAnsi="ARIAL"/>
              </w:rPr>
              <w:t xml:space="preserve"> Across senior leadership roles at Definitive Healthcare, OptumInsight, and The Advisory Board Company, Mr. Musslewhite oversaw complex, data-intensive businesses operating in highly regulated environments. He managed operational, technology, data privacy, and strategic risks while scaling SaaS-oriented and service-based platforms.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CAREER HIGHLIGHTS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Definitive Healthcare Corp. (Nasdaq: DH) </w:t>
            </w:r>
            <w:r>
              <w:rPr>
                <w:rFonts w:ascii="ARIAL" w:hAnsi="ARIAL"/>
                <w:sz w:val="18"/>
              </w:rPr>
              <w:t>– a healthcare data and analytics company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Executive Officer (2022-2024)</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President (2021-2022)</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Optum </w:t>
            </w:r>
            <w:r>
              <w:rPr>
                <w:rFonts w:ascii="ARIAL" w:hAnsi="ARIAL"/>
                <w:sz w:val="18"/>
              </w:rPr>
              <w:t>– a health services and technology division of UnitedHealth Group</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Executive Officer, OptumInsight (2019-2021)</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Executive Officer, Optum360 (2019)</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Various other Chief Executive positions (2017-2019)</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 xml:space="preserve">The Advisory Board Company (former Nasdaq: ABCO, acquired by Optum in 2017) </w:t>
            </w:r>
            <w:r>
              <w:rPr>
                <w:rFonts w:ascii="ARIAL" w:hAnsi="ARIAL"/>
                <w:sz w:val="18"/>
              </w:rPr>
              <w:t>– a healthcare research, consulting, and technology firm</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Chairman and Chief Executive Officer (2013-2017)</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Chief Executive Officer (2008-2017)</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54BA"/>
                <w:sz w:val="18"/>
              </w:rPr>
              <w:t>McKinsey and Company</w:t>
            </w:r>
            <w:r>
              <w:rPr>
                <w:rFonts w:ascii="ARIAL" w:hAnsi="ARIAL"/>
                <w:sz w:val="18"/>
              </w:rPr>
              <w:t xml:space="preserve"> – a premier global management consulting firm</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Associate Principal (2001-2008)</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63"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4" descr=""/>
                          <pic:cNvPicPr>
                            <a:picLocks noChangeAspect="1" noChangeArrowheads="1"/>
                          </pic:cNvPicPr>
                        </pic:nvPicPr>
                        <pic:blipFill>
                          <a:blip r:embed="rId25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10" w:name="toc903159_8"/>
      <w:bookmarkEnd w:id="10"/>
      <w:r>
        <w:rPr>
          <w:rFonts w:ascii="ARIAL" w:hAnsi="ARIAL"/>
          <w:b/>
          <w:sz w:val="24"/>
        </w:rPr>
        <w:t xml:space="preserve">Board Leadership Structure </w:t>
      </w:r>
    </w:p>
    <w:p>
      <w:pPr>
        <w:pStyle w:val="TextBody"/>
        <w:bidi w:val="0"/>
        <w:spacing w:before="80" w:after="0"/>
        <w:jc w:val="left"/>
        <w:rPr>
          <w:rFonts w:ascii="ARIAL" w:hAnsi="ARIAL"/>
          <w:sz w:val="18"/>
        </w:rPr>
      </w:pPr>
      <w:r>
        <w:rPr>
          <w:rFonts w:ascii="ARIAL" w:hAnsi="ARIAL"/>
          <w:sz w:val="18"/>
        </w:rPr>
        <w:t xml:space="preserve">Ms. Sams, an independent director, serves as Board Chair, and Mr. Florance serves as Chief Executive Officer and director of CoStar Group. The Board does not have a policy regarding the separation of the roles of Chief Executive Officer and Board Chair, as the Board believes it is in the best interests of the Company to make that determination based on the position and direction of the Company and the membership of the Board at the particular time. The Board believes the advisability of having separate or combined Board Chair and Chief Executive Officer positions is dependent upon the strengths of the individual or individuals that hold these positions and the most effective means of leveraging their strengths to lead the Board, set Board agendas, and identify and oversee key issues in light of the challenges and circumstances facing the Company, which may change over time. During a period in which the Board Chair and Chief Executive Officer positions are combined, a Lead Director would be appointed from our independent directors. Our stockholders would be notified of a combination of the Board Chair and Chief Executive Officer roles promptly upon the Board’s decision to do so. </w:t>
      </w:r>
    </w:p>
    <w:p>
      <w:pPr>
        <w:pStyle w:val="TextBody"/>
        <w:bidi w:val="0"/>
        <w:spacing w:before="120" w:after="0"/>
        <w:jc w:val="left"/>
        <w:rPr>
          <w:rFonts w:ascii="ARIAL" w:hAnsi="ARIAL"/>
          <w:sz w:val="18"/>
        </w:rPr>
      </w:pPr>
      <w:r>
        <w:rPr>
          <w:rFonts w:ascii="ARIAL" w:hAnsi="ARIAL"/>
          <w:sz w:val="18"/>
        </w:rPr>
        <w:t xml:space="preserve">The Board has determined that the Company’s current leadership structure is in the best interest of the Company’s stockholders. This structure provides a greater role for the independent directors in overseeing the Company and in setting agendas and establishing Board priorities and procedures and it also permits our Chief Executive Officer to focus on managing the Company’s day-to-day operations. Our Board Chair’s responsibilities include: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ARIAL" w:hAnsi="ARIAL"/>
                <w:sz w:val="18"/>
              </w:rPr>
            </w:pPr>
            <w:r>
              <w:rPr>
                <w:rFonts w:ascii="ARIAL" w:hAnsi="ARIAL"/>
                <w:sz w:val="18"/>
              </w:rPr>
              <w:t xml:space="preserve">Serving as Board Chair of regular sessions of the Board and managing the overall Board process;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ARIAL" w:hAnsi="ARIAL"/>
                <w:sz w:val="18"/>
              </w:rPr>
            </w:pPr>
            <w:r>
              <w:rPr>
                <w:rFonts w:ascii="ARIAL" w:hAnsi="ARIAL"/>
                <w:sz w:val="18"/>
              </w:rPr>
              <w:t xml:space="preserve">Presiding over separate executive sessions with the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Working with the CEO and committee chairs to ensure meeting agendas cover appropriate topics and that schedules for Board and committee meetings permit sufficient time for discussion of all agenda items;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ARIAL" w:hAnsi="ARIAL"/>
                <w:sz w:val="18"/>
              </w:rPr>
            </w:pPr>
            <w:r>
              <w:rPr>
                <w:rFonts w:ascii="ARIAL" w:hAnsi="ARIAL"/>
                <w:sz w:val="18"/>
              </w:rPr>
              <w:t xml:space="preserve">Modeling culture, philosophy, inclusivity, and values expected of all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Conducting individual meetings with other directors, including the Chief Executive Officer, and management team to encourage open communication and collaboration;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Representing the Board on occasions where it is important for the Board to respond on matters independently from the Company’s management team;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ARIAL" w:hAnsi="ARIAL"/>
                <w:sz w:val="18"/>
              </w:rPr>
            </w:pPr>
            <w:r>
              <w:rPr>
                <w:rFonts w:ascii="ARIAL" w:hAnsi="ARIAL"/>
                <w:sz w:val="18"/>
              </w:rPr>
              <w:t xml:space="preserve">Providing guidance and direction to the Chief Executive Officer and management team;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Engaging with stockholders, through verbal or written communications, and presiding over the Company’s Annual Meeting of Stockholders. </w:t>
            </w:r>
          </w:p>
        </w:tc>
      </w:tr>
    </w:tbl>
    <w:p>
      <w:pPr>
        <w:pStyle w:val="TextBody"/>
        <w:bidi w:val="0"/>
        <w:spacing w:before="360" w:after="0"/>
        <w:jc w:val="left"/>
        <w:rPr>
          <w:rFonts w:ascii="ARIAL" w:hAnsi="ARIAL"/>
          <w:b/>
          <w:sz w:val="24"/>
        </w:rPr>
      </w:pPr>
      <w:bookmarkStart w:id="11" w:name="toc903159_9"/>
      <w:bookmarkStart w:id="12" w:name="TOC903159_40"/>
      <w:bookmarkEnd w:id="11"/>
      <w:bookmarkEnd w:id="12"/>
      <w:r>
        <w:rPr>
          <w:rFonts w:ascii="ARIAL" w:hAnsi="ARIAL"/>
          <w:b/>
          <w:sz w:val="24"/>
        </w:rPr>
        <w:t xml:space="preserve">The Board’s Role in Risk Oversight </w:t>
      </w:r>
    </w:p>
    <w:p>
      <w:pPr>
        <w:pStyle w:val="TextBody"/>
        <w:bidi w:val="0"/>
        <w:spacing w:before="80" w:after="0"/>
        <w:jc w:val="left"/>
        <w:rPr>
          <w:rFonts w:ascii="ARIAL" w:hAnsi="ARIAL"/>
          <w:sz w:val="18"/>
        </w:rPr>
      </w:pPr>
      <w:r>
        <w:rPr>
          <w:rFonts w:ascii="ARIAL" w:hAnsi="ARIAL"/>
          <w:sz w:val="18"/>
        </w:rPr>
        <w:t xml:space="preserve">One of the Board’s functions is oversight of risk management, which is administered both through the full Board and through Board committees that oversee specific risks. The committees of the Board, specifically, Audit, Nominating and Corporate Governance, and Compensation, regularly report out to the full Board on their areas of oversight, as described below. </w:t>
      </w:r>
    </w:p>
    <w:p>
      <w:pPr>
        <w:pStyle w:val="TextBody"/>
        <w:bidi w:val="0"/>
        <w:spacing w:before="120" w:after="0"/>
        <w:jc w:val="left"/>
        <w:rPr>
          <w:rFonts w:ascii="ARIAL" w:hAnsi="ARIAL"/>
          <w:sz w:val="18"/>
        </w:rPr>
      </w:pPr>
      <w:r>
        <w:rPr>
          <w:rFonts w:ascii="ARIAL" w:hAnsi="ARIAL"/>
          <w:sz w:val="18"/>
        </w:rPr>
        <w:t xml:space="preserve">The Company faces a variety of risks, including macroeconomic risks, such as inflation, economic downturns, or recession; business-specific risks related to the Company’s strategic position, operations, financial structure, legal and regulatory compliance, cybersecurity and corporate governance; and event-specific risks, such as natural disasters, pandemics or wars. The Company believes that an effective risk management system should: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ARIAL" w:hAnsi="ARIAL"/>
                <w:sz w:val="18"/>
              </w:rPr>
            </w:pPr>
            <w:r>
              <w:rPr>
                <w:rFonts w:ascii="ARIAL" w:hAnsi="ARIAL"/>
                <w:sz w:val="18"/>
              </w:rPr>
              <w:t xml:space="preserve">Timely identify the material risks that the Company faces;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Communicate necessary information with respect to material risks to senior executives and, as appropriate, to the Board or relevant Board committee;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ARIAL" w:hAnsi="ARIAL"/>
                <w:sz w:val="18"/>
              </w:rPr>
            </w:pPr>
            <w:r>
              <w:rPr>
                <w:rFonts w:ascii="ARIAL" w:hAnsi="ARIAL"/>
                <w:sz w:val="18"/>
              </w:rPr>
              <w:t xml:space="preserve">Implement appropriate and responsive risk management strategies consistent with the Company’s risk profile; and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110"/>
        <w:gridCol w:w="6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left"/>
              <w:rPr>
                <w:rFonts w:ascii="ARIAL" w:hAnsi="ARIAL"/>
                <w:sz w:val="18"/>
              </w:rPr>
            </w:pPr>
            <w:r>
              <w:rPr>
                <w:rFonts w:ascii="ARIAL" w:hAnsi="ARIAL"/>
                <w:sz w:val="18"/>
              </w:rPr>
              <w:t xml:space="preserve">Integrate risk management into Company decision-making. </w:t>
            </w:r>
          </w:p>
        </w:tc>
      </w:tr>
    </w:tbl>
    <w:p>
      <w:pPr>
        <w:pStyle w:val="TextBody"/>
        <w:bidi w:val="0"/>
        <w:spacing w:before="120" w:after="0"/>
        <w:jc w:val="left"/>
        <w:rPr>
          <w:rFonts w:ascii="ARIAL" w:hAnsi="ARIAL"/>
          <w:sz w:val="18"/>
        </w:rPr>
      </w:pPr>
      <w:r>
        <w:rPr>
          <w:rFonts w:ascii="ARIAL" w:hAnsi="ARIAL"/>
          <w:sz w:val="18"/>
        </w:rPr>
        <w:t xml:space="preserve">The Audit Committee also works with the Company’s management to assess, analyze, and address the most likely areas of future risk for the Company. </w:t>
      </w:r>
    </w:p>
    <w:p>
      <w:pPr>
        <w:pStyle w:val="TextBody"/>
        <w:bidi w:val="0"/>
        <w:spacing w:before="120" w:after="0"/>
        <w:jc w:val="left"/>
        <w:rPr>
          <w:rFonts w:ascii="ARIAL" w:hAnsi="ARIAL"/>
          <w:sz w:val="18"/>
        </w:rPr>
      </w:pPr>
      <w:r>
        <w:rPr>
          <w:rFonts w:ascii="ARIAL" w:hAnsi="ARIAL"/>
          <w:sz w:val="18"/>
        </w:rPr>
        <w:t xml:space="preserve">The Board encourages management to promote a corporate culture that incorporates risk management into the Company’s corporate strategy and day-to-day operations. Management is responsible for identifying risk and risk controls related to significant business activities and developing programs and recommendations to determine the sufficiency of risk identification, the balance of potential risk to potential reward, and the appropriate manner in which to control risk.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64"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5" descr=""/>
                          <pic:cNvPicPr>
                            <a:picLocks noChangeAspect="1" noChangeArrowheads="1"/>
                          </pic:cNvPicPr>
                        </pic:nvPicPr>
                        <pic:blipFill>
                          <a:blip r:embed="rId25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Management, typically the Chief Financial Officer or General Counsel, periodically discusses with the Board or appropriate Board committee the significant voluntary and involuntary risks that the Company faces and how the Company seeks to control risk if and when appropriate. When appropriate, other members of management provide information to the Board or appropriate Board committees with respect to a specific area of potential risk and how the Company manages or seeks to control the identified risk. </w:t>
      </w:r>
    </w:p>
    <w:p>
      <w:pPr>
        <w:pStyle w:val="TextBody"/>
        <w:bidi w:val="0"/>
        <w:spacing w:before="120" w:after="0"/>
        <w:jc w:val="left"/>
        <w:rPr>
          <w:rFonts w:ascii="ARIAL" w:hAnsi="ARIAL"/>
          <w:sz w:val="18"/>
        </w:rPr>
      </w:pPr>
      <w:r>
        <w:rPr>
          <w:rFonts w:ascii="ARIAL" w:hAnsi="ARIAL"/>
          <w:sz w:val="18"/>
        </w:rPr>
        <w:t xml:space="preserve">In some cases, as with risks related to product or service acceptance, capital allocation, or AI strategy, risk oversight is addressed as part of the full Board’s engagement with the Chief Executive Officer and management. In other cases, a Board committee is responsible for oversight of specific risk topics in which case management meets directly with the Board committee. </w:t>
      </w:r>
    </w:p>
    <w:p>
      <w:pPr>
        <w:pStyle w:val="TextBody"/>
        <w:bidi w:val="0"/>
        <w:spacing w:before="120" w:after="0"/>
        <w:jc w:val="left"/>
        <w:rPr>
          <w:rFonts w:ascii="ARIAL" w:hAnsi="ARIAL"/>
          <w:sz w:val="18"/>
        </w:rPr>
      </w:pPr>
      <w:r>
        <w:rPr>
          <w:rFonts w:ascii="ARIAL" w:hAnsi="ARIAL"/>
          <w:sz w:val="18"/>
        </w:rPr>
        <w:t xml:space="preserve">The Audit Committee oversees risks related to cybersecurity, generative AI, internal control over financial reporting, and auditor independence. The Audit Committee also oversees management’s implementation of controls and procedures addressing cybersecurity and AI risks, and periodically receives reports from the Company’s Chief Technology Officer and Vice President, Cybersecurity on these matters. The General Counsel reports to the Audit Committee on a quarterly basis regarding the effectiveness of the Company’s legal and ethical compliance program, including compliance hotline activity and significant litigation matters. The Audit Committee also oversees the Company’s corporate responsibility and climate-related risks and opportunities. In addition to overseeing the related reporting, disclosures, controls, and assurances over those activities, the Audit Committee reviews voluntary reports released by the Company covering its approach to building a foundation of responsible business strategies that drive value for its people, communities, and stockholders, such as its recent Corporate Responsibility Reports. These reports can be found on our Corporate Responsibility website at https://investors.costargroup.com/corporate-responsibility. </w:t>
      </w:r>
    </w:p>
    <w:p>
      <w:pPr>
        <w:pStyle w:val="TextBody"/>
        <w:bidi w:val="0"/>
        <w:spacing w:before="120" w:after="0"/>
        <w:jc w:val="left"/>
        <w:rPr>
          <w:rFonts w:ascii="ARIAL" w:hAnsi="ARIAL"/>
          <w:sz w:val="18"/>
        </w:rPr>
      </w:pPr>
      <w:r>
        <w:rPr>
          <w:rFonts w:ascii="ARIAL" w:hAnsi="ARIAL"/>
          <w:sz w:val="18"/>
        </w:rPr>
        <w:t xml:space="preserve">The Compensation Committee oversees the assessment of risks related to the Company’s design and administration of its compensation and equity policies and programs applicable to officers and employees and succession planning. For more information see also Compensation Discussion and Analysis – Company Compensation Policies and Practices – Risk Assessment in Compensation Programs. </w:t>
      </w:r>
    </w:p>
    <w:p>
      <w:pPr>
        <w:pStyle w:val="TextBody"/>
        <w:bidi w:val="0"/>
        <w:spacing w:before="120" w:after="0"/>
        <w:jc w:val="left"/>
        <w:rPr>
          <w:rFonts w:ascii="ARIAL" w:hAnsi="ARIAL"/>
          <w:sz w:val="18"/>
        </w:rPr>
      </w:pPr>
      <w:r>
        <w:rPr>
          <w:rFonts w:ascii="ARIAL" w:hAnsi="ARIAL"/>
          <w:sz w:val="18"/>
        </w:rPr>
        <w:t xml:space="preserve">The Nominating and Corporate Governance Committee oversees Board structure, governance, and independence, receives reports on the Company’s political contributions from management on a periodic basis, and assesses potential risks and impacts associated with such political activities. The Nominating and Corporate Governance Committee also reviews the Company’s published reports of U.S. Political Contributions and Industry Trade Association Memberships available in the “Investors” section of the Company’s website under “Corporate Governance” and “Governance Documents” at https://investors.costargroup.com/corporate-governance/governance-documents. </w:t>
      </w:r>
    </w:p>
    <w:p>
      <w:pPr>
        <w:pStyle w:val="TextBody"/>
        <w:bidi w:val="0"/>
        <w:spacing w:before="360" w:after="0"/>
        <w:jc w:val="left"/>
        <w:rPr>
          <w:rFonts w:ascii="ARIAL" w:hAnsi="ARIAL"/>
          <w:b/>
          <w:sz w:val="20"/>
        </w:rPr>
      </w:pPr>
      <w:r>
        <w:rPr>
          <w:rFonts w:ascii="ARIAL" w:hAnsi="ARIAL"/>
          <w:b/>
          <w:sz w:val="20"/>
        </w:rPr>
        <w:t xml:space="preserve">Board and Committee Oversight over Cybersecurity </w:t>
      </w:r>
    </w:p>
    <w:p>
      <w:pPr>
        <w:pStyle w:val="TextBody"/>
        <w:bidi w:val="0"/>
        <w:spacing w:before="120" w:after="0"/>
        <w:jc w:val="left"/>
        <w:rPr>
          <w:rFonts w:ascii="ARIAL" w:hAnsi="ARIAL"/>
          <w:sz w:val="18"/>
        </w:rPr>
      </w:pPr>
      <w:r>
        <w:rPr>
          <w:rFonts w:ascii="ARIAL" w:hAnsi="ARIAL"/>
          <w:sz w:val="18"/>
        </w:rPr>
        <w:t xml:space="preserve">As noted above, the Board has delegated oversight over cybersecurity risk to the Audit Committee and receives reports from the Audit Committee at Board meetings at least biannually. The Company has developed a robust information security risk management infrastructure that leverages our internal Threat Management and Privacy teams and external third-party assessors to continuously refine protocols for cybersecurity and information security risks. Our internal teams utilize a third-party information security risk management process to evaluate cybersecurity impact of proposed software prior to adoption, performing privacy impact assessments as applicable. As of the date of this filing, the Company is not aware of and has not experienced any third-party information security breaches. In addition to our internal teams’ capabilities, we engage a third-party managed detection and response provider and an external data protection officer, to which our Threat Management team gives regular reports for monitoring. CoStar leverages a multi-line defense model and aims to inform and continuously improve its cybersecurity program through third-party assessments and engagement with industry associations.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65"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6" descr=""/>
                          <pic:cNvPicPr>
                            <a:picLocks noChangeAspect="1" noChangeArrowheads="1"/>
                          </pic:cNvPicPr>
                        </pic:nvPicPr>
                        <pic:blipFill>
                          <a:blip r:embed="rId25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13" w:name="toc903159_11"/>
      <w:bookmarkEnd w:id="13"/>
      <w:r>
        <w:rPr>
          <w:rFonts w:ascii="ARIAL" w:hAnsi="ARIAL"/>
          <w:b/>
          <w:sz w:val="24"/>
        </w:rPr>
        <w:t xml:space="preserve">Board Committees </w:t>
      </w:r>
    </w:p>
    <w:p>
      <w:pPr>
        <w:pStyle w:val="TextBody"/>
        <w:bidi w:val="0"/>
        <w:spacing w:before="80" w:after="0"/>
        <w:jc w:val="left"/>
        <w:rPr>
          <w:rFonts w:ascii="ARIAL" w:hAnsi="ARIAL"/>
          <w:sz w:val="18"/>
        </w:rPr>
      </w:pPr>
      <w:r>
        <w:rPr>
          <w:rFonts w:ascii="ARIAL" w:hAnsi="ARIAL"/>
          <w:sz w:val="18"/>
        </w:rPr>
        <w:t xml:space="preserve">Our By-laws provide that the Board may delegate responsibility to committees. The Board has three standing committees: an Audit Committee, a Compensation Committee, and a Nominating and Corporate Governance Committee. In April 2025, the Board established a Capital Allocation Committee, which terminated by the terms of its charter on January 27, 2026. For more information about the Capital Allocation Committee, please see — Capital Allocation Committee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4"/>
        <w:gridCol w:w="72"/>
        <w:gridCol w:w="1054"/>
        <w:gridCol w:w="72"/>
        <w:gridCol w:w="1703"/>
        <w:gridCol w:w="72"/>
        <w:gridCol w:w="2753"/>
        <w:gridCol w:w="72"/>
        <w:gridCol w:w="3263"/>
      </w:tblGrid>
      <w:tr>
        <w:trPr/>
        <w:tc>
          <w:tcPr>
            <w:tcW w:w="114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6" w:space="0" w:color="7F7F7F"/>
              <w:left w:val="single" w:sz="6" w:space="0" w:color="7F7F7F"/>
              <w:right w:val="single" w:sz="6" w:space="0" w:color="7F7F7F"/>
            </w:tcBorders>
            <w:shd w:fill="0054BA"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6" w:space="0" w:color="7F7F7F"/>
              <w:right w:val="single" w:sz="6" w:space="0" w:color="7F7F7F"/>
            </w:tcBorders>
            <w:shd w:fill="0054BA" w:val="clear"/>
            <w:tcMar>
              <w:left w:w="160" w:type="dxa"/>
              <w:right w:w="40" w:type="dxa"/>
            </w:tcMar>
            <w:vAlign w:val="center"/>
          </w:tcPr>
          <w:p>
            <w:pPr>
              <w:pStyle w:val="TableContents"/>
              <w:bidi w:val="0"/>
              <w:spacing w:before="0" w:after="283"/>
              <w:jc w:val="center"/>
              <w:rPr>
                <w:b/>
                <w:color w:val="FFFFFF"/>
              </w:rPr>
            </w:pPr>
            <w:r>
              <w:rPr>
                <w:b/>
                <w:color w:val="FFFFFF"/>
              </w:rPr>
              <w:t>AUDIT COMMITTEE</w:t>
            </w:r>
          </w:p>
        </w:tc>
      </w:tr>
      <w:tr>
        <w:trPr/>
        <w:tc>
          <w:tcPr>
            <w:tcW w:w="1144" w:type="dxa"/>
            <w:tcBorders>
              <w:left w:val="single" w:sz="6" w:space="0" w:color="7F7F7F"/>
            </w:tcBorders>
            <w:tcMar>
              <w:left w:w="160" w:type="dxa"/>
            </w:tcMar>
            <w:vAlign w:val="center"/>
          </w:tcPr>
          <w:p>
            <w:pPr>
              <w:pStyle w:val="TableContents"/>
              <w:bidi w:val="0"/>
              <w:spacing w:before="0" w:after="283"/>
              <w:jc w:val="left"/>
              <w:rPr/>
            </w:pPr>
            <w:r>
              <w:rPr/>
              <w:t> </w:t>
            </w:r>
          </w:p>
        </w:tc>
        <w:tc>
          <w:tcPr>
            <w:tcW w:w="1126"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1775"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2825"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3335"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1144" w:type="dxa"/>
            <w:tcBorders>
              <w:left w:val="single" w:sz="6" w:space="0" w:color="7F7F7F"/>
              <w:bottom w:val="single" w:sz="6" w:space="0" w:color="7F7F7F"/>
            </w:tcBorders>
            <w:tcMar>
              <w:left w:w="160" w:type="dxa"/>
              <w:bottom w:w="120" w:type="dxa"/>
            </w:tcMar>
            <w:vAlign w:val="center"/>
          </w:tcPr>
          <w:p>
            <w:pPr>
              <w:pStyle w:val="TableContents"/>
              <w:bidi w:val="0"/>
              <w:spacing w:before="0" w:after="0"/>
              <w:jc w:val="center"/>
              <w:rPr/>
            </w:pPr>
            <w:r>
              <w:rPr/>
              <w:drawing>
                <wp:inline distT="0" distB="0" distL="0" distR="0">
                  <wp:extent cx="556895" cy="601345"/>
                  <wp:effectExtent l="0" t="0" r="0" b="0"/>
                  <wp:docPr id="266"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7" descr=""/>
                          <pic:cNvPicPr>
                            <a:picLocks noChangeAspect="1" noChangeArrowheads="1"/>
                          </pic:cNvPicPr>
                        </pic:nvPicPr>
                        <pic:blipFill>
                          <a:blip r:embed="rId257"/>
                          <a:stretch>
                            <a:fillRect/>
                          </a:stretch>
                        </pic:blipFill>
                        <pic:spPr bwMode="auto">
                          <a:xfrm>
                            <a:off x="0" y="0"/>
                            <a:ext cx="556895" cy="601345"/>
                          </a:xfrm>
                          <a:prstGeom prst="rect">
                            <a:avLst/>
                          </a:prstGeom>
                        </pic:spPr>
                      </pic:pic>
                    </a:graphicData>
                  </a:graphic>
                </wp:inline>
              </w:drawing>
            </w:r>
            <w:r>
              <w:rPr/>
              <w:t xml:space="preserve">  </w:t>
            </w:r>
          </w:p>
          <w:p>
            <w:pPr>
              <w:pStyle w:val="TableContents"/>
              <w:bidi w:val="0"/>
              <w:spacing w:before="0" w:after="20"/>
              <w:jc w:val="left"/>
              <w:rPr/>
            </w:pPr>
            <w:r>
              <w:rPr/>
              <w:t> </w:t>
            </w:r>
          </w:p>
        </w:tc>
        <w:tc>
          <w:tcPr>
            <w:tcW w:w="72"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1054" w:type="dxa"/>
            <w:tcBorders>
              <w:bottom w:val="single" w:sz="6" w:space="0" w:color="7F7F7F"/>
            </w:tcBorders>
            <w:tcMar>
              <w:bottom w:w="120" w:type="dxa"/>
            </w:tcMar>
            <w:vAlign w:val="center"/>
          </w:tcPr>
          <w:p>
            <w:pPr>
              <w:pStyle w:val="TableContents"/>
              <w:bidi w:val="0"/>
              <w:spacing w:before="0" w:after="0"/>
              <w:jc w:val="center"/>
              <w:rPr>
                <w:rFonts w:ascii="ARIAL" w:hAnsi="ARIAL"/>
                <w:b/>
                <w:color w:val="0054BA"/>
                <w:sz w:val="50"/>
              </w:rPr>
            </w:pPr>
            <w:r>
              <w:rPr>
                <w:rFonts w:ascii="ARIAL" w:hAnsi="ARIAL"/>
                <w:b/>
                <w:color w:val="0054BA"/>
                <w:sz w:val="50"/>
              </w:rPr>
              <w:t>4  </w:t>
            </w:r>
          </w:p>
          <w:p>
            <w:pPr>
              <w:pStyle w:val="TableContents"/>
              <w:bidi w:val="0"/>
              <w:spacing w:before="0" w:after="0"/>
              <w:jc w:val="center"/>
              <w:rPr>
                <w:rFonts w:ascii="ARIAL" w:hAnsi="ARIAL"/>
                <w:b/>
                <w:color w:val="0054BA"/>
                <w:sz w:val="18"/>
              </w:rPr>
            </w:pPr>
            <w:r>
              <w:rPr>
                <w:rFonts w:ascii="ARIAL" w:hAnsi="ARIAL"/>
                <w:b/>
                <w:color w:val="0054BA"/>
                <w:sz w:val="18"/>
              </w:rPr>
              <w:t>Meetings   </w:t>
            </w:r>
          </w:p>
          <w:p>
            <w:pPr>
              <w:pStyle w:val="TableContents"/>
              <w:bidi w:val="0"/>
              <w:spacing w:before="0" w:after="20"/>
              <w:jc w:val="center"/>
              <w:rPr>
                <w:rFonts w:ascii="ARIAL" w:hAnsi="ARIAL"/>
                <w:b/>
                <w:color w:val="0054BA"/>
                <w:sz w:val="18"/>
              </w:rPr>
            </w:pPr>
            <w:r>
              <w:rPr>
                <w:rFonts w:ascii="ARIAL" w:hAnsi="ARIAL"/>
                <w:b/>
                <w:color w:val="0054BA"/>
                <w:sz w:val="18"/>
              </w:rPr>
              <w:t>in 2025   </w:t>
            </w:r>
          </w:p>
        </w:tc>
        <w:tc>
          <w:tcPr>
            <w:tcW w:w="72"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1703" w:type="dxa"/>
            <w:tcBorders>
              <w:bottom w:val="single" w:sz="6" w:space="0" w:color="7F7F7F"/>
            </w:tcBorders>
            <w:tcMar>
              <w:bottom w:w="12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Members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John W. Hill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Angelique G. Brunner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Rachel C. Glaser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Louise S. Sams</w:t>
            </w:r>
          </w:p>
        </w:tc>
        <w:tc>
          <w:tcPr>
            <w:tcW w:w="72"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753" w:type="dxa"/>
            <w:tcBorders>
              <w:bottom w:val="single" w:sz="6" w:space="0" w:color="7F7F7F"/>
            </w:tcBorders>
            <w:tcMar>
              <w:bottom w:w="12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Independence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Each member of the committee is independent and financially literate.</w:t>
            </w:r>
          </w:p>
        </w:tc>
        <w:tc>
          <w:tcPr>
            <w:tcW w:w="72"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263" w:type="dxa"/>
            <w:tcBorders>
              <w:bottom w:val="single" w:sz="6" w:space="0" w:color="7F7F7F"/>
              <w:right w:val="single" w:sz="6" w:space="0" w:color="7F7F7F"/>
            </w:tcBorders>
            <w:tcMar>
              <w:bottom w:w="12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Audit Committee</w:t>
              <w:br/>
              <w:t>Financial Expert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Each of Mr. Hill and Mses. Brunner and Glaser meet the requirements defined in SEC rules.</w:t>
            </w:r>
          </w:p>
        </w:tc>
      </w:tr>
      <w:tr>
        <w:trPr/>
        <w:tc>
          <w:tcPr>
            <w:tcW w:w="10205" w:type="dxa"/>
            <w:gridSpan w:val="9"/>
            <w:tcBorders>
              <w:left w:val="single" w:sz="6" w:space="0" w:color="7F7F7F"/>
              <w:right w:val="single" w:sz="6" w:space="0" w:color="7F7F7F"/>
            </w:tcBorders>
            <w:tcMar>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6" w:space="0" w:color="7F7F7F"/>
              <w:bottom w:val="single" w:sz="6" w:space="0" w:color="7F7F7F"/>
              <w:right w:val="single" w:sz="6" w:space="0" w:color="7F7F7F"/>
            </w:tcBorders>
            <w:tcMar>
              <w:left w:w="160" w:type="dxa"/>
              <w:bottom w:w="16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Role and Responsibilities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Audit Committee assists the Board in fulfilling its oversight responsibilities as to accounting policies, internal controls, the outside auditor’s qualifications, independence and performance, compliance with legal and regulatory requirements, cybersecurity and information security, and generative AI risk management, and the results of the annual audit of our annual consolidated financial statements and the interim reviews of our quarterly consolidated financial statements. The Audit Committee also produces the report of the Audit Committee included in this Proxy Statement. The Audit Committee operates under a written charter adopted by the Board and reviewed annually by the Audit Committee. This charter is available in the “Investors” section of the Company’s website under “Corporate Governance” and “Governance Documents” at https://investors.costargroup.com/corporate-governance/governance-documents.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5"/>
        <w:gridCol w:w="86"/>
        <w:gridCol w:w="1328"/>
        <w:gridCol w:w="86"/>
        <w:gridCol w:w="3963"/>
        <w:gridCol w:w="86"/>
        <w:gridCol w:w="834"/>
        <w:gridCol w:w="834"/>
        <w:gridCol w:w="1383"/>
      </w:tblGrid>
      <w:tr>
        <w:trPr/>
        <w:tc>
          <w:tcPr>
            <w:tcW w:w="160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96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6" w:space="0" w:color="7F7F7F"/>
              <w:left w:val="single" w:sz="6" w:space="0" w:color="7F7F7F"/>
              <w:right w:val="single" w:sz="6" w:space="0" w:color="7F7F7F"/>
            </w:tcBorders>
            <w:shd w:fill="0054BA"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6" w:space="0" w:color="7F7F7F"/>
              <w:right w:val="single" w:sz="6" w:space="0" w:color="7F7F7F"/>
            </w:tcBorders>
            <w:shd w:fill="0054BA" w:val="clear"/>
            <w:tcMar>
              <w:left w:w="160" w:type="dxa"/>
              <w:right w:w="40" w:type="dxa"/>
            </w:tcMar>
            <w:vAlign w:val="center"/>
          </w:tcPr>
          <w:p>
            <w:pPr>
              <w:pStyle w:val="TableContents"/>
              <w:bidi w:val="0"/>
              <w:spacing w:before="0" w:after="283"/>
              <w:jc w:val="center"/>
              <w:rPr>
                <w:b/>
                <w:color w:val="FFFFFF"/>
              </w:rPr>
            </w:pPr>
            <w:r>
              <w:rPr>
                <w:b/>
                <w:color w:val="FFFFFF"/>
              </w:rPr>
              <w:t>COMPENSATION COMMITTEE</w:t>
            </w:r>
          </w:p>
        </w:tc>
      </w:tr>
      <w:tr>
        <w:trPr/>
        <w:tc>
          <w:tcPr>
            <w:tcW w:w="1605" w:type="dxa"/>
            <w:tcBorders>
              <w:left w:val="single" w:sz="6" w:space="0" w:color="7F7F7F"/>
            </w:tcBorders>
            <w:tcMar>
              <w:left w:w="160" w:type="dxa"/>
            </w:tcMar>
            <w:vAlign w:val="center"/>
          </w:tcPr>
          <w:p>
            <w:pPr>
              <w:pStyle w:val="TableContents"/>
              <w:bidi w:val="0"/>
              <w:spacing w:before="0" w:after="283"/>
              <w:jc w:val="left"/>
              <w:rPr/>
            </w:pPr>
            <w:r>
              <w:rPr/>
              <w:t> </w:t>
            </w:r>
          </w:p>
        </w:tc>
        <w:tc>
          <w:tcPr>
            <w:tcW w:w="1414"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4049"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3137" w:type="dxa"/>
            <w:gridSpan w:val="4"/>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1605" w:type="dxa"/>
            <w:tcBorders>
              <w:left w:val="single" w:sz="6" w:space="0" w:color="7F7F7F"/>
              <w:bottom w:val="single" w:sz="6" w:space="0" w:color="7F7F7F"/>
            </w:tcBorders>
            <w:tcMar>
              <w:left w:w="160" w:type="dxa"/>
              <w:bottom w:w="12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58495" cy="483870"/>
                  <wp:effectExtent l="0" t="0" r="0" b="0"/>
                  <wp:docPr id="267"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8" descr=""/>
                          <pic:cNvPicPr>
                            <a:picLocks noChangeAspect="1" noChangeArrowheads="1"/>
                          </pic:cNvPicPr>
                        </pic:nvPicPr>
                        <pic:blipFill>
                          <a:blip r:embed="rId258"/>
                          <a:stretch>
                            <a:fillRect/>
                          </a:stretch>
                        </pic:blipFill>
                        <pic:spPr bwMode="auto">
                          <a:xfrm>
                            <a:off x="0" y="0"/>
                            <a:ext cx="658495" cy="483870"/>
                          </a:xfrm>
                          <a:prstGeom prst="rect">
                            <a:avLst/>
                          </a:prstGeom>
                        </pic:spPr>
                      </pic:pic>
                    </a:graphicData>
                  </a:graphic>
                </wp:inline>
              </w:drawing>
            </w:r>
            <w:r>
              <w:rPr/>
              <w:t xml:space="preserve">  </w:t>
            </w:r>
          </w:p>
        </w:tc>
        <w:tc>
          <w:tcPr>
            <w:tcW w:w="86"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1328" w:type="dxa"/>
            <w:tcBorders>
              <w:bottom w:val="single" w:sz="6" w:space="0" w:color="7F7F7F"/>
            </w:tcBorders>
            <w:tcMar>
              <w:bottom w:w="120" w:type="dxa"/>
            </w:tcMar>
            <w:vAlign w:val="center"/>
          </w:tcPr>
          <w:p>
            <w:pPr>
              <w:pStyle w:val="TableContents"/>
              <w:bidi w:val="0"/>
              <w:spacing w:before="0" w:after="0"/>
              <w:jc w:val="center"/>
              <w:rPr>
                <w:rFonts w:ascii="ARIAL" w:hAnsi="ARIAL"/>
                <w:b/>
                <w:color w:val="0054BA"/>
                <w:sz w:val="48"/>
              </w:rPr>
            </w:pPr>
            <w:r>
              <w:rPr>
                <w:rFonts w:ascii="ARIAL" w:hAnsi="ARIAL"/>
                <w:b/>
                <w:color w:val="0054BA"/>
                <w:sz w:val="48"/>
              </w:rPr>
              <w:t>4  </w:t>
            </w:r>
          </w:p>
          <w:p>
            <w:pPr>
              <w:pStyle w:val="TableContents"/>
              <w:bidi w:val="0"/>
              <w:spacing w:before="0" w:after="0"/>
              <w:jc w:val="center"/>
              <w:rPr>
                <w:rFonts w:ascii="ARIAL" w:hAnsi="ARIAL"/>
                <w:b/>
                <w:color w:val="0054BA"/>
                <w:sz w:val="18"/>
              </w:rPr>
            </w:pPr>
            <w:r>
              <w:rPr>
                <w:rFonts w:ascii="ARIAL" w:hAnsi="ARIAL"/>
                <w:b/>
                <w:color w:val="0054BA"/>
                <w:sz w:val="18"/>
              </w:rPr>
              <w:t>Meetings  </w:t>
            </w:r>
          </w:p>
          <w:p>
            <w:pPr>
              <w:pStyle w:val="TableContents"/>
              <w:bidi w:val="0"/>
              <w:spacing w:before="0" w:after="0"/>
              <w:jc w:val="center"/>
              <w:rPr>
                <w:rFonts w:ascii="ARIAL" w:hAnsi="ARIAL"/>
                <w:b/>
                <w:color w:val="0054BA"/>
                <w:sz w:val="18"/>
              </w:rPr>
            </w:pPr>
            <w:r>
              <w:rPr>
                <w:rFonts w:ascii="ARIAL" w:hAnsi="ARIAL"/>
                <w:b/>
                <w:color w:val="0054BA"/>
                <w:sz w:val="18"/>
              </w:rPr>
              <w:t>in 2025  </w:t>
            </w:r>
          </w:p>
          <w:p>
            <w:pPr>
              <w:pStyle w:val="TableContents"/>
              <w:bidi w:val="0"/>
              <w:spacing w:before="0" w:after="0"/>
              <w:jc w:val="center"/>
              <w:rPr>
                <w:rFonts w:ascii="ARIAL" w:hAnsi="ARIAL"/>
                <w:b/>
                <w:color w:val="0054BA"/>
                <w:sz w:val="18"/>
              </w:rPr>
            </w:pPr>
            <w:r>
              <w:rPr>
                <w:rFonts w:ascii="ARIAL" w:hAnsi="ARIAL"/>
                <w:b/>
                <w:color w:val="0054BA"/>
                <w:sz w:val="18"/>
              </w:rPr>
              <w:t>and 3  </w:t>
            </w:r>
          </w:p>
          <w:p>
            <w:pPr>
              <w:pStyle w:val="TableContents"/>
              <w:bidi w:val="0"/>
              <w:spacing w:before="0" w:after="0"/>
              <w:jc w:val="center"/>
              <w:rPr>
                <w:rFonts w:ascii="ARIAL" w:hAnsi="ARIAL"/>
                <w:b/>
                <w:color w:val="0054BA"/>
                <w:sz w:val="18"/>
              </w:rPr>
            </w:pPr>
            <w:r>
              <w:rPr>
                <w:rFonts w:ascii="ARIAL" w:hAnsi="ARIAL"/>
                <w:b/>
                <w:color w:val="0054BA"/>
                <w:sz w:val="18"/>
              </w:rPr>
              <w:t>Written  </w:t>
            </w:r>
          </w:p>
          <w:p>
            <w:pPr>
              <w:pStyle w:val="TableContents"/>
              <w:bidi w:val="0"/>
              <w:spacing w:before="0" w:after="20"/>
              <w:jc w:val="center"/>
              <w:rPr>
                <w:rFonts w:ascii="ARIAL" w:hAnsi="ARIAL"/>
                <w:b/>
                <w:color w:val="0054BA"/>
                <w:sz w:val="18"/>
              </w:rPr>
            </w:pPr>
            <w:r>
              <w:rPr>
                <w:rFonts w:ascii="ARIAL" w:hAnsi="ARIAL"/>
                <w:b/>
                <w:color w:val="0054BA"/>
                <w:sz w:val="18"/>
              </w:rPr>
              <w:t>Consents  </w:t>
            </w:r>
          </w:p>
        </w:tc>
        <w:tc>
          <w:tcPr>
            <w:tcW w:w="86"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963" w:type="dxa"/>
            <w:tcBorders>
              <w:bottom w:val="single" w:sz="6" w:space="0" w:color="7F7F7F"/>
            </w:tcBorders>
            <w:tcMar>
              <w:bottom w:w="12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Members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Robert W. Musslewhite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John L. Berisford</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Angelique G. Brunner</w:t>
            </w:r>
          </w:p>
        </w:tc>
        <w:tc>
          <w:tcPr>
            <w:tcW w:w="86"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051" w:type="dxa"/>
            <w:gridSpan w:val="3"/>
            <w:tcBorders>
              <w:bottom w:val="single" w:sz="6" w:space="0" w:color="7F7F7F"/>
              <w:right w:val="single" w:sz="6" w:space="0" w:color="7F7F7F"/>
            </w:tcBorders>
            <w:tcMar>
              <w:bottom w:w="12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Independence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Each member of the committee is independent.</w:t>
            </w:r>
          </w:p>
        </w:tc>
      </w:tr>
      <w:tr>
        <w:trPr/>
        <w:tc>
          <w:tcPr>
            <w:tcW w:w="10205" w:type="dxa"/>
            <w:gridSpan w:val="9"/>
            <w:tcBorders>
              <w:left w:val="single" w:sz="6" w:space="0" w:color="7F7F7F"/>
              <w:right w:val="single" w:sz="6" w:space="0" w:color="7F7F7F"/>
            </w:tcBorders>
            <w:tcMar>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6" w:space="0" w:color="7F7F7F"/>
              <w:bottom w:val="single" w:sz="6" w:space="0" w:color="7F7F7F"/>
              <w:right w:val="single" w:sz="6" w:space="0" w:color="7F7F7F"/>
            </w:tcBorders>
            <w:tcMar>
              <w:left w:w="160" w:type="dxa"/>
              <w:bottom w:w="16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Role and Responsibilities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Compensation Committee operates under a written charter adopted by the Board and reviewed annually by the Compensation Committee. This charter is available in the “Investors” section of the Company’s website under “Corporate Governance” and “Governance Documents” at https://investors.costargroup.com/corporate-governance/governance-documents. The Compensation Committee discharges the Board’s responsibilities relating to compensation of the Company’s executive officers; reviews and approves the corporate goals and objectives relative to the compensation of our CEO and other executive officers; reviews the evaluations of the performance of our CEO in light of these established goals and objectives; reviews and recommends the compensation of our non-employee directors; administers and approves the issuance of equity awards under our stock plans; oversees the assessment of risks related to our compensation policies and programs applicable to our officers and employees; reviews director and officer compliance with our stock ownership guidelines; retains and approves the compensation of any compensation advisors and such compensation advisor’s independence; and produces the Compensation Committee Report included in this Proxy Statement. In addition, the Board has designated the Compensation Committee as the Administrator of the 2025 Plan, 2026 ESPP, MSPP, and the Company’s annual cash incentive plan.</w:t>
            </w:r>
          </w:p>
        </w:tc>
      </w:tr>
      <w:tr>
        <w:trPr/>
        <w:tc>
          <w:tcPr>
            <w:tcW w:w="10205" w:type="dxa"/>
            <w:gridSpan w:val="9"/>
            <w:tcBorders>
              <w:left w:val="single" w:sz="6" w:space="0" w:color="7F7F7F"/>
              <w:right w:val="single" w:sz="6" w:space="0" w:color="7F7F7F"/>
            </w:tcBorders>
            <w:tcMar>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6" w:space="0" w:color="7F7F7F"/>
              <w:bottom w:val="single" w:sz="6" w:space="0" w:color="7F7F7F"/>
              <w:right w:val="single" w:sz="6" w:space="0" w:color="7F7F7F"/>
            </w:tcBorders>
            <w:tcMar>
              <w:left w:w="160" w:type="dxa"/>
              <w:bottom w:w="16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Compensation Committee Interlocks and Insider Participation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following directors served on the Compensation Committee during part of the year ended December 31, 2025: Messrs. Berisford, Hill, Klein, Musslewhite and Nassetta and Mses. Brunner and Sams. None of the members of the Compensation Committee that served during 2025 is an officer or employee or former officer of our Company or had any relationship that is required to be disclosed as a transaction with a related person. None of our executive officers currently serves, or in the past year has served, as a member of the board of directors or compensation committee of any entity that has one or more executive officers serving on our Board or Compensation Committee.</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68"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9" descr=""/>
                          <pic:cNvPicPr>
                            <a:picLocks noChangeAspect="1" noChangeArrowheads="1"/>
                          </pic:cNvPicPr>
                        </pic:nvPicPr>
                        <pic:blipFill>
                          <a:blip r:embed="rId25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5"/>
        <w:gridCol w:w="98"/>
        <w:gridCol w:w="1471"/>
        <w:gridCol w:w="98"/>
        <w:gridCol w:w="2743"/>
        <w:gridCol w:w="98"/>
        <w:gridCol w:w="3902"/>
      </w:tblGrid>
      <w:tr>
        <w:trPr/>
        <w:tc>
          <w:tcPr>
            <w:tcW w:w="179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6" w:space="0" w:color="7F7F7F"/>
              <w:left w:val="single" w:sz="6" w:space="0" w:color="7F7F7F"/>
              <w:right w:val="single" w:sz="6" w:space="0" w:color="7F7F7F"/>
            </w:tcBorders>
            <w:shd w:fill="0054BA"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7"/>
            <w:tcBorders>
              <w:left w:val="single" w:sz="6" w:space="0" w:color="7F7F7F"/>
              <w:right w:val="single" w:sz="6" w:space="0" w:color="7F7F7F"/>
            </w:tcBorders>
            <w:shd w:fill="0054BA" w:val="clear"/>
            <w:tcMar>
              <w:left w:w="160" w:type="dxa"/>
              <w:right w:w="40" w:type="dxa"/>
            </w:tcMar>
            <w:vAlign w:val="center"/>
          </w:tcPr>
          <w:p>
            <w:pPr>
              <w:pStyle w:val="TableContents"/>
              <w:bidi w:val="0"/>
              <w:spacing w:before="0" w:after="283"/>
              <w:jc w:val="center"/>
              <w:rPr>
                <w:b/>
                <w:color w:val="FFFFFF"/>
              </w:rPr>
            </w:pPr>
            <w:r>
              <w:rPr>
                <w:b/>
                <w:color w:val="FFFFFF"/>
              </w:rPr>
              <w:t>NOMINATING AND CORPORATE GOVERNANCE COMMITTEE</w:t>
            </w:r>
          </w:p>
        </w:tc>
      </w:tr>
      <w:tr>
        <w:trPr/>
        <w:tc>
          <w:tcPr>
            <w:tcW w:w="1795" w:type="dxa"/>
            <w:tcBorders>
              <w:left w:val="single" w:sz="6" w:space="0" w:color="7F7F7F"/>
            </w:tcBorders>
            <w:tcMar>
              <w:left w:w="160" w:type="dxa"/>
            </w:tcMar>
            <w:vAlign w:val="center"/>
          </w:tcPr>
          <w:p>
            <w:pPr>
              <w:pStyle w:val="TableContents"/>
              <w:bidi w:val="0"/>
              <w:spacing w:before="0" w:after="283"/>
              <w:jc w:val="left"/>
              <w:rPr/>
            </w:pPr>
            <w:r>
              <w:rPr/>
              <w:t> </w:t>
            </w:r>
          </w:p>
        </w:tc>
        <w:tc>
          <w:tcPr>
            <w:tcW w:w="1569"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2841"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4000"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1795" w:type="dxa"/>
            <w:tcBorders>
              <w:left w:val="single" w:sz="6" w:space="0" w:color="7F7F7F"/>
              <w:bottom w:val="single" w:sz="6" w:space="0" w:color="7F7F7F"/>
            </w:tcBorders>
            <w:tcMar>
              <w:left w:w="160" w:type="dxa"/>
              <w:bottom w:w="12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40715" cy="615315"/>
                  <wp:effectExtent l="0" t="0" r="0" b="0"/>
                  <wp:docPr id="26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0" descr=""/>
                          <pic:cNvPicPr>
                            <a:picLocks noChangeAspect="1" noChangeArrowheads="1"/>
                          </pic:cNvPicPr>
                        </pic:nvPicPr>
                        <pic:blipFill>
                          <a:blip r:embed="rId260"/>
                          <a:stretch>
                            <a:fillRect/>
                          </a:stretch>
                        </pic:blipFill>
                        <pic:spPr bwMode="auto">
                          <a:xfrm>
                            <a:off x="0" y="0"/>
                            <a:ext cx="640715" cy="615315"/>
                          </a:xfrm>
                          <a:prstGeom prst="rect">
                            <a:avLst/>
                          </a:prstGeom>
                        </pic:spPr>
                      </pic:pic>
                    </a:graphicData>
                  </a:graphic>
                </wp:inline>
              </w:drawing>
            </w:r>
            <w:r>
              <w:rPr/>
              <w:t xml:space="preserve">  </w:t>
            </w:r>
          </w:p>
        </w:tc>
        <w:tc>
          <w:tcPr>
            <w:tcW w:w="98"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1471" w:type="dxa"/>
            <w:tcBorders>
              <w:bottom w:val="single" w:sz="6" w:space="0" w:color="7F7F7F"/>
            </w:tcBorders>
            <w:tcMar>
              <w:bottom w:w="120" w:type="dxa"/>
            </w:tcMar>
            <w:vAlign w:val="center"/>
          </w:tcPr>
          <w:p>
            <w:pPr>
              <w:pStyle w:val="TableContents"/>
              <w:bidi w:val="0"/>
              <w:spacing w:before="0" w:after="0"/>
              <w:jc w:val="center"/>
              <w:rPr>
                <w:rFonts w:ascii="ARIAL" w:hAnsi="ARIAL"/>
                <w:b/>
                <w:color w:val="0054BA"/>
                <w:sz w:val="48"/>
              </w:rPr>
            </w:pPr>
            <w:r>
              <w:rPr>
                <w:rFonts w:ascii="ARIAL" w:hAnsi="ARIAL"/>
                <w:b/>
                <w:color w:val="0054BA"/>
                <w:sz w:val="48"/>
              </w:rPr>
              <w:t>2  </w:t>
            </w:r>
          </w:p>
          <w:p>
            <w:pPr>
              <w:pStyle w:val="TableContents"/>
              <w:bidi w:val="0"/>
              <w:spacing w:before="0" w:after="0"/>
              <w:jc w:val="center"/>
              <w:rPr>
                <w:rFonts w:ascii="ARIAL" w:hAnsi="ARIAL"/>
                <w:b/>
                <w:color w:val="0054BA"/>
                <w:sz w:val="18"/>
              </w:rPr>
            </w:pPr>
            <w:r>
              <w:rPr>
                <w:rFonts w:ascii="ARIAL" w:hAnsi="ARIAL"/>
                <w:b/>
                <w:color w:val="0054BA"/>
                <w:sz w:val="18"/>
              </w:rPr>
              <w:t>Meetings  </w:t>
            </w:r>
          </w:p>
          <w:p>
            <w:pPr>
              <w:pStyle w:val="TableContents"/>
              <w:bidi w:val="0"/>
              <w:spacing w:before="0" w:after="20"/>
              <w:jc w:val="center"/>
              <w:rPr>
                <w:rFonts w:ascii="ARIAL" w:hAnsi="ARIAL"/>
                <w:b/>
                <w:color w:val="0054BA"/>
                <w:sz w:val="18"/>
              </w:rPr>
            </w:pPr>
            <w:r>
              <w:rPr>
                <w:rFonts w:ascii="ARIAL" w:hAnsi="ARIAL"/>
                <w:b/>
                <w:color w:val="0054BA"/>
                <w:sz w:val="18"/>
              </w:rPr>
              <w:t>in 2025  </w:t>
            </w:r>
          </w:p>
        </w:tc>
        <w:tc>
          <w:tcPr>
            <w:tcW w:w="98"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743" w:type="dxa"/>
            <w:tcBorders>
              <w:bottom w:val="single" w:sz="6" w:space="0" w:color="7F7F7F"/>
            </w:tcBorders>
            <w:tcMar>
              <w:bottom w:w="12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Members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Louise S. Sams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Rachel C. Glaser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Christine M. McCarthy</w:t>
            </w:r>
          </w:p>
        </w:tc>
        <w:tc>
          <w:tcPr>
            <w:tcW w:w="98"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902" w:type="dxa"/>
            <w:tcBorders>
              <w:bottom w:val="single" w:sz="6" w:space="0" w:color="7F7F7F"/>
              <w:right w:val="single" w:sz="6" w:space="0" w:color="7F7F7F"/>
            </w:tcBorders>
            <w:tcMar>
              <w:bottom w:w="12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Independence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Each member of the committee is independent.</w:t>
            </w:r>
          </w:p>
        </w:tc>
      </w:tr>
      <w:tr>
        <w:trPr/>
        <w:tc>
          <w:tcPr>
            <w:tcW w:w="10205" w:type="dxa"/>
            <w:gridSpan w:val="7"/>
            <w:tcBorders>
              <w:left w:val="single" w:sz="6" w:space="0" w:color="7F7F7F"/>
              <w:right w:val="single" w:sz="6" w:space="0" w:color="7F7F7F"/>
            </w:tcBorders>
            <w:tcMar>
              <w:left w:w="160" w:type="dxa"/>
              <w:right w:w="28" w:type="dxa"/>
            </w:tcMar>
            <w:vAlign w:val="center"/>
          </w:tcPr>
          <w:p>
            <w:pPr>
              <w:pStyle w:val="TableContents"/>
              <w:bidi w:val="0"/>
              <w:spacing w:before="0" w:after="283"/>
              <w:jc w:val="left"/>
              <w:rPr/>
            </w:pPr>
            <w:r>
              <w:rPr/>
              <w:t> </w:t>
            </w:r>
          </w:p>
        </w:tc>
      </w:tr>
      <w:tr>
        <w:trPr/>
        <w:tc>
          <w:tcPr>
            <w:tcW w:w="10205" w:type="dxa"/>
            <w:gridSpan w:val="7"/>
            <w:tcBorders>
              <w:left w:val="single" w:sz="6" w:space="0" w:color="7F7F7F"/>
              <w:bottom w:val="single" w:sz="6" w:space="0" w:color="7F7F7F"/>
              <w:right w:val="single" w:sz="6" w:space="0" w:color="7F7F7F"/>
            </w:tcBorders>
            <w:tcMar>
              <w:left w:w="160" w:type="dxa"/>
              <w:bottom w:w="16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Role and Responsibilities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Nominating and Corporate Governance Committee recommends to the Board director candidates for election; assesses the contributions and independence of incumbent directors in determining whether to recommend them for reelection at each annual stockholder’s meeting; reviews and recommends to the Board retirement and other tenure policies for directors; oversees evaluation of the Board and its committees; receives reports from management regarding the company’s political contributions; and performs a leadership role in shaping the Company’s corporate governance. The Nominating and Corporate Governance Committee operates under a written charter adopted by the Board and reviewed annually by the Nominating and Corporate Governance Committee. This charter is available in the “Investors” section of the Company’s website under “Corporate Governance” and “Governance Documents” at https://investors.costargroup.com/corporate-governance/governance-documents.</w:t>
            </w:r>
          </w:p>
        </w:tc>
      </w:tr>
    </w:tbl>
    <w:p>
      <w:pPr>
        <w:pStyle w:val="TextBody"/>
        <w:bidi w:val="0"/>
        <w:spacing w:before="360" w:after="0"/>
        <w:jc w:val="left"/>
        <w:rPr>
          <w:rFonts w:ascii="ARIAL" w:hAnsi="ARIAL"/>
          <w:b/>
          <w:sz w:val="18"/>
        </w:rPr>
      </w:pPr>
      <w:r>
        <w:rPr>
          <w:rFonts w:ascii="ARIAL" w:hAnsi="ARIAL"/>
          <w:b/>
          <w:sz w:val="18"/>
        </w:rPr>
        <w:t xml:space="preserve">Capital Allocation Committee </w:t>
      </w:r>
    </w:p>
    <w:p>
      <w:pPr>
        <w:pStyle w:val="TextBody"/>
        <w:bidi w:val="0"/>
        <w:spacing w:before="80" w:after="0"/>
        <w:jc w:val="left"/>
        <w:rPr>
          <w:rFonts w:ascii="ARIAL" w:hAnsi="ARIAL"/>
          <w:sz w:val="18"/>
        </w:rPr>
      </w:pPr>
      <w:r>
        <w:rPr>
          <w:rFonts w:ascii="ARIAL" w:hAnsi="ARIAL"/>
          <w:sz w:val="18"/>
        </w:rPr>
        <w:t xml:space="preserve">On April 5, 2025, in connection with the execution of (a) the Support Agreement, dated as of April 6, 2025, among the Company, D. E. Shaw Valence Portfolios, L.L.C. and D. E. Shaw Oculus Portfolios, L.L.C., and (b) the Support Agreement, dated as of April 6, 2025, among the Company and Third Point LLC, our Board established the Capital Allocation Committee to review and make recommendations to the Board regarding the Company’s capital structure, capital allocation priorities, and financial targets, including for international expansion and significant investments by the Company’s major brands, including, but not limited to, CoStar, Apartments.com, LoopNet, and Homes.com. The Capital Allocation Committee’s review also focused on operational performance, including the setting of near-term and long-term financial targets for resource and capital allocation to ensure adequate returns on investment spend, as well as the evaluation of alternatives to capitalize the value of the Company’s investments and brands if they fail to meet such targets.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78"/>
        <w:gridCol w:w="76"/>
        <w:gridCol w:w="1122"/>
        <w:gridCol w:w="76"/>
        <w:gridCol w:w="2279"/>
        <w:gridCol w:w="76"/>
        <w:gridCol w:w="3121"/>
        <w:gridCol w:w="76"/>
        <w:gridCol w:w="2001"/>
      </w:tblGrid>
      <w:tr>
        <w:trPr/>
        <w:tc>
          <w:tcPr>
            <w:tcW w:w="137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6" w:space="0" w:color="7F7F7F"/>
              <w:left w:val="single" w:sz="6" w:space="0" w:color="7F7F7F"/>
              <w:right w:val="single" w:sz="6" w:space="0" w:color="7F7F7F"/>
            </w:tcBorders>
            <w:shd w:fill="0054BA"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6" w:space="0" w:color="7F7F7F"/>
              <w:right w:val="single" w:sz="6" w:space="0" w:color="7F7F7F"/>
            </w:tcBorders>
            <w:shd w:fill="0054BA" w:val="clear"/>
            <w:tcMar>
              <w:left w:w="160" w:type="dxa"/>
              <w:right w:w="40" w:type="dxa"/>
            </w:tcMar>
            <w:vAlign w:val="center"/>
          </w:tcPr>
          <w:p>
            <w:pPr>
              <w:pStyle w:val="TableContents"/>
              <w:bidi w:val="0"/>
              <w:spacing w:before="0" w:after="283"/>
              <w:jc w:val="center"/>
              <w:rPr>
                <w:b/>
                <w:color w:val="FFFFFF"/>
              </w:rPr>
            </w:pPr>
            <w:r>
              <w:rPr>
                <w:b/>
                <w:color w:val="FFFFFF"/>
              </w:rPr>
              <w:t>CAPITAL ALLOCATION COMMITTEE</w:t>
            </w:r>
          </w:p>
        </w:tc>
      </w:tr>
      <w:tr>
        <w:trPr/>
        <w:tc>
          <w:tcPr>
            <w:tcW w:w="1378" w:type="dxa"/>
            <w:tcBorders>
              <w:left w:val="single" w:sz="6" w:space="0" w:color="7F7F7F"/>
            </w:tcBorders>
            <w:tcMar>
              <w:left w:w="160" w:type="dxa"/>
            </w:tcMar>
            <w:vAlign w:val="center"/>
          </w:tcPr>
          <w:p>
            <w:pPr>
              <w:pStyle w:val="TableContents"/>
              <w:bidi w:val="0"/>
              <w:spacing w:before="0" w:after="283"/>
              <w:jc w:val="left"/>
              <w:rPr/>
            </w:pPr>
            <w:r>
              <w:rPr/>
              <w:t> </w:t>
            </w:r>
          </w:p>
        </w:tc>
        <w:tc>
          <w:tcPr>
            <w:tcW w:w="1198"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2355"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3197"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2077"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1378" w:type="dxa"/>
            <w:tcBorders>
              <w:left w:val="single" w:sz="6" w:space="0" w:color="7F7F7F"/>
              <w:bottom w:val="single" w:sz="6" w:space="0" w:color="7F7F7F"/>
            </w:tcBorders>
            <w:tcMar>
              <w:left w:w="160" w:type="dxa"/>
              <w:bottom w:w="120" w:type="dxa"/>
            </w:tcMar>
            <w:vAlign w:val="center"/>
          </w:tcPr>
          <w:p>
            <w:pPr>
              <w:pStyle w:val="TableContents"/>
              <w:bidi w:val="0"/>
              <w:spacing w:before="0" w:after="0"/>
              <w:jc w:val="center"/>
              <w:rPr/>
            </w:pPr>
            <w:r>
              <w:rPr/>
              <w:drawing>
                <wp:inline distT="0" distB="0" distL="0" distR="0">
                  <wp:extent cx="640715" cy="615315"/>
                  <wp:effectExtent l="0" t="0" r="0" b="0"/>
                  <wp:docPr id="270"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1" descr=""/>
                          <pic:cNvPicPr>
                            <a:picLocks noChangeAspect="1" noChangeArrowheads="1"/>
                          </pic:cNvPicPr>
                        </pic:nvPicPr>
                        <pic:blipFill>
                          <a:blip r:embed="rId261"/>
                          <a:stretch>
                            <a:fillRect/>
                          </a:stretch>
                        </pic:blipFill>
                        <pic:spPr bwMode="auto">
                          <a:xfrm>
                            <a:off x="0" y="0"/>
                            <a:ext cx="640715" cy="615315"/>
                          </a:xfrm>
                          <a:prstGeom prst="rect">
                            <a:avLst/>
                          </a:prstGeom>
                        </pic:spPr>
                      </pic:pic>
                    </a:graphicData>
                  </a:graphic>
                </wp:inline>
              </w:drawing>
            </w:r>
            <w:r>
              <w:rPr/>
              <w:t xml:space="preserve">  </w:t>
            </w:r>
          </w:p>
          <w:p>
            <w:pPr>
              <w:pStyle w:val="TableContents"/>
              <w:bidi w:val="0"/>
              <w:spacing w:before="0" w:after="20"/>
              <w:jc w:val="left"/>
              <w:rPr/>
            </w:pPr>
            <w:r>
              <w:rPr/>
              <w:t> </w:t>
            </w:r>
          </w:p>
        </w:tc>
        <w:tc>
          <w:tcPr>
            <w:tcW w:w="76"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1122" w:type="dxa"/>
            <w:tcBorders>
              <w:bottom w:val="single" w:sz="6" w:space="0" w:color="7F7F7F"/>
            </w:tcBorders>
            <w:tcMar>
              <w:bottom w:w="120" w:type="dxa"/>
            </w:tcMar>
            <w:vAlign w:val="center"/>
          </w:tcPr>
          <w:p>
            <w:pPr>
              <w:pStyle w:val="TableContents"/>
              <w:bidi w:val="0"/>
              <w:spacing w:before="0" w:after="0"/>
              <w:jc w:val="center"/>
              <w:rPr>
                <w:rFonts w:ascii="ARIAL" w:hAnsi="ARIAL"/>
                <w:b/>
                <w:color w:val="0054BA"/>
                <w:sz w:val="50"/>
              </w:rPr>
            </w:pPr>
            <w:r>
              <w:rPr>
                <w:rFonts w:ascii="ARIAL" w:hAnsi="ARIAL"/>
                <w:b/>
                <w:color w:val="0054BA"/>
                <w:sz w:val="50"/>
              </w:rPr>
              <w:t>6  </w:t>
            </w:r>
          </w:p>
          <w:p>
            <w:pPr>
              <w:pStyle w:val="TableContents"/>
              <w:bidi w:val="0"/>
              <w:spacing w:before="0" w:after="0"/>
              <w:jc w:val="center"/>
              <w:rPr>
                <w:rFonts w:ascii="ARIAL" w:hAnsi="ARIAL"/>
                <w:b/>
                <w:color w:val="0054BA"/>
                <w:sz w:val="18"/>
              </w:rPr>
            </w:pPr>
            <w:r>
              <w:rPr>
                <w:rFonts w:ascii="ARIAL" w:hAnsi="ARIAL"/>
                <w:b/>
                <w:color w:val="0054BA"/>
                <w:sz w:val="18"/>
              </w:rPr>
              <w:t>Meetings   </w:t>
            </w:r>
          </w:p>
          <w:p>
            <w:pPr>
              <w:pStyle w:val="TableContents"/>
              <w:bidi w:val="0"/>
              <w:spacing w:before="0" w:after="20"/>
              <w:jc w:val="center"/>
              <w:rPr>
                <w:rFonts w:ascii="ARIAL" w:hAnsi="ARIAL"/>
                <w:b/>
                <w:color w:val="0054BA"/>
                <w:sz w:val="18"/>
              </w:rPr>
            </w:pPr>
            <w:r>
              <w:rPr>
                <w:rFonts w:ascii="ARIAL" w:hAnsi="ARIAL"/>
                <w:b/>
                <w:color w:val="0054BA"/>
                <w:sz w:val="18"/>
              </w:rPr>
              <w:t>in 2025   </w:t>
            </w:r>
          </w:p>
        </w:tc>
        <w:tc>
          <w:tcPr>
            <w:tcW w:w="76"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279" w:type="dxa"/>
            <w:tcBorders>
              <w:bottom w:val="single" w:sz="6" w:space="0" w:color="7F7F7F"/>
            </w:tcBorders>
            <w:tcMar>
              <w:bottom w:w="12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Members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Andrew C. Florance (Chair)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John L. Berisford</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Christine M. McCarthy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Robert W. Musslewhite</w:t>
            </w:r>
          </w:p>
        </w:tc>
        <w:tc>
          <w:tcPr>
            <w:tcW w:w="76"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121" w:type="dxa"/>
            <w:tcBorders>
              <w:bottom w:val="single" w:sz="6" w:space="0" w:color="7F7F7F"/>
            </w:tcBorders>
            <w:tcMar>
              <w:bottom w:w="12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Independence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Each member of the committee is independent other than Mr. Florance.</w:t>
            </w:r>
          </w:p>
        </w:tc>
        <w:tc>
          <w:tcPr>
            <w:tcW w:w="76"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001" w:type="dxa"/>
            <w:tcBorders>
              <w:bottom w:val="single" w:sz="6" w:space="0" w:color="7F7F7F"/>
              <w:right w:val="single" w:sz="6" w:space="0" w:color="7F7F7F"/>
            </w:tcBorders>
            <w:tcMar>
              <w:bottom w:w="12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Term of Committee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April 5, 2025 – January 27, 2026</w:t>
            </w:r>
          </w:p>
        </w:tc>
      </w:tr>
      <w:tr>
        <w:trPr/>
        <w:tc>
          <w:tcPr>
            <w:tcW w:w="10205" w:type="dxa"/>
            <w:gridSpan w:val="9"/>
            <w:tcBorders>
              <w:left w:val="single" w:sz="6" w:space="0" w:color="7F7F7F"/>
              <w:right w:val="single" w:sz="6" w:space="0" w:color="7F7F7F"/>
            </w:tcBorders>
            <w:tcMar>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6" w:space="0" w:color="7F7F7F"/>
              <w:bottom w:val="single" w:sz="6" w:space="0" w:color="7F7F7F"/>
              <w:right w:val="single" w:sz="6" w:space="0" w:color="7F7F7F"/>
            </w:tcBorders>
            <w:tcMar>
              <w:left w:w="160" w:type="dxa"/>
              <w:bottom w:w="160" w:type="dxa"/>
              <w:right w:w="4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Role and Responsibilities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Capital Allocation Committee met six times between April 2025 and December 2025, and its authority automatically terminated following its delivery of its final recommendations to the Board on January 27, 2026, in accordance with the terms of its charter. The Capital Allocation Committee, following its review of the strategy of the business, the long-range financial plan for CoStar Group, operational and financial performance data for Homes.com, a detailed long-range financial plan for Homes.com (including breakeven and net present value analysis), cash flow analysis to determine degrees of freedom with respect to incremental capital return, and historical internal rate of return, unanimously recommended to the Board at its final meeting in December 2025, the following three proposals: (i) a $1.5 billion share repurchase program, (ii) the 2026 proposed budget, and (iii) the long-range projections for Homes.com. The Board unanimously approved all three proposals.</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71"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52" descr=""/>
                          <pic:cNvPicPr>
                            <a:picLocks noChangeAspect="1" noChangeArrowheads="1"/>
                          </pic:cNvPicPr>
                        </pic:nvPicPr>
                        <pic:blipFill>
                          <a:blip r:embed="rId26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29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2026 – Board Oversight over Capital Allocation </w:t>
      </w:r>
    </w:p>
    <w:p>
      <w:pPr>
        <w:pStyle w:val="TextBody"/>
        <w:bidi w:val="0"/>
        <w:spacing w:before="80" w:after="0"/>
        <w:jc w:val="left"/>
        <w:rPr>
          <w:rFonts w:ascii="ARIAL" w:hAnsi="ARIAL"/>
          <w:sz w:val="18"/>
        </w:rPr>
      </w:pPr>
      <w:r>
        <w:rPr>
          <w:rFonts w:ascii="ARIAL" w:hAnsi="ARIAL"/>
          <w:sz w:val="18"/>
        </w:rPr>
        <w:t xml:space="preserve">Following the automatic termination of the Capital Allocation Committee in January 2026, the Board determined to reserve capital allocation matters for itself. Since January 2026, capital allocation matters have been overseen by the full Board at each quarterly Board meeting, reflecting the Board’s view that decisions relating to capital deployment, liquidity, and long-term investment priorities are integral to the Company’s overall strategy and risk oversight. This approach helps ensure that all directors participate in the evaluation of significant capital allocation decisions and their alignment with stockholder interests. </w:t>
      </w:r>
    </w:p>
    <w:p>
      <w:pPr>
        <w:pStyle w:val="TextBody"/>
        <w:bidi w:val="0"/>
        <w:spacing w:before="360" w:after="0"/>
        <w:jc w:val="left"/>
        <w:rPr>
          <w:rFonts w:ascii="ARIAL" w:hAnsi="ARIAL"/>
          <w:b/>
          <w:sz w:val="24"/>
        </w:rPr>
      </w:pPr>
      <w:bookmarkStart w:id="14" w:name="toc903159_12"/>
      <w:bookmarkEnd w:id="14"/>
      <w:r>
        <w:rPr>
          <w:rFonts w:ascii="ARIAL" w:hAnsi="ARIAL"/>
          <w:b/>
          <w:sz w:val="24"/>
        </w:rPr>
        <w:t xml:space="preserve">Corporate Governance Overview </w:t>
      </w:r>
    </w:p>
    <w:p>
      <w:pPr>
        <w:pStyle w:val="TextBody"/>
        <w:bidi w:val="0"/>
        <w:spacing w:before="360" w:after="0"/>
        <w:jc w:val="left"/>
        <w:rPr>
          <w:rFonts w:ascii="ARIAL" w:hAnsi="ARIAL"/>
          <w:b/>
          <w:sz w:val="18"/>
        </w:rPr>
      </w:pPr>
      <w:r>
        <w:rPr>
          <w:rFonts w:ascii="ARIAL" w:hAnsi="ARIAL"/>
          <w:b/>
          <w:sz w:val="18"/>
        </w:rPr>
        <w:t xml:space="preserve">Principles of Corporate Governance </w:t>
      </w:r>
    </w:p>
    <w:p>
      <w:pPr>
        <w:pStyle w:val="TextBody"/>
        <w:bidi w:val="0"/>
        <w:spacing w:before="80" w:after="0"/>
        <w:jc w:val="left"/>
        <w:rPr>
          <w:rFonts w:ascii="ARIAL" w:hAnsi="ARIAL"/>
          <w:sz w:val="18"/>
        </w:rPr>
      </w:pPr>
      <w:r>
        <w:rPr>
          <w:rFonts w:ascii="ARIAL" w:hAnsi="ARIAL"/>
          <w:sz w:val="18"/>
        </w:rPr>
        <w:t xml:space="preserve">The Board, based on the recommendation of the Nominating and Corporate Governance Committee, regularly reviews and evaluates the Company’s corporate governance practices. The Board has adopted the Company’s Principles of Corporate Governance, which guides its members in the exercise of its responsibilities. The Company’s Principles of Corporate Governance can be found in the “Investors” section of the Company’s website under “Corporate Governance” and “Governance Documents” at https://investors.costargroup.com/corporate-governance/governance-documents. </w:t>
      </w:r>
    </w:p>
    <w:p>
      <w:pPr>
        <w:pStyle w:val="TextBody"/>
        <w:bidi w:val="0"/>
        <w:spacing w:before="360" w:after="0"/>
        <w:jc w:val="left"/>
        <w:rPr>
          <w:rFonts w:ascii="ARIAL" w:hAnsi="ARIAL"/>
          <w:b/>
          <w:sz w:val="18"/>
        </w:rPr>
      </w:pPr>
      <w:r>
        <w:rPr>
          <w:rFonts w:ascii="ARIAL" w:hAnsi="ARIAL"/>
          <w:b/>
          <w:sz w:val="18"/>
        </w:rPr>
        <w:t xml:space="preserve">Director Retirement Policy </w:t>
      </w:r>
    </w:p>
    <w:p>
      <w:pPr>
        <w:pStyle w:val="TextBody"/>
        <w:bidi w:val="0"/>
        <w:spacing w:before="80" w:after="0"/>
        <w:jc w:val="left"/>
        <w:rPr>
          <w:rFonts w:ascii="ARIAL" w:hAnsi="ARIAL"/>
          <w:sz w:val="18"/>
        </w:rPr>
      </w:pPr>
      <w:r>
        <w:rPr>
          <w:rFonts w:ascii="ARIAL" w:hAnsi="ARIAL"/>
          <w:sz w:val="18"/>
        </w:rPr>
        <w:t xml:space="preserve">In April 2025, the Board amended the Principles of Corporate Governance to adopt a retirement policy providing that no director will be nominated for election or re-election to the Board if he or she would be 75 or older at the time of the election, unless the Nominating and Corporate Governance Committee and Board determine that the continued service of the director on the Board would be of benefit to the Company. </w:t>
      </w:r>
    </w:p>
    <w:p>
      <w:pPr>
        <w:pStyle w:val="TextBody"/>
        <w:bidi w:val="0"/>
        <w:spacing w:before="360" w:after="0"/>
        <w:jc w:val="left"/>
        <w:rPr>
          <w:rFonts w:ascii="ARIAL" w:hAnsi="ARIAL"/>
          <w:b/>
          <w:sz w:val="18"/>
        </w:rPr>
      </w:pPr>
      <w:r>
        <w:rPr>
          <w:rFonts w:ascii="ARIAL" w:hAnsi="ARIAL"/>
          <w:b/>
          <w:sz w:val="18"/>
        </w:rPr>
        <w:t xml:space="preserve">Meeting Attendance </w:t>
      </w:r>
    </w:p>
    <w:p>
      <w:pPr>
        <w:pStyle w:val="TextBody"/>
        <w:bidi w:val="0"/>
        <w:spacing w:before="80" w:after="0"/>
        <w:jc w:val="left"/>
        <w:rPr>
          <w:rFonts w:ascii="ARIAL" w:hAnsi="ARIAL"/>
          <w:sz w:val="18"/>
        </w:rPr>
      </w:pPr>
      <w:r>
        <w:rPr>
          <w:rFonts w:ascii="ARIAL" w:hAnsi="ARIAL"/>
          <w:sz w:val="18"/>
        </w:rPr>
        <w:t xml:space="preserve">Directors are expected to attend all meetings of the Board and the committees on which they serve. During 2025, the Board held eight meetings and acted by unanimous written consent two times. During 2025, each director attended at least 75% of the aggregate of the total number of meetings of the Board and the total number of meetings held by each committee of the Board on which the director served, during the period in which the director so served. </w:t>
      </w:r>
    </w:p>
    <w:p>
      <w:pPr>
        <w:pStyle w:val="TextBody"/>
        <w:bidi w:val="0"/>
        <w:spacing w:before="120" w:after="0"/>
        <w:jc w:val="left"/>
        <w:rPr>
          <w:rFonts w:ascii="ARIAL" w:hAnsi="ARIAL"/>
          <w:sz w:val="18"/>
        </w:rPr>
      </w:pPr>
      <w:r>
        <w:rPr>
          <w:rFonts w:ascii="ARIAL" w:hAnsi="ARIAL"/>
          <w:sz w:val="18"/>
        </w:rPr>
        <w:t xml:space="preserve">We encourage, but do not require, directors to attend the Annual Meetings of Stockholders. In 2025, no directors attended the Annual Meeting of Stockholders. </w:t>
      </w:r>
    </w:p>
    <w:p>
      <w:pPr>
        <w:pStyle w:val="TextBody"/>
        <w:bidi w:val="0"/>
        <w:spacing w:before="360" w:after="0"/>
        <w:jc w:val="left"/>
        <w:rPr>
          <w:rFonts w:ascii="ARIAL" w:hAnsi="ARIAL"/>
          <w:b/>
          <w:sz w:val="18"/>
        </w:rPr>
      </w:pPr>
      <w:r>
        <w:rPr>
          <w:rFonts w:ascii="ARIAL" w:hAnsi="ARIAL"/>
          <w:b/>
          <w:sz w:val="18"/>
        </w:rPr>
        <w:t xml:space="preserve">Executive Sessions </w:t>
      </w:r>
    </w:p>
    <w:p>
      <w:pPr>
        <w:pStyle w:val="TextBody"/>
        <w:bidi w:val="0"/>
        <w:spacing w:before="80" w:after="0"/>
        <w:jc w:val="left"/>
        <w:rPr>
          <w:rFonts w:ascii="ARIAL" w:hAnsi="ARIAL"/>
          <w:sz w:val="18"/>
        </w:rPr>
      </w:pPr>
      <w:r>
        <w:rPr>
          <w:rFonts w:ascii="ARIAL" w:hAnsi="ARIAL"/>
          <w:sz w:val="18"/>
        </w:rPr>
        <w:t xml:space="preserve">On a quarterly basis, time is set aside for the non-management directors to meet in executive session without management present. Ms. Sams, the Board Chair, presides over these executive sessions. Executive sessions of independent directors enable the Board to discuss matters, such as strategy, Chief Executive Officer and senior management performance and compensation, and board effectiveness, without management present. Any director may request additional executive sessions of independent directors. </w:t>
      </w:r>
    </w:p>
    <w:p>
      <w:pPr>
        <w:pStyle w:val="TextBody"/>
        <w:bidi w:val="0"/>
        <w:spacing w:before="360" w:after="0"/>
        <w:jc w:val="left"/>
        <w:rPr>
          <w:rFonts w:ascii="ARIAL" w:hAnsi="ARIAL"/>
          <w:b/>
          <w:sz w:val="18"/>
        </w:rPr>
      </w:pPr>
      <w:r>
        <w:rPr>
          <w:rFonts w:ascii="ARIAL" w:hAnsi="ARIAL"/>
          <w:b/>
          <w:sz w:val="18"/>
        </w:rPr>
        <w:t xml:space="preserve">Majority Voting Standard </w:t>
      </w:r>
    </w:p>
    <w:p>
      <w:pPr>
        <w:pStyle w:val="TextBody"/>
        <w:bidi w:val="0"/>
        <w:spacing w:before="80" w:after="0"/>
        <w:jc w:val="left"/>
        <w:rPr>
          <w:rFonts w:ascii="ARIAL" w:hAnsi="ARIAL"/>
          <w:sz w:val="18"/>
        </w:rPr>
      </w:pPr>
      <w:r>
        <w:rPr>
          <w:rFonts w:ascii="ARIAL" w:hAnsi="ARIAL"/>
          <w:sz w:val="18"/>
        </w:rPr>
        <w:t xml:space="preserve">In a non-contested election, directors are elected by a majority of votes cast by stockholders (i.e., if the number of votes cast for the nominee’s election exceeds the number of votes cast against the nominee’s election). A non-contested election is an election where the number of nominees does not exceed the number of directors to be elected. </w:t>
      </w:r>
    </w:p>
    <w:p>
      <w:pPr>
        <w:pStyle w:val="TextBody"/>
        <w:bidi w:val="0"/>
        <w:spacing w:before="120" w:after="0"/>
        <w:jc w:val="left"/>
        <w:rPr>
          <w:rFonts w:ascii="ARIAL" w:hAnsi="ARIAL"/>
          <w:sz w:val="18"/>
        </w:rPr>
      </w:pPr>
      <w:r>
        <w:rPr>
          <w:rFonts w:ascii="ARIAL" w:hAnsi="ARIAL"/>
          <w:sz w:val="18"/>
        </w:rPr>
        <w:t xml:space="preserve">The Nominating and Corporate Governance Committee has established procedures for any director who is not elected to tender his or her resignation. The Nominating and Corporate Governance Committee will recommend to the Board whether to accept or reject the resignation offer, or whether other action should be taken. In determining whether to recommend that the Board accept any resignation offer, the Nominating and Corporate Governance Committee may consider all factors that the Committee’s members believe are relevant. The Board will act on the Nominating and Corporate Governance Committee’s recommendation within 90 days following certification of the election results. In deciding whether to accept the resignation offer, the Board will consider the factors considered by the Nominating and Corporate Governance Committee and any additional information and factors that the Board believes to be relevant. If the Board accepts a director’s resignation offer pursuant to this process, the Nominating and Corporate Governance Committee will recommend to the Board and the Board will thereafter determine whether to fill the vacancy or reduce the size of the Board. Any director who tenders his or her resignation pursuant to this provision will not participate in the proceedings of either the Nominating and Corporate Governance Committee or the Board with respect to his or her own resignation offer. </w:t>
      </w:r>
    </w:p>
    <w:p>
      <w:pPr>
        <w:pStyle w:val="TextBody"/>
        <w:bidi w:val="0"/>
        <w:spacing w:before="0" w:after="0"/>
        <w:jc w:val="left"/>
        <w:rPr/>
      </w:pPr>
      <w:r>
        <w:rPr/>
        <w:t>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72"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53" descr=""/>
                          <pic:cNvPicPr>
                            <a:picLocks noChangeAspect="1" noChangeArrowheads="1"/>
                          </pic:cNvPicPr>
                        </pic:nvPicPr>
                        <pic:blipFill>
                          <a:blip r:embed="rId26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a contested election, the director nominees who receive the plurality of votes cast are elected as directors. Under the plurality standard, the number of persons equal to the number of vacancies to be filled who receive more votes than other nominees are elected to the Board, regardless of whether they receive a majority of votes cast. An election is considered contested under our By-Laws if there are more nominees than positions on the Board to be filled at the meeting of stockholders as of the fifth business day prior to the date on which we file our definitive proxy statement with the SEC. </w:t>
      </w:r>
    </w:p>
    <w:p>
      <w:pPr>
        <w:pStyle w:val="TextBody"/>
        <w:bidi w:val="0"/>
        <w:spacing w:before="360" w:after="0"/>
        <w:jc w:val="left"/>
        <w:rPr>
          <w:rFonts w:ascii="ARIAL" w:hAnsi="ARIAL"/>
          <w:b/>
          <w:sz w:val="18"/>
        </w:rPr>
      </w:pPr>
      <w:r>
        <w:rPr>
          <w:rFonts w:ascii="ARIAL" w:hAnsi="ARIAL"/>
          <w:b/>
          <w:sz w:val="18"/>
        </w:rPr>
        <w:t xml:space="preserve">Proxy Access </w:t>
      </w:r>
    </w:p>
    <w:p>
      <w:pPr>
        <w:pStyle w:val="TextBody"/>
        <w:bidi w:val="0"/>
        <w:spacing w:before="80" w:after="0"/>
        <w:jc w:val="left"/>
        <w:rPr>
          <w:rFonts w:ascii="ARIAL" w:hAnsi="ARIAL"/>
          <w:sz w:val="18"/>
        </w:rPr>
      </w:pPr>
      <w:r>
        <w:rPr>
          <w:rFonts w:ascii="ARIAL" w:hAnsi="ARIAL"/>
          <w:sz w:val="18"/>
        </w:rPr>
        <w:t xml:space="preserve">Our By-Laws allow eligible stockholders to propose director nominees for inclusion in the proxy statement in addition to the nominees proposed by the Board. The proxy access By-Law permits stockholders owning 3% or more of our issued and outstanding shares of common stock for at least three years to nominate candidates for election to our Board. The number of candidates that may be so nominated is limited to the greater of two or the largest whole number that does not exceed 20% of our Board. The number of stockholders who may aggregate their shares to meet the 3% ownership threshold is limited to 20. The stockholder(s) and nominee(s) must also satisfy the other requirements contained in our By-Laws. </w:t>
      </w:r>
    </w:p>
    <w:p>
      <w:pPr>
        <w:pStyle w:val="TextBody"/>
        <w:bidi w:val="0"/>
        <w:spacing w:before="360" w:after="0"/>
        <w:jc w:val="left"/>
        <w:rPr>
          <w:rFonts w:ascii="ARIAL" w:hAnsi="ARIAL"/>
          <w:b/>
          <w:sz w:val="18"/>
        </w:rPr>
      </w:pPr>
      <w:r>
        <w:rPr>
          <w:rFonts w:ascii="ARIAL" w:hAnsi="ARIAL"/>
          <w:b/>
          <w:sz w:val="18"/>
        </w:rPr>
        <w:t xml:space="preserve">Code of Business Conduct and Ethics </w:t>
      </w:r>
    </w:p>
    <w:p>
      <w:pPr>
        <w:pStyle w:val="TextBody"/>
        <w:bidi w:val="0"/>
        <w:spacing w:before="80" w:after="0"/>
        <w:jc w:val="left"/>
        <w:rPr>
          <w:rFonts w:ascii="ARIAL" w:hAnsi="ARIAL"/>
          <w:sz w:val="18"/>
        </w:rPr>
      </w:pPr>
      <w:r>
        <w:rPr>
          <w:rFonts w:ascii="ARIAL" w:hAnsi="ARIAL"/>
          <w:sz w:val="18"/>
        </w:rPr>
        <w:t xml:space="preserve">We have adopted a Code of Business Conduct and Ethics (which we refer to as our Code) that applies to all of our employees, officers, directors, and contractors, including those officers responsible for financial reporting. We intend to disclose any amendment or waiver of a provision of the Code that applies to our principal executive officer, principal financial officer, principal accounting officer or controller, or persons performing similar functions, by posting such information in the “Investors” section of the Company’s website under “Corporate Governance” and “Governance Documents” at https://investors.costargroup.com/corporate-governance/governance-documents and/or in our public filings with the SEC. </w:t>
      </w:r>
    </w:p>
    <w:p>
      <w:pPr>
        <w:pStyle w:val="TextBody"/>
        <w:bidi w:val="0"/>
        <w:spacing w:before="360" w:after="0"/>
        <w:jc w:val="left"/>
        <w:rPr>
          <w:rFonts w:ascii="ARIAL" w:hAnsi="ARIAL"/>
          <w:b/>
          <w:sz w:val="18"/>
        </w:rPr>
      </w:pPr>
      <w:r>
        <w:rPr>
          <w:rFonts w:ascii="ARIAL" w:hAnsi="ARIAL"/>
          <w:b/>
          <w:sz w:val="18"/>
        </w:rPr>
        <w:t xml:space="preserve">Director Independence </w:t>
      </w:r>
    </w:p>
    <w:p>
      <w:pPr>
        <w:pStyle w:val="TextBody"/>
        <w:bidi w:val="0"/>
        <w:spacing w:before="80" w:after="0"/>
        <w:jc w:val="left"/>
        <w:rPr>
          <w:rFonts w:ascii="ARIAL" w:hAnsi="ARIAL"/>
          <w:sz w:val="18"/>
        </w:rPr>
      </w:pPr>
      <w:r>
        <w:rPr>
          <w:rFonts w:ascii="ARIAL" w:hAnsi="ARIAL"/>
          <w:sz w:val="18"/>
        </w:rPr>
        <w:t xml:space="preserve">Our Principles of Corporate Governance require that a substantial majority of our Board be comprised of directors who meet the definition of independence under Rule 5605(a)(2) of the Nasdaq listing rules. Our committee charters likewise require that our standing Audit, Compensation, and Nominating and Corporate Governance Committees be comprised only of independent directors. Additionally, the Audit Committee members must be independent under Rule 10A-3 promulgated under the Exchange Act. The Compensation Committee members must qualify as “non-employee directors” under Rule 16b-3 promulgated under the Exchange Act. </w:t>
      </w:r>
    </w:p>
    <w:p>
      <w:pPr>
        <w:pStyle w:val="TextBody"/>
        <w:bidi w:val="0"/>
        <w:spacing w:before="120" w:after="0"/>
        <w:jc w:val="left"/>
        <w:rPr>
          <w:rFonts w:ascii="ARIAL" w:hAnsi="ARIAL"/>
          <w:sz w:val="18"/>
        </w:rPr>
      </w:pPr>
      <w:r>
        <w:rPr>
          <w:rFonts w:ascii="ARIAL" w:hAnsi="ARIAL"/>
          <w:sz w:val="18"/>
        </w:rPr>
        <w:t xml:space="preserve">Utilizing this criteria, as well as all relevant facts and circumstances, the Board annually assesses the independence from management of all non-management directors and committee members by reviewing the commercial, financial, familial, employment and other relationships between each director and the Company, its auditors, and other companies that do business with CoStar Group. Because of our worldwide reach, it is not unusual for CoStar Group to engage in ordinary course of business transactions involving the sale of subscription services, the purchase of commercial services, or a contribution to local charities with entities affiliated with one of our directors, or their immediate family members. The Board considered these transactions in determining director independence and determined that such transactions did not impair any director’s independence. </w:t>
      </w:r>
    </w:p>
    <w:p>
      <w:pPr>
        <w:pStyle w:val="TextBody"/>
        <w:bidi w:val="0"/>
        <w:spacing w:before="120" w:after="0"/>
        <w:jc w:val="left"/>
        <w:rPr>
          <w:rFonts w:ascii="ARIAL" w:hAnsi="ARIAL"/>
          <w:sz w:val="18"/>
        </w:rPr>
      </w:pPr>
      <w:r>
        <w:rPr>
          <w:rFonts w:ascii="ARIAL" w:hAnsi="ARIAL"/>
          <w:sz w:val="18"/>
        </w:rPr>
        <w:t xml:space="preserve">After analysis and recommendation by the Nominating and Corporate Governance Committee, the Board determined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Messrs. Berisford, Hill, and Musslewhite, and Mses. Brunner, Glaser, McCarthy, and Sams are each independent as defined under Rule 5605(a)(2) of the Nasdaq listing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Our Audit Committee members (Mr. Hill and Mses. Brunner, Glaser, and Sams) are independent under Section 10A-3 of the Exchange Act. </w:t>
            </w:r>
          </w:p>
        </w:tc>
      </w:tr>
    </w:tbl>
    <w:p>
      <w:pPr>
        <w:pStyle w:val="TextBody"/>
        <w:bidi w:val="0"/>
        <w:spacing w:before="360" w:after="0"/>
        <w:jc w:val="left"/>
        <w:rPr>
          <w:rFonts w:ascii="ARIAL" w:hAnsi="ARIAL"/>
          <w:i/>
          <w:sz w:val="18"/>
        </w:rPr>
      </w:pPr>
      <w:r>
        <w:rPr>
          <w:rFonts w:ascii="ARIAL" w:hAnsi="ARIAL"/>
          <w:i/>
          <w:sz w:val="18"/>
        </w:rPr>
        <w:t xml:space="preserve">Former Directors </w:t>
      </w:r>
    </w:p>
    <w:p>
      <w:pPr>
        <w:pStyle w:val="TextBody"/>
        <w:bidi w:val="0"/>
        <w:spacing w:before="80" w:after="0"/>
        <w:jc w:val="left"/>
        <w:rPr>
          <w:rFonts w:ascii="ARIAL" w:hAnsi="ARIAL"/>
          <w:sz w:val="18"/>
        </w:rPr>
      </w:pPr>
      <w:r>
        <w:rPr>
          <w:rFonts w:ascii="ARIAL" w:hAnsi="ARIAL"/>
          <w:sz w:val="18"/>
        </w:rPr>
        <w:t xml:space="preserve">The Board also determined that former directors Messrs. Banerjee, Klein and Nassetta and Ms. Kaplan were each independent as defined under Rule 5605(a)(2) of the Nasdaq listing rules during their Board service. As noted above, it is not unusual for CoStar Group to engage in ordinary course of business transactions involving the sale of subscription services, the purchase of commercial services, or a contribution to local charities with entities affiliated with one of our directors, or their immediate family members. The Board considered these transactions in determining director independence and determined that the transactions were not material, the terms between the parties were no less favorable than terms generally available to an unaffiliated third party under the same or similar circumstances, and such transactions did not impair any director’s independence.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73"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4" descr=""/>
                          <pic:cNvPicPr>
                            <a:picLocks noChangeAspect="1" noChangeArrowheads="1"/>
                          </pic:cNvPicPr>
                        </pic:nvPicPr>
                        <pic:blipFill>
                          <a:blip r:embed="rId26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15" w:name="toc903159_13"/>
      <w:bookmarkEnd w:id="15"/>
      <w:r>
        <w:rPr>
          <w:rFonts w:ascii="ARIAL" w:hAnsi="ARIAL"/>
          <w:b/>
          <w:sz w:val="24"/>
        </w:rPr>
        <w:t xml:space="preserve">Director Compensation </w:t>
      </w:r>
    </w:p>
    <w:p>
      <w:pPr>
        <w:pStyle w:val="TextBody"/>
        <w:bidi w:val="0"/>
        <w:spacing w:before="80" w:after="0"/>
        <w:jc w:val="left"/>
        <w:rPr>
          <w:rFonts w:ascii="ARIAL" w:hAnsi="ARIAL"/>
          <w:sz w:val="18"/>
        </w:rPr>
      </w:pPr>
      <w:r>
        <w:rPr>
          <w:rFonts w:ascii="ARIAL" w:hAnsi="ARIAL"/>
          <w:sz w:val="18"/>
        </w:rPr>
        <w:t xml:space="preserve">The Compensation Committee annually reviews director compensation for service on the Board and its committees and recommends director compensation and any changes to such compensation to the Board for approval. The Board annually reviews and approves director compensation based on the recommendations of the Compensation Committee. Directors who are also employees of the Company do not receive any additional compensation for service on the Board. </w:t>
      </w:r>
    </w:p>
    <w:p>
      <w:pPr>
        <w:pStyle w:val="TextBody"/>
        <w:bidi w:val="0"/>
        <w:spacing w:before="120" w:after="0"/>
        <w:jc w:val="left"/>
        <w:rPr>
          <w:rFonts w:ascii="ARIAL" w:hAnsi="ARIAL"/>
          <w:sz w:val="18"/>
        </w:rPr>
      </w:pPr>
      <w:r>
        <w:rPr>
          <w:rFonts w:ascii="ARIAL" w:hAnsi="ARIAL"/>
          <w:sz w:val="18"/>
        </w:rPr>
        <w:t xml:space="preserve">Under our prior director compensation program in effect for 2025, our non-employee directors were paid an annual cash retainer of $50,000 and our Board Chair was paid an additional annual cash retainer of $70,000. Annual cash retainers are prorated for any partial years of service. </w:t>
      </w:r>
    </w:p>
    <w:p>
      <w:pPr>
        <w:pStyle w:val="TextBody"/>
        <w:bidi w:val="0"/>
        <w:spacing w:before="120" w:after="0"/>
        <w:jc w:val="left"/>
        <w:rPr>
          <w:rFonts w:ascii="ARIAL" w:hAnsi="ARIAL"/>
          <w:sz w:val="18"/>
        </w:rPr>
      </w:pPr>
      <w:r>
        <w:rPr>
          <w:rFonts w:ascii="ARIAL" w:hAnsi="ARIAL"/>
          <w:sz w:val="18"/>
        </w:rPr>
        <w:t xml:space="preserve">Each of our non-employee directors (including our Board Chair) received an annual equity award with an approximate grant date value of $250,000, 100% of which was in the form of restricted stock. In addition, in 2025, each of our non-employee directors received additional annual equity awards, all of which were also in the form of restricted stock, for service on the Board committees with the following approximate grant date values: </w:t>
      </w:r>
    </w:p>
    <w:p>
      <w:pPr>
        <w:pStyle w:val="TextBody"/>
        <w:bidi w:val="0"/>
        <w:spacing w:before="0" w:after="0"/>
        <w:jc w:val="left"/>
        <w:rPr/>
      </w:pPr>
      <w:r>
        <w:rPr/>
        <w:t> </w:t>
      </w:r>
    </w:p>
    <w:tbl>
      <w:tblPr>
        <w:tblW w:w="5874" w:type="dxa"/>
        <w:jc w:val="left"/>
        <w:tblInd w:w="0" w:type="dxa"/>
        <w:tblLayout w:type="fixed"/>
        <w:tblCellMar>
          <w:top w:w="0" w:type="dxa"/>
          <w:left w:w="0" w:type="dxa"/>
          <w:bottom w:w="0" w:type="dxa"/>
          <w:right w:w="0" w:type="dxa"/>
        </w:tblCellMar>
      </w:tblPr>
      <w:tblGrid>
        <w:gridCol w:w="3725"/>
        <w:gridCol w:w="23"/>
        <w:gridCol w:w="27"/>
        <w:gridCol w:w="72"/>
        <w:gridCol w:w="971"/>
        <w:gridCol w:w="75"/>
        <w:gridCol w:w="23"/>
        <w:gridCol w:w="23"/>
        <w:gridCol w:w="60"/>
        <w:gridCol w:w="800"/>
        <w:gridCol w:w="75"/>
      </w:tblGrid>
      <w:tr>
        <w:trPr/>
        <w:tc>
          <w:tcPr>
            <w:tcW w:w="37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25" w:type="dxa"/>
            <w:tcBorders/>
            <w:shd w:fill="0054BA" w:val="clear"/>
            <w:vAlign w:val="center"/>
          </w:tcPr>
          <w:p>
            <w:pPr>
              <w:pStyle w:val="TableContents"/>
              <w:bidi w:val="0"/>
              <w:spacing w:before="0" w:after="283"/>
              <w:jc w:val="left"/>
              <w:rPr>
                <w:sz w:val="4"/>
                <w:szCs w:val="4"/>
              </w:rPr>
            </w:pPr>
            <w:r>
              <w:rPr>
                <w:sz w:val="4"/>
                <w:szCs w:val="4"/>
              </w:rPr>
            </w:r>
          </w:p>
        </w:tc>
        <w:tc>
          <w:tcPr>
            <w:tcW w:w="1168" w:type="dxa"/>
            <w:gridSpan w:val="5"/>
            <w:tcBorders/>
            <w:shd w:fill="0054BA" w:val="clear"/>
            <w:vAlign w:val="center"/>
          </w:tcPr>
          <w:p>
            <w:pPr>
              <w:pStyle w:val="TableContents"/>
              <w:bidi w:val="0"/>
              <w:spacing w:before="0" w:after="283"/>
              <w:jc w:val="left"/>
              <w:rPr>
                <w:sz w:val="4"/>
                <w:szCs w:val="4"/>
              </w:rPr>
            </w:pPr>
            <w:r>
              <w:rPr>
                <w:sz w:val="4"/>
                <w:szCs w:val="4"/>
              </w:rPr>
            </w:r>
          </w:p>
        </w:tc>
        <w:tc>
          <w:tcPr>
            <w:tcW w:w="981"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3725"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COMMITTEE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45" w:type="dxa"/>
            <w:gridSpan w:val="4"/>
            <w:tcBorders/>
            <w:shd w:fill="0054BA" w:val="clear"/>
            <w:vAlign w:val="center"/>
          </w:tcPr>
          <w:p>
            <w:pPr>
              <w:pStyle w:val="TableContents"/>
              <w:bidi w:val="0"/>
              <w:spacing w:before="0" w:after="283"/>
              <w:jc w:val="center"/>
              <w:rPr>
                <w:b/>
                <w:color w:val="FFFFFF"/>
              </w:rPr>
            </w:pPr>
            <w:r>
              <w:rPr>
                <w:b/>
                <w:color w:val="FFFFFF"/>
              </w:rPr>
              <w:t>MEMBER</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58" w:type="dxa"/>
            <w:gridSpan w:val="4"/>
            <w:tcBorders/>
            <w:shd w:fill="0054BA" w:val="clear"/>
            <w:vAlign w:val="center"/>
          </w:tcPr>
          <w:p>
            <w:pPr>
              <w:pStyle w:val="TableContents"/>
              <w:bidi w:val="0"/>
              <w:spacing w:before="0" w:after="283"/>
              <w:jc w:val="center"/>
              <w:rPr>
                <w:b/>
                <w:color w:val="FFFFFF"/>
              </w:rPr>
            </w:pPr>
            <w:r>
              <w:rPr>
                <w:b/>
                <w:color w:val="FFFFFF"/>
              </w:rPr>
              <w:t>CHAIR</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168"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Audit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000000"/>
            </w:tcBorders>
            <w:tcMar>
              <w:bottom w:w="100" w:type="dxa"/>
            </w:tcMar>
            <w:vAlign w:val="center"/>
          </w:tcPr>
          <w:p>
            <w:pPr>
              <w:pStyle w:val="TableContents"/>
              <w:bidi w:val="0"/>
              <w:spacing w:before="0" w:after="283"/>
              <w:jc w:val="left"/>
              <w:rPr/>
            </w:pPr>
            <w:r>
              <w:rPr/>
              <w:t> </w:t>
            </w:r>
          </w:p>
        </w:tc>
        <w:tc>
          <w:tcPr>
            <w:tcW w:w="971" w:type="dxa"/>
            <w:tcBorders>
              <w:bottom w:val="single" w:sz="6" w:space="0" w:color="000000"/>
            </w:tcBorders>
            <w:tcMar>
              <w:bottom w:w="100" w:type="dxa"/>
            </w:tcMar>
            <w:vAlign w:val="center"/>
          </w:tcPr>
          <w:p>
            <w:pPr>
              <w:pStyle w:val="TableContents"/>
              <w:bidi w:val="0"/>
              <w:spacing w:before="0" w:after="283"/>
              <w:jc w:val="center"/>
              <w:rPr/>
            </w:pPr>
            <w:r>
              <w:rPr/>
              <w:t>$15,000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0" w:type="dxa"/>
            <w:tcBorders>
              <w:bottom w:val="single" w:sz="6" w:space="0" w:color="000000"/>
            </w:tcBorders>
            <w:tcMar>
              <w:bottom w:w="100" w:type="dxa"/>
            </w:tcMar>
            <w:vAlign w:val="center"/>
          </w:tcPr>
          <w:p>
            <w:pPr>
              <w:pStyle w:val="TableContents"/>
              <w:bidi w:val="0"/>
              <w:spacing w:before="0" w:after="283"/>
              <w:jc w:val="center"/>
              <w:rPr/>
            </w:pPr>
            <w:r>
              <w:rPr/>
              <w:t>$30,000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168"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Compensation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000000"/>
            </w:tcBorders>
            <w:tcMar>
              <w:bottom w:w="100" w:type="dxa"/>
            </w:tcMar>
            <w:vAlign w:val="center"/>
          </w:tcPr>
          <w:p>
            <w:pPr>
              <w:pStyle w:val="TableContents"/>
              <w:bidi w:val="0"/>
              <w:spacing w:before="0" w:after="283"/>
              <w:jc w:val="left"/>
              <w:rPr/>
            </w:pPr>
            <w:r>
              <w:rPr/>
              <w:t> </w:t>
            </w:r>
          </w:p>
        </w:tc>
        <w:tc>
          <w:tcPr>
            <w:tcW w:w="971" w:type="dxa"/>
            <w:tcBorders>
              <w:bottom w:val="single" w:sz="6" w:space="0" w:color="000000"/>
            </w:tcBorders>
            <w:tcMar>
              <w:bottom w:w="100" w:type="dxa"/>
            </w:tcMar>
            <w:vAlign w:val="center"/>
          </w:tcPr>
          <w:p>
            <w:pPr>
              <w:pStyle w:val="TableContents"/>
              <w:bidi w:val="0"/>
              <w:spacing w:before="0" w:after="283"/>
              <w:jc w:val="center"/>
              <w:rPr/>
            </w:pPr>
            <w:r>
              <w:rPr/>
              <w:t>$12,000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0" w:type="dxa"/>
            <w:tcBorders>
              <w:bottom w:val="single" w:sz="6" w:space="0" w:color="000000"/>
            </w:tcBorders>
            <w:tcMar>
              <w:bottom w:w="100" w:type="dxa"/>
            </w:tcMar>
            <w:vAlign w:val="center"/>
          </w:tcPr>
          <w:p>
            <w:pPr>
              <w:pStyle w:val="TableContents"/>
              <w:bidi w:val="0"/>
              <w:spacing w:before="0" w:after="283"/>
              <w:jc w:val="center"/>
              <w:rPr/>
            </w:pPr>
            <w:r>
              <w:rPr/>
              <w:t>$25,000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168"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Nominating and Corporate Governance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000000"/>
            </w:tcBorders>
            <w:tcMar>
              <w:bottom w:w="100" w:type="dxa"/>
            </w:tcMar>
            <w:vAlign w:val="center"/>
          </w:tcPr>
          <w:p>
            <w:pPr>
              <w:pStyle w:val="TableContents"/>
              <w:bidi w:val="0"/>
              <w:spacing w:before="0" w:after="283"/>
              <w:jc w:val="left"/>
              <w:rPr/>
            </w:pPr>
            <w:r>
              <w:rPr/>
              <w:t> </w:t>
            </w:r>
          </w:p>
        </w:tc>
        <w:tc>
          <w:tcPr>
            <w:tcW w:w="971" w:type="dxa"/>
            <w:tcBorders>
              <w:bottom w:val="single" w:sz="6" w:space="0" w:color="000000"/>
            </w:tcBorders>
            <w:tcMar>
              <w:bottom w:w="100" w:type="dxa"/>
            </w:tcMar>
            <w:vAlign w:val="center"/>
          </w:tcPr>
          <w:p>
            <w:pPr>
              <w:pStyle w:val="TableContents"/>
              <w:bidi w:val="0"/>
              <w:spacing w:before="0" w:after="283"/>
              <w:jc w:val="center"/>
              <w:rPr/>
            </w:pPr>
            <w:r>
              <w:rPr/>
              <w:t>$12,000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0" w:type="dxa"/>
            <w:tcBorders>
              <w:bottom w:val="single" w:sz="6" w:space="0" w:color="000000"/>
            </w:tcBorders>
            <w:tcMar>
              <w:bottom w:w="100" w:type="dxa"/>
            </w:tcMar>
            <w:vAlign w:val="center"/>
          </w:tcPr>
          <w:p>
            <w:pPr>
              <w:pStyle w:val="TableContents"/>
              <w:bidi w:val="0"/>
              <w:spacing w:before="0" w:after="283"/>
              <w:jc w:val="center"/>
              <w:rPr/>
            </w:pPr>
            <w:r>
              <w:rPr/>
              <w:t>$25,000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8"/>
        </w:rPr>
      </w:pPr>
      <w:r>
        <w:rPr>
          <w:rFonts w:ascii="ARIAL" w:hAnsi="ARIAL"/>
          <w:sz w:val="18"/>
        </w:rPr>
        <w:t xml:space="preserve">Annual restricted stock awards for non-employee directors are granted on or around the date of the first regular Board meeting following the date of the annual meeting of stockholders, and vest in four equal installments over a four-year period from the grant date of such award; provided, however, that all vesting ceases if the director resigns from our Board or otherwise ceases to serve as a director, unless the Board determines otherwise in certain limited circumstances. The number of shares of restricted stock subject to each award is determined by dividing the total dollar amount of such award by the closing price of the Company’s common stock on the date of grant. </w:t>
      </w:r>
    </w:p>
    <w:p>
      <w:pPr>
        <w:pStyle w:val="TextBody"/>
        <w:bidi w:val="0"/>
        <w:spacing w:before="120" w:after="0"/>
        <w:jc w:val="left"/>
        <w:rPr>
          <w:rFonts w:ascii="ARIAL" w:hAnsi="ARIAL"/>
          <w:sz w:val="18"/>
        </w:rPr>
      </w:pPr>
      <w:r>
        <w:rPr>
          <w:rFonts w:ascii="ARIAL" w:hAnsi="ARIAL"/>
          <w:sz w:val="18"/>
        </w:rPr>
        <w:t xml:space="preserve">In addition to the annual cash retainers and annual equity awards, we also reimburse our non-employee directors for their travel, lodging, and other reasonable expenses incurred in attending meetings of our Board and Board committees. </w:t>
      </w:r>
    </w:p>
    <w:p>
      <w:pPr>
        <w:pStyle w:val="TextBody"/>
        <w:bidi w:val="0"/>
        <w:spacing w:before="360" w:after="0"/>
        <w:jc w:val="left"/>
        <w:rPr>
          <w:rFonts w:ascii="ARIAL" w:hAnsi="ARIAL"/>
          <w:b/>
          <w:sz w:val="18"/>
        </w:rPr>
      </w:pPr>
      <w:r>
        <w:rPr>
          <w:rFonts w:ascii="ARIAL" w:hAnsi="ARIAL"/>
          <w:b/>
          <w:sz w:val="18"/>
        </w:rPr>
        <w:t xml:space="preserve">2025 Non-Employee Director Compensation </w:t>
      </w:r>
    </w:p>
    <w:p>
      <w:pPr>
        <w:pStyle w:val="TextBody"/>
        <w:bidi w:val="0"/>
        <w:spacing w:before="0" w:after="0"/>
        <w:jc w:val="left"/>
        <w:rPr/>
      </w:pPr>
      <w:r>
        <w:rPr/>
        <w:t> </w:t>
      </w:r>
    </w:p>
    <w:tbl>
      <w:tblPr>
        <w:tblW w:w="5580" w:type="dxa"/>
        <w:jc w:val="left"/>
        <w:tblInd w:w="0" w:type="dxa"/>
        <w:tblLayout w:type="fixed"/>
        <w:tblCellMar>
          <w:top w:w="0" w:type="dxa"/>
          <w:left w:w="0" w:type="dxa"/>
          <w:bottom w:w="0" w:type="dxa"/>
          <w:right w:w="0" w:type="dxa"/>
        </w:tblCellMar>
      </w:tblPr>
      <w:tblGrid>
        <w:gridCol w:w="1895"/>
        <w:gridCol w:w="23"/>
        <w:gridCol w:w="31"/>
        <w:gridCol w:w="83"/>
        <w:gridCol w:w="1276"/>
        <w:gridCol w:w="85"/>
        <w:gridCol w:w="23"/>
        <w:gridCol w:w="23"/>
        <w:gridCol w:w="60"/>
        <w:gridCol w:w="920"/>
        <w:gridCol w:w="60"/>
        <w:gridCol w:w="23"/>
        <w:gridCol w:w="23"/>
        <w:gridCol w:w="60"/>
        <w:gridCol w:w="920"/>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shd w:fill="0054BA" w:val="clear"/>
            <w:vAlign w:val="center"/>
          </w:tcPr>
          <w:p>
            <w:pPr>
              <w:pStyle w:val="TableContents"/>
              <w:bidi w:val="0"/>
              <w:spacing w:before="0" w:after="283"/>
              <w:jc w:val="left"/>
              <w:rPr>
                <w:sz w:val="4"/>
                <w:szCs w:val="4"/>
              </w:rPr>
            </w:pPr>
            <w:r>
              <w:rPr>
                <w:sz w:val="4"/>
                <w:szCs w:val="4"/>
              </w:rPr>
            </w:r>
          </w:p>
        </w:tc>
        <w:tc>
          <w:tcPr>
            <w:tcW w:w="1498" w:type="dxa"/>
            <w:gridSpan w:val="5"/>
            <w:tcBorders/>
            <w:shd w:fill="0054BA" w:val="clear"/>
            <w:vAlign w:val="center"/>
          </w:tcPr>
          <w:p>
            <w:pPr>
              <w:pStyle w:val="TableContents"/>
              <w:bidi w:val="0"/>
              <w:spacing w:before="0" w:after="283"/>
              <w:jc w:val="left"/>
              <w:rPr>
                <w:sz w:val="4"/>
                <w:szCs w:val="4"/>
              </w:rPr>
            </w:pPr>
            <w:r>
              <w:rPr>
                <w:sz w:val="4"/>
                <w:szCs w:val="4"/>
              </w:rPr>
            </w:r>
          </w:p>
        </w:tc>
        <w:tc>
          <w:tcPr>
            <w:tcW w:w="1086" w:type="dxa"/>
            <w:gridSpan w:val="5"/>
            <w:tcBorders/>
            <w:shd w:fill="0054BA" w:val="clear"/>
            <w:vAlign w:val="center"/>
          </w:tcPr>
          <w:p>
            <w:pPr>
              <w:pStyle w:val="TableContents"/>
              <w:bidi w:val="0"/>
              <w:spacing w:before="0" w:after="283"/>
              <w:jc w:val="left"/>
              <w:rPr>
                <w:sz w:val="4"/>
                <w:szCs w:val="4"/>
              </w:rPr>
            </w:pPr>
            <w:r>
              <w:rPr>
                <w:sz w:val="4"/>
                <w:szCs w:val="4"/>
              </w:rPr>
            </w:r>
          </w:p>
        </w:tc>
        <w:tc>
          <w:tcPr>
            <w:tcW w:w="1101"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895"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NAME(1)</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75"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FEES EARNED OR</w:t>
            </w:r>
          </w:p>
          <w:p>
            <w:pPr>
              <w:pStyle w:val="TableContents"/>
              <w:bidi w:val="0"/>
              <w:spacing w:before="0" w:after="0"/>
              <w:jc w:val="center"/>
              <w:rPr>
                <w:rFonts w:ascii="ARIAL" w:hAnsi="ARIAL"/>
                <w:b/>
                <w:color w:val="FFFFFF"/>
                <w:sz w:val="16"/>
              </w:rPr>
            </w:pPr>
            <w:r>
              <w:rPr>
                <w:rFonts w:ascii="ARIAL" w:hAnsi="ARIAL"/>
                <w:b/>
                <w:color w:val="FFFFFF"/>
                <w:sz w:val="16"/>
              </w:rPr>
              <w:t>PAID IN CASH</w:t>
            </w:r>
          </w:p>
          <w:p>
            <w:pPr>
              <w:pStyle w:val="TableContents"/>
              <w:bidi w:val="0"/>
              <w:spacing w:before="0" w:after="20"/>
              <w:jc w:val="center"/>
              <w:rPr>
                <w:rFonts w:ascii="ARIAL" w:hAnsi="ARIAL"/>
                <w:b/>
                <w:color w:val="FFFFFF"/>
                <w:sz w:val="16"/>
              </w:rPr>
            </w:pPr>
            <w:r>
              <w:rPr>
                <w:rFonts w:ascii="ARIAL" w:hAnsi="ARIAL"/>
                <w:b/>
                <w:color w:val="FFFFFF"/>
                <w:sz w:val="16"/>
              </w:rPr>
              <w:t>($)(2)</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06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STOCK</w:t>
            </w:r>
          </w:p>
          <w:p>
            <w:pPr>
              <w:pStyle w:val="TableContents"/>
              <w:bidi w:val="0"/>
              <w:spacing w:before="0" w:after="0"/>
              <w:jc w:val="center"/>
              <w:rPr>
                <w:rFonts w:ascii="ARIAL" w:hAnsi="ARIAL"/>
                <w:b/>
                <w:color w:val="FFFFFF"/>
                <w:sz w:val="16"/>
              </w:rPr>
            </w:pPr>
            <w:r>
              <w:rPr>
                <w:rFonts w:ascii="ARIAL" w:hAnsi="ARIAL"/>
                <w:b/>
                <w:color w:val="FFFFFF"/>
                <w:sz w:val="16"/>
              </w:rPr>
              <w:t>AWARDS</w:t>
            </w:r>
          </w:p>
          <w:p>
            <w:pPr>
              <w:pStyle w:val="TableContents"/>
              <w:bidi w:val="0"/>
              <w:spacing w:before="0" w:after="20"/>
              <w:jc w:val="center"/>
              <w:rPr>
                <w:rFonts w:ascii="ARIAL" w:hAnsi="ARIAL"/>
                <w:b/>
                <w:color w:val="FFFFFF"/>
                <w:sz w:val="16"/>
              </w:rPr>
            </w:pPr>
            <w:r>
              <w:rPr>
                <w:rFonts w:ascii="ARIAL" w:hAnsi="ARIAL"/>
                <w:b/>
                <w:color w:val="FFFFFF"/>
                <w:sz w:val="16"/>
              </w:rPr>
              <w:t>($)(3)</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078"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TOTAL</w:t>
            </w:r>
          </w:p>
          <w:p>
            <w:pPr>
              <w:pStyle w:val="TableContents"/>
              <w:bidi w:val="0"/>
              <w:spacing w:before="0" w:after="20"/>
              <w:jc w:val="center"/>
              <w:rPr>
                <w:rFonts w:ascii="ARIAL" w:hAnsi="ARIAL"/>
                <w:b/>
                <w:color w:val="FFFFFF"/>
                <w:sz w:val="16"/>
              </w:rPr>
            </w:pPr>
            <w:r>
              <w:rPr>
                <w:rFonts w:ascii="ARIAL" w:hAnsi="ARIAL"/>
                <w:b/>
                <w:color w:val="FFFFFF"/>
                <w:sz w:val="16"/>
              </w:rPr>
              <w:t>($)</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John L. Berisford</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$36,986</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$262,000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$298,986</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Angelique G. Brunner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$50,000</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$277,000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$327,000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Rachel C. Glaser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$36,986</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$277,000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$313,986</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John W. Hill</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$50,000</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$280,000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$330,000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Laura Cox Kaplan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$25,000</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$25,000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Michael R. Klein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$20,000</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$20,000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Christine M. McCarthy</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$36,986</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$262,000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$298,986</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Robert W. Musslewhite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$50,000</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$275,000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$325,000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Christopher J. Nassetta</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$25,000</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$25,000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498" w:type="dxa"/>
            <w:gridSpan w:val="5"/>
            <w:tcBorders/>
            <w:vAlign w:val="center"/>
          </w:tcPr>
          <w:p>
            <w:pPr>
              <w:pStyle w:val="TableContents"/>
              <w:bidi w:val="0"/>
              <w:spacing w:before="0" w:after="283"/>
              <w:jc w:val="left"/>
              <w:rPr>
                <w:sz w:val="4"/>
                <w:szCs w:val="4"/>
              </w:rPr>
            </w:pPr>
            <w:r>
              <w:rPr>
                <w:sz w:val="4"/>
                <w:szCs w:val="4"/>
              </w:rPr>
            </w:r>
          </w:p>
        </w:tc>
        <w:tc>
          <w:tcPr>
            <w:tcW w:w="1086" w:type="dxa"/>
            <w:gridSpan w:val="5"/>
            <w:tcBorders/>
            <w:vAlign w:val="center"/>
          </w:tcPr>
          <w:p>
            <w:pPr>
              <w:pStyle w:val="TableContents"/>
              <w:bidi w:val="0"/>
              <w:spacing w:before="0" w:after="283"/>
              <w:jc w:val="left"/>
              <w:rPr>
                <w:sz w:val="4"/>
                <w:szCs w:val="4"/>
              </w:rPr>
            </w:pPr>
            <w:r>
              <w:rPr>
                <w:sz w:val="4"/>
                <w:szCs w:val="4"/>
              </w:rPr>
            </w:r>
          </w:p>
        </w:tc>
        <w:tc>
          <w:tcPr>
            <w:tcW w:w="1101"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Louise S. Sams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6" w:type="dxa"/>
            <w:tcBorders>
              <w:bottom w:val="single" w:sz="6" w:space="0" w:color="000000"/>
            </w:tcBorders>
            <w:tcMar>
              <w:bottom w:w="100" w:type="dxa"/>
            </w:tcMar>
            <w:vAlign w:val="center"/>
          </w:tcPr>
          <w:p>
            <w:pPr>
              <w:pStyle w:val="TableContents"/>
              <w:bidi w:val="0"/>
              <w:spacing w:before="0" w:after="283"/>
              <w:jc w:val="center"/>
              <w:rPr/>
            </w:pPr>
            <w:r>
              <w:rPr/>
              <w:t>$105,000</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$290,000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$395,000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i/>
              </w:rPr>
            </w:pPr>
            <w:r>
              <w:rPr>
                <w:i/>
              </w:rPr>
              <w:t>(1)</w:t>
            </w:r>
          </w:p>
        </w:tc>
        <w:tc>
          <w:tcPr>
            <w:tcW w:w="9927" w:type="dxa"/>
            <w:tcBorders/>
            <w:vAlign w:val="center"/>
          </w:tcPr>
          <w:p>
            <w:pPr>
              <w:pStyle w:val="TableContents"/>
              <w:bidi w:val="0"/>
              <w:spacing w:before="0" w:after="0"/>
              <w:jc w:val="left"/>
              <w:rPr>
                <w:rFonts w:ascii="ARIAL" w:hAnsi="ARIAL"/>
                <w:sz w:val="16"/>
              </w:rPr>
            </w:pPr>
            <w:r>
              <w:rPr>
                <w:rFonts w:ascii="ARIAL" w:hAnsi="ARIAL"/>
                <w:b/>
                <w:sz w:val="16"/>
              </w:rPr>
              <w:t>Board Member Changes in 2025.</w:t>
            </w:r>
            <w:r>
              <w:rPr>
                <w:rFonts w:ascii="ARIAL" w:hAnsi="ARIAL"/>
                <w:sz w:val="16"/>
              </w:rPr>
              <w:t xml:space="preserve"> </w:t>
            </w:r>
            <w:r>
              <w:rPr>
                <w:rFonts w:ascii="ARIAL" w:hAnsi="ARIAL"/>
                <w:i/>
                <w:sz w:val="16"/>
              </w:rPr>
              <w:t xml:space="preserve">Messrs. Klein and Nassetta and Ms. Kaplan retired from the Board on April 6, 2025, and Mses. Glaser and McCarthy, and Mr. Berisford joined the Board on April 6, 2025.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i/>
              </w:rPr>
            </w:pPr>
            <w:r>
              <w:rPr>
                <w:i/>
              </w:rPr>
              <w:t>(2)</w:t>
            </w:r>
          </w:p>
        </w:tc>
        <w:tc>
          <w:tcPr>
            <w:tcW w:w="9940" w:type="dxa"/>
            <w:tcBorders/>
            <w:vAlign w:val="center"/>
          </w:tcPr>
          <w:p>
            <w:pPr>
              <w:pStyle w:val="TableContents"/>
              <w:bidi w:val="0"/>
              <w:spacing w:before="0" w:after="0"/>
              <w:jc w:val="left"/>
              <w:rPr>
                <w:rFonts w:ascii="ARIAL" w:hAnsi="ARIAL"/>
                <w:sz w:val="16"/>
              </w:rPr>
            </w:pPr>
            <w:r>
              <w:rPr>
                <w:rFonts w:ascii="ARIAL" w:hAnsi="ARIAL"/>
                <w:b/>
                <w:sz w:val="16"/>
              </w:rPr>
              <w:t>Annual Retainers</w:t>
            </w:r>
            <w:r>
              <w:rPr>
                <w:rFonts w:ascii="ARIAL" w:hAnsi="ARIAL"/>
                <w:i/>
                <w:sz w:val="16"/>
              </w:rPr>
              <w:t xml:space="preserve">. This column shows the amount of cash compensation earned in 2025 for Board and committee service. Annual cash retainers are prorated for partial years of service and are paid to directors in biannual installments and to the Chair in monthly installments.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i/>
              </w:rPr>
            </w:pPr>
            <w:r>
              <w:rPr>
                <w:i/>
              </w:rPr>
              <w:t>(3)</w:t>
            </w:r>
          </w:p>
        </w:tc>
        <w:tc>
          <w:tcPr>
            <w:tcW w:w="9963" w:type="dxa"/>
            <w:tcBorders/>
            <w:vAlign w:val="center"/>
          </w:tcPr>
          <w:p>
            <w:pPr>
              <w:pStyle w:val="TableContents"/>
              <w:bidi w:val="0"/>
              <w:spacing w:before="0" w:after="0"/>
              <w:jc w:val="left"/>
              <w:rPr>
                <w:rFonts w:ascii="ARIAL" w:hAnsi="ARIAL"/>
                <w:sz w:val="16"/>
              </w:rPr>
            </w:pPr>
            <w:r>
              <w:rPr>
                <w:rFonts w:ascii="ARIAL" w:hAnsi="ARIAL"/>
                <w:b/>
                <w:sz w:val="16"/>
              </w:rPr>
              <w:t>Stock Awards</w:t>
            </w:r>
            <w:r>
              <w:rPr>
                <w:rFonts w:ascii="ARIAL" w:hAnsi="ARIAL"/>
                <w:i/>
                <w:sz w:val="16"/>
              </w:rPr>
              <w:t xml:space="preserve">. To align our non-employee directors’ annual compensation with stockholder interests, each non-employee director receives a restricted stock award for service on the Board and its committees. This column shows the aggregate grant date fair value of shares of restricted stock granted in 2025 to each non-employee director, computed in accordance with FASB Accounting Standards Codification Topic 718, “Compensation – Stock Compensation.” The following table shows the aggregate number of shares of unvested restricted stock held by each non-employee director as of December 31, 2025. Other than as set forth below, the non-employee directors did not hold any other outstanding equity awards at fiscal year-end.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74"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5" descr=""/>
                          <pic:cNvPicPr>
                            <a:picLocks noChangeAspect="1" noChangeArrowheads="1"/>
                          </pic:cNvPicPr>
                        </pic:nvPicPr>
                        <pic:blipFill>
                          <a:blip r:embed="rId26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Shares of Unvested Restricted Stock Held by Directors as of 12/31/2025 </w:t>
      </w:r>
    </w:p>
    <w:p>
      <w:pPr>
        <w:pStyle w:val="TextBody"/>
        <w:bidi w:val="0"/>
        <w:spacing w:before="0" w:after="0"/>
        <w:jc w:val="left"/>
        <w:rPr/>
      </w:pPr>
      <w:r>
        <w:rPr/>
        <w:t> </w:t>
      </w:r>
    </w:p>
    <w:tbl>
      <w:tblPr>
        <w:tblW w:w="4110" w:type="dxa"/>
        <w:jc w:val="left"/>
        <w:tblInd w:w="0" w:type="dxa"/>
        <w:tblLayout w:type="fixed"/>
        <w:tblCellMar>
          <w:top w:w="0" w:type="dxa"/>
          <w:left w:w="0" w:type="dxa"/>
          <w:bottom w:w="0" w:type="dxa"/>
          <w:right w:w="0" w:type="dxa"/>
        </w:tblCellMar>
      </w:tblPr>
      <w:tblGrid>
        <w:gridCol w:w="2105"/>
        <w:gridCol w:w="23"/>
        <w:gridCol w:w="62"/>
        <w:gridCol w:w="164"/>
        <w:gridCol w:w="1547"/>
        <w:gridCol w:w="209"/>
      </w:tblGrid>
      <w:tr>
        <w:trPr/>
        <w:tc>
          <w:tcPr>
            <w:tcW w:w="21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105" w:type="dxa"/>
            <w:tcBorders/>
            <w:shd w:fill="0054BA" w:val="clear"/>
            <w:vAlign w:val="center"/>
          </w:tcPr>
          <w:p>
            <w:pPr>
              <w:pStyle w:val="TableContents"/>
              <w:bidi w:val="0"/>
              <w:spacing w:before="0" w:after="283"/>
              <w:jc w:val="left"/>
              <w:rPr>
                <w:sz w:val="4"/>
                <w:szCs w:val="4"/>
              </w:rPr>
            </w:pPr>
            <w:r>
              <w:rPr>
                <w:sz w:val="4"/>
                <w:szCs w:val="4"/>
              </w:rPr>
            </w:r>
          </w:p>
        </w:tc>
        <w:tc>
          <w:tcPr>
            <w:tcW w:w="2005"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2105"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982"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AGGREGATE SHARES </w:t>
              <w:br/>
              <w:t>OF UNVESTED </w:t>
            </w:r>
          </w:p>
          <w:p>
            <w:pPr>
              <w:pStyle w:val="TableContents"/>
              <w:bidi w:val="0"/>
              <w:spacing w:before="0" w:after="0"/>
              <w:jc w:val="center"/>
              <w:rPr>
                <w:rFonts w:ascii="ARIAL" w:hAnsi="ARIAL"/>
                <w:b/>
                <w:color w:val="FFFFFF"/>
                <w:sz w:val="16"/>
              </w:rPr>
            </w:pPr>
            <w:r>
              <w:rPr>
                <w:rFonts w:ascii="ARIAL" w:hAnsi="ARIAL"/>
                <w:b/>
                <w:color w:val="FFFFFF"/>
                <w:sz w:val="16"/>
              </w:rPr>
              <w:t>RESTRICTED STOCK </w:t>
            </w:r>
          </w:p>
          <w:p>
            <w:pPr>
              <w:pStyle w:val="TableContents"/>
              <w:bidi w:val="0"/>
              <w:spacing w:before="0" w:after="20"/>
              <w:jc w:val="center"/>
              <w:rPr>
                <w:rFonts w:ascii="ARIAL" w:hAnsi="ARIAL"/>
                <w:b/>
                <w:color w:val="FFFFFF"/>
                <w:sz w:val="16"/>
              </w:rPr>
            </w:pPr>
            <w:r>
              <w:rPr>
                <w:rFonts w:ascii="ARIAL" w:hAnsi="ARIAL"/>
                <w:b/>
                <w:color w:val="FFFFFF"/>
                <w:sz w:val="16"/>
              </w:rPr>
              <w:t>HELD AS OF 12/31/2025 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John L. Berisford</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2,973</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Angelique G. Brunner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7,528</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Rachel C. Glaser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3,143</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John W. Hill</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8,869</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Laura Cox Kaplan(a)</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Michael R. Klein(a)</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Christine M. McCarthy</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2,973</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Robert W. Musslewhite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8,202</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Christopher J. Nassetta(a)</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2005" w:type="dxa"/>
            <w:gridSpan w:val="5"/>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Louise S. Sams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7" w:type="dxa"/>
            <w:tcBorders>
              <w:bottom w:val="single" w:sz="6" w:space="0" w:color="000000"/>
            </w:tcBorders>
            <w:tcMar>
              <w:bottom w:w="100" w:type="dxa"/>
            </w:tcMar>
            <w:vAlign w:val="center"/>
          </w:tcPr>
          <w:p>
            <w:pPr>
              <w:pStyle w:val="TableContents"/>
              <w:bidi w:val="0"/>
              <w:spacing w:before="0" w:after="283"/>
              <w:jc w:val="center"/>
              <w:rPr/>
            </w:pPr>
            <w:r>
              <w:rPr/>
              <w:t>8,678</w:t>
            </w:r>
          </w:p>
        </w:tc>
        <w:tc>
          <w:tcPr>
            <w:tcW w:w="209" w:type="dxa"/>
            <w:tcBorders>
              <w:bottom w:val="single" w:sz="6" w:space="0" w:color="000000"/>
            </w:tcBorders>
            <w:tcMar>
              <w:bottom w:w="10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i/>
              </w:rPr>
            </w:pPr>
            <w:r>
              <w:rPr>
                <w:i/>
              </w:rPr>
              <w:t>(a)</w:t>
            </w:r>
          </w:p>
        </w:tc>
        <w:tc>
          <w:tcPr>
            <w:tcW w:w="9932" w:type="dxa"/>
            <w:tcBorders/>
            <w:vAlign w:val="center"/>
          </w:tcPr>
          <w:p>
            <w:pPr>
              <w:pStyle w:val="TableContents"/>
              <w:bidi w:val="0"/>
              <w:spacing w:before="0" w:after="0"/>
              <w:jc w:val="left"/>
              <w:rPr>
                <w:rFonts w:ascii="ARIAL" w:hAnsi="ARIAL"/>
                <w:i/>
                <w:sz w:val="16"/>
              </w:rPr>
            </w:pPr>
            <w:r>
              <w:rPr>
                <w:rFonts w:ascii="ARIAL" w:hAnsi="ARIAL"/>
                <w:i/>
                <w:sz w:val="16"/>
              </w:rPr>
              <w:t xml:space="preserve">The information reported for Ms. Kaplan and Messrs. Klein and Nassetta reflects that any unvested restricted stock held by each of these former directors prior to April 6, 2025, the day they retired from the Board, was forfeited. </w:t>
            </w:r>
          </w:p>
        </w:tc>
      </w:tr>
    </w:tbl>
    <w:p>
      <w:pPr>
        <w:pStyle w:val="TextBody"/>
        <w:bidi w:val="0"/>
        <w:spacing w:before="360" w:after="0"/>
        <w:jc w:val="left"/>
        <w:rPr>
          <w:rFonts w:ascii="ARIAL" w:hAnsi="ARIAL"/>
          <w:b/>
          <w:sz w:val="24"/>
        </w:rPr>
      </w:pPr>
      <w:bookmarkStart w:id="16" w:name="toc903159_14"/>
      <w:bookmarkEnd w:id="16"/>
      <w:r>
        <w:rPr>
          <w:rFonts w:ascii="ARIAL" w:hAnsi="ARIAL"/>
          <w:b/>
          <w:sz w:val="24"/>
        </w:rPr>
        <w:t xml:space="preserve">Director Stock Ownership Policy </w:t>
      </w:r>
    </w:p>
    <w:p>
      <w:pPr>
        <w:pStyle w:val="TextBody"/>
        <w:bidi w:val="0"/>
        <w:spacing w:before="80" w:after="0"/>
        <w:jc w:val="left"/>
        <w:rPr>
          <w:rFonts w:ascii="ARIAL" w:hAnsi="ARIAL"/>
          <w:sz w:val="18"/>
        </w:rPr>
      </w:pPr>
      <w:r>
        <w:rPr>
          <w:rFonts w:ascii="ARIAL" w:hAnsi="ARIAL"/>
          <w:sz w:val="18"/>
        </w:rPr>
        <w:t xml:space="preserve">Under the Company’s Director Stock Ownership Policy, each non-employee director is required to own shares of the Company’s common stock with a value equal to five times the annual director cash retainer. Newly appointed directors are required to meet the ownership requirement on or before the first December 31st following the fifth anniversary of the date of their appointment to the Board. The Stock Ownership Policy also includes certain share retention obligations that apply to directors who have not met the minimum equity ownership requirements by the end of their phase-in period or who cease to hold the minimum equity ownership at any time following such date. The current directors are all in compliance with our Director Stock Ownership Policy. The number of shares of unvested restricted stock held by each non-employee director as of December 31, 2025, is shown above in footnote to the Shares of Unvested Restricted Stock Held by Directors as of December 31, 2025. </w:t>
      </w:r>
    </w:p>
    <w:p>
      <w:pPr>
        <w:pStyle w:val="TextBody"/>
        <w:bidi w:val="0"/>
        <w:spacing w:before="360" w:after="0"/>
        <w:jc w:val="left"/>
        <w:rPr>
          <w:rFonts w:ascii="ARIAL" w:hAnsi="ARIAL"/>
          <w:b/>
          <w:sz w:val="24"/>
        </w:rPr>
      </w:pPr>
      <w:r>
        <w:rPr>
          <w:rFonts w:ascii="ARIAL" w:hAnsi="ARIAL"/>
          <w:b/>
          <w:sz w:val="24"/>
        </w:rPr>
        <w:t xml:space="preserve">2026 Director Compensation Program </w:t>
      </w:r>
    </w:p>
    <w:p>
      <w:pPr>
        <w:pStyle w:val="TextBody"/>
        <w:bidi w:val="0"/>
        <w:spacing w:before="80" w:after="0"/>
        <w:jc w:val="left"/>
        <w:rPr>
          <w:rFonts w:ascii="ARIAL" w:hAnsi="ARIAL"/>
          <w:sz w:val="18"/>
        </w:rPr>
      </w:pPr>
      <w:r>
        <w:rPr>
          <w:rFonts w:ascii="ARIAL" w:hAnsi="ARIAL"/>
          <w:sz w:val="18"/>
        </w:rPr>
        <w:t xml:space="preserve">In December 2025, the Compensation Committee undertook a comprehensive review of the Company’s non-employee director compensation program. In conducting its review, the Committee evaluated the structure and competitiveness of the existing program, considered evolving market practices, and reviewed director compensation data for a group of peer companies. The Compensation Committee conducted this review with the assistance of its independent compensation consultant, which provided comparative market data and analysis to inform the Compensation Committee’s evaluation. </w:t>
      </w:r>
    </w:p>
    <w:p>
      <w:pPr>
        <w:pStyle w:val="TextBody"/>
        <w:bidi w:val="0"/>
        <w:spacing w:before="120" w:after="0"/>
        <w:jc w:val="left"/>
        <w:rPr>
          <w:rFonts w:ascii="ARIAL" w:hAnsi="ARIAL"/>
          <w:sz w:val="18"/>
        </w:rPr>
      </w:pPr>
      <w:r>
        <w:rPr>
          <w:rFonts w:ascii="ARIAL" w:hAnsi="ARIAL"/>
          <w:sz w:val="18"/>
        </w:rPr>
        <w:t xml:space="preserve">Following its review and the Compensation Committee’s recommendation, the Board approved a revised non-employee director compensation program, effective January 1, 2026. </w:t>
      </w:r>
    </w:p>
    <w:p>
      <w:pPr>
        <w:pStyle w:val="TextBody"/>
        <w:bidi w:val="0"/>
        <w:spacing w:before="120" w:after="0"/>
        <w:jc w:val="left"/>
        <w:rPr>
          <w:rFonts w:ascii="ARIAL" w:hAnsi="ARIAL"/>
          <w:sz w:val="18"/>
        </w:rPr>
      </w:pPr>
      <w:r>
        <w:rPr>
          <w:rFonts w:ascii="ARIAL" w:hAnsi="ARIAL"/>
          <w:sz w:val="18"/>
        </w:rPr>
        <w:t xml:space="preserve">The most significant changes to the program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color w:val="0054BA"/>
                <w:sz w:val="18"/>
              </w:rPr>
              <w:t>Cash Compensation for Committee Service.</w:t>
            </w:r>
            <w:r>
              <w:rPr>
                <w:rFonts w:ascii="ARIAL" w:hAnsi="ARIAL"/>
                <w:sz w:val="18"/>
              </w:rPr>
              <w:t xml:space="preserve"> Committee Chairs and Committee members will receive cash retainers for their service on Board committees, rather than restricted stock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color w:val="0054BA"/>
                <w:sz w:val="18"/>
              </w:rPr>
              <w:t>Revised Equity Vesting Structure.</w:t>
            </w:r>
            <w:r>
              <w:rPr>
                <w:rFonts w:ascii="ARIAL" w:hAnsi="ARIAL"/>
                <w:sz w:val="18"/>
              </w:rPr>
              <w:t xml:space="preserve"> All restricted stock awards granted to non-employee directors will vest in full on the first anniversary of the grant date, rather than vesting ratably over four years. </w:t>
            </w:r>
          </w:p>
        </w:tc>
      </w:tr>
    </w:tbl>
    <w:p>
      <w:pPr>
        <w:pStyle w:val="TextBody"/>
        <w:bidi w:val="0"/>
        <w:spacing w:before="120" w:after="0"/>
        <w:jc w:val="left"/>
        <w:rPr>
          <w:rFonts w:ascii="ARIAL" w:hAnsi="ARIAL"/>
          <w:sz w:val="18"/>
        </w:rPr>
      </w:pPr>
      <w:r>
        <w:rPr>
          <w:rFonts w:ascii="ARIAL" w:hAnsi="ARIAL"/>
          <w:sz w:val="18"/>
        </w:rPr>
        <w:t xml:space="preserve">The Board believes these changes better align the director compensation program with market practice, simplify the program’s design, and continue to appropriately align directors’ interests with those of our stockholders.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75"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6" descr=""/>
                          <pic:cNvPicPr>
                            <a:picLocks noChangeAspect="1" noChangeArrowheads="1"/>
                          </pic:cNvPicPr>
                        </pic:nvPicPr>
                        <pic:blipFill>
                          <a:blip r:embed="rId26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schedule of annual cash retainers (the “Cash Retainers”) under the 2026 Director Compensation Program (the “Program”) for the non-employee directors is as follows: </w:t>
      </w:r>
    </w:p>
    <w:p>
      <w:pPr>
        <w:pStyle w:val="TextBody"/>
        <w:bidi w:val="0"/>
        <w:spacing w:before="0" w:after="0"/>
        <w:jc w:val="left"/>
        <w:rPr/>
      </w:pPr>
      <w:r>
        <w:rPr/>
        <w:t> </w:t>
      </w:r>
    </w:p>
    <w:tbl>
      <w:tblPr>
        <w:tblW w:w="5837" w:type="dxa"/>
        <w:jc w:val="left"/>
        <w:tblInd w:w="0" w:type="dxa"/>
        <w:tblLayout w:type="fixed"/>
        <w:tblCellMar>
          <w:top w:w="0" w:type="dxa"/>
          <w:left w:w="0" w:type="dxa"/>
          <w:bottom w:w="0" w:type="dxa"/>
          <w:right w:w="0" w:type="dxa"/>
        </w:tblCellMar>
      </w:tblPr>
      <w:tblGrid>
        <w:gridCol w:w="4550"/>
        <w:gridCol w:w="23"/>
        <w:gridCol w:w="24"/>
        <w:gridCol w:w="63"/>
        <w:gridCol w:w="1098"/>
        <w:gridCol w:w="79"/>
      </w:tblGrid>
      <w:tr>
        <w:trPr/>
        <w:tc>
          <w:tcPr>
            <w:tcW w:w="45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4550" w:type="dxa"/>
            <w:tcBorders/>
            <w:shd w:fill="0054BA" w:val="clear"/>
            <w:vAlign w:val="center"/>
          </w:tcPr>
          <w:p>
            <w:pPr>
              <w:pStyle w:val="TableContents"/>
              <w:bidi w:val="0"/>
              <w:spacing w:before="0" w:after="283"/>
              <w:jc w:val="left"/>
              <w:rPr>
                <w:sz w:val="4"/>
                <w:szCs w:val="4"/>
              </w:rPr>
            </w:pPr>
            <w:r>
              <w:rPr>
                <w:sz w:val="4"/>
                <w:szCs w:val="4"/>
              </w:rPr>
            </w:r>
          </w:p>
        </w:tc>
        <w:tc>
          <w:tcPr>
            <w:tcW w:w="1287"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4550"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POSITION</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64" w:type="dxa"/>
            <w:gridSpan w:val="4"/>
            <w:tcBorders/>
            <w:shd w:fill="0054BA" w:val="clear"/>
            <w:vAlign w:val="center"/>
          </w:tcPr>
          <w:p>
            <w:pPr>
              <w:pStyle w:val="TableContents"/>
              <w:bidi w:val="0"/>
              <w:spacing w:before="0" w:after="283"/>
              <w:jc w:val="center"/>
              <w:rPr>
                <w:b/>
                <w:color w:val="FFFFFF"/>
              </w:rPr>
            </w:pPr>
            <w:r>
              <w:rPr>
                <w:b/>
                <w:color w:val="FFFFFF"/>
              </w:rPr>
              <w:t>AMOUNT 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87" w:type="dxa"/>
            <w:gridSpan w:val="5"/>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Annual Cash Retainer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98" w:type="dxa"/>
            <w:tcBorders>
              <w:bottom w:val="single" w:sz="6" w:space="0" w:color="000000"/>
            </w:tcBorders>
            <w:tcMar>
              <w:bottom w:w="100" w:type="dxa"/>
            </w:tcMar>
            <w:vAlign w:val="center"/>
          </w:tcPr>
          <w:p>
            <w:pPr>
              <w:pStyle w:val="TableContents"/>
              <w:bidi w:val="0"/>
              <w:spacing w:before="0" w:after="283"/>
              <w:jc w:val="right"/>
              <w:rPr/>
            </w:pPr>
            <w:r>
              <w:rPr/>
              <w:t>$75,000 </w:t>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87" w:type="dxa"/>
            <w:gridSpan w:val="5"/>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Non-Executive Chair of the Board</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98" w:type="dxa"/>
            <w:tcBorders>
              <w:bottom w:val="single" w:sz="6" w:space="0" w:color="000000"/>
            </w:tcBorders>
            <w:tcMar>
              <w:bottom w:w="100" w:type="dxa"/>
            </w:tcMar>
            <w:vAlign w:val="center"/>
          </w:tcPr>
          <w:p>
            <w:pPr>
              <w:pStyle w:val="TableContents"/>
              <w:bidi w:val="0"/>
              <w:spacing w:before="0" w:after="283"/>
              <w:jc w:val="right"/>
              <w:rPr/>
            </w:pPr>
            <w:r>
              <w:rPr/>
              <w:t>$125,000 </w:t>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87" w:type="dxa"/>
            <w:gridSpan w:val="5"/>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Chair of Audit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98" w:type="dxa"/>
            <w:tcBorders>
              <w:bottom w:val="single" w:sz="6" w:space="0" w:color="000000"/>
            </w:tcBorders>
            <w:tcMar>
              <w:bottom w:w="100" w:type="dxa"/>
            </w:tcMar>
            <w:vAlign w:val="center"/>
          </w:tcPr>
          <w:p>
            <w:pPr>
              <w:pStyle w:val="TableContents"/>
              <w:bidi w:val="0"/>
              <w:spacing w:before="0" w:after="283"/>
              <w:jc w:val="right"/>
              <w:rPr/>
            </w:pPr>
            <w:r>
              <w:rPr/>
              <w:t>$30,000 </w:t>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87" w:type="dxa"/>
            <w:gridSpan w:val="5"/>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Chair of Compensation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98" w:type="dxa"/>
            <w:tcBorders>
              <w:bottom w:val="single" w:sz="6" w:space="0" w:color="000000"/>
            </w:tcBorders>
            <w:tcMar>
              <w:bottom w:w="100" w:type="dxa"/>
            </w:tcMar>
            <w:vAlign w:val="center"/>
          </w:tcPr>
          <w:p>
            <w:pPr>
              <w:pStyle w:val="TableContents"/>
              <w:bidi w:val="0"/>
              <w:spacing w:before="0" w:after="283"/>
              <w:jc w:val="right"/>
              <w:rPr/>
            </w:pPr>
            <w:r>
              <w:rPr/>
              <w:t>$25,000 </w:t>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87" w:type="dxa"/>
            <w:gridSpan w:val="5"/>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Chair of Nominating and Corporate Governance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98" w:type="dxa"/>
            <w:tcBorders>
              <w:bottom w:val="single" w:sz="6" w:space="0" w:color="000000"/>
            </w:tcBorders>
            <w:tcMar>
              <w:bottom w:w="100" w:type="dxa"/>
            </w:tcMar>
            <w:vAlign w:val="center"/>
          </w:tcPr>
          <w:p>
            <w:pPr>
              <w:pStyle w:val="TableContents"/>
              <w:bidi w:val="0"/>
              <w:spacing w:before="0" w:after="283"/>
              <w:jc w:val="right"/>
              <w:rPr/>
            </w:pPr>
            <w:r>
              <w:rPr/>
              <w:t>$25,000 </w:t>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87" w:type="dxa"/>
            <w:gridSpan w:val="5"/>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Member of Audit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98" w:type="dxa"/>
            <w:tcBorders>
              <w:bottom w:val="single" w:sz="6" w:space="0" w:color="000000"/>
            </w:tcBorders>
            <w:tcMar>
              <w:bottom w:w="100" w:type="dxa"/>
            </w:tcMar>
            <w:vAlign w:val="center"/>
          </w:tcPr>
          <w:p>
            <w:pPr>
              <w:pStyle w:val="TableContents"/>
              <w:bidi w:val="0"/>
              <w:spacing w:before="0" w:after="283"/>
              <w:jc w:val="right"/>
              <w:rPr/>
            </w:pPr>
            <w:r>
              <w:rPr/>
              <w:t>$15,000 </w:t>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87" w:type="dxa"/>
            <w:gridSpan w:val="5"/>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Member of Compensation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98" w:type="dxa"/>
            <w:tcBorders>
              <w:bottom w:val="single" w:sz="6" w:space="0" w:color="000000"/>
            </w:tcBorders>
            <w:tcMar>
              <w:bottom w:w="100" w:type="dxa"/>
            </w:tcMar>
            <w:vAlign w:val="center"/>
          </w:tcPr>
          <w:p>
            <w:pPr>
              <w:pStyle w:val="TableContents"/>
              <w:bidi w:val="0"/>
              <w:spacing w:before="0" w:after="283"/>
              <w:jc w:val="right"/>
              <w:rPr/>
            </w:pPr>
            <w:r>
              <w:rPr/>
              <w:t>$12,000 </w:t>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87" w:type="dxa"/>
            <w:gridSpan w:val="5"/>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000000"/>
            </w:tcBorders>
            <w:tcMar>
              <w:bottom w:w="28" w:type="dxa"/>
            </w:tcMar>
            <w:vAlign w:val="center"/>
          </w:tcPr>
          <w:p>
            <w:pPr>
              <w:pStyle w:val="TableContents"/>
              <w:bidi w:val="0"/>
              <w:spacing w:before="0" w:after="0"/>
              <w:jc w:val="left"/>
              <w:rPr>
                <w:rFonts w:ascii="ARIAL" w:hAnsi="ARIAL"/>
                <w:sz w:val="16"/>
              </w:rPr>
            </w:pPr>
            <w:r>
              <w:rPr>
                <w:rFonts w:ascii="ARIAL" w:hAnsi="ARIAL"/>
                <w:sz w:val="16"/>
              </w:rPr>
              <w:t>Member of Nominating and Corporate Governance Committee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098" w:type="dxa"/>
            <w:tcBorders>
              <w:bottom w:val="single" w:sz="6" w:space="0" w:color="000000"/>
            </w:tcBorders>
            <w:tcMar>
              <w:bottom w:w="28" w:type="dxa"/>
            </w:tcMar>
            <w:vAlign w:val="center"/>
          </w:tcPr>
          <w:p>
            <w:pPr>
              <w:pStyle w:val="TableContents"/>
              <w:bidi w:val="0"/>
              <w:spacing w:before="0" w:after="283"/>
              <w:jc w:val="right"/>
              <w:rPr/>
            </w:pPr>
            <w:r>
              <w:rPr/>
              <w:t>$12,000 </w:t>
            </w:r>
          </w:p>
        </w:tc>
        <w:tc>
          <w:tcPr>
            <w:tcW w:w="79"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8"/>
        </w:rPr>
      </w:pPr>
      <w:r>
        <w:rPr>
          <w:rFonts w:ascii="ARIAL" w:hAnsi="ARIAL"/>
          <w:sz w:val="18"/>
        </w:rPr>
        <w:t xml:space="preserve">Non-employee directors are eligible to earn a Cash Retainer for each position in which they serve. The Cash Retainers are earned on a quarterly basis and are paid in arrears. In the event a non-employee director does not serve as a non-employee director, or in the applicable position, for an entire calendar quarter, the Cash Retainer paid to such non-employee director will be prorated for the portion of such calendar quarter actually served. </w:t>
      </w:r>
    </w:p>
    <w:p>
      <w:pPr>
        <w:pStyle w:val="TextBody"/>
        <w:bidi w:val="0"/>
        <w:spacing w:before="360" w:after="0"/>
        <w:jc w:val="left"/>
        <w:rPr>
          <w:rFonts w:ascii="ARIAL" w:hAnsi="ARIAL"/>
          <w:b/>
          <w:sz w:val="20"/>
        </w:rPr>
      </w:pPr>
      <w:r>
        <w:rPr>
          <w:rFonts w:ascii="ARIAL" w:hAnsi="ARIAL"/>
          <w:b/>
          <w:sz w:val="20"/>
        </w:rPr>
        <w:t xml:space="preserve">NON-EMPLOYEE DIRECTOR EQUITY COMPENSATION </w:t>
      </w:r>
    </w:p>
    <w:p>
      <w:pPr>
        <w:pStyle w:val="TextBody"/>
        <w:bidi w:val="0"/>
        <w:spacing w:before="80" w:after="0"/>
        <w:jc w:val="left"/>
        <w:rPr>
          <w:rFonts w:ascii="ARIAL" w:hAnsi="ARIAL"/>
          <w:sz w:val="18"/>
        </w:rPr>
      </w:pPr>
      <w:r>
        <w:rPr>
          <w:rFonts w:ascii="ARIAL" w:hAnsi="ARIAL"/>
          <w:sz w:val="18"/>
        </w:rPr>
        <w:t xml:space="preserve">The annual equity award component of the Program is granted in the form of restricted stock, consistent with prior years; however, the vesting terms have changed. The Program provides for the following terms: </w:t>
      </w:r>
    </w:p>
    <w:p>
      <w:pPr>
        <w:pStyle w:val="TextBody"/>
        <w:bidi w:val="0"/>
        <w:spacing w:before="120" w:after="0"/>
        <w:jc w:val="left"/>
        <w:rPr>
          <w:rFonts w:ascii="ARIAL" w:hAnsi="ARIAL"/>
          <w:sz w:val="18"/>
        </w:rPr>
      </w:pPr>
      <w:r>
        <w:rPr>
          <w:rFonts w:ascii="ARIAL" w:hAnsi="ARIAL"/>
          <w:i/>
          <w:sz w:val="18"/>
        </w:rPr>
        <w:t>Restricted Stock Awards.</w:t>
      </w:r>
      <w:r>
        <w:rPr>
          <w:rFonts w:ascii="ARIAL" w:hAnsi="ARIAL"/>
          <w:sz w:val="18"/>
        </w:rPr>
        <w:t xml:space="preserve"> A non-employee director who (i) has been serving as a non-employee director as of the date of any annual meeting and (ii) will continue to serve as a non-employee director immediately following such meeting, will be automatically granted an award of restricted stock on the date of such annual meeting, which will consist of a number of shares (rounded up to the nearest whole number) equal to $250,000 divided by the closing price of the Company’s common stock on the date of grant. </w:t>
      </w:r>
    </w:p>
    <w:p>
      <w:pPr>
        <w:pStyle w:val="TextBody"/>
        <w:bidi w:val="0"/>
        <w:spacing w:before="360" w:after="0"/>
        <w:jc w:val="left"/>
        <w:rPr>
          <w:rFonts w:ascii="ARIAL" w:hAnsi="ARIAL"/>
          <w:i/>
          <w:sz w:val="18"/>
        </w:rPr>
      </w:pPr>
      <w:r>
        <w:rPr>
          <w:rFonts w:ascii="ARIAL" w:hAnsi="ARIAL"/>
          <w:i/>
          <w:sz w:val="18"/>
        </w:rPr>
        <w:t xml:space="preserve">Terms of Restricted Stock Awards Granted to Non-Employee Directors. </w:t>
      </w:r>
    </w:p>
    <w:p>
      <w:pPr>
        <w:pStyle w:val="TextBody"/>
        <w:bidi w:val="0"/>
        <w:spacing w:before="80" w:after="0"/>
        <w:jc w:val="left"/>
        <w:rPr>
          <w:rFonts w:ascii="ARIAL" w:hAnsi="ARIAL"/>
          <w:sz w:val="18"/>
        </w:rPr>
      </w:pPr>
      <w:r>
        <w:rPr>
          <w:rFonts w:ascii="ARIAL" w:hAnsi="ARIAL"/>
          <w:sz w:val="18"/>
        </w:rPr>
        <w:t>1. </w:t>
      </w:r>
      <w:r>
        <w:rPr>
          <w:rFonts w:ascii="ARIAL" w:hAnsi="ARIAL"/>
          <w:i/>
          <w:sz w:val="18"/>
        </w:rPr>
        <w:t>Restricted Stock Awards</w:t>
      </w:r>
      <w:r>
        <w:rPr>
          <w:rFonts w:ascii="ARIAL" w:hAnsi="ARIAL"/>
          <w:sz w:val="18"/>
        </w:rPr>
        <w:t xml:space="preserve">. Each restricted stock award will vest in a single installment on the earlier of (i) the date of the next annual meeting occurring after the date of grant or (ii) the first anniversary of the date of grant, subject to the non-employee director continuing in service as a non-employee director through such vesting date. </w:t>
      </w:r>
    </w:p>
    <w:p>
      <w:pPr>
        <w:pStyle w:val="TextBody"/>
        <w:bidi w:val="0"/>
        <w:spacing w:before="120" w:after="0"/>
        <w:jc w:val="left"/>
        <w:rPr>
          <w:rFonts w:ascii="ARIAL" w:hAnsi="ARIAL"/>
          <w:sz w:val="18"/>
        </w:rPr>
      </w:pPr>
      <w:r>
        <w:rPr>
          <w:rFonts w:ascii="ARIAL" w:hAnsi="ARIAL"/>
          <w:sz w:val="18"/>
        </w:rPr>
        <w:t>2. </w:t>
      </w:r>
      <w:r>
        <w:rPr>
          <w:rFonts w:ascii="ARIAL" w:hAnsi="ARIAL"/>
          <w:i/>
          <w:sz w:val="18"/>
        </w:rPr>
        <w:t>Forfeiture of Restricted Stock Awards</w:t>
      </w:r>
      <w:r>
        <w:rPr>
          <w:rFonts w:ascii="ARIAL" w:hAnsi="ARIAL"/>
          <w:sz w:val="18"/>
        </w:rPr>
        <w:t xml:space="preserve">. Unless the Board otherwise determines, any portion of a restricted stock award, which is unvested at the time of a non-employee director’s termination of service on the Board as a non-employee director, will be immediately forfeited upon such termination of service and will not become vested. </w:t>
      </w:r>
    </w:p>
    <w:p>
      <w:pPr>
        <w:pStyle w:val="TextBody"/>
        <w:bidi w:val="0"/>
        <w:spacing w:before="360" w:after="0"/>
        <w:jc w:val="left"/>
        <w:rPr>
          <w:rFonts w:ascii="ARIAL" w:hAnsi="ARIAL"/>
          <w:b/>
          <w:sz w:val="24"/>
        </w:rPr>
      </w:pPr>
      <w:bookmarkStart w:id="17" w:name="toc903159_15"/>
      <w:bookmarkEnd w:id="17"/>
      <w:r>
        <w:rPr>
          <w:rFonts w:ascii="ARIAL" w:hAnsi="ARIAL"/>
          <w:b/>
          <w:sz w:val="24"/>
        </w:rPr>
        <w:t xml:space="preserve">Certain Relationships and Related Party Transactions </w:t>
      </w:r>
    </w:p>
    <w:p>
      <w:pPr>
        <w:pStyle w:val="TextBody"/>
        <w:bidi w:val="0"/>
        <w:spacing w:before="80" w:after="0"/>
        <w:jc w:val="left"/>
        <w:rPr>
          <w:rFonts w:ascii="ARIAL" w:hAnsi="ARIAL"/>
          <w:b/>
          <w:sz w:val="18"/>
        </w:rPr>
      </w:pPr>
      <w:r>
        <w:rPr>
          <w:rFonts w:ascii="ARIAL" w:hAnsi="ARIAL"/>
          <w:b/>
          <w:sz w:val="18"/>
        </w:rPr>
        <w:t xml:space="preserve">Review and Approval of Related Party Transactions </w:t>
      </w:r>
    </w:p>
    <w:p>
      <w:pPr>
        <w:pStyle w:val="TextBody"/>
        <w:bidi w:val="0"/>
        <w:spacing w:before="80" w:after="0"/>
        <w:jc w:val="left"/>
        <w:rPr>
          <w:rFonts w:ascii="ARIAL" w:hAnsi="ARIAL"/>
          <w:sz w:val="18"/>
        </w:rPr>
      </w:pPr>
      <w:r>
        <w:rPr>
          <w:rFonts w:ascii="ARIAL" w:hAnsi="ARIAL"/>
          <w:sz w:val="18"/>
        </w:rPr>
        <w:t xml:space="preserve">The Board recognizes that Related Party transactions (as defined below) can present potential or actual conflicts of interest and create the appearance that Company decisions are based on considerations other than the best interests of the Company and its stockholders. The Board has delegated authority to the Audit Committee to review and approve Related Party transactions, and the Audit Committee has adopted a written policy as detailed below, for the review, approval, or ratification of Related Party transactions. </w:t>
      </w:r>
    </w:p>
    <w:p>
      <w:pPr>
        <w:pStyle w:val="TextBody"/>
        <w:bidi w:val="0"/>
        <w:spacing w:before="120" w:after="0"/>
        <w:jc w:val="left"/>
        <w:rPr>
          <w:rFonts w:ascii="ARIAL" w:hAnsi="ARIAL"/>
          <w:sz w:val="18"/>
        </w:rPr>
      </w:pPr>
      <w:r>
        <w:rPr>
          <w:rFonts w:ascii="ARIAL" w:hAnsi="ARIAL"/>
          <w:sz w:val="18"/>
        </w:rPr>
        <w:t xml:space="preserve">A Related Party transaction, otherwise known as an “Interested Transaction” under our policy, is any transaction, arrangement or relationship (including any indebtedness or guarantee of indebtedness), or any series of similar transactions, arrangements, or relationships, in which (a) the aggregate amount involved will or may be expected to exceed $120,000 in any calendar year, (b) the Company or any of its subsidiaries is a participant, and (c) any Related Party has or will have a direct or indirect interest (other than solely as a result of being a director or a less than 10% beneficial owner of another entity). An Interested Transaction does not include a transaction in which a Related Party has an indirect interest solely as a result of being (1) a director or a less than 10% beneficial owner of an equity interest in another entity, or both, or (2) a limited partner in a partnership in which the Related Party has an interest of less than 10%. A “Related Party” is any (a) person who is or was (since the beginning of the Company’s last fiscal year, even if they do not presently serve in that role) an executive officer, director or nominee for election as a director of the Company, (b) greater than 5% beneficial owner of the Company’s outstanding common stock, or (c) Immediate Family Member of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76"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7" descr=""/>
                          <pic:cNvPicPr>
                            <a:picLocks noChangeAspect="1" noChangeArrowheads="1"/>
                          </pic:cNvPicPr>
                        </pic:nvPicPr>
                        <pic:blipFill>
                          <a:blip r:embed="rId26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any of the foregoing. An “Immediate Family Member” includes a person’s spouse, parents, stepparents, children, stepchildren, siblings, mothers- and fathers-in-law, sons and daughters-in-law, brothers- and sisters-in-law and anyone residing in such person’s home (other than a tenant or employee). </w:t>
      </w:r>
    </w:p>
    <w:p>
      <w:pPr>
        <w:pStyle w:val="TextBody"/>
        <w:bidi w:val="0"/>
        <w:spacing w:before="120" w:after="0"/>
        <w:jc w:val="left"/>
        <w:rPr>
          <w:rFonts w:ascii="ARIAL" w:hAnsi="ARIAL"/>
          <w:sz w:val="18"/>
        </w:rPr>
      </w:pPr>
      <w:r>
        <w:rPr>
          <w:rFonts w:ascii="ARIAL" w:hAnsi="ARIAL"/>
          <w:sz w:val="18"/>
        </w:rPr>
        <w:t xml:space="preserve">The Audit Committee reviews all of the material facts of all Interested Transactions and either approve or disapprove of the entry into the Interested Transaction, subject to a limited list of enumerated transactions that are deemed to be pre-approved as described in the Interested Transactions policy. In determining whether to approve an Interested Transaction, the Audit Committee will take into account, among other factors it deems appropriate, whether the Interested Transaction is on terms no less favorable than terms generally available to an unaffiliated third party under the same or similar circumstances and the extent of the Related Party’s interest in the transaction. </w:t>
      </w:r>
    </w:p>
    <w:p>
      <w:pPr>
        <w:pStyle w:val="TextBody"/>
        <w:bidi w:val="0"/>
        <w:spacing w:before="360" w:after="0"/>
        <w:jc w:val="left"/>
        <w:rPr>
          <w:rFonts w:ascii="ARIAL" w:hAnsi="ARIAL"/>
          <w:b/>
          <w:sz w:val="18"/>
        </w:rPr>
      </w:pPr>
      <w:r>
        <w:rPr>
          <w:rFonts w:ascii="ARIAL" w:hAnsi="ARIAL"/>
          <w:b/>
          <w:sz w:val="18"/>
        </w:rPr>
        <w:t xml:space="preserve">Related Party Transactions </w:t>
      </w:r>
    </w:p>
    <w:p>
      <w:pPr>
        <w:pStyle w:val="TextBody"/>
        <w:bidi w:val="0"/>
        <w:spacing w:before="80" w:after="0"/>
        <w:jc w:val="left"/>
        <w:rPr>
          <w:rFonts w:ascii="ARIAL" w:hAnsi="ARIAL"/>
          <w:sz w:val="18"/>
        </w:rPr>
      </w:pPr>
      <w:r>
        <w:rPr>
          <w:rFonts w:ascii="ARIAL" w:hAnsi="ARIAL"/>
          <w:sz w:val="18"/>
        </w:rPr>
        <w:t xml:space="preserve">During 2025, no Related Party transaction (or “Interested Transaction”) occurred between the Company and any Related Party.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77"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58" descr=""/>
                          <pic:cNvPicPr>
                            <a:picLocks noChangeAspect="1" noChangeArrowheads="1"/>
                          </pic:cNvPicPr>
                        </pic:nvPicPr>
                        <pic:blipFill>
                          <a:blip r:embed="rId26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18" w:name="toc903159_16"/>
      <w:bookmarkEnd w:id="18"/>
      <w:r>
        <w:rPr>
          <w:rFonts w:ascii="ARIAL" w:hAnsi="ARIAL"/>
          <w:b/>
          <w:sz w:val="24"/>
        </w:rPr>
        <w:t xml:space="preserve">Executive Officers </w:t>
      </w:r>
    </w:p>
    <w:p>
      <w:pPr>
        <w:pStyle w:val="TextBody"/>
        <w:bidi w:val="0"/>
        <w:spacing w:before="60" w:after="0"/>
        <w:jc w:val="left"/>
        <w:rPr>
          <w:rFonts w:ascii="ARIAL" w:hAnsi="ARIAL"/>
          <w:sz w:val="18"/>
        </w:rPr>
      </w:pPr>
      <w:r>
        <w:rPr>
          <w:rFonts w:ascii="ARIAL" w:hAnsi="ARIAL"/>
          <w:sz w:val="18"/>
        </w:rPr>
        <w:t xml:space="preserve">Below is biographical information about each of our current executive officers as defined by the Exchange Act, including ages as of April 1,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1"/>
        <w:gridCol w:w="120"/>
        <w:gridCol w:w="7794"/>
      </w:tblGrid>
      <w:tr>
        <w:trPr/>
        <w:tc>
          <w:tcPr>
            <w:tcW w:w="22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94"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center"/>
          </w:tcPr>
          <w:p>
            <w:pPr>
              <w:pStyle w:val="TableContents"/>
              <w:bidi w:val="0"/>
              <w:spacing w:before="0" w:after="0"/>
              <w:jc w:val="left"/>
              <w:rPr/>
            </w:pPr>
            <w:r>
              <w:rPr/>
              <w:drawing>
                <wp:inline distT="0" distB="0" distL="0" distR="0">
                  <wp:extent cx="1440180" cy="1920240"/>
                  <wp:effectExtent l="0" t="0" r="0" b="0"/>
                  <wp:docPr id="278"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9" descr=""/>
                          <pic:cNvPicPr>
                            <a:picLocks noChangeAspect="1" noChangeArrowheads="1"/>
                          </pic:cNvPicPr>
                        </pic:nvPicPr>
                        <pic:blipFill>
                          <a:blip r:embed="rId269"/>
                          <a:stretch>
                            <a:fillRect/>
                          </a:stretch>
                        </pic:blipFill>
                        <pic:spPr bwMode="auto">
                          <a:xfrm>
                            <a:off x="0" y="0"/>
                            <a:ext cx="1440180" cy="19202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Founder and</w:t>
            </w:r>
          </w:p>
          <w:p>
            <w:pPr>
              <w:pStyle w:val="TableContents"/>
              <w:bidi w:val="0"/>
              <w:spacing w:before="0" w:after="0"/>
              <w:jc w:val="left"/>
              <w:rPr>
                <w:rFonts w:ascii="ARIAL" w:hAnsi="ARIAL"/>
                <w:b/>
                <w:sz w:val="18"/>
              </w:rPr>
            </w:pPr>
            <w:r>
              <w:rPr>
                <w:rFonts w:ascii="ARIAL" w:hAnsi="ARIAL"/>
                <w:b/>
                <w:sz w:val="18"/>
              </w:rPr>
              <w:t>Chief Executive Officer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Employee since</w:t>
            </w:r>
            <w:r>
              <w:rPr>
                <w:rFonts w:ascii="ARIAL" w:hAnsi="ARIAL"/>
                <w:sz w:val="18"/>
              </w:rPr>
              <w:t xml:space="preserve"> 1987</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sz w:val="18"/>
              </w:rPr>
              <w:t>Age</w:t>
            </w:r>
            <w:r>
              <w:rPr>
                <w:rFonts w:ascii="ARIAL" w:hAnsi="ARIAL"/>
                <w:sz w:val="18"/>
              </w:rPr>
              <w:t xml:space="preserve"> 62</w:t>
            </w:r>
          </w:p>
        </w:tc>
        <w:tc>
          <w:tcPr>
            <w:tcW w:w="120" w:type="dxa"/>
            <w:tcBorders/>
            <w:vAlign w:val="center"/>
          </w:tcPr>
          <w:p>
            <w:pPr>
              <w:pStyle w:val="TableContents"/>
              <w:bidi w:val="0"/>
              <w:spacing w:before="0" w:after="283"/>
              <w:jc w:val="left"/>
              <w:rPr/>
            </w:pPr>
            <w:r>
              <w:rPr/>
              <w:t>  </w:t>
            </w:r>
          </w:p>
        </w:tc>
        <w:tc>
          <w:tcPr>
            <w:tcW w:w="7794" w:type="dxa"/>
            <w:tcBorders/>
            <w:vAlign w:val="center"/>
          </w:tcPr>
          <w:p>
            <w:pPr>
              <w:pStyle w:val="TableContents"/>
              <w:bidi w:val="0"/>
              <w:spacing w:before="0" w:after="0"/>
              <w:jc w:val="left"/>
              <w:rPr>
                <w:rFonts w:ascii="ARIAL" w:hAnsi="ARIAL"/>
                <w:b/>
                <w:sz w:val="19"/>
              </w:rPr>
            </w:pPr>
            <w:r>
              <w:rPr>
                <w:rFonts w:ascii="ARIAL" w:hAnsi="ARIAL"/>
                <w:b/>
                <w:sz w:val="19"/>
              </w:rPr>
              <w:t>EXPERIENCE</w:t>
            </w:r>
          </w:p>
          <w:p>
            <w:pPr>
              <w:pStyle w:val="TableContents"/>
              <w:bidi w:val="0"/>
              <w:spacing w:before="0" w:after="0"/>
              <w:jc w:val="left"/>
              <w:rPr>
                <w:rFonts w:ascii="ARIAL" w:hAnsi="ARIAL"/>
                <w:sz w:val="18"/>
              </w:rPr>
            </w:pPr>
            <w:r>
              <w:rPr>
                <w:rFonts w:ascii="ARIAL" w:hAnsi="ARIAL"/>
                <w:sz w:val="18"/>
              </w:rPr>
              <w:t>Mr. Florance founded the Company in 1987. As Founder and Chief Executive Officer of the Company, Mr. Florance has directed the Company’s successful expansion from start-up, to its initial public offering in July 1998, to its market-leading position today. In his role, Mr. Florance manages an international service platform that includes the United States, United Kingdom, France, Spain, Germany, Canada, Australia, and several other countries throughout Asia Pacific and Latin America. While leading CoStar, he has identified, negotiated, and closed more than 40 acquisitions across 14 countries.</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EDUCATION</w:t>
            </w:r>
          </w:p>
          <w:p>
            <w:pPr>
              <w:pStyle w:val="TableContents"/>
              <w:bidi w:val="0"/>
              <w:spacing w:before="0" w:after="20"/>
              <w:jc w:val="left"/>
              <w:rPr>
                <w:rFonts w:ascii="ARIAL" w:hAnsi="ARIAL"/>
                <w:sz w:val="18"/>
              </w:rPr>
            </w:pPr>
            <w:r>
              <w:rPr>
                <w:rFonts w:ascii="ARIAL" w:hAnsi="ARIAL"/>
                <w:sz w:val="18"/>
              </w:rPr>
              <w:t>B.A. (Economics), Princeton University</w:t>
            </w:r>
          </w:p>
        </w:tc>
      </w:tr>
    </w:tbl>
    <w:p>
      <w:pPr>
        <w:pStyle w:val="TextBody"/>
        <w:bidi w:val="0"/>
        <w:spacing w:before="0" w:after="0"/>
        <w:jc w:val="left"/>
        <w:rPr/>
      </w:pPr>
      <w:r>
        <w:rPr/>
        <w:t> </w:t>
      </w:r>
    </w:p>
    <w:p>
      <w:pPr>
        <w:pStyle w:val="TextBody"/>
        <w:bidi w:val="0"/>
        <w:spacing w:lineRule="atLeast" w:line="142" w:before="0" w:after="40"/>
        <w:jc w:val="left"/>
        <w:rPr>
          <w:bdr w:val="single" w:sz="12" w:space="1" w:color="0054BA"/>
        </w:rPr>
      </w:pPr>
      <w:r>
        <w:rPr>
          <w:bdr w:val="single" w:sz="12" w:space="1" w:color="0054BA"/>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9"/>
        <w:gridCol w:w="120"/>
        <w:gridCol w:w="7796"/>
      </w:tblGrid>
      <w:tr>
        <w:trPr/>
        <w:tc>
          <w:tcPr>
            <w:tcW w:w="22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9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0"/>
              <w:jc w:val="left"/>
              <w:rPr/>
            </w:pPr>
            <w:r>
              <w:rPr/>
              <w:drawing>
                <wp:inline distT="0" distB="0" distL="0" distR="0">
                  <wp:extent cx="1440180" cy="1774190"/>
                  <wp:effectExtent l="0" t="0" r="0" b="0"/>
                  <wp:docPr id="279"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60" descr=""/>
                          <pic:cNvPicPr>
                            <a:picLocks noChangeAspect="1" noChangeArrowheads="1"/>
                          </pic:cNvPicPr>
                        </pic:nvPicPr>
                        <pic:blipFill>
                          <a:blip r:embed="rId270"/>
                          <a:stretch>
                            <a:fillRect/>
                          </a:stretch>
                        </pic:blipFill>
                        <pic:spPr bwMode="auto">
                          <a:xfrm>
                            <a:off x="0" y="0"/>
                            <a:ext cx="1440180" cy="177419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Chief Financial Officer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Employee since</w:t>
            </w:r>
            <w:r>
              <w:rPr>
                <w:rFonts w:ascii="ARIAL" w:hAnsi="ARIAL"/>
                <w:sz w:val="18"/>
              </w:rPr>
              <w:t xml:space="preserve"> 2024</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sz w:val="18"/>
              </w:rPr>
              <w:t>Age</w:t>
            </w:r>
            <w:r>
              <w:rPr>
                <w:rFonts w:ascii="ARIAL" w:hAnsi="ARIAL"/>
                <w:sz w:val="18"/>
              </w:rPr>
              <w:t xml:space="preserve"> 56</w:t>
            </w:r>
          </w:p>
        </w:tc>
        <w:tc>
          <w:tcPr>
            <w:tcW w:w="120" w:type="dxa"/>
            <w:tcBorders/>
            <w:vAlign w:val="center"/>
          </w:tcPr>
          <w:p>
            <w:pPr>
              <w:pStyle w:val="TableContents"/>
              <w:bidi w:val="0"/>
              <w:spacing w:before="0" w:after="283"/>
              <w:jc w:val="left"/>
              <w:rPr/>
            </w:pPr>
            <w:r>
              <w:rPr/>
              <w:t>  </w:t>
            </w:r>
          </w:p>
        </w:tc>
        <w:tc>
          <w:tcPr>
            <w:tcW w:w="7796" w:type="dxa"/>
            <w:tcBorders/>
            <w:vAlign w:val="center"/>
          </w:tcPr>
          <w:p>
            <w:pPr>
              <w:pStyle w:val="TableContents"/>
              <w:bidi w:val="0"/>
              <w:spacing w:before="0" w:after="0"/>
              <w:jc w:val="left"/>
              <w:rPr>
                <w:rFonts w:ascii="ARIAL" w:hAnsi="ARIAL"/>
                <w:b/>
                <w:sz w:val="19"/>
              </w:rPr>
            </w:pPr>
            <w:r>
              <w:rPr>
                <w:rFonts w:ascii="ARIAL" w:hAnsi="ARIAL"/>
                <w:b/>
                <w:sz w:val="19"/>
              </w:rPr>
              <w:t>EXPERIENCE</w:t>
            </w:r>
          </w:p>
          <w:p>
            <w:pPr>
              <w:pStyle w:val="TableContents"/>
              <w:bidi w:val="0"/>
              <w:spacing w:before="0" w:after="0"/>
              <w:jc w:val="left"/>
              <w:rPr>
                <w:rFonts w:ascii="ARIAL" w:hAnsi="ARIAL"/>
                <w:sz w:val="18"/>
              </w:rPr>
            </w:pPr>
            <w:r>
              <w:rPr>
                <w:rFonts w:ascii="ARIAL" w:hAnsi="ARIAL"/>
                <w:sz w:val="18"/>
              </w:rPr>
              <w:t>Mr. Lown joined the Company in July 2024. Prior to his appointment as Chief Financial Officer, Mr. Lown served as executive vice president and chief financial officer of Freddie Mac from 2020 to 2024, where he was responsible for the company’s accounting, capital oversight, sustainability, financial controls, investor relations, financial planning and reporting, procurement, and tax functions. Prior to Freddie Mac, Mr. Lown served as executive vice president and chief financial officer at Navient Corporation from 2017 to 2020. Prior to joining Navient, Mr. Lown spent 11 years at Morgan Stanley, where he held various roles, including Managing Director of the Financial Institutions Group, where he co-led the Global FinTech and North America Banks and Diversified Finance practices.</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EDUCATION</w:t>
            </w:r>
          </w:p>
          <w:p>
            <w:pPr>
              <w:pStyle w:val="TableContents"/>
              <w:bidi w:val="0"/>
              <w:spacing w:before="0" w:after="0"/>
              <w:jc w:val="left"/>
              <w:rPr>
                <w:rFonts w:ascii="ARIAL" w:hAnsi="ARIAL"/>
                <w:sz w:val="18"/>
              </w:rPr>
            </w:pPr>
            <w:r>
              <w:rPr>
                <w:rFonts w:ascii="ARIAL" w:hAnsi="ARIAL"/>
                <w:sz w:val="18"/>
              </w:rPr>
              <w:t>B.A. (International Relations), University of Lynchburg</w:t>
            </w:r>
          </w:p>
          <w:p>
            <w:pPr>
              <w:pStyle w:val="TableContents"/>
              <w:bidi w:val="0"/>
              <w:spacing w:before="0" w:after="20"/>
              <w:jc w:val="left"/>
              <w:rPr>
                <w:rFonts w:ascii="ARIAL" w:hAnsi="ARIAL"/>
                <w:sz w:val="18"/>
              </w:rPr>
            </w:pPr>
            <w:r>
              <w:rPr>
                <w:rFonts w:ascii="ARIAL" w:hAnsi="ARIAL"/>
                <w:sz w:val="18"/>
              </w:rPr>
              <w:t>M.B.A., University of Virginia Darden School of Business</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80"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61" descr=""/>
                          <pic:cNvPicPr>
                            <a:picLocks noChangeAspect="1" noChangeArrowheads="1"/>
                          </pic:cNvPicPr>
                        </pic:nvPicPr>
                        <pic:blipFill>
                          <a:blip r:embed="rId27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3"/>
        <w:gridCol w:w="120"/>
        <w:gridCol w:w="7812"/>
      </w:tblGrid>
      <w:tr>
        <w:trPr/>
        <w:tc>
          <w:tcPr>
            <w:tcW w:w="22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273" w:type="dxa"/>
            <w:tcBorders/>
            <w:vAlign w:val="center"/>
          </w:tcPr>
          <w:p>
            <w:pPr>
              <w:pStyle w:val="TableContents"/>
              <w:bidi w:val="0"/>
              <w:spacing w:before="0" w:after="0"/>
              <w:jc w:val="left"/>
              <w:rPr/>
            </w:pPr>
            <w:r>
              <w:rPr/>
              <w:drawing>
                <wp:inline distT="0" distB="0" distL="0" distR="0">
                  <wp:extent cx="1432560" cy="1767205"/>
                  <wp:effectExtent l="0" t="0" r="0" b="0"/>
                  <wp:docPr id="281"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62" descr=""/>
                          <pic:cNvPicPr>
                            <a:picLocks noChangeAspect="1" noChangeArrowheads="1"/>
                          </pic:cNvPicPr>
                        </pic:nvPicPr>
                        <pic:blipFill>
                          <a:blip r:embed="rId272"/>
                          <a:stretch>
                            <a:fillRect/>
                          </a:stretch>
                        </pic:blipFill>
                        <pic:spPr bwMode="auto">
                          <a:xfrm>
                            <a:off x="0" y="0"/>
                            <a:ext cx="1432560" cy="17672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Senior Vice President,</w:t>
              <w:br/>
              <w:t>Global Operations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Employee since</w:t>
            </w:r>
            <w:r>
              <w:rPr>
                <w:rFonts w:ascii="ARIAL" w:hAnsi="ARIAL"/>
                <w:sz w:val="18"/>
              </w:rPr>
              <w:t xml:space="preserve"> 1999</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Age</w:t>
            </w:r>
            <w:r>
              <w:rPr>
                <w:rFonts w:ascii="ARIAL" w:hAnsi="ARIAL"/>
                <w:sz w:val="18"/>
              </w:rPr>
              <w:t xml:space="preserve"> 59</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812" w:type="dxa"/>
            <w:tcBorders/>
            <w:vAlign w:val="center"/>
          </w:tcPr>
          <w:p>
            <w:pPr>
              <w:pStyle w:val="TableContents"/>
              <w:bidi w:val="0"/>
              <w:spacing w:before="0" w:after="0"/>
              <w:jc w:val="left"/>
              <w:rPr>
                <w:rFonts w:ascii="ARIAL" w:hAnsi="ARIAL"/>
                <w:b/>
                <w:sz w:val="19"/>
              </w:rPr>
            </w:pPr>
            <w:r>
              <w:rPr>
                <w:rFonts w:ascii="ARIAL" w:hAnsi="ARIAL"/>
                <w:b/>
                <w:sz w:val="19"/>
              </w:rPr>
              <w:t>EXPERIENCE</w:t>
            </w:r>
          </w:p>
          <w:p>
            <w:pPr>
              <w:pStyle w:val="TableContents"/>
              <w:bidi w:val="0"/>
              <w:spacing w:before="0" w:after="0"/>
              <w:jc w:val="left"/>
              <w:rPr>
                <w:rFonts w:ascii="ARIAL" w:hAnsi="ARIAL"/>
                <w:sz w:val="18"/>
              </w:rPr>
            </w:pPr>
            <w:r>
              <w:rPr>
                <w:rFonts w:ascii="ARIAL" w:hAnsi="ARIAL"/>
                <w:sz w:val="18"/>
              </w:rPr>
              <w:t>Ms. Ruggles joined the Company in November 1999 as a Field Research Photographer. With over 26 years at CoStar Group, including more than 10 years as Senior Vice President of Global Operations, Ms. Ruggles leads the commercial real estate industry’s largest professional research organization. Ms. Ruggles has served in various roles of increasing responsibility, including Field Research Operations Manager from 2000 to 2006, Director of Field Research from 2006 to 2009, Senior Director of Field Research from 2009 to 2013, Vice President of Field Research from 2013 to 2016, Senior Vice President of Portfolio Research from early 2016 until October 2016, and Senior Vice President, Global Research from 2016 until her appointment as Senior Vice President, Global Operations in 2022. Her work focuses on integrating leadership, cross-functional team management, and project oversight to maintain the most comprehensive database of property records, market analytics, and performance insights. At CoStar Group, Ms. Ruggles oversees research operations, photography, news, and customer service. During her tenure, she launched CoStar’s research coverage of numerous markets throughout the United States, facilitating the Company’s national expansion, launched research coverage in Canada, Europe and most recently Australia. Her commitment to innovation has been demonstrated through initiatives such as establishing the Richmond Research Headquarters and introducing advanced tools for data collection and visualization.</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EDUCATION</w:t>
            </w:r>
          </w:p>
          <w:p>
            <w:pPr>
              <w:pStyle w:val="TableContents"/>
              <w:bidi w:val="0"/>
              <w:spacing w:before="0" w:after="20"/>
              <w:jc w:val="left"/>
              <w:rPr>
                <w:rFonts w:ascii="ARIAL" w:hAnsi="ARIAL"/>
                <w:sz w:val="18"/>
              </w:rPr>
            </w:pPr>
            <w:r>
              <w:rPr>
                <w:rFonts w:ascii="ARIAL" w:hAnsi="ARIAL"/>
                <w:sz w:val="18"/>
              </w:rPr>
              <w:t>B.A. (Photography), Savannah College of Art and Design</w:t>
            </w:r>
          </w:p>
        </w:tc>
      </w:tr>
    </w:tbl>
    <w:p>
      <w:pPr>
        <w:pStyle w:val="TextBody"/>
        <w:bidi w:val="0"/>
        <w:spacing w:before="0" w:after="0"/>
        <w:jc w:val="left"/>
        <w:rPr/>
      </w:pPr>
      <w:r>
        <w:rPr/>
        <w:t> </w:t>
      </w:r>
    </w:p>
    <w:p>
      <w:pPr>
        <w:pStyle w:val="TextBody"/>
        <w:bidi w:val="0"/>
        <w:spacing w:lineRule="atLeast" w:line="142" w:before="0" w:after="40"/>
        <w:jc w:val="left"/>
        <w:rPr>
          <w:bdr w:val="single" w:sz="12" w:space="1" w:color="0054BA"/>
        </w:rPr>
      </w:pPr>
      <w:r>
        <w:rPr>
          <w:bdr w:val="single" w:sz="12" w:space="1" w:color="0054BA"/>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0"/>
        <w:gridCol w:w="120"/>
        <w:gridCol w:w="7805"/>
      </w:tblGrid>
      <w:tr>
        <w:trPr/>
        <w:tc>
          <w:tcPr>
            <w:tcW w:w="2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280" w:type="dxa"/>
            <w:tcBorders/>
            <w:vAlign w:val="center"/>
          </w:tcPr>
          <w:p>
            <w:pPr>
              <w:pStyle w:val="TableContents"/>
              <w:bidi w:val="0"/>
              <w:spacing w:before="0" w:after="0"/>
              <w:jc w:val="left"/>
              <w:rPr/>
            </w:pPr>
            <w:r>
              <w:rPr/>
              <w:drawing>
                <wp:inline distT="0" distB="0" distL="0" distR="0">
                  <wp:extent cx="1432560" cy="1771650"/>
                  <wp:effectExtent l="0" t="0" r="0" b="0"/>
                  <wp:docPr id="282"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63" descr=""/>
                          <pic:cNvPicPr>
                            <a:picLocks noChangeAspect="1" noChangeArrowheads="1"/>
                          </pic:cNvPicPr>
                        </pic:nvPicPr>
                        <pic:blipFill>
                          <a:blip r:embed="rId273"/>
                          <a:stretch>
                            <a:fillRect/>
                          </a:stretch>
                        </pic:blipFill>
                        <pic:spPr bwMode="auto">
                          <a:xfrm>
                            <a:off x="0" y="0"/>
                            <a:ext cx="1432560" cy="17716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Chief Technology Officer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Employee since</w:t>
            </w:r>
            <w:r>
              <w:rPr>
                <w:rFonts w:ascii="ARIAL" w:hAnsi="ARIAL"/>
                <w:sz w:val="18"/>
              </w:rPr>
              <w:t xml:space="preserve"> 1999</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sz w:val="18"/>
              </w:rPr>
              <w:t>Age</w:t>
            </w:r>
            <w:r>
              <w:rPr>
                <w:rFonts w:ascii="ARIAL" w:hAnsi="ARIAL"/>
                <w:sz w:val="18"/>
              </w:rPr>
              <w:t xml:space="preserve"> 59</w:t>
            </w:r>
          </w:p>
        </w:tc>
        <w:tc>
          <w:tcPr>
            <w:tcW w:w="12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ARIAL" w:hAnsi="ARIAL"/>
                <w:b/>
                <w:sz w:val="19"/>
              </w:rPr>
            </w:pPr>
            <w:r>
              <w:rPr>
                <w:rFonts w:ascii="ARIAL" w:hAnsi="ARIAL"/>
                <w:b/>
                <w:sz w:val="19"/>
              </w:rPr>
              <w:t>EXPERIENCE</w:t>
            </w:r>
          </w:p>
          <w:p>
            <w:pPr>
              <w:pStyle w:val="TableContents"/>
              <w:bidi w:val="0"/>
              <w:spacing w:before="0" w:after="0"/>
              <w:jc w:val="left"/>
              <w:rPr>
                <w:rFonts w:ascii="ARIAL" w:hAnsi="ARIAL"/>
                <w:sz w:val="18"/>
              </w:rPr>
            </w:pPr>
            <w:r>
              <w:rPr>
                <w:rFonts w:ascii="ARIAL" w:hAnsi="ARIAL"/>
                <w:sz w:val="18"/>
              </w:rPr>
              <w:t>Mr. Simuro joined the Company in December 1999 as Director of Information Systems. He served as Senior Vice President of Information Systems from May 2005 to January 2008 and was promoted to Chief Information Officer in January 2008. Most recently, in March 2015, Mr. Simuro was promoted to Chief Technology Officer. Prior to joining CoStar, Mr. Simuro was Director of Data Warehousing at GRC International (“GRC”). Prior to GRC, Mr. Simuro was a technology consultant specializing in operational efficiency and database technologies.</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EDUCATION</w:t>
            </w:r>
          </w:p>
          <w:p>
            <w:pPr>
              <w:pStyle w:val="TableContents"/>
              <w:bidi w:val="0"/>
              <w:spacing w:before="0" w:after="0"/>
              <w:jc w:val="left"/>
              <w:rPr>
                <w:rFonts w:ascii="ARIAL" w:hAnsi="ARIAL"/>
                <w:sz w:val="18"/>
              </w:rPr>
            </w:pPr>
            <w:r>
              <w:rPr>
                <w:rFonts w:ascii="ARIAL" w:hAnsi="ARIAL"/>
                <w:sz w:val="18"/>
              </w:rPr>
              <w:t>B.A. (Computer Science), State University of New York - Geneseo</w:t>
            </w:r>
          </w:p>
          <w:p>
            <w:pPr>
              <w:pStyle w:val="TableContents"/>
              <w:bidi w:val="0"/>
              <w:spacing w:before="0" w:after="20"/>
              <w:jc w:val="left"/>
              <w:rPr>
                <w:rFonts w:ascii="ARIAL" w:hAnsi="ARIAL"/>
                <w:sz w:val="18"/>
              </w:rPr>
            </w:pPr>
            <w:r>
              <w:rPr>
                <w:rFonts w:ascii="ARIAL" w:hAnsi="ARIAL"/>
                <w:sz w:val="18"/>
              </w:rPr>
              <w:t>M.S. (Information Systems), George Washington University</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83"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4" descr=""/>
                          <pic:cNvPicPr>
                            <a:picLocks noChangeAspect="1" noChangeArrowheads="1"/>
                          </pic:cNvPicPr>
                        </pic:nvPicPr>
                        <pic:blipFill>
                          <a:blip r:embed="rId27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8" w:type="dxa"/>
        <w:jc w:val="left"/>
        <w:tblInd w:w="0" w:type="dxa"/>
        <w:tblLayout w:type="fixed"/>
        <w:tblCellMar>
          <w:top w:w="0" w:type="dxa"/>
          <w:left w:w="0" w:type="dxa"/>
          <w:bottom w:w="0" w:type="dxa"/>
          <w:right w:w="0" w:type="dxa"/>
        </w:tblCellMar>
      </w:tblPr>
      <w:tblGrid>
        <w:gridCol w:w="38"/>
        <w:gridCol w:w="1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0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1 – ELECTION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0"/>
        <w:gridCol w:w="120"/>
        <w:gridCol w:w="7795"/>
      </w:tblGrid>
      <w:tr>
        <w:trPr/>
        <w:tc>
          <w:tcPr>
            <w:tcW w:w="2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9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0"/>
              <w:jc w:val="left"/>
              <w:rPr/>
            </w:pPr>
            <w:r>
              <w:rPr/>
              <w:drawing>
                <wp:inline distT="0" distB="0" distL="0" distR="0">
                  <wp:extent cx="1440180" cy="1922145"/>
                  <wp:effectExtent l="0" t="0" r="0" b="0"/>
                  <wp:docPr id="284"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5" descr=""/>
                          <pic:cNvPicPr>
                            <a:picLocks noChangeAspect="1" noChangeArrowheads="1"/>
                          </pic:cNvPicPr>
                        </pic:nvPicPr>
                        <pic:blipFill>
                          <a:blip r:embed="rId275"/>
                          <a:stretch>
                            <a:fillRect/>
                          </a:stretch>
                        </pic:blipFill>
                        <pic:spPr bwMode="auto">
                          <a:xfrm>
                            <a:off x="0" y="0"/>
                            <a:ext cx="1440180" cy="19221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President, Marketplaces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Employee since</w:t>
            </w:r>
            <w:r>
              <w:rPr>
                <w:rFonts w:ascii="ARIAL" w:hAnsi="ARIAL"/>
                <w:sz w:val="18"/>
              </w:rPr>
              <w:t xml:space="preserve"> 2000(1)</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sz w:val="18"/>
              </w:rPr>
              <w:t>Age</w:t>
            </w:r>
            <w:r>
              <w:rPr>
                <w:rFonts w:ascii="ARIAL" w:hAnsi="ARIAL"/>
                <w:sz w:val="18"/>
              </w:rPr>
              <w:t xml:space="preserve"> 60</w:t>
            </w:r>
          </w:p>
        </w:tc>
        <w:tc>
          <w:tcPr>
            <w:tcW w:w="120" w:type="dxa"/>
            <w:tcBorders/>
            <w:vAlign w:val="center"/>
          </w:tcPr>
          <w:p>
            <w:pPr>
              <w:pStyle w:val="TableContents"/>
              <w:bidi w:val="0"/>
              <w:spacing w:before="0" w:after="283"/>
              <w:jc w:val="left"/>
              <w:rPr/>
            </w:pPr>
            <w:r>
              <w:rPr/>
              <w:t>  </w:t>
            </w:r>
          </w:p>
        </w:tc>
        <w:tc>
          <w:tcPr>
            <w:tcW w:w="7795" w:type="dxa"/>
            <w:tcBorders/>
            <w:vAlign w:val="center"/>
          </w:tcPr>
          <w:p>
            <w:pPr>
              <w:pStyle w:val="TableContents"/>
              <w:bidi w:val="0"/>
              <w:spacing w:before="0" w:after="0"/>
              <w:jc w:val="left"/>
              <w:rPr>
                <w:rFonts w:ascii="ARIAL" w:hAnsi="ARIAL"/>
                <w:b/>
                <w:sz w:val="19"/>
              </w:rPr>
            </w:pPr>
            <w:r>
              <w:rPr>
                <w:rFonts w:ascii="ARIAL" w:hAnsi="ARIAL"/>
                <w:b/>
                <w:sz w:val="19"/>
              </w:rPr>
              <w:t>EXPERIENCE</w:t>
            </w:r>
          </w:p>
          <w:p>
            <w:pPr>
              <w:pStyle w:val="TableContents"/>
              <w:bidi w:val="0"/>
              <w:spacing w:before="0" w:after="0"/>
              <w:jc w:val="left"/>
              <w:rPr>
                <w:rFonts w:ascii="ARIAL" w:hAnsi="ARIAL"/>
                <w:sz w:val="18"/>
              </w:rPr>
            </w:pPr>
            <w:r>
              <w:rPr>
                <w:rFonts w:ascii="ARIAL" w:hAnsi="ARIAL"/>
                <w:sz w:val="18"/>
              </w:rPr>
              <w:t>Mr. Saint is responsible for Apartments.com and its network of online apartment listing websites, as well as CoStar’s Land and Businesses For Sale marketplaces. Mr. Saint joined the Company as a result of the Company’s acquisition of LoopNet in 2012, and served as President of LoopNet from April 2012 until January 2016, when he took over as President of Apartments.com. In September 2018, he was promoted to President, Marketplaces. He had previously joined LoopNet as President of Cityfeet and Vice President of LoopNet Business Development in August 2007 upon the acquisition of Cityfeet, where he had served as Chief Executive Officer from January 2004 to August 2007.</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EDUCATION</w:t>
            </w:r>
          </w:p>
          <w:p>
            <w:pPr>
              <w:pStyle w:val="TableContents"/>
              <w:bidi w:val="0"/>
              <w:spacing w:before="0" w:after="0"/>
              <w:jc w:val="left"/>
              <w:rPr>
                <w:rFonts w:ascii="ARIAL" w:hAnsi="ARIAL"/>
                <w:sz w:val="18"/>
              </w:rPr>
            </w:pPr>
            <w:r>
              <w:rPr>
                <w:rFonts w:ascii="ARIAL" w:hAnsi="ARIAL"/>
                <w:sz w:val="18"/>
              </w:rPr>
              <w:t>B.S. (Business Administration), Wake Forest University</w:t>
            </w:r>
          </w:p>
          <w:p>
            <w:pPr>
              <w:pStyle w:val="TableContents"/>
              <w:bidi w:val="0"/>
              <w:spacing w:before="0" w:after="20"/>
              <w:jc w:val="left"/>
              <w:rPr>
                <w:rFonts w:ascii="ARIAL" w:hAnsi="ARIAL"/>
                <w:sz w:val="18"/>
              </w:rPr>
            </w:pPr>
            <w:r>
              <w:rPr>
                <w:rFonts w:ascii="ARIAL" w:hAnsi="ARIAL"/>
                <w:sz w:val="18"/>
              </w:rPr>
              <w:t>M.B.A. (Finance and Real Estate), The Wharton School of the University of Pennsylvania</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305"/>
        <w:gridCol w:w="3815"/>
      </w:tblGrid>
      <w:tr>
        <w:trPr/>
        <w:tc>
          <w:tcPr>
            <w:tcW w:w="305" w:type="dxa"/>
            <w:tcBorders/>
            <w:vAlign w:val="center"/>
          </w:tcPr>
          <w:p>
            <w:pPr>
              <w:pStyle w:val="TableContents"/>
              <w:bidi w:val="0"/>
              <w:spacing w:before="0" w:after="283"/>
              <w:jc w:val="left"/>
              <w:rPr/>
            </w:pPr>
            <w:r>
              <w:rPr/>
              <w:t>(1)</w:t>
            </w:r>
          </w:p>
        </w:tc>
        <w:tc>
          <w:tcPr>
            <w:tcW w:w="3815" w:type="dxa"/>
            <w:tcBorders/>
            <w:vAlign w:val="center"/>
          </w:tcPr>
          <w:p>
            <w:pPr>
              <w:pStyle w:val="TableContents"/>
              <w:bidi w:val="0"/>
              <w:spacing w:before="0" w:after="0"/>
              <w:jc w:val="left"/>
              <w:rPr>
                <w:rFonts w:ascii="ARIAL" w:hAnsi="ARIAL"/>
                <w:sz w:val="16"/>
              </w:rPr>
            </w:pPr>
            <w:r>
              <w:rPr>
                <w:rFonts w:ascii="ARIAL" w:hAnsi="ARIAL"/>
                <w:sz w:val="16"/>
              </w:rPr>
              <w:t xml:space="preserve">Includes years of service with acquired companies. </w:t>
            </w:r>
          </w:p>
        </w:tc>
      </w:tr>
    </w:tbl>
    <w:p>
      <w:pPr>
        <w:pStyle w:val="TextBody"/>
        <w:bidi w:val="0"/>
        <w:spacing w:before="0" w:after="0"/>
        <w:jc w:val="left"/>
        <w:rPr/>
      </w:pPr>
      <w:r>
        <w:rPr/>
        <w:t> </w:t>
      </w:r>
    </w:p>
    <w:p>
      <w:pPr>
        <w:pStyle w:val="TextBody"/>
        <w:bidi w:val="0"/>
        <w:spacing w:lineRule="atLeast" w:line="142" w:before="0" w:after="40"/>
        <w:jc w:val="left"/>
        <w:rPr>
          <w:bdr w:val="single" w:sz="12" w:space="1" w:color="0054BA"/>
        </w:rPr>
      </w:pPr>
      <w:r>
        <w:rPr>
          <w:bdr w:val="single" w:sz="12" w:space="1" w:color="0054BA"/>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5"/>
        <w:gridCol w:w="120"/>
        <w:gridCol w:w="7810"/>
      </w:tblGrid>
      <w:tr>
        <w:trPr/>
        <w:tc>
          <w:tcPr>
            <w:tcW w:w="2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0" w:type="dxa"/>
            <w:tcBorders/>
            <w:vAlign w:val="center"/>
          </w:tcPr>
          <w:p>
            <w:pPr>
              <w:pStyle w:val="TableContents"/>
              <w:bidi w:val="0"/>
              <w:spacing w:before="0" w:after="283"/>
              <w:jc w:val="left"/>
              <w:rPr>
                <w:sz w:val="4"/>
                <w:szCs w:val="4"/>
              </w:rPr>
            </w:pPr>
            <w:r>
              <w:rPr>
                <w:sz w:val="4"/>
                <w:szCs w:val="4"/>
              </w:rPr>
            </w:r>
          </w:p>
        </w:tc>
      </w:tr>
      <w:tr>
        <w:trPr/>
        <w:tc>
          <w:tcPr>
            <w:tcW w:w="2275" w:type="dxa"/>
            <w:tcBorders/>
            <w:vAlign w:val="center"/>
          </w:tcPr>
          <w:p>
            <w:pPr>
              <w:pStyle w:val="TableContents"/>
              <w:bidi w:val="0"/>
              <w:spacing w:before="0" w:after="0"/>
              <w:jc w:val="left"/>
              <w:rPr/>
            </w:pPr>
            <w:r>
              <w:rPr/>
              <w:drawing>
                <wp:inline distT="0" distB="0" distL="0" distR="0">
                  <wp:extent cx="1432560" cy="1766570"/>
                  <wp:effectExtent l="0" t="0" r="0" b="0"/>
                  <wp:docPr id="28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6" descr=""/>
                          <pic:cNvPicPr>
                            <a:picLocks noChangeAspect="1" noChangeArrowheads="1"/>
                          </pic:cNvPicPr>
                        </pic:nvPicPr>
                        <pic:blipFill>
                          <a:blip r:embed="rId276"/>
                          <a:stretch>
                            <a:fillRect/>
                          </a:stretch>
                        </pic:blipFill>
                        <pic:spPr bwMode="auto">
                          <a:xfrm>
                            <a:off x="0" y="0"/>
                            <a:ext cx="1432560" cy="17665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General Counsel and</w:t>
              <w:br/>
              <w:t>Corporate Secretary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Employee since</w:t>
            </w:r>
            <w:r>
              <w:rPr>
                <w:rFonts w:ascii="ARIAL" w:hAnsi="ARIAL"/>
                <w:sz w:val="18"/>
              </w:rPr>
              <w:t xml:space="preserve"> 2022</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sz w:val="18"/>
              </w:rPr>
              <w:t>Age</w:t>
            </w:r>
            <w:r>
              <w:rPr>
                <w:rFonts w:ascii="ARIAL" w:hAnsi="ARIAL"/>
                <w:sz w:val="18"/>
              </w:rPr>
              <w:t xml:space="preserve"> 51</w:t>
            </w:r>
          </w:p>
        </w:tc>
        <w:tc>
          <w:tcPr>
            <w:tcW w:w="120" w:type="dxa"/>
            <w:tcBorders/>
            <w:vAlign w:val="center"/>
          </w:tcPr>
          <w:p>
            <w:pPr>
              <w:pStyle w:val="TableContents"/>
              <w:bidi w:val="0"/>
              <w:spacing w:before="0" w:after="283"/>
              <w:jc w:val="left"/>
              <w:rPr/>
            </w:pPr>
            <w:r>
              <w:rPr/>
              <w:t>  </w:t>
            </w:r>
          </w:p>
        </w:tc>
        <w:tc>
          <w:tcPr>
            <w:tcW w:w="7810" w:type="dxa"/>
            <w:tcBorders/>
            <w:vAlign w:val="center"/>
          </w:tcPr>
          <w:p>
            <w:pPr>
              <w:pStyle w:val="TableContents"/>
              <w:bidi w:val="0"/>
              <w:spacing w:before="0" w:after="0"/>
              <w:jc w:val="left"/>
              <w:rPr>
                <w:rFonts w:ascii="ARIAL" w:hAnsi="ARIAL"/>
                <w:b/>
                <w:sz w:val="19"/>
              </w:rPr>
            </w:pPr>
            <w:r>
              <w:rPr>
                <w:rFonts w:ascii="ARIAL" w:hAnsi="ARIAL"/>
                <w:b/>
                <w:sz w:val="19"/>
              </w:rPr>
              <w:t>EXPERIENCE</w:t>
            </w:r>
          </w:p>
          <w:p>
            <w:pPr>
              <w:pStyle w:val="TableContents"/>
              <w:bidi w:val="0"/>
              <w:spacing w:before="0" w:after="0"/>
              <w:jc w:val="left"/>
              <w:rPr>
                <w:rFonts w:ascii="ARIAL" w:hAnsi="ARIAL"/>
                <w:sz w:val="18"/>
              </w:rPr>
            </w:pPr>
            <w:r>
              <w:rPr>
                <w:rFonts w:ascii="ARIAL" w:hAnsi="ARIAL"/>
                <w:sz w:val="18"/>
              </w:rPr>
              <w:t>Mr. Boxer joined the Company in March 2022. Previously, Mr. Boxer served as Executive Vice President, Group General Counsel, of Sirius International Insurance Group from August 2016, and as its Chief Strategy Officer from September 2018 until February 2021. From January 2011 until October 2015, Mr. Boxer served as Global General Counsel of Cushman &amp; Wakefield, where he headed the Legal and Compliance functions and served as a member of the Executive Committee and Global Management Committee, and Co-Chaired the Global Enterprise Risk Management Committee, of the firm. From October 2006 until January 2011, Mr. Boxer served as a senior member of the Restructuring Group and Legal Mergers &amp; Acquisitions Group of American International Group, Inc. (AIG). Prior to October 2006, Mr. Boxer practiced at Milbank, LLP, focusing on mergers and acquisitions and securities offerings.</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EDUCATION</w:t>
            </w:r>
          </w:p>
          <w:p>
            <w:pPr>
              <w:pStyle w:val="TableContents"/>
              <w:bidi w:val="0"/>
              <w:spacing w:before="0" w:after="0"/>
              <w:jc w:val="left"/>
              <w:rPr>
                <w:rFonts w:ascii="ARIAL" w:hAnsi="ARIAL"/>
                <w:sz w:val="18"/>
              </w:rPr>
            </w:pPr>
            <w:r>
              <w:rPr>
                <w:rFonts w:ascii="ARIAL" w:hAnsi="ARIAL"/>
                <w:sz w:val="18"/>
              </w:rPr>
              <w:t>B.S. (Finance and International Business), New York University, Leonard N. Stern School of Business</w:t>
            </w:r>
          </w:p>
          <w:p>
            <w:pPr>
              <w:pStyle w:val="TableContents"/>
              <w:bidi w:val="0"/>
              <w:spacing w:before="0" w:after="0"/>
              <w:jc w:val="left"/>
              <w:rPr>
                <w:rFonts w:ascii="ARIAL" w:hAnsi="ARIAL"/>
                <w:sz w:val="18"/>
              </w:rPr>
            </w:pPr>
            <w:r>
              <w:rPr>
                <w:rFonts w:ascii="ARIAL" w:hAnsi="ARIAL"/>
                <w:sz w:val="18"/>
              </w:rPr>
              <w:t>J.D., Boston University School of Law</w:t>
            </w:r>
          </w:p>
          <w:p>
            <w:pPr>
              <w:pStyle w:val="TableContents"/>
              <w:bidi w:val="0"/>
              <w:spacing w:before="0" w:after="2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86"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7" descr=""/>
                          <pic:cNvPicPr>
                            <a:picLocks noChangeAspect="1" noChangeArrowheads="1"/>
                          </pic:cNvPicPr>
                        </pic:nvPicPr>
                        <pic:blipFill>
                          <a:blip r:embed="rId27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54BA"/>
          <w:sz w:val="44"/>
        </w:rPr>
      </w:pPr>
      <w:bookmarkStart w:id="19" w:name="toc903159_17"/>
      <w:bookmarkEnd w:id="19"/>
      <w:r>
        <w:rPr>
          <w:rFonts w:ascii="ARIAL" w:hAnsi="ARIAL"/>
          <w:b/>
          <w:color w:val="0054BA"/>
          <w:sz w:val="44"/>
        </w:rPr>
        <w:t xml:space="preserve">Proposal 2 </w:t>
      </w:r>
    </w:p>
    <w:p>
      <w:pPr>
        <w:pStyle w:val="TextBody"/>
        <w:bidi w:val="0"/>
        <w:spacing w:before="0" w:after="0"/>
        <w:jc w:val="left"/>
        <w:rPr>
          <w:rFonts w:ascii="ARIAL" w:hAnsi="ARIAL"/>
          <w:b/>
          <w:sz w:val="64"/>
        </w:rPr>
      </w:pPr>
      <w:r>
        <w:rPr>
          <w:rFonts w:ascii="ARIAL" w:hAnsi="ARIAL"/>
          <w:b/>
          <w:sz w:val="64"/>
        </w:rPr>
        <w:t xml:space="preserve">RATIFICATION OF THE APPOINTMENT OF INDEPENDENT REGISTERED PUBLIC ACCOUNTING FIRM </w:t>
      </w:r>
    </w:p>
    <w:p>
      <w:pPr>
        <w:pStyle w:val="TextBody"/>
        <w:bidi w:val="0"/>
        <w:spacing w:before="720" w:after="0"/>
        <w:jc w:val="left"/>
        <w:rPr>
          <w:rFonts w:ascii="ARIAL" w:hAnsi="ARIAL"/>
          <w:sz w:val="18"/>
        </w:rPr>
      </w:pPr>
      <w:r>
        <w:rPr>
          <w:rFonts w:ascii="ARIAL" w:hAnsi="ARIAL"/>
          <w:sz w:val="18"/>
        </w:rPr>
        <w:t xml:space="preserve">The Audit Committee approved the appointment of Ernst &amp; Young LLP (“EY”) as the Company’s independent registered public accounting firm for the fiscal year ending December 31, 2026. The Audit Committee annually reviews the independent registered public accounting firm’s independence, including reviewing all relationships between the independent registered public accounting firm and the Company and any disclosed relationships or services that may impact the objectivity and independence of the independent registered public accounting firm, and the independent registered public accounting firm’s performance. As a matter of good corporate governance, the Board is asking stockholders to ratify this appointment. If a majority of stockholders do not ratify this appointment, the Audit Committee may reconsider such appointment and consider other accounting firms. </w:t>
      </w:r>
    </w:p>
    <w:p>
      <w:pPr>
        <w:pStyle w:val="TextBody"/>
        <w:bidi w:val="0"/>
        <w:spacing w:before="120" w:after="0"/>
        <w:jc w:val="left"/>
        <w:rPr>
          <w:rFonts w:ascii="ARIAL" w:hAnsi="ARIAL"/>
          <w:sz w:val="18"/>
        </w:rPr>
      </w:pPr>
      <w:r>
        <w:rPr>
          <w:rFonts w:ascii="ARIAL" w:hAnsi="ARIAL"/>
          <w:sz w:val="18"/>
        </w:rPr>
        <w:t xml:space="preserve">EY has served as the independent registered public accounting firm for the Company, its subsidiaries, and its predecessors since 1994. The Audit Committee believes that the appointment of EY as the Company’s independent registered public accounting firm is in the best interests of the Company and its stockholders, because EY has deep institutional knowledge and expertise regarding the Company’s business and accounting policies and practices. This knowledge supports an effective and efficient audit process and helps maintain competitive fees. In addition, EY rotates the audit partners and the audit teams on a periodic basis. A representative from EY is expected to attend the Annual Meeting, and will have the opportunity to make a statement and to respond to appropriate questions from stockholders. </w:t>
      </w:r>
    </w:p>
    <w:p>
      <w:pPr>
        <w:pStyle w:val="TextBody"/>
        <w:bidi w:val="0"/>
        <w:spacing w:before="0" w:after="0"/>
        <w:jc w:val="left"/>
        <w:rPr/>
      </w:pPr>
      <w:r>
        <w:rPr/>
        <w:t> </w:t>
      </w:r>
    </w:p>
    <w:tbl>
      <w:tblPr>
        <w:tblW w:w="10205" w:type="dxa"/>
        <w:jc w:val="left"/>
        <w:tblInd w:w="0" w:type="dxa"/>
        <w:shd w:fill="DAEDFA" w:val="clear"/>
        <w:tblLayout w:type="fixed"/>
        <w:tblCellMar>
          <w:top w:w="0" w:type="dxa"/>
          <w:left w:w="0" w:type="dxa"/>
          <w:bottom w:w="0" w:type="dxa"/>
          <w:right w:w="0" w:type="dxa"/>
        </w:tblCellMar>
      </w:tblPr>
      <w:tblGrid>
        <w:gridCol w:w="718"/>
        <w:gridCol w:w="120"/>
        <w:gridCol w:w="9367"/>
      </w:tblGrid>
      <w:tr>
        <w:trPr/>
        <w:tc>
          <w:tcPr>
            <w:tcW w:w="718"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sz w:val="4"/>
                <w:szCs w:val="4"/>
              </w:rPr>
            </w:pPr>
            <w:r>
              <w:rPr>
                <w:sz w:val="4"/>
                <w:szCs w:val="4"/>
              </w:rPr>
            </w:r>
          </w:p>
        </w:tc>
        <w:tc>
          <w:tcPr>
            <w:tcW w:w="9367" w:type="dxa"/>
            <w:tcBorders/>
            <w:shd w:fill="DAEDFA" w:val="clear"/>
            <w:vAlign w:val="center"/>
          </w:tcPr>
          <w:p>
            <w:pPr>
              <w:pStyle w:val="TableContents"/>
              <w:bidi w:val="0"/>
              <w:spacing w:before="0" w:after="283"/>
              <w:jc w:val="left"/>
              <w:rPr>
                <w:sz w:val="4"/>
                <w:szCs w:val="4"/>
              </w:rPr>
            </w:pPr>
            <w:r>
              <w:rPr>
                <w:sz w:val="4"/>
                <w:szCs w:val="4"/>
              </w:rPr>
            </w:r>
          </w:p>
        </w:tc>
      </w:tr>
      <w:tr>
        <w:trPr/>
        <w:tc>
          <w:tcPr>
            <w:tcW w:w="718" w:type="dxa"/>
            <w:tcBorders/>
            <w:shd w:fill="DAEDFA" w:val="clear"/>
            <w:vAlign w:val="center"/>
          </w:tcPr>
          <w:p>
            <w:pPr>
              <w:pStyle w:val="TableContents"/>
              <w:bidi w:val="0"/>
              <w:spacing w:before="0" w:after="283"/>
              <w:jc w:val="left"/>
              <w:rPr>
                <w:sz w:val="4"/>
                <w:szCs w:val="4"/>
              </w:rPr>
            </w:pPr>
            <w:r>
              <w:rPr>
                <w:sz w:val="4"/>
                <w:szCs w:val="4"/>
              </w:rPr>
            </w:r>
          </w:p>
        </w:tc>
        <w:tc>
          <w:tcPr>
            <w:tcW w:w="9487"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18" w:type="dxa"/>
            <w:tcBorders/>
            <w:shd w:fill="DAEDFA" w:val="clear"/>
            <w:vAlign w:val="center"/>
          </w:tcPr>
          <w:p>
            <w:pPr>
              <w:pStyle w:val="TableContents"/>
              <w:bidi w:val="0"/>
              <w:spacing w:before="0" w:after="283"/>
              <w:jc w:val="left"/>
              <w:rPr/>
            </w:pPr>
            <w:r>
              <w:rPr/>
              <w:t xml:space="preserve">  </w:t>
            </w:r>
            <w:r>
              <w:rPr/>
              <w:drawing>
                <wp:inline distT="0" distB="0" distL="0" distR="0">
                  <wp:extent cx="340995" cy="404495"/>
                  <wp:effectExtent l="0" t="0" r="0" b="0"/>
                  <wp:docPr id="287"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8" descr=""/>
                          <pic:cNvPicPr>
                            <a:picLocks noChangeAspect="1" noChangeArrowheads="1"/>
                          </pic:cNvPicPr>
                        </pic:nvPicPr>
                        <pic:blipFill>
                          <a:blip r:embed="rId278"/>
                          <a:stretch>
                            <a:fillRect/>
                          </a:stretch>
                        </pic:blipFill>
                        <pic:spPr bwMode="auto">
                          <a:xfrm>
                            <a:off x="0" y="0"/>
                            <a:ext cx="340995" cy="404495"/>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9367" w:type="dxa"/>
            <w:tcBorders/>
            <w:shd w:fill="DAEDFA" w:val="clear"/>
            <w:vAlign w:val="center"/>
          </w:tcPr>
          <w:p>
            <w:pPr>
              <w:pStyle w:val="TableContents"/>
              <w:bidi w:val="0"/>
              <w:spacing w:before="0" w:after="0"/>
              <w:jc w:val="left"/>
              <w:rPr>
                <w:rFonts w:ascii="ARIAL" w:hAnsi="ARIAL"/>
                <w:sz w:val="20"/>
              </w:rPr>
            </w:pPr>
            <w:r>
              <w:rPr>
                <w:rFonts w:ascii="ARIAL" w:hAnsi="ARIAL"/>
                <w:sz w:val="20"/>
              </w:rPr>
              <w:t xml:space="preserve">THE BOARD UNANIMOUSLY RECOMMENDS A VOTE </w:t>
            </w:r>
            <w:r>
              <w:rPr>
                <w:rFonts w:ascii="ARIAL" w:hAnsi="ARIAL"/>
                <w:b/>
                <w:color w:val="0054BA"/>
                <w:sz w:val="28"/>
              </w:rPr>
              <w:t xml:space="preserve">FOR </w:t>
            </w:r>
            <w:r>
              <w:rPr>
                <w:rFonts w:ascii="ARIAL" w:hAnsi="ARIAL"/>
                <w:sz w:val="20"/>
              </w:rPr>
              <w:t>THE RATIFICATION OF THE APPOINTMENT OF ERNST &amp; YOUNG LLP AS THE COMPANY’S INDEPENDENT REGISTERED PUBLIC ACCOUNTING FIRM FOR 2026</w:t>
            </w:r>
          </w:p>
        </w:tc>
      </w:tr>
    </w:tbl>
    <w:p>
      <w:pPr>
        <w:pStyle w:val="TextBody"/>
        <w:bidi w:val="0"/>
        <w:spacing w:before="360" w:after="0"/>
        <w:jc w:val="left"/>
        <w:rPr>
          <w:rFonts w:ascii="ARIAL" w:hAnsi="ARIAL"/>
          <w:b/>
          <w:sz w:val="24"/>
        </w:rPr>
      </w:pPr>
      <w:bookmarkStart w:id="20" w:name="toc903159_18"/>
      <w:bookmarkEnd w:id="20"/>
      <w:r>
        <w:rPr>
          <w:rFonts w:ascii="ARIAL" w:hAnsi="ARIAL"/>
          <w:b/>
          <w:sz w:val="24"/>
        </w:rPr>
        <w:t xml:space="preserve">Ernst &amp; Young LLP Fees and Services </w:t>
      </w:r>
    </w:p>
    <w:p>
      <w:pPr>
        <w:pStyle w:val="TextBody"/>
        <w:bidi w:val="0"/>
        <w:spacing w:before="60" w:after="0"/>
        <w:jc w:val="left"/>
        <w:rPr>
          <w:rFonts w:ascii="ARIAL" w:hAnsi="ARIAL"/>
          <w:sz w:val="18"/>
        </w:rPr>
      </w:pPr>
      <w:r>
        <w:rPr>
          <w:rFonts w:ascii="ARIAL" w:hAnsi="ARIAL"/>
          <w:sz w:val="18"/>
        </w:rPr>
        <w:t xml:space="preserve">For the years ended December 31, 2024 and 2025, EY billed CoStar the fees set forth below, including expenses, in connection with services rendered to CoStar: </w:t>
      </w:r>
    </w:p>
    <w:p>
      <w:pPr>
        <w:pStyle w:val="TextBody"/>
        <w:bidi w:val="0"/>
        <w:spacing w:before="0" w:after="0"/>
        <w:jc w:val="left"/>
        <w:rPr/>
      </w:pPr>
      <w:r>
        <w:rPr/>
        <w:t> </w:t>
      </w:r>
    </w:p>
    <w:tbl>
      <w:tblPr>
        <w:tblW w:w="6629" w:type="dxa"/>
        <w:jc w:val="left"/>
        <w:tblInd w:w="0" w:type="dxa"/>
        <w:tblLayout w:type="fixed"/>
        <w:tblCellMar>
          <w:top w:w="0" w:type="dxa"/>
          <w:left w:w="0" w:type="dxa"/>
          <w:bottom w:w="0" w:type="dxa"/>
          <w:right w:w="0" w:type="dxa"/>
        </w:tblCellMar>
      </w:tblPr>
      <w:tblGrid>
        <w:gridCol w:w="1760"/>
        <w:gridCol w:w="23"/>
        <w:gridCol w:w="43"/>
        <w:gridCol w:w="113"/>
        <w:gridCol w:w="2075"/>
        <w:gridCol w:w="114"/>
        <w:gridCol w:w="23"/>
        <w:gridCol w:w="45"/>
        <w:gridCol w:w="117"/>
        <w:gridCol w:w="2167"/>
        <w:gridCol w:w="149"/>
      </w:tblGrid>
      <w:tr>
        <w:trPr/>
        <w:tc>
          <w:tcPr>
            <w:tcW w:w="17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0054BA" w:val="clear"/>
            <w:vAlign w:val="center"/>
          </w:tcPr>
          <w:p>
            <w:pPr>
              <w:pStyle w:val="TableContents"/>
              <w:bidi w:val="0"/>
              <w:spacing w:before="0" w:after="283"/>
              <w:jc w:val="left"/>
              <w:rPr>
                <w:sz w:val="4"/>
                <w:szCs w:val="4"/>
              </w:rPr>
            </w:pPr>
            <w:r>
              <w:rPr>
                <w:sz w:val="4"/>
                <w:szCs w:val="4"/>
              </w:rPr>
            </w:r>
          </w:p>
        </w:tc>
        <w:tc>
          <w:tcPr>
            <w:tcW w:w="2368" w:type="dxa"/>
            <w:gridSpan w:val="5"/>
            <w:tcBorders/>
            <w:shd w:fill="0054BA" w:val="clear"/>
            <w:vAlign w:val="center"/>
          </w:tcPr>
          <w:p>
            <w:pPr>
              <w:pStyle w:val="TableContents"/>
              <w:bidi w:val="0"/>
              <w:spacing w:before="0" w:after="283"/>
              <w:jc w:val="left"/>
              <w:rPr>
                <w:sz w:val="4"/>
                <w:szCs w:val="4"/>
              </w:rPr>
            </w:pPr>
            <w:r>
              <w:rPr>
                <w:sz w:val="4"/>
                <w:szCs w:val="4"/>
              </w:rPr>
            </w:r>
          </w:p>
        </w:tc>
        <w:tc>
          <w:tcPr>
            <w:tcW w:w="2501"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760" w:type="dxa"/>
            <w:tcBorders/>
            <w:shd w:fill="0054BA" w:val="clear"/>
            <w:vAlign w:val="center"/>
          </w:tcPr>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345" w:type="dxa"/>
            <w:gridSpan w:val="4"/>
            <w:tcBorders/>
            <w:shd w:fill="0054BA" w:val="clear"/>
            <w:vAlign w:val="center"/>
          </w:tcPr>
          <w:p>
            <w:pPr>
              <w:pStyle w:val="TableContents"/>
              <w:bidi w:val="0"/>
              <w:spacing w:before="0" w:after="283"/>
              <w:jc w:val="center"/>
              <w:rPr>
                <w:b/>
                <w:color w:val="FFFFFF"/>
              </w:rPr>
            </w:pPr>
            <w:r>
              <w:rPr>
                <w:b/>
                <w:color w:val="FFFFFF"/>
              </w:rPr>
              <w:t>YEAR ENDED</w:t>
              <w:br/>
              <w:t>DECEMBER 31, 2024</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478" w:type="dxa"/>
            <w:gridSpan w:val="4"/>
            <w:tcBorders/>
            <w:shd w:fill="0054BA" w:val="clear"/>
            <w:vAlign w:val="center"/>
          </w:tcPr>
          <w:p>
            <w:pPr>
              <w:pStyle w:val="TableContents"/>
              <w:bidi w:val="0"/>
              <w:spacing w:before="0" w:after="283"/>
              <w:jc w:val="center"/>
              <w:rPr>
                <w:b/>
                <w:color w:val="FFFFFF"/>
              </w:rPr>
            </w:pPr>
            <w:r>
              <w:rPr>
                <w:b/>
                <w:color w:val="FFFFFF"/>
              </w:rPr>
              <w:t>YEAR ENDED</w:t>
              <w:br/>
              <w:t>DECEMBER 31, 2025 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2368" w:type="dxa"/>
            <w:gridSpan w:val="5"/>
            <w:tcBorders/>
            <w:vAlign w:val="center"/>
          </w:tcPr>
          <w:p>
            <w:pPr>
              <w:pStyle w:val="TableContents"/>
              <w:bidi w:val="0"/>
              <w:spacing w:before="0" w:after="283"/>
              <w:jc w:val="left"/>
              <w:rPr>
                <w:sz w:val="4"/>
                <w:szCs w:val="4"/>
              </w:rPr>
            </w:pPr>
            <w:r>
              <w:rPr>
                <w:sz w:val="4"/>
                <w:szCs w:val="4"/>
              </w:rPr>
            </w:r>
          </w:p>
        </w:tc>
        <w:tc>
          <w:tcPr>
            <w:tcW w:w="2501" w:type="dxa"/>
            <w:gridSpan w:val="5"/>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Audit Fees(1)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075" w:type="dxa"/>
            <w:tcBorders>
              <w:bottom w:val="single" w:sz="6" w:space="0" w:color="000000"/>
            </w:tcBorders>
            <w:tcMar>
              <w:bottom w:w="100" w:type="dxa"/>
            </w:tcMar>
            <w:vAlign w:val="center"/>
          </w:tcPr>
          <w:p>
            <w:pPr>
              <w:pStyle w:val="TableContents"/>
              <w:bidi w:val="0"/>
              <w:spacing w:before="0" w:after="283"/>
              <w:jc w:val="center"/>
              <w:rPr/>
            </w:pPr>
            <w:r>
              <w:rPr/>
              <w:t>$2,444,878</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167" w:type="dxa"/>
            <w:tcBorders>
              <w:bottom w:val="single" w:sz="6" w:space="0" w:color="000000"/>
            </w:tcBorders>
            <w:tcMar>
              <w:bottom w:w="100" w:type="dxa"/>
            </w:tcMar>
            <w:vAlign w:val="center"/>
          </w:tcPr>
          <w:p>
            <w:pPr>
              <w:pStyle w:val="TableContents"/>
              <w:bidi w:val="0"/>
              <w:spacing w:before="0" w:after="283"/>
              <w:jc w:val="center"/>
              <w:rPr/>
            </w:pPr>
            <w:r>
              <w:rPr/>
              <w:t>$3,260,424</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2368" w:type="dxa"/>
            <w:gridSpan w:val="5"/>
            <w:tcBorders/>
            <w:vAlign w:val="center"/>
          </w:tcPr>
          <w:p>
            <w:pPr>
              <w:pStyle w:val="TableContents"/>
              <w:bidi w:val="0"/>
              <w:spacing w:before="0" w:after="283"/>
              <w:jc w:val="left"/>
              <w:rPr>
                <w:sz w:val="4"/>
                <w:szCs w:val="4"/>
              </w:rPr>
            </w:pPr>
            <w:r>
              <w:rPr>
                <w:sz w:val="4"/>
                <w:szCs w:val="4"/>
              </w:rPr>
            </w:r>
          </w:p>
        </w:tc>
        <w:tc>
          <w:tcPr>
            <w:tcW w:w="2501" w:type="dxa"/>
            <w:gridSpan w:val="5"/>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Audit-Related Fees(2)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075" w:type="dxa"/>
            <w:tcBorders>
              <w:bottom w:val="single" w:sz="6" w:space="0" w:color="000000"/>
            </w:tcBorders>
            <w:tcMar>
              <w:bottom w:w="100" w:type="dxa"/>
            </w:tcMar>
            <w:vAlign w:val="center"/>
          </w:tcPr>
          <w:p>
            <w:pPr>
              <w:pStyle w:val="TableContents"/>
              <w:bidi w:val="0"/>
              <w:spacing w:before="0" w:after="283"/>
              <w:jc w:val="center"/>
              <w:rPr/>
            </w:pPr>
            <w:r>
              <w:rPr/>
              <w:t>$260,000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167"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2368" w:type="dxa"/>
            <w:gridSpan w:val="5"/>
            <w:tcBorders/>
            <w:vAlign w:val="center"/>
          </w:tcPr>
          <w:p>
            <w:pPr>
              <w:pStyle w:val="TableContents"/>
              <w:bidi w:val="0"/>
              <w:spacing w:before="0" w:after="283"/>
              <w:jc w:val="left"/>
              <w:rPr>
                <w:sz w:val="4"/>
                <w:szCs w:val="4"/>
              </w:rPr>
            </w:pPr>
            <w:r>
              <w:rPr>
                <w:sz w:val="4"/>
                <w:szCs w:val="4"/>
              </w:rPr>
            </w:r>
          </w:p>
        </w:tc>
        <w:tc>
          <w:tcPr>
            <w:tcW w:w="2501" w:type="dxa"/>
            <w:gridSpan w:val="5"/>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Tax Fees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075"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167"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2368" w:type="dxa"/>
            <w:gridSpan w:val="5"/>
            <w:tcBorders/>
            <w:vAlign w:val="center"/>
          </w:tcPr>
          <w:p>
            <w:pPr>
              <w:pStyle w:val="TableContents"/>
              <w:bidi w:val="0"/>
              <w:spacing w:before="0" w:after="283"/>
              <w:jc w:val="left"/>
              <w:rPr>
                <w:sz w:val="4"/>
                <w:szCs w:val="4"/>
              </w:rPr>
            </w:pPr>
            <w:r>
              <w:rPr>
                <w:sz w:val="4"/>
                <w:szCs w:val="4"/>
              </w:rPr>
            </w:r>
          </w:p>
        </w:tc>
        <w:tc>
          <w:tcPr>
            <w:tcW w:w="2501" w:type="dxa"/>
            <w:gridSpan w:val="5"/>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All Other Fees(3)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075" w:type="dxa"/>
            <w:tcBorders>
              <w:bottom w:val="single" w:sz="6" w:space="0" w:color="000000"/>
            </w:tcBorders>
            <w:tcMar>
              <w:bottom w:w="100" w:type="dxa"/>
            </w:tcMar>
            <w:vAlign w:val="center"/>
          </w:tcPr>
          <w:p>
            <w:pPr>
              <w:pStyle w:val="TableContents"/>
              <w:bidi w:val="0"/>
              <w:spacing w:before="0" w:after="283"/>
              <w:jc w:val="center"/>
              <w:rPr/>
            </w:pPr>
            <w:r>
              <w:rPr/>
              <w:t>$7,662</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167"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2368" w:type="dxa"/>
            <w:gridSpan w:val="5"/>
            <w:tcBorders/>
            <w:vAlign w:val="center"/>
          </w:tcPr>
          <w:p>
            <w:pPr>
              <w:pStyle w:val="TableContents"/>
              <w:bidi w:val="0"/>
              <w:spacing w:before="0" w:after="283"/>
              <w:jc w:val="left"/>
              <w:rPr>
                <w:sz w:val="4"/>
                <w:szCs w:val="4"/>
              </w:rPr>
            </w:pPr>
            <w:r>
              <w:rPr>
                <w:sz w:val="4"/>
                <w:szCs w:val="4"/>
              </w:rPr>
            </w:r>
          </w:p>
        </w:tc>
        <w:tc>
          <w:tcPr>
            <w:tcW w:w="2501" w:type="dxa"/>
            <w:gridSpan w:val="5"/>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075" w:type="dxa"/>
            <w:tcBorders>
              <w:bottom w:val="single" w:sz="6" w:space="0" w:color="000000"/>
            </w:tcBorders>
            <w:tcMar>
              <w:bottom w:w="100" w:type="dxa"/>
            </w:tcMar>
            <w:vAlign w:val="center"/>
          </w:tcPr>
          <w:p>
            <w:pPr>
              <w:pStyle w:val="TableContents"/>
              <w:bidi w:val="0"/>
              <w:spacing w:before="0" w:after="283"/>
              <w:jc w:val="center"/>
              <w:rPr/>
            </w:pPr>
            <w:r>
              <w:rPr/>
              <w:t>$2,712,540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167" w:type="dxa"/>
            <w:tcBorders>
              <w:bottom w:val="single" w:sz="6" w:space="0" w:color="000000"/>
            </w:tcBorders>
            <w:tcMar>
              <w:bottom w:w="100" w:type="dxa"/>
            </w:tcMar>
            <w:vAlign w:val="center"/>
          </w:tcPr>
          <w:p>
            <w:pPr>
              <w:pStyle w:val="TableContents"/>
              <w:bidi w:val="0"/>
              <w:spacing w:before="0" w:after="283"/>
              <w:jc w:val="center"/>
              <w:rPr/>
            </w:pPr>
            <w:r>
              <w:rPr/>
              <w:t>$3,260,424</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i/>
              </w:rPr>
            </w:pPr>
            <w:r>
              <w:rPr>
                <w:i/>
              </w:rPr>
              <w:t>(1)</w:t>
            </w:r>
          </w:p>
        </w:tc>
        <w:tc>
          <w:tcPr>
            <w:tcW w:w="9930" w:type="dxa"/>
            <w:tcBorders/>
            <w:vAlign w:val="center"/>
          </w:tcPr>
          <w:p>
            <w:pPr>
              <w:pStyle w:val="TableContents"/>
              <w:bidi w:val="0"/>
              <w:spacing w:before="0" w:after="0"/>
              <w:jc w:val="left"/>
              <w:rPr>
                <w:rFonts w:ascii="ARIAL" w:hAnsi="ARIAL"/>
                <w:i/>
                <w:sz w:val="16"/>
              </w:rPr>
            </w:pPr>
            <w:r>
              <w:rPr>
                <w:rFonts w:ascii="ARIAL" w:hAnsi="ARIAL"/>
                <w:i/>
                <w:sz w:val="16"/>
              </w:rPr>
              <w:t xml:space="preserve">Audit Fees include fees in connection with CoStar’s: (i) annual consolidated financial statements; (ii) quarterly interim financial information; (iii) statutory audits required internationally; and (iv) registration statements. </w:t>
            </w:r>
          </w:p>
        </w:tc>
      </w:tr>
    </w:tbl>
    <w:tbl>
      <w:tblPr>
        <w:tblW w:w="5785" w:type="dxa"/>
        <w:jc w:val="left"/>
        <w:tblInd w:w="0" w:type="dxa"/>
        <w:tblLayout w:type="fixed"/>
        <w:tblCellMar>
          <w:top w:w="0" w:type="dxa"/>
          <w:left w:w="0" w:type="dxa"/>
          <w:bottom w:w="0" w:type="dxa"/>
          <w:right w:w="0" w:type="dxa"/>
        </w:tblCellMar>
      </w:tblPr>
      <w:tblGrid>
        <w:gridCol w:w="305"/>
        <w:gridCol w:w="5480"/>
      </w:tblGrid>
      <w:tr>
        <w:trPr/>
        <w:tc>
          <w:tcPr>
            <w:tcW w:w="305" w:type="dxa"/>
            <w:tcBorders/>
            <w:vAlign w:val="center"/>
          </w:tcPr>
          <w:p>
            <w:pPr>
              <w:pStyle w:val="TableContents"/>
              <w:bidi w:val="0"/>
              <w:spacing w:before="0" w:after="283"/>
              <w:jc w:val="left"/>
              <w:rPr>
                <w:i/>
              </w:rPr>
            </w:pPr>
            <w:r>
              <w:rPr>
                <w:i/>
              </w:rPr>
              <w:t>(2)</w:t>
            </w:r>
          </w:p>
        </w:tc>
        <w:tc>
          <w:tcPr>
            <w:tcW w:w="5480" w:type="dxa"/>
            <w:tcBorders/>
            <w:vAlign w:val="center"/>
          </w:tcPr>
          <w:p>
            <w:pPr>
              <w:pStyle w:val="TableContents"/>
              <w:bidi w:val="0"/>
              <w:spacing w:before="0" w:after="0"/>
              <w:jc w:val="left"/>
              <w:rPr>
                <w:rFonts w:ascii="ARIAL" w:hAnsi="ARIAL"/>
                <w:i/>
                <w:sz w:val="16"/>
              </w:rPr>
            </w:pPr>
            <w:r>
              <w:rPr>
                <w:rFonts w:ascii="ARIAL" w:hAnsi="ARIAL"/>
                <w:i/>
                <w:sz w:val="16"/>
              </w:rPr>
              <w:t xml:space="preserve">Audit-Related Fees consist of attestation reports for service organizations. </w:t>
            </w:r>
          </w:p>
        </w:tc>
      </w:tr>
    </w:tbl>
    <w:tbl>
      <w:tblPr>
        <w:tblW w:w="8755" w:type="dxa"/>
        <w:jc w:val="left"/>
        <w:tblInd w:w="0" w:type="dxa"/>
        <w:tblLayout w:type="fixed"/>
        <w:tblCellMar>
          <w:top w:w="0" w:type="dxa"/>
          <w:left w:w="0" w:type="dxa"/>
          <w:bottom w:w="0" w:type="dxa"/>
          <w:right w:w="0" w:type="dxa"/>
        </w:tblCellMar>
      </w:tblPr>
      <w:tblGrid>
        <w:gridCol w:w="305"/>
        <w:gridCol w:w="8450"/>
      </w:tblGrid>
      <w:tr>
        <w:trPr/>
        <w:tc>
          <w:tcPr>
            <w:tcW w:w="305" w:type="dxa"/>
            <w:tcBorders/>
            <w:vAlign w:val="center"/>
          </w:tcPr>
          <w:p>
            <w:pPr>
              <w:pStyle w:val="TableContents"/>
              <w:bidi w:val="0"/>
              <w:spacing w:before="0" w:after="283"/>
              <w:jc w:val="left"/>
              <w:rPr>
                <w:i/>
              </w:rPr>
            </w:pPr>
            <w:r>
              <w:rPr>
                <w:i/>
              </w:rPr>
              <w:t>(3)</w:t>
            </w:r>
          </w:p>
        </w:tc>
        <w:tc>
          <w:tcPr>
            <w:tcW w:w="8450" w:type="dxa"/>
            <w:tcBorders/>
            <w:vAlign w:val="center"/>
          </w:tcPr>
          <w:p>
            <w:pPr>
              <w:pStyle w:val="TableContents"/>
              <w:bidi w:val="0"/>
              <w:spacing w:before="0" w:after="0"/>
              <w:jc w:val="left"/>
              <w:rPr>
                <w:rFonts w:ascii="ARIAL" w:hAnsi="ARIAL"/>
                <w:i/>
                <w:sz w:val="16"/>
              </w:rPr>
            </w:pPr>
            <w:r>
              <w:rPr>
                <w:rFonts w:ascii="ARIAL" w:hAnsi="ARIAL"/>
                <w:i/>
                <w:sz w:val="16"/>
              </w:rPr>
              <w:t xml:space="preserve">All Other Fees consist of subscription fees for access to EY’s library of accounting and financial reporting guidance.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8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9" descr=""/>
                          <pic:cNvPicPr>
                            <a:picLocks noChangeAspect="1" noChangeArrowheads="1"/>
                          </pic:cNvPicPr>
                        </pic:nvPicPr>
                        <pic:blipFill>
                          <a:blip r:embed="rId27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39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3978" w:type="dxa"/>
        <w:jc w:val="left"/>
        <w:tblInd w:w="0" w:type="dxa"/>
        <w:tblLayout w:type="fixed"/>
        <w:tblCellMar>
          <w:top w:w="0" w:type="dxa"/>
          <w:left w:w="0" w:type="dxa"/>
          <w:bottom w:w="0" w:type="dxa"/>
          <w:right w:w="0" w:type="dxa"/>
        </w:tblCellMar>
      </w:tblPr>
      <w:tblGrid>
        <w:gridCol w:w="38"/>
        <w:gridCol w:w="120"/>
        <w:gridCol w:w="1382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2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3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82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pPr>
            <w:r>
              <w:rPr/>
              <w:t>    </w:t>
            </w:r>
            <w:r>
              <w:rPr>
                <w:b/>
              </w:rPr>
              <w:t>PROPOSAL 2 – RATIFICATION OF THE APPOINTMENT OF INDEPENDENT REGISTERED PUBLIC ACCOUNTING FIRM    </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21" w:name="toc903159_19"/>
      <w:bookmarkEnd w:id="21"/>
      <w:r>
        <w:rPr>
          <w:rFonts w:ascii="ARIAL" w:hAnsi="ARIAL"/>
          <w:b/>
          <w:sz w:val="24"/>
        </w:rPr>
        <w:t xml:space="preserve">Audit Committee Pre-Approval Policy </w:t>
      </w:r>
    </w:p>
    <w:p>
      <w:pPr>
        <w:pStyle w:val="TextBody"/>
        <w:bidi w:val="0"/>
        <w:spacing w:before="80" w:after="0"/>
        <w:jc w:val="left"/>
        <w:rPr>
          <w:rFonts w:ascii="ARIAL" w:hAnsi="ARIAL"/>
          <w:sz w:val="18"/>
        </w:rPr>
      </w:pPr>
      <w:r>
        <w:rPr>
          <w:rFonts w:ascii="ARIAL" w:hAnsi="ARIAL"/>
          <w:sz w:val="18"/>
        </w:rPr>
        <w:t xml:space="preserve">The Audit Committee’s policy is that all audit and non-audit services provided by CoStar’s independent registered public accounting firm shall either be approved before the independent registered public accounting firm is engaged for the particular services or shall be rendered pursuant to pre-approval procedures established by the Audit Committee. These services may include audit services and permissible audit-related services, tax services, and other services. Pre-approval spending limits for services to be performed by CoStar’s independent registered public accounting firm are established on an annual (for audit services) or periodic (for permissible non-audit services) basis, detailed as to a particular service or category of services to be performed. Any audit or non-audit service fees that may be incurred by CoStar that fall outside the pre-approved limits must be reviewed and approved by the Chair of the Audit Committee or the Audit Committee as a whole prior to the performance of services. CoStar’s independent registered public accounting firm reports to the Audit Committee on a quarterly basis on all services rendered by the independent registered public accounting firm that were pre-approved and all fees paid to the independent registered public accounting firm for such services since the previous quarter’s Audit Committee meeting. The Audit Committee may revise its pre-approval spending limits and policies at any time. </w:t>
      </w:r>
    </w:p>
    <w:p>
      <w:pPr>
        <w:pStyle w:val="TextBody"/>
        <w:bidi w:val="0"/>
        <w:spacing w:before="120" w:after="0"/>
        <w:jc w:val="left"/>
        <w:rPr>
          <w:rFonts w:ascii="ARIAL" w:hAnsi="ARIAL"/>
          <w:sz w:val="18"/>
        </w:rPr>
      </w:pPr>
      <w:r>
        <w:rPr>
          <w:rFonts w:ascii="ARIAL" w:hAnsi="ARIAL"/>
          <w:sz w:val="18"/>
        </w:rPr>
        <w:t>All fees paid to the independent registered public accounting firm in 2025 were pre-approved by the Audit Committee, and therefore no services were approved after the services were rendered pursuant to the “</w:t>
      </w:r>
      <w:r>
        <w:rPr>
          <w:rFonts w:ascii="ARIAL" w:hAnsi="ARIAL"/>
          <w:i/>
          <w:sz w:val="18"/>
        </w:rPr>
        <w:t>de minimis</w:t>
      </w:r>
      <w:r>
        <w:rPr>
          <w:rFonts w:ascii="ARIAL" w:hAnsi="ARIAL"/>
          <w:sz w:val="18"/>
        </w:rPr>
        <w:t xml:space="preserve">” exception established by the SEC for the provision of non-audit services.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89"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70" descr=""/>
                          <pic:cNvPicPr>
                            <a:picLocks noChangeAspect="1" noChangeArrowheads="1"/>
                          </pic:cNvPicPr>
                        </pic:nvPicPr>
                        <pic:blipFill>
                          <a:blip r:embed="rId28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bookmarkStart w:id="22" w:name="toc903159_20"/>
      <w:bookmarkEnd w:id="22"/>
      <w:r>
        <w:rPr>
          <w:rFonts w:ascii="ARIAL" w:hAnsi="ARIAL"/>
          <w:b/>
          <w:sz w:val="24"/>
        </w:rPr>
        <w:t xml:space="preserve">Report of the Audit Committee </w:t>
      </w:r>
    </w:p>
    <w:p>
      <w:pPr>
        <w:pStyle w:val="TextBody"/>
        <w:bidi w:val="0"/>
        <w:spacing w:before="80" w:after="0"/>
        <w:jc w:val="left"/>
        <w:rPr>
          <w:rFonts w:ascii="ARIAL" w:hAnsi="ARIAL"/>
          <w:sz w:val="18"/>
        </w:rPr>
      </w:pPr>
      <w:r>
        <w:rPr>
          <w:rFonts w:ascii="ARIAL" w:hAnsi="ARIAL"/>
          <w:sz w:val="18"/>
        </w:rPr>
        <w:t xml:space="preserve">The Audit Committee oversees the Company’s financial reporting process on behalf of the Board. Management has the primary responsibility for the financial statements and the reporting process. The Company’s independent registered public accounting firm is responsible for expressing an opinion on the conformity of the Company’s audited consolidated financial statements to GAAP. </w:t>
      </w:r>
    </w:p>
    <w:p>
      <w:pPr>
        <w:pStyle w:val="TextBody"/>
        <w:bidi w:val="0"/>
        <w:spacing w:before="120" w:after="0"/>
        <w:jc w:val="left"/>
        <w:rPr>
          <w:rFonts w:ascii="ARIAL" w:hAnsi="ARIAL"/>
          <w:sz w:val="18"/>
        </w:rPr>
      </w:pPr>
      <w:r>
        <w:rPr>
          <w:rFonts w:ascii="ARIAL" w:hAnsi="ARIAL"/>
          <w:sz w:val="18"/>
        </w:rPr>
        <w:t xml:space="preserve">In this context, the Audit Committee has: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reviewed and discussed with management and the independent registered public accounting firm the Company’s audited consolidated financial statements for the fiscal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discussed with the independent registered public accounting firm the matters required to be discussed by applicable standards of the PCAOB and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received from the independent registered public accounting firm the written disclosures and the letter required by applicable requirements of the PCAOB regarding the independent registered public accounting firm’s communications with the Audit Committee concerning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discussed with the independent registered public accounting firm its independence from the Company and management;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considered whether the independent registered public accounting firm’s provision of non-audit services to the Company is compatible with the auditors’ independence. </w:t>
            </w:r>
          </w:p>
        </w:tc>
      </w:tr>
    </w:tbl>
    <w:p>
      <w:pPr>
        <w:pStyle w:val="TextBody"/>
        <w:bidi w:val="0"/>
        <w:spacing w:before="240" w:after="0"/>
        <w:jc w:val="left"/>
        <w:rPr>
          <w:rFonts w:ascii="ARIAL" w:hAnsi="ARIAL"/>
          <w:sz w:val="18"/>
        </w:rPr>
      </w:pPr>
      <w:r>
        <w:rPr>
          <w:rFonts w:ascii="ARIAL" w:hAnsi="ARIAL"/>
          <w:sz w:val="18"/>
        </w:rPr>
        <w:t xml:space="preserve">In reliance on the reviews and discussions referred to above, the Audit Committee recommended to the Board that the audited consolidated financial statements be included in the 2025 Annual Report for filing with the SEC. </w:t>
      </w:r>
    </w:p>
    <w:p>
      <w:pPr>
        <w:pStyle w:val="TextBody"/>
        <w:bidi w:val="0"/>
        <w:spacing w:before="240" w:after="0"/>
        <w:jc w:val="left"/>
        <w:rPr>
          <w:rFonts w:ascii="ARIAL" w:hAnsi="ARIAL"/>
          <w:sz w:val="18"/>
        </w:rPr>
      </w:pPr>
      <w:r>
        <w:rPr>
          <w:rFonts w:ascii="ARIAL" w:hAnsi="ARIAL"/>
          <w:sz w:val="18"/>
        </w:rPr>
        <w:t xml:space="preserve">By the Audit Committee </w:t>
      </w:r>
    </w:p>
    <w:p>
      <w:pPr>
        <w:pStyle w:val="TextBody"/>
        <w:bidi w:val="0"/>
        <w:spacing w:before="60" w:after="0"/>
        <w:jc w:val="left"/>
        <w:rPr>
          <w:rFonts w:ascii="ARIAL" w:hAnsi="ARIAL"/>
          <w:sz w:val="18"/>
        </w:rPr>
      </w:pPr>
      <w:r>
        <w:rPr>
          <w:rFonts w:ascii="ARIAL" w:hAnsi="ARIAL"/>
          <w:sz w:val="18"/>
        </w:rPr>
        <w:t xml:space="preserve">of the Board of Directors </w:t>
      </w:r>
    </w:p>
    <w:p>
      <w:pPr>
        <w:pStyle w:val="TextBody"/>
        <w:bidi w:val="0"/>
        <w:spacing w:before="240" w:after="0"/>
        <w:jc w:val="left"/>
        <w:rPr>
          <w:rFonts w:ascii="ARIAL" w:hAnsi="ARIAL"/>
          <w:sz w:val="18"/>
        </w:rPr>
      </w:pPr>
      <w:r>
        <w:rPr>
          <w:rFonts w:ascii="ARIAL" w:hAnsi="ARIAL"/>
          <w:sz w:val="18"/>
        </w:rPr>
        <w:t xml:space="preserve">John W. Hill, Chair </w:t>
      </w:r>
    </w:p>
    <w:p>
      <w:pPr>
        <w:pStyle w:val="TextBody"/>
        <w:bidi w:val="0"/>
        <w:spacing w:before="60" w:after="0"/>
        <w:jc w:val="left"/>
        <w:rPr>
          <w:rFonts w:ascii="ARIAL" w:hAnsi="ARIAL"/>
          <w:sz w:val="18"/>
        </w:rPr>
      </w:pPr>
      <w:r>
        <w:rPr>
          <w:rFonts w:ascii="ARIAL" w:hAnsi="ARIAL"/>
          <w:sz w:val="18"/>
        </w:rPr>
        <w:t xml:space="preserve">Angelique G. Brunner </w:t>
      </w:r>
    </w:p>
    <w:p>
      <w:pPr>
        <w:pStyle w:val="TextBody"/>
        <w:bidi w:val="0"/>
        <w:spacing w:before="60" w:after="0"/>
        <w:jc w:val="left"/>
        <w:rPr>
          <w:rFonts w:ascii="ARIAL" w:hAnsi="ARIAL"/>
          <w:sz w:val="18"/>
        </w:rPr>
      </w:pPr>
      <w:r>
        <w:rPr>
          <w:rFonts w:ascii="ARIAL" w:hAnsi="ARIAL"/>
          <w:sz w:val="18"/>
        </w:rPr>
        <w:t xml:space="preserve">Rachel C. Glaser </w:t>
      </w:r>
    </w:p>
    <w:p>
      <w:pPr>
        <w:pStyle w:val="TextBody"/>
        <w:bidi w:val="0"/>
        <w:spacing w:before="60" w:after="0"/>
        <w:jc w:val="left"/>
        <w:rPr>
          <w:rFonts w:ascii="ARIAL" w:hAnsi="ARIAL"/>
          <w:sz w:val="18"/>
        </w:rPr>
      </w:pPr>
      <w:r>
        <w:rPr>
          <w:rFonts w:ascii="ARIAL" w:hAnsi="ARIAL"/>
          <w:sz w:val="18"/>
        </w:rPr>
        <w:t xml:space="preserve">Louise S. Sams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90"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71" descr=""/>
                          <pic:cNvPicPr>
                            <a:picLocks noChangeAspect="1" noChangeArrowheads="1"/>
                          </pic:cNvPicPr>
                        </pic:nvPicPr>
                        <pic:blipFill>
                          <a:blip r:embed="rId28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54BA"/>
          <w:sz w:val="44"/>
        </w:rPr>
      </w:pPr>
      <w:bookmarkStart w:id="23" w:name="toc903159_21"/>
      <w:bookmarkEnd w:id="23"/>
      <w:r>
        <w:rPr>
          <w:rFonts w:ascii="ARIAL" w:hAnsi="ARIAL"/>
          <w:b/>
          <w:color w:val="0054BA"/>
          <w:sz w:val="44"/>
        </w:rPr>
        <w:t xml:space="preserve">Proposal 3 </w:t>
      </w:r>
    </w:p>
    <w:p>
      <w:pPr>
        <w:pStyle w:val="TextBody"/>
        <w:bidi w:val="0"/>
        <w:spacing w:before="0" w:after="0"/>
        <w:jc w:val="left"/>
        <w:rPr>
          <w:rFonts w:ascii="ARIAL" w:hAnsi="ARIAL"/>
          <w:b/>
          <w:sz w:val="64"/>
        </w:rPr>
      </w:pPr>
      <w:r>
        <w:rPr>
          <w:rFonts w:ascii="ARIAL" w:hAnsi="ARIAL"/>
          <w:b/>
          <w:sz w:val="64"/>
        </w:rPr>
        <w:t xml:space="preserve">APPROVAL, ON A NON-BINDING ADVISORY BASIS OF THE EXECUTIVE COMPENSATION OF OUR NAMED EXECUTIVE OFFICERS (SAY-ON-PAY) </w:t>
      </w:r>
    </w:p>
    <w:p>
      <w:pPr>
        <w:pStyle w:val="TextBody"/>
        <w:bidi w:val="0"/>
        <w:spacing w:before="720" w:after="0"/>
        <w:jc w:val="left"/>
        <w:rPr>
          <w:rFonts w:ascii="ARIAL" w:hAnsi="ARIAL"/>
          <w:sz w:val="18"/>
        </w:rPr>
      </w:pPr>
      <w:r>
        <w:rPr>
          <w:rFonts w:ascii="ARIAL" w:hAnsi="ARIAL"/>
          <w:sz w:val="18"/>
        </w:rPr>
        <w:t xml:space="preserve">In accordance with the requirements of Section 14A of the Exchange Act, we request that our stockholders cast a non-binding, advisory vote to approve the compensation of our NEOs identified in the section titled “Compensation Discussion and Analysis” set forth below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w:t>
      </w:r>
    </w:p>
    <w:p>
      <w:pPr>
        <w:pStyle w:val="TextBody"/>
        <w:bidi w:val="0"/>
        <w:spacing w:before="120" w:after="0"/>
        <w:jc w:val="left"/>
        <w:rPr>
          <w:rFonts w:ascii="ARIAL" w:hAnsi="ARIAL"/>
          <w:sz w:val="18"/>
        </w:rPr>
      </w:pPr>
      <w:r>
        <w:rPr>
          <w:rFonts w:ascii="ARIAL" w:hAnsi="ARIAL"/>
          <w:sz w:val="18"/>
        </w:rPr>
        <w:t xml:space="preserve">We urge stockholders to read the “Compensation Discussion and Analysis” section of this Proxy Statement as well as the 2025 Summary Compensation Table and other accompanying disclosure. These sections provide detailed information about the compensation of our NEOs, including how our executive compensation policies operate and are designed to achieve our compensation objectives and the steps we have taken to address stockholder feedback solicited following our previous say-on-pay vote. The Compensation Committee and the Board of Directors believe that the policies and procedures articulated in the “Compensation Discussion and Analysis” are effective in achieving our goals and that the compensation of our NEOs reported in this Proxy Statement has supported and contributed to the Company’s recent and long-term success. </w:t>
      </w:r>
    </w:p>
    <w:p>
      <w:pPr>
        <w:pStyle w:val="TextBody"/>
        <w:bidi w:val="0"/>
        <w:spacing w:before="120" w:after="0"/>
        <w:jc w:val="left"/>
        <w:rPr>
          <w:rFonts w:ascii="ARIAL" w:hAnsi="ARIAL"/>
          <w:sz w:val="18"/>
        </w:rPr>
      </w:pPr>
      <w:r>
        <w:rPr>
          <w:rFonts w:ascii="ARIAL" w:hAnsi="ARIAL"/>
          <w:sz w:val="18"/>
        </w:rPr>
        <w:t xml:space="preserve">We are asking stockholders to approve the following non-binding, advisory resolution at the Annual Meeting: </w:t>
      </w:r>
    </w:p>
    <w:p>
      <w:pPr>
        <w:pStyle w:val="TextBody"/>
        <w:bidi w:val="0"/>
        <w:spacing w:before="120" w:after="0"/>
        <w:jc w:val="left"/>
        <w:rPr>
          <w:rFonts w:ascii="ARIAL" w:hAnsi="ARIAL"/>
          <w:sz w:val="18"/>
        </w:rPr>
      </w:pPr>
      <w:r>
        <w:rPr>
          <w:rFonts w:ascii="ARIAL" w:hAnsi="ARIAL"/>
          <w:sz w:val="18"/>
        </w:rPr>
        <w:t xml:space="preserve">RESOLVED, that the stockholders of CoStar Group, Inc. approve, on a non-binding, advisory basis, the compensation paid to the Company’s named executive officers, as disclosed pursuant to Item 402 of Regulation S-K, including the Compensation Discussion and Analysis, the 2025 Summary Compensation Table and the related compensation tables, notes and narrative in the Proxy Statement for the Company’s 2026 Annual Meeting of Stockholders. </w:t>
      </w:r>
    </w:p>
    <w:p>
      <w:pPr>
        <w:pStyle w:val="TextBody"/>
        <w:bidi w:val="0"/>
        <w:spacing w:before="120" w:after="0"/>
        <w:jc w:val="left"/>
        <w:rPr>
          <w:rFonts w:ascii="ARIAL" w:hAnsi="ARIAL"/>
          <w:sz w:val="18"/>
        </w:rPr>
      </w:pPr>
      <w:r>
        <w:rPr>
          <w:rFonts w:ascii="ARIAL" w:hAnsi="ARIAL"/>
          <w:sz w:val="18"/>
        </w:rPr>
        <w:t xml:space="preserve">This advisory resolution is non-binding on the Board and the Compensation Committee. Although non-binding, the Board and the Compensation Committee will review and consider the voting results when making future decisions regarding our executive compensation program. </w:t>
      </w:r>
    </w:p>
    <w:p>
      <w:pPr>
        <w:pStyle w:val="TextBody"/>
        <w:bidi w:val="0"/>
        <w:spacing w:before="120" w:after="0"/>
        <w:jc w:val="left"/>
        <w:rPr>
          <w:rFonts w:ascii="ARIAL" w:hAnsi="ARIAL"/>
          <w:sz w:val="18"/>
        </w:rPr>
      </w:pPr>
      <w:r>
        <w:rPr>
          <w:rFonts w:ascii="ARIAL" w:hAnsi="ARIAL"/>
          <w:sz w:val="18"/>
        </w:rPr>
        <w:t xml:space="preserve">At our annual meeting of stockholders held on June 8, 2023, our stockholders selected “1 Year” as the recommended frequency for future “say-on-pay” advisory votes. As a result, we expect to continue to submit our say-on-pay proposal to our stockholders at each annual meeting. </w:t>
      </w:r>
    </w:p>
    <w:p>
      <w:pPr>
        <w:pStyle w:val="TextBody"/>
        <w:bidi w:val="0"/>
        <w:spacing w:before="0" w:after="0"/>
        <w:jc w:val="left"/>
        <w:rPr/>
      </w:pPr>
      <w:r>
        <w:rPr/>
        <w:t> </w:t>
      </w:r>
    </w:p>
    <w:tbl>
      <w:tblPr>
        <w:tblW w:w="10205" w:type="dxa"/>
        <w:jc w:val="left"/>
        <w:tblInd w:w="0" w:type="dxa"/>
        <w:shd w:fill="DAEDFA" w:val="clear"/>
        <w:tblLayout w:type="fixed"/>
        <w:tblCellMar>
          <w:top w:w="0" w:type="dxa"/>
          <w:left w:w="0" w:type="dxa"/>
          <w:bottom w:w="0" w:type="dxa"/>
          <w:right w:w="0" w:type="dxa"/>
        </w:tblCellMar>
      </w:tblPr>
      <w:tblGrid>
        <w:gridCol w:w="742"/>
        <w:gridCol w:w="120"/>
        <w:gridCol w:w="9343"/>
      </w:tblGrid>
      <w:tr>
        <w:trPr/>
        <w:tc>
          <w:tcPr>
            <w:tcW w:w="742"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sz w:val="4"/>
                <w:szCs w:val="4"/>
              </w:rPr>
            </w:pPr>
            <w:r>
              <w:rPr>
                <w:sz w:val="4"/>
                <w:szCs w:val="4"/>
              </w:rPr>
            </w:r>
          </w:p>
        </w:tc>
        <w:tc>
          <w:tcPr>
            <w:tcW w:w="9343" w:type="dxa"/>
            <w:tcBorders/>
            <w:shd w:fill="DAEDFA" w:val="clear"/>
            <w:vAlign w:val="center"/>
          </w:tcPr>
          <w:p>
            <w:pPr>
              <w:pStyle w:val="TableContents"/>
              <w:bidi w:val="0"/>
              <w:spacing w:before="0" w:after="283"/>
              <w:jc w:val="left"/>
              <w:rPr>
                <w:sz w:val="4"/>
                <w:szCs w:val="4"/>
              </w:rPr>
            </w:pPr>
            <w:r>
              <w:rPr>
                <w:sz w:val="4"/>
                <w:szCs w:val="4"/>
              </w:rPr>
            </w:r>
          </w:p>
        </w:tc>
      </w:tr>
      <w:tr>
        <w:trPr/>
        <w:tc>
          <w:tcPr>
            <w:tcW w:w="742" w:type="dxa"/>
            <w:tcBorders/>
            <w:shd w:fill="DAEDFA" w:val="clear"/>
            <w:vAlign w:val="center"/>
          </w:tcPr>
          <w:p>
            <w:pPr>
              <w:pStyle w:val="TableContents"/>
              <w:bidi w:val="0"/>
              <w:spacing w:before="0" w:after="283"/>
              <w:jc w:val="left"/>
              <w:rPr>
                <w:sz w:val="4"/>
                <w:szCs w:val="4"/>
              </w:rPr>
            </w:pPr>
            <w:r>
              <w:rPr>
                <w:sz w:val="4"/>
                <w:szCs w:val="4"/>
              </w:rPr>
            </w:r>
          </w:p>
        </w:tc>
        <w:tc>
          <w:tcPr>
            <w:tcW w:w="9463"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42" w:type="dxa"/>
            <w:tcBorders/>
            <w:shd w:fill="DAEDFA" w:val="clear"/>
            <w:vAlign w:val="center"/>
          </w:tcPr>
          <w:p>
            <w:pPr>
              <w:pStyle w:val="TableContents"/>
              <w:bidi w:val="0"/>
              <w:spacing w:before="0" w:after="283"/>
              <w:jc w:val="left"/>
              <w:rPr/>
            </w:pPr>
            <w:r>
              <w:rPr/>
              <w:t xml:space="preserve">  </w:t>
            </w:r>
            <w:r>
              <w:rPr/>
              <w:drawing>
                <wp:inline distT="0" distB="0" distL="0" distR="0">
                  <wp:extent cx="340995" cy="404495"/>
                  <wp:effectExtent l="0" t="0" r="0" b="0"/>
                  <wp:docPr id="291"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72" descr=""/>
                          <pic:cNvPicPr>
                            <a:picLocks noChangeAspect="1" noChangeArrowheads="1"/>
                          </pic:cNvPicPr>
                        </pic:nvPicPr>
                        <pic:blipFill>
                          <a:blip r:embed="rId282"/>
                          <a:stretch>
                            <a:fillRect/>
                          </a:stretch>
                        </pic:blipFill>
                        <pic:spPr bwMode="auto">
                          <a:xfrm>
                            <a:off x="0" y="0"/>
                            <a:ext cx="340995" cy="404495"/>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9343" w:type="dxa"/>
            <w:tcBorders/>
            <w:shd w:fill="DAEDFA" w:val="clear"/>
            <w:vAlign w:val="center"/>
          </w:tcPr>
          <w:p>
            <w:pPr>
              <w:pStyle w:val="TableContents"/>
              <w:bidi w:val="0"/>
              <w:spacing w:before="0" w:after="283"/>
              <w:jc w:val="left"/>
              <w:rPr/>
            </w:pPr>
            <w:r>
              <w:rPr/>
              <w:t xml:space="preserve">THE BOARD UNANIMOUSLY RECOMMENDS A VOTE </w:t>
            </w:r>
            <w:r>
              <w:rPr>
                <w:b/>
                <w:color w:val="0054BA"/>
                <w:sz w:val="28"/>
              </w:rPr>
              <w:t xml:space="preserve">FOR </w:t>
            </w:r>
            <w:r>
              <w:rPr/>
              <w:t>THE APPROVAL OF THE ADVISORY RESOLUTION TO APPROVE EXECUTIVE COMPENSATION</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92"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73" descr=""/>
                          <pic:cNvPicPr>
                            <a:picLocks noChangeAspect="1" noChangeArrowheads="1"/>
                          </pic:cNvPicPr>
                        </pic:nvPicPr>
                        <pic:blipFill>
                          <a:blip r:embed="rId28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r>
        <w:rPr>
          <w:rFonts w:ascii="ARIAL" w:hAnsi="ARIAL"/>
          <w:b/>
          <w:sz w:val="64"/>
        </w:rPr>
        <w:t xml:space="preserve">INTRODUCTION FROM THE COMPENSATION COMMITTEE </w:t>
      </w:r>
    </w:p>
    <w:p>
      <w:pPr>
        <w:pStyle w:val="TextBody"/>
        <w:bidi w:val="0"/>
        <w:spacing w:before="0" w:after="0"/>
        <w:jc w:val="left"/>
        <w:rPr/>
      </w:pPr>
      <w:r>
        <w:rPr/>
        <w:t> </w:t>
      </w:r>
    </w:p>
    <w:tbl>
      <w:tblPr>
        <w:tblW w:w="7238" w:type="dxa"/>
        <w:jc w:val="left"/>
        <w:tblInd w:w="0" w:type="dxa"/>
        <w:tblLayout w:type="fixed"/>
        <w:tblCellMar>
          <w:top w:w="0" w:type="dxa"/>
          <w:left w:w="0" w:type="dxa"/>
          <w:bottom w:w="0" w:type="dxa"/>
          <w:right w:w="0" w:type="dxa"/>
        </w:tblCellMar>
      </w:tblPr>
      <w:tblGrid>
        <w:gridCol w:w="2930"/>
        <w:gridCol w:w="120"/>
        <w:gridCol w:w="2150"/>
        <w:gridCol w:w="120"/>
        <w:gridCol w:w="1918"/>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center"/>
              <w:rPr/>
            </w:pPr>
            <w:r>
              <w:rPr/>
              <w:drawing>
                <wp:inline distT="0" distB="0" distL="0" distR="0">
                  <wp:extent cx="1170305" cy="1170305"/>
                  <wp:effectExtent l="0" t="0" r="0" b="0"/>
                  <wp:docPr id="293"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4" descr=""/>
                          <pic:cNvPicPr>
                            <a:picLocks noChangeAspect="1" noChangeArrowheads="1"/>
                          </pic:cNvPicPr>
                        </pic:nvPicPr>
                        <pic:blipFill>
                          <a:blip r:embed="rId284"/>
                          <a:stretch>
                            <a:fillRect/>
                          </a:stretch>
                        </pic:blipFill>
                        <pic:spPr bwMode="auto">
                          <a:xfrm>
                            <a:off x="0" y="0"/>
                            <a:ext cx="1170305" cy="11703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drawing>
                <wp:inline distT="0" distB="0" distL="0" distR="0">
                  <wp:extent cx="1170305" cy="1170305"/>
                  <wp:effectExtent l="0" t="0" r="0" b="0"/>
                  <wp:docPr id="294"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5" descr=""/>
                          <pic:cNvPicPr>
                            <a:picLocks noChangeAspect="1" noChangeArrowheads="1"/>
                          </pic:cNvPicPr>
                        </pic:nvPicPr>
                        <pic:blipFill>
                          <a:blip r:embed="rId285"/>
                          <a:stretch>
                            <a:fillRect/>
                          </a:stretch>
                        </pic:blipFill>
                        <pic:spPr bwMode="auto">
                          <a:xfrm>
                            <a:off x="0" y="0"/>
                            <a:ext cx="1170305" cy="11703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center"/>
              <w:rPr/>
            </w:pPr>
            <w:r>
              <w:rPr/>
              <w:drawing>
                <wp:inline distT="0" distB="0" distL="0" distR="0">
                  <wp:extent cx="1170305" cy="1170305"/>
                  <wp:effectExtent l="0" t="0" r="0" b="0"/>
                  <wp:docPr id="295"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6" descr=""/>
                          <pic:cNvPicPr>
                            <a:picLocks noChangeAspect="1" noChangeArrowheads="1"/>
                          </pic:cNvPicPr>
                        </pic:nvPicPr>
                        <pic:blipFill>
                          <a:blip r:embed="rId286"/>
                          <a:stretch>
                            <a:fillRect/>
                          </a:stretch>
                        </pic:blipFill>
                        <pic:spPr bwMode="auto">
                          <a:xfrm>
                            <a:off x="0" y="0"/>
                            <a:ext cx="1170305" cy="1170305"/>
                          </a:xfrm>
                          <a:prstGeom prst="rect">
                            <a:avLst/>
                          </a:prstGeom>
                        </pic:spPr>
                      </pic:pic>
                    </a:graphicData>
                  </a:graphic>
                </wp:inline>
              </w:drawing>
            </w:r>
            <w:r>
              <w:rPr/>
              <w:t xml:space="preserve"> </w:t>
            </w:r>
          </w:p>
        </w:tc>
      </w:tr>
      <w:tr>
        <w:trPr/>
        <w:tc>
          <w:tcPr>
            <w:tcW w:w="2930" w:type="dxa"/>
            <w:tcBorders/>
            <w:vAlign w:val="center"/>
          </w:tcPr>
          <w:p>
            <w:pPr>
              <w:pStyle w:val="TableContents"/>
              <w:bidi w:val="0"/>
              <w:spacing w:before="0" w:after="283"/>
              <w:jc w:val="center"/>
              <w:rPr/>
            </w:pPr>
            <w:r>
              <w:rPr/>
              <w:t>Robert W. Musslewhite, Chair</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t>Angelique G. Brunner</w:t>
            </w:r>
          </w:p>
        </w:tc>
        <w:tc>
          <w:tcPr>
            <w:tcW w:w="120"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center"/>
              <w:rPr/>
            </w:pPr>
            <w:r>
              <w:rPr/>
              <w:t>John L. Berisford</w:t>
            </w:r>
          </w:p>
        </w:tc>
      </w:tr>
    </w:tbl>
    <w:p>
      <w:pPr>
        <w:pStyle w:val="TextBody"/>
        <w:bidi w:val="0"/>
        <w:spacing w:before="720" w:after="0"/>
        <w:jc w:val="left"/>
        <w:rPr>
          <w:rFonts w:ascii="ARIAL" w:hAnsi="ARIAL"/>
          <w:sz w:val="18"/>
        </w:rPr>
      </w:pPr>
      <w:r>
        <w:rPr>
          <w:rFonts w:ascii="ARIAL" w:hAnsi="ARIAL"/>
          <w:sz w:val="18"/>
        </w:rPr>
        <w:t xml:space="preserve">Dear Fellow Stockholders, </w:t>
      </w:r>
    </w:p>
    <w:p>
      <w:pPr>
        <w:pStyle w:val="TextBody"/>
        <w:bidi w:val="0"/>
        <w:spacing w:before="120" w:after="0"/>
        <w:jc w:val="left"/>
        <w:rPr>
          <w:rFonts w:ascii="ARIAL" w:hAnsi="ARIAL"/>
          <w:sz w:val="18"/>
        </w:rPr>
      </w:pPr>
      <w:r>
        <w:rPr>
          <w:rFonts w:ascii="ARIAL" w:hAnsi="ARIAL"/>
          <w:sz w:val="18"/>
        </w:rPr>
        <w:t xml:space="preserve">We thank you for your continued support and engagement and for your investment in the Company. We are encouraged by the Company’s progress made during 2025 as we remain focused on building long-term value for stockholders. </w:t>
      </w:r>
    </w:p>
    <w:p>
      <w:pPr>
        <w:pStyle w:val="TextBody"/>
        <w:bidi w:val="0"/>
        <w:spacing w:before="120" w:after="0"/>
        <w:jc w:val="left"/>
        <w:rPr>
          <w:rFonts w:ascii="ARIAL" w:hAnsi="ARIAL"/>
          <w:sz w:val="18"/>
        </w:rPr>
      </w:pPr>
      <w:r>
        <w:rPr>
          <w:rFonts w:ascii="ARIAL" w:hAnsi="ARIAL"/>
          <w:sz w:val="18"/>
        </w:rPr>
        <w:t xml:space="preserve">As the newly reconstituted Compensation Committee of the Board of Directors of CoStar Group, our role is to oversee an executive compensation program that aligns pay with performance and supports the Company’s long-term strategy. Upon our appointment to the Compensation Committee following the 2025 Annual Meeting of Stockholders, a key part of our role was to speak directly to stockholders regarding the Company’s legacy executive compensation program. We carefully considered the feedback we received through our annual say-on-pay vote last year, as well as through ongoing outreach and dialogue, and we used that input to evaluate and refine our executive compensation program. </w:t>
      </w:r>
    </w:p>
    <w:p>
      <w:pPr>
        <w:pStyle w:val="TextBody"/>
        <w:bidi w:val="0"/>
        <w:spacing w:before="120" w:after="0"/>
        <w:jc w:val="left"/>
        <w:rPr>
          <w:rFonts w:ascii="ARIAL" w:hAnsi="ARIAL"/>
          <w:sz w:val="18"/>
        </w:rPr>
      </w:pPr>
      <w:r>
        <w:rPr>
          <w:rFonts w:ascii="ARIAL" w:hAnsi="ARIAL"/>
          <w:sz w:val="18"/>
        </w:rPr>
        <w:t xml:space="preserve">As a result of this outreach and evaluation, we implemented significant changes to our executive compensation framework for 2026. These changes represent a meaningful departure from the prior design and reflect our commitment to strong pay for performance alignment, increased rigor, transparency, and responsiveness to stockholder feedback. </w:t>
      </w:r>
    </w:p>
    <w:p>
      <w:pPr>
        <w:pStyle w:val="TextBody"/>
        <w:bidi w:val="0"/>
        <w:spacing w:before="120" w:after="0"/>
        <w:jc w:val="left"/>
        <w:rPr>
          <w:rFonts w:ascii="ARIAL" w:hAnsi="ARIAL"/>
          <w:sz w:val="18"/>
        </w:rPr>
      </w:pPr>
      <w:r>
        <w:rPr>
          <w:rFonts w:ascii="ARIAL" w:hAnsi="ARIAL"/>
          <w:sz w:val="18"/>
        </w:rPr>
        <w:t xml:space="preserve">The questions and answers below are intended to address the key topics most frequently raised by stockholders and proxy advisory firms, including our response to the say-on-pay vote, the actions we have taken, and how the redesigned program better aligns executive compensation with sustained performance. </w:t>
      </w:r>
    </w:p>
    <w:p>
      <w:pPr>
        <w:pStyle w:val="TextBody"/>
        <w:bidi w:val="0"/>
        <w:spacing w:before="360" w:after="0"/>
        <w:jc w:val="left"/>
        <w:rPr>
          <w:rFonts w:ascii="ARIAL" w:hAnsi="ARIAL"/>
          <w:b/>
          <w:color w:val="0054BA"/>
          <w:sz w:val="24"/>
        </w:rPr>
      </w:pPr>
      <w:r>
        <w:rPr>
          <w:rFonts w:ascii="ARIAL" w:hAnsi="ARIAL"/>
          <w:b/>
          <w:color w:val="0054BA"/>
          <w:sz w:val="24"/>
        </w:rPr>
        <w:t xml:space="preserve">Q: How did the Compensation Committee respond to stockholder concerns? </w:t>
      </w:r>
    </w:p>
    <w:p>
      <w:pPr>
        <w:pStyle w:val="TextBody"/>
        <w:bidi w:val="0"/>
        <w:spacing w:before="120" w:after="0"/>
        <w:jc w:val="left"/>
        <w:rPr>
          <w:rFonts w:ascii="ARIAL" w:hAnsi="ARIAL"/>
          <w:sz w:val="18"/>
        </w:rPr>
      </w:pPr>
      <w:r>
        <w:rPr>
          <w:rFonts w:ascii="ARIAL" w:hAnsi="ARIAL"/>
          <w:sz w:val="18"/>
        </w:rPr>
        <w:t xml:space="preserve">A: Following the say-on-pay vote, our Compensation Committee Chair and Board Chair, together with senior members of management, conducted extensive stockholder outreach. These discussions focused on understanding the specific drivers of the say-on-pay vote and identifying actions that would better align executive pay with performance and long-term stockholder value. </w:t>
      </w:r>
    </w:p>
    <w:p>
      <w:pPr>
        <w:pStyle w:val="TextBody"/>
        <w:bidi w:val="0"/>
        <w:spacing w:before="360" w:after="0"/>
        <w:jc w:val="left"/>
        <w:rPr>
          <w:rFonts w:ascii="ARIAL" w:hAnsi="ARIAL"/>
          <w:b/>
          <w:color w:val="0054BA"/>
          <w:sz w:val="24"/>
        </w:rPr>
      </w:pPr>
      <w:r>
        <w:rPr>
          <w:rFonts w:ascii="ARIAL" w:hAnsi="ARIAL"/>
          <w:b/>
          <w:color w:val="0054BA"/>
          <w:sz w:val="24"/>
        </w:rPr>
        <w:t xml:space="preserve">Q: How did stockholder feedback influence the Committee’s decisions? </w:t>
      </w:r>
    </w:p>
    <w:p>
      <w:pPr>
        <w:pStyle w:val="TextBody"/>
        <w:bidi w:val="0"/>
        <w:spacing w:before="120" w:after="0"/>
        <w:jc w:val="left"/>
        <w:rPr>
          <w:rFonts w:ascii="ARIAL" w:hAnsi="ARIAL"/>
          <w:sz w:val="18"/>
        </w:rPr>
      </w:pPr>
      <w:r>
        <w:rPr>
          <w:rFonts w:ascii="ARIAL" w:hAnsi="ARIAL"/>
          <w:sz w:val="18"/>
        </w:rPr>
        <w:t xml:space="preserve">A: Stockholder feedback was central to our deliberations. Investors consistently emphasized the need for stronger pay for performance alignment, increased rigor in performance goals, balanced risk, more objective financial metrics, and a simpler, more transparent long-term incentive structure. These themes directly shaped the program redesign.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96"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7" descr=""/>
                          <pic:cNvPicPr>
                            <a:picLocks noChangeAspect="1" noChangeArrowheads="1"/>
                          </pic:cNvPicPr>
                        </pic:nvPicPr>
                        <pic:blipFill>
                          <a:blip r:embed="rId28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98" w:type="dxa"/>
        <w:jc w:val="left"/>
        <w:tblInd w:w="0" w:type="dxa"/>
        <w:tblLayout w:type="fixed"/>
        <w:tblCellMar>
          <w:top w:w="0" w:type="dxa"/>
          <w:left w:w="0" w:type="dxa"/>
          <w:bottom w:w="0" w:type="dxa"/>
          <w:right w:w="0" w:type="dxa"/>
        </w:tblCellMar>
      </w:tblPr>
      <w:tblGrid>
        <w:gridCol w:w="38"/>
        <w:gridCol w:w="1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71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04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INTRODUCTION FROM THE COMPENSATION COMMITTEE</w:t>
            </w:r>
          </w:p>
        </w:tc>
      </w:tr>
    </w:tbl>
    <w:p>
      <w:pPr>
        <w:pStyle w:val="TextBody"/>
        <w:bidi w:val="0"/>
        <w:spacing w:before="0" w:after="0"/>
        <w:jc w:val="left"/>
        <w:rPr/>
      </w:pPr>
      <w:r>
        <w:rPr/>
        <w:t> </w:t>
      </w:r>
    </w:p>
    <w:p>
      <w:pPr>
        <w:pStyle w:val="TextBody"/>
        <w:bidi w:val="0"/>
        <w:spacing w:before="0" w:after="0"/>
        <w:jc w:val="left"/>
        <w:rPr>
          <w:rFonts w:ascii="ARIAL" w:hAnsi="ARIAL"/>
          <w:b/>
          <w:color w:val="0054BA"/>
          <w:sz w:val="24"/>
        </w:rPr>
      </w:pPr>
      <w:r>
        <w:rPr>
          <w:rFonts w:ascii="ARIAL" w:hAnsi="ARIAL"/>
          <w:b/>
          <w:color w:val="0054BA"/>
          <w:sz w:val="24"/>
        </w:rPr>
        <w:t xml:space="preserve">Q: What changes have been made to strengthen pay for performance alignment? </w:t>
      </w:r>
    </w:p>
    <w:p>
      <w:pPr>
        <w:pStyle w:val="TextBody"/>
        <w:bidi w:val="0"/>
        <w:spacing w:before="240" w:after="0"/>
        <w:jc w:val="left"/>
        <w:rPr>
          <w:rFonts w:ascii="ARIAL" w:hAnsi="ARIAL"/>
          <w:sz w:val="18"/>
        </w:rPr>
      </w:pPr>
      <w:r>
        <w:rPr>
          <w:rFonts w:ascii="ARIAL" w:hAnsi="ARIAL"/>
          <w:sz w:val="18"/>
        </w:rPr>
        <w:t xml:space="preserve">A: For 2026, we implemented significant program-wide changes,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Rebalanced performance metrics in both short- and long-term incentive plans to better reflect both top line and bottom line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Increased rigor of performance outcomes by establishing performance slope symmetry and raising the relative TSR (rTSR) target, which increases downside risk and reduces the likelihood of above target payouts absent sustained outperformance;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Placed greater reliance on objective financial measures in the short-term incentive plan, with 80% weighting (as compared to an average weighting of 56%) for non-CEO named executive officers and continued 100% weighting for the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Simplified the long-term incentive program by eliminating the one-year performance period based Restricted Stock Awards (“performance-based RSAs”) and stock options;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125"/>
        <w:gridCol w:w="60"/>
        <w:gridCol w:w="8135"/>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ARIAL" w:hAnsi="ARIAL"/>
                <w:sz w:val="18"/>
              </w:rPr>
            </w:pPr>
            <w:r>
              <w:rPr>
                <w:rFonts w:ascii="ARIAL" w:hAnsi="ARIAL"/>
                <w:sz w:val="18"/>
              </w:rPr>
              <w:t xml:space="preserve">Placed greater emphasis on Performance Share Awards with a three-year performance period;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Enhanced governance safeguards, including updates to clawback provisions, stock ownership guidelines, and executive severance policies. </w:t>
            </w:r>
          </w:p>
        </w:tc>
      </w:tr>
    </w:tbl>
    <w:p>
      <w:pPr>
        <w:pStyle w:val="TextBody"/>
        <w:bidi w:val="0"/>
        <w:spacing w:before="360" w:after="0"/>
        <w:jc w:val="left"/>
        <w:rPr>
          <w:rFonts w:ascii="ARIAL" w:hAnsi="ARIAL"/>
          <w:b/>
          <w:color w:val="0054BA"/>
          <w:sz w:val="24"/>
        </w:rPr>
      </w:pPr>
      <w:r>
        <w:rPr>
          <w:rFonts w:ascii="ARIAL" w:hAnsi="ARIAL"/>
          <w:b/>
          <w:color w:val="0054BA"/>
          <w:sz w:val="24"/>
        </w:rPr>
        <w:t xml:space="preserve">Q: Why does the Compensation Committee believe these changes are appropriate? </w:t>
      </w:r>
    </w:p>
    <w:p>
      <w:pPr>
        <w:pStyle w:val="TextBody"/>
        <w:bidi w:val="0"/>
        <w:spacing w:before="120" w:after="0"/>
        <w:jc w:val="left"/>
        <w:rPr>
          <w:rFonts w:ascii="ARIAL" w:hAnsi="ARIAL"/>
          <w:sz w:val="18"/>
        </w:rPr>
      </w:pPr>
      <w:r>
        <w:rPr>
          <w:rFonts w:ascii="ARIAL" w:hAnsi="ARIAL"/>
          <w:sz w:val="18"/>
        </w:rPr>
        <w:t xml:space="preserve">A: We believe these changes materially strengthen the alignment between executive compensation and stockholder outcomes. The redesigned program places greater emphasis on sustained financial performance, increases accountability for underperformance, and improves transparency and evaluability for stockholders. </w:t>
      </w:r>
    </w:p>
    <w:p>
      <w:pPr>
        <w:pStyle w:val="TextBody"/>
        <w:bidi w:val="0"/>
        <w:spacing w:before="120" w:after="0"/>
        <w:jc w:val="left"/>
        <w:rPr>
          <w:rFonts w:ascii="ARIAL" w:hAnsi="ARIAL"/>
          <w:sz w:val="18"/>
        </w:rPr>
      </w:pPr>
      <w:r>
        <w:rPr>
          <w:rFonts w:ascii="ARIAL" w:hAnsi="ARIAL"/>
          <w:sz w:val="18"/>
        </w:rPr>
        <w:t xml:space="preserve">Based on our ongoing engagement, we understand that these changes have been well-received by our stockholders. We encourage you to review the Compensation Discussion and Analysis that follows for a more detailed discussion of our compensation philosophy and new program design. </w:t>
      </w:r>
    </w:p>
    <w:p>
      <w:pPr>
        <w:pStyle w:val="TextBody"/>
        <w:bidi w:val="0"/>
        <w:spacing w:before="120" w:after="0"/>
        <w:jc w:val="left"/>
        <w:rPr>
          <w:rFonts w:ascii="ARIAL" w:hAnsi="ARIAL"/>
          <w:sz w:val="18"/>
        </w:rPr>
      </w:pPr>
      <w:r>
        <w:rPr>
          <w:rFonts w:ascii="ARIAL" w:hAnsi="ARIAL"/>
          <w:sz w:val="18"/>
        </w:rPr>
        <w:t xml:space="preserve">We thank you for your ongoing participation and investment in CoStar Group and look forward to continuing an active and open dialogue. </w:t>
      </w:r>
    </w:p>
    <w:p>
      <w:pPr>
        <w:pStyle w:val="TextBody"/>
        <w:bidi w:val="0"/>
        <w:spacing w:before="120" w:after="0"/>
        <w:jc w:val="left"/>
        <w:rPr>
          <w:rFonts w:ascii="ARIAL" w:hAnsi="ARIAL"/>
          <w:sz w:val="18"/>
        </w:rPr>
      </w:pPr>
      <w:r>
        <w:rPr>
          <w:rFonts w:ascii="ARIAL" w:hAnsi="ARIAL"/>
          <w:sz w:val="18"/>
        </w:rPr>
        <w:t xml:space="preserve">Sincerely, </w:t>
      </w:r>
    </w:p>
    <w:p>
      <w:pPr>
        <w:pStyle w:val="TextBody"/>
        <w:bidi w:val="0"/>
        <w:spacing w:before="240" w:after="0"/>
        <w:jc w:val="left"/>
        <w:rPr>
          <w:rFonts w:ascii="ARIAL" w:hAnsi="ARIAL"/>
          <w:sz w:val="18"/>
        </w:rPr>
      </w:pPr>
      <w:r>
        <w:rPr>
          <w:rFonts w:ascii="ARIAL" w:hAnsi="ARIAL"/>
          <w:sz w:val="18"/>
        </w:rPr>
        <w:t xml:space="preserve">Robert W. Musslewhite, Chair </w:t>
      </w:r>
    </w:p>
    <w:p>
      <w:pPr>
        <w:pStyle w:val="TextBody"/>
        <w:bidi w:val="0"/>
        <w:spacing w:before="0" w:after="0"/>
        <w:jc w:val="left"/>
        <w:rPr>
          <w:rFonts w:ascii="ARIAL" w:hAnsi="ARIAL"/>
          <w:sz w:val="18"/>
        </w:rPr>
      </w:pPr>
      <w:r>
        <w:rPr>
          <w:rFonts w:ascii="ARIAL" w:hAnsi="ARIAL"/>
          <w:sz w:val="18"/>
        </w:rPr>
        <w:t xml:space="preserve">Angelique G. Brunner </w:t>
      </w:r>
    </w:p>
    <w:p>
      <w:pPr>
        <w:pStyle w:val="TextBody"/>
        <w:bidi w:val="0"/>
        <w:spacing w:before="0" w:after="0"/>
        <w:jc w:val="left"/>
        <w:rPr>
          <w:rFonts w:ascii="ARIAL" w:hAnsi="ARIAL"/>
          <w:sz w:val="18"/>
        </w:rPr>
      </w:pPr>
      <w:r>
        <w:rPr>
          <w:rFonts w:ascii="ARIAL" w:hAnsi="ARIAL"/>
          <w:sz w:val="18"/>
        </w:rPr>
        <w:t xml:space="preserve">John L. Berisford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297"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8" descr=""/>
                          <pic:cNvPicPr>
                            <a:picLocks noChangeAspect="1" noChangeArrowheads="1"/>
                          </pic:cNvPicPr>
                        </pic:nvPicPr>
                        <pic:blipFill>
                          <a:blip r:embed="rId28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bookmarkStart w:id="24" w:name="toc903159_22"/>
      <w:bookmarkEnd w:id="24"/>
      <w:r>
        <w:rPr>
          <w:rFonts w:ascii="ARIAL" w:hAnsi="ARIAL"/>
          <w:b/>
          <w:sz w:val="64"/>
        </w:rPr>
        <w:t xml:space="preserve">COMPENSATION DISCUSSION AND ANALYSIS </w:t>
      </w:r>
    </w:p>
    <w:p>
      <w:pPr>
        <w:pStyle w:val="TextBody"/>
        <w:bidi w:val="0"/>
        <w:spacing w:before="720" w:after="0"/>
        <w:jc w:val="left"/>
        <w:rPr>
          <w:rFonts w:ascii="ARIAL" w:hAnsi="ARIAL"/>
          <w:sz w:val="18"/>
        </w:rPr>
      </w:pPr>
      <w:r>
        <w:rPr>
          <w:rFonts w:ascii="ARIAL" w:hAnsi="ARIAL"/>
          <w:sz w:val="18"/>
        </w:rPr>
        <w:t xml:space="preserve">This CD&amp;A summarizes our philosophy and objectives regarding compensation of our NEOs, including the policies and principles that determine the elements and amounts of executive compensation. </w:t>
      </w:r>
    </w:p>
    <w:p>
      <w:pPr>
        <w:pStyle w:val="TextBody"/>
        <w:bidi w:val="0"/>
        <w:spacing w:before="160" w:after="0"/>
        <w:jc w:val="left"/>
        <w:rPr>
          <w:rFonts w:ascii="ARIAL" w:hAnsi="ARIAL"/>
          <w:sz w:val="18"/>
        </w:rPr>
      </w:pPr>
      <w:r>
        <w:rPr>
          <w:rFonts w:ascii="ARIAL" w:hAnsi="ARIAL"/>
          <w:sz w:val="18"/>
        </w:rPr>
        <w:t xml:space="preserve">Our NEOs for 2025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3"/>
        <w:gridCol w:w="60"/>
        <w:gridCol w:w="1858"/>
        <w:gridCol w:w="60"/>
        <w:gridCol w:w="2231"/>
        <w:gridCol w:w="60"/>
        <w:gridCol w:w="1858"/>
        <w:gridCol w:w="60"/>
        <w:gridCol w:w="1875"/>
      </w:tblGrid>
      <w:tr>
        <w:trPr/>
        <w:tc>
          <w:tcPr>
            <w:tcW w:w="2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center"/>
              <w:rPr/>
            </w:pPr>
            <w:r>
              <w:rPr/>
              <w:drawing>
                <wp:inline distT="0" distB="0" distL="0" distR="0">
                  <wp:extent cx="1170305" cy="1170305"/>
                  <wp:effectExtent l="0" t="0" r="0" b="0"/>
                  <wp:docPr id="298"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9" descr=""/>
                          <pic:cNvPicPr>
                            <a:picLocks noChangeAspect="1" noChangeArrowheads="1"/>
                          </pic:cNvPicPr>
                        </pic:nvPicPr>
                        <pic:blipFill>
                          <a:blip r:embed="rId289"/>
                          <a:stretch>
                            <a:fillRect/>
                          </a:stretch>
                        </pic:blipFill>
                        <pic:spPr bwMode="auto">
                          <a:xfrm>
                            <a:off x="0" y="0"/>
                            <a:ext cx="1170305" cy="11703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center"/>
              <w:rPr/>
            </w:pPr>
            <w:r>
              <w:rPr/>
              <w:drawing>
                <wp:inline distT="0" distB="0" distL="0" distR="0">
                  <wp:extent cx="1170305" cy="1170305"/>
                  <wp:effectExtent l="0" t="0" r="0" b="0"/>
                  <wp:docPr id="299"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80" descr=""/>
                          <pic:cNvPicPr>
                            <a:picLocks noChangeAspect="1" noChangeArrowheads="1"/>
                          </pic:cNvPicPr>
                        </pic:nvPicPr>
                        <pic:blipFill>
                          <a:blip r:embed="rId290"/>
                          <a:stretch>
                            <a:fillRect/>
                          </a:stretch>
                        </pic:blipFill>
                        <pic:spPr bwMode="auto">
                          <a:xfrm>
                            <a:off x="0" y="0"/>
                            <a:ext cx="1170305" cy="11703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31" w:type="dxa"/>
            <w:tcBorders/>
            <w:vAlign w:val="center"/>
          </w:tcPr>
          <w:p>
            <w:pPr>
              <w:pStyle w:val="TableContents"/>
              <w:bidi w:val="0"/>
              <w:spacing w:before="0" w:after="283"/>
              <w:jc w:val="center"/>
              <w:rPr/>
            </w:pPr>
            <w:r>
              <w:rPr/>
              <w:drawing>
                <wp:inline distT="0" distB="0" distL="0" distR="0">
                  <wp:extent cx="1170305" cy="1170305"/>
                  <wp:effectExtent l="0" t="0" r="0" b="0"/>
                  <wp:docPr id="300"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81" descr=""/>
                          <pic:cNvPicPr>
                            <a:picLocks noChangeAspect="1" noChangeArrowheads="1"/>
                          </pic:cNvPicPr>
                        </pic:nvPicPr>
                        <pic:blipFill>
                          <a:blip r:embed="rId291"/>
                          <a:stretch>
                            <a:fillRect/>
                          </a:stretch>
                        </pic:blipFill>
                        <pic:spPr bwMode="auto">
                          <a:xfrm>
                            <a:off x="0" y="0"/>
                            <a:ext cx="1170305" cy="11703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center"/>
              <w:rPr/>
            </w:pPr>
            <w:r>
              <w:rPr/>
              <w:drawing>
                <wp:inline distT="0" distB="0" distL="0" distR="0">
                  <wp:extent cx="1170305" cy="1170305"/>
                  <wp:effectExtent l="0" t="0" r="0" b="0"/>
                  <wp:docPr id="301"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82" descr=""/>
                          <pic:cNvPicPr>
                            <a:picLocks noChangeAspect="1" noChangeArrowheads="1"/>
                          </pic:cNvPicPr>
                        </pic:nvPicPr>
                        <pic:blipFill>
                          <a:blip r:embed="rId292"/>
                          <a:stretch>
                            <a:fillRect/>
                          </a:stretch>
                        </pic:blipFill>
                        <pic:spPr bwMode="auto">
                          <a:xfrm>
                            <a:off x="0" y="0"/>
                            <a:ext cx="1170305" cy="11703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283"/>
              <w:jc w:val="center"/>
              <w:rPr/>
            </w:pPr>
            <w:r>
              <w:rPr/>
              <w:drawing>
                <wp:inline distT="0" distB="0" distL="0" distR="0">
                  <wp:extent cx="1170305" cy="1170305"/>
                  <wp:effectExtent l="0" t="0" r="0" b="0"/>
                  <wp:docPr id="302"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83" descr=""/>
                          <pic:cNvPicPr>
                            <a:picLocks noChangeAspect="1" noChangeArrowheads="1"/>
                          </pic:cNvPicPr>
                        </pic:nvPicPr>
                        <pic:blipFill>
                          <a:blip r:embed="rId293"/>
                          <a:stretch>
                            <a:fillRect/>
                          </a:stretch>
                        </pic:blipFill>
                        <pic:spPr bwMode="auto">
                          <a:xfrm>
                            <a:off x="0" y="0"/>
                            <a:ext cx="1170305" cy="1170305"/>
                          </a:xfrm>
                          <a:prstGeom prst="rect">
                            <a:avLst/>
                          </a:prstGeom>
                        </pic:spPr>
                      </pic:pic>
                    </a:graphicData>
                  </a:graphic>
                </wp:inline>
              </w:drawing>
            </w:r>
            <w:r>
              <w:rPr/>
              <w:t xml:space="preserve"> </w:t>
            </w:r>
          </w:p>
        </w:tc>
      </w:tr>
      <w:tr>
        <w:trPr/>
        <w:tc>
          <w:tcPr>
            <w:tcW w:w="2143" w:type="dxa"/>
            <w:tcBorders/>
            <w:vAlign w:val="center"/>
          </w:tcPr>
          <w:p>
            <w:pPr>
              <w:pStyle w:val="TableContents"/>
              <w:bidi w:val="0"/>
              <w:spacing w:before="0" w:after="0"/>
              <w:jc w:val="center"/>
              <w:rPr>
                <w:rFonts w:ascii="ARIAL" w:hAnsi="ARIAL"/>
                <w:b/>
                <w:sz w:val="18"/>
              </w:rPr>
            </w:pPr>
            <w:r>
              <w:rPr>
                <w:rFonts w:ascii="ARIAL" w:hAnsi="ARIAL"/>
                <w:b/>
                <w:sz w:val="18"/>
              </w:rPr>
              <w:t>Andrew C. Florance</w:t>
            </w:r>
          </w:p>
          <w:p>
            <w:pPr>
              <w:pStyle w:val="TableContents"/>
              <w:bidi w:val="0"/>
              <w:spacing w:before="0" w:after="20"/>
              <w:jc w:val="center"/>
              <w:rPr>
                <w:rFonts w:ascii="ARIAL" w:hAnsi="ARIAL"/>
                <w:sz w:val="18"/>
              </w:rPr>
            </w:pPr>
            <w:r>
              <w:rPr>
                <w:rFonts w:ascii="ARIAL" w:hAnsi="ARIAL"/>
                <w:sz w:val="18"/>
              </w:rPr>
              <w:t>Founder and Chief Executive Officer</w:t>
            </w:r>
          </w:p>
        </w:tc>
        <w:tc>
          <w:tcPr>
            <w:tcW w:w="60"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0"/>
              <w:jc w:val="center"/>
              <w:rPr>
                <w:rFonts w:ascii="ARIAL" w:hAnsi="ARIAL"/>
                <w:b/>
                <w:sz w:val="18"/>
              </w:rPr>
            </w:pPr>
            <w:r>
              <w:rPr>
                <w:rFonts w:ascii="ARIAL" w:hAnsi="ARIAL"/>
                <w:b/>
                <w:sz w:val="18"/>
              </w:rPr>
              <w:t>Christian M. Lown</w:t>
            </w:r>
          </w:p>
          <w:p>
            <w:pPr>
              <w:pStyle w:val="TableContents"/>
              <w:bidi w:val="0"/>
              <w:spacing w:before="0" w:after="20"/>
              <w:jc w:val="center"/>
              <w:rPr>
                <w:rFonts w:ascii="ARIAL" w:hAnsi="ARIAL"/>
                <w:sz w:val="18"/>
              </w:rPr>
            </w:pPr>
            <w:r>
              <w:rPr>
                <w:rFonts w:ascii="ARIAL" w:hAnsi="ARIAL"/>
                <w:sz w:val="18"/>
              </w:rPr>
              <w:t>Chief Financial Officer</w:t>
            </w:r>
          </w:p>
        </w:tc>
        <w:tc>
          <w:tcPr>
            <w:tcW w:w="60" w:type="dxa"/>
            <w:tcBorders/>
            <w:vAlign w:val="center"/>
          </w:tcPr>
          <w:p>
            <w:pPr>
              <w:pStyle w:val="TableContents"/>
              <w:bidi w:val="0"/>
              <w:spacing w:before="0" w:after="283"/>
              <w:jc w:val="left"/>
              <w:rPr/>
            </w:pPr>
            <w:r>
              <w:rPr/>
              <w:t> </w:t>
            </w:r>
          </w:p>
        </w:tc>
        <w:tc>
          <w:tcPr>
            <w:tcW w:w="2231" w:type="dxa"/>
            <w:tcBorders/>
            <w:vAlign w:val="center"/>
          </w:tcPr>
          <w:p>
            <w:pPr>
              <w:pStyle w:val="TableContents"/>
              <w:bidi w:val="0"/>
              <w:spacing w:before="0" w:after="0"/>
              <w:jc w:val="center"/>
              <w:rPr>
                <w:rFonts w:ascii="ARIAL" w:hAnsi="ARIAL"/>
                <w:b/>
                <w:sz w:val="18"/>
              </w:rPr>
            </w:pPr>
            <w:r>
              <w:rPr>
                <w:rFonts w:ascii="ARIAL" w:hAnsi="ARIAL"/>
                <w:b/>
                <w:sz w:val="18"/>
              </w:rPr>
              <w:t>Lisa C. Ruggles</w:t>
            </w:r>
          </w:p>
          <w:p>
            <w:pPr>
              <w:pStyle w:val="TableContents"/>
              <w:bidi w:val="0"/>
              <w:spacing w:before="0" w:after="20"/>
              <w:jc w:val="center"/>
              <w:rPr>
                <w:rFonts w:ascii="ARIAL" w:hAnsi="ARIAL"/>
                <w:sz w:val="18"/>
              </w:rPr>
            </w:pPr>
            <w:r>
              <w:rPr>
                <w:rFonts w:ascii="ARIAL" w:hAnsi="ARIAL"/>
                <w:sz w:val="18"/>
              </w:rPr>
              <w:t>Senior Vice President, Global Operations</w:t>
            </w:r>
          </w:p>
        </w:tc>
        <w:tc>
          <w:tcPr>
            <w:tcW w:w="60"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0"/>
              <w:jc w:val="center"/>
              <w:rPr>
                <w:rFonts w:ascii="ARIAL" w:hAnsi="ARIAL"/>
                <w:b/>
                <w:sz w:val="18"/>
              </w:rPr>
            </w:pPr>
            <w:r>
              <w:rPr>
                <w:rFonts w:ascii="ARIAL" w:hAnsi="ARIAL"/>
                <w:b/>
                <w:sz w:val="18"/>
              </w:rPr>
              <w:t>Frederick G. Saint</w:t>
            </w:r>
          </w:p>
          <w:p>
            <w:pPr>
              <w:pStyle w:val="TableContents"/>
              <w:bidi w:val="0"/>
              <w:spacing w:before="0" w:after="20"/>
              <w:jc w:val="center"/>
              <w:rPr>
                <w:rFonts w:ascii="ARIAL" w:hAnsi="ARIAL"/>
                <w:sz w:val="18"/>
              </w:rPr>
            </w:pPr>
            <w:r>
              <w:rPr>
                <w:rFonts w:ascii="ARIAL" w:hAnsi="ARIAL"/>
                <w:sz w:val="18"/>
              </w:rPr>
              <w:t>President,</w:t>
              <w:br/>
              <w:t>Marketplaces</w:t>
            </w:r>
          </w:p>
        </w:tc>
        <w:tc>
          <w:tcPr>
            <w:tcW w:w="60"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0"/>
              <w:jc w:val="center"/>
              <w:rPr>
                <w:rFonts w:ascii="ARIAL" w:hAnsi="ARIAL"/>
                <w:b/>
                <w:sz w:val="18"/>
              </w:rPr>
            </w:pPr>
            <w:r>
              <w:rPr>
                <w:rFonts w:ascii="ARIAL" w:hAnsi="ARIAL"/>
                <w:b/>
                <w:sz w:val="18"/>
              </w:rPr>
              <w:t>Frank A. Simuro</w:t>
            </w:r>
          </w:p>
          <w:p>
            <w:pPr>
              <w:pStyle w:val="TableContents"/>
              <w:bidi w:val="0"/>
              <w:spacing w:before="0" w:after="20"/>
              <w:jc w:val="center"/>
              <w:rPr>
                <w:rFonts w:ascii="ARIAL" w:hAnsi="ARIAL"/>
                <w:sz w:val="18"/>
              </w:rPr>
            </w:pPr>
            <w:r>
              <w:rPr>
                <w:rFonts w:ascii="ARIAL" w:hAnsi="ARIAL"/>
                <w:sz w:val="18"/>
              </w:rPr>
              <w:t>Chief Technology</w:t>
              <w:br/>
              <w:t>Officer</w:t>
            </w:r>
          </w:p>
        </w:tc>
      </w:tr>
    </w:tbl>
    <w:p>
      <w:pPr>
        <w:pStyle w:val="TextBody"/>
        <w:bidi w:val="0"/>
        <w:spacing w:before="720" w:after="0"/>
        <w:jc w:val="left"/>
        <w:rPr>
          <w:rFonts w:ascii="ARIAL" w:hAnsi="ARIAL"/>
          <w:b/>
          <w:color w:val="0054BA"/>
          <w:sz w:val="30"/>
        </w:rPr>
      </w:pPr>
      <w:r>
        <w:rPr>
          <w:rFonts w:ascii="ARIAL" w:hAnsi="ARIAL"/>
          <w:b/>
          <w:color w:val="0054BA"/>
          <w:sz w:val="3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3110230" cy="6198235"/>
                <wp:effectExtent l="0" t="0" r="0" b="0"/>
                <wp:wrapSquare wrapText="right"/>
                <wp:docPr id="303" name="Frame11"/>
                <a:graphic xmlns:a="http://schemas.openxmlformats.org/drawingml/2006/main">
                  <a:graphicData uri="http://schemas.microsoft.com/office/word/2010/wordprocessingShape">
                    <wps:wsp>
                      <wps:cNvSpPr txBox="1"/>
                      <wps:spPr>
                        <a:xfrm>
                          <a:off x="0" y="0"/>
                          <a:ext cx="3110230" cy="6198235"/>
                        </a:xfrm>
                        <a:prstGeom prst="rect"/>
                        <a:solidFill>
                          <a:srgbClr val="FFFFFF"/>
                        </a:solidFill>
                      </wps:spPr>
                      <wps:txbx>
                        <w:txbxContent>
                          <w:tbl>
                            <w:tblPr>
                              <w:tblW w:w="7030" w:type="dxa"/>
                              <w:jc w:val="left"/>
                              <w:tblInd w:w="0" w:type="dxa"/>
                              <w:tblLayout w:type="fixed"/>
                              <w:tblCellMar>
                                <w:top w:w="0" w:type="dxa"/>
                                <w:left w:w="0" w:type="dxa"/>
                                <w:bottom w:w="0" w:type="dxa"/>
                                <w:right w:w="0" w:type="dxa"/>
                              </w:tblCellMar>
                            </w:tblPr>
                            <w:tblGrid>
                              <w:gridCol w:w="245"/>
                              <w:gridCol w:w="23"/>
                              <w:gridCol w:w="23"/>
                              <w:gridCol w:w="60"/>
                              <w:gridCol w:w="260"/>
                              <w:gridCol w:w="23"/>
                              <w:gridCol w:w="23"/>
                              <w:gridCol w:w="6335"/>
                              <w:gridCol w:w="38"/>
                            </w:tblGrid>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674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46</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6679" w:type="dxa"/>
                                  <w:gridSpan w:val="5"/>
                                  <w:tcBorders/>
                                  <w:shd w:fill="DAEDFA" w:val="clear"/>
                                  <w:vAlign w:val="center"/>
                                </w:tcPr>
                                <w:p>
                                  <w:pPr>
                                    <w:pStyle w:val="TableContents"/>
                                    <w:bidi w:val="0"/>
                                    <w:spacing w:before="0" w:after="283"/>
                                    <w:jc w:val="left"/>
                                    <w:rPr/>
                                  </w:pPr>
                                  <w:hyperlink w:anchor="tx903159_100">
                                    <w:r>
                                      <w:rPr>
                                        <w:rStyle w:val="InternetLink"/>
                                      </w:rPr>
                                      <w:t xml:space="preserve">Executive Summary </w:t>
                                    </w:r>
                                  </w:hyperlink>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46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1">
                                    <w:r>
                                      <w:rPr>
                                        <w:rStyle w:val="InternetLink"/>
                                        <w:rFonts w:ascii="ARIAL" w:hAnsi="ARIAL"/>
                                        <w:sz w:val="18"/>
                                      </w:rPr>
                                      <w:t>2025 Business Highlights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47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2">
                                    <w:r>
                                      <w:rPr>
                                        <w:rStyle w:val="InternetLink"/>
                                        <w:rFonts w:ascii="ARIAL" w:hAnsi="ARIAL"/>
                                        <w:sz w:val="18"/>
                                      </w:rPr>
                                      <w:t>2025 Say-on-Pay Results, Stockholder Engagement, and Responsive Actions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3">
                                    <w:r>
                                      <w:rPr>
                                        <w:rStyle w:val="InternetLink"/>
                                        <w:rFonts w:ascii="ARIAL" w:hAnsi="ARIAL"/>
                                        <w:sz w:val="18"/>
                                      </w:rPr>
                                      <w:t>Executive Compensation Philosophy, Program Objectives, and Practices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674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52</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6679" w:type="dxa"/>
                                  <w:gridSpan w:val="5"/>
                                  <w:tcBorders/>
                                  <w:shd w:fill="DAEDFA" w:val="clear"/>
                                  <w:vAlign w:val="center"/>
                                </w:tcPr>
                                <w:p>
                                  <w:pPr>
                                    <w:pStyle w:val="TableContents"/>
                                    <w:bidi w:val="0"/>
                                    <w:spacing w:before="0" w:after="283"/>
                                    <w:jc w:val="left"/>
                                    <w:rPr/>
                                  </w:pPr>
                                  <w:hyperlink w:anchor="tx903159_104">
                                    <w:r>
                                      <w:rPr>
                                        <w:rStyle w:val="InternetLink"/>
                                      </w:rPr>
                                      <w:t>How Executive Compensation Decisions are Made</w:t>
                                    </w:r>
                                  </w:hyperlink>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674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54</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hyperlink w:anchor="tx903159_105">
                                    <w:r>
                                      <w:rPr>
                                        <w:rStyle w:val="InternetLink"/>
                                      </w:rPr>
                                      <w:t> </w:t>
                                    </w:r>
                                  </w:hyperlink>
                                </w:p>
                              </w:tc>
                              <w:tc>
                                <w:tcPr>
                                  <w:tcW w:w="6679" w:type="dxa"/>
                                  <w:gridSpan w:val="5"/>
                                  <w:tcBorders/>
                                  <w:shd w:fill="DAEDFA" w:val="clear"/>
                                  <w:vAlign w:val="center"/>
                                </w:tcPr>
                                <w:p>
                                  <w:pPr>
                                    <w:pStyle w:val="TableContents"/>
                                    <w:bidi w:val="0"/>
                                    <w:spacing w:before="0" w:after="283"/>
                                    <w:jc w:val="left"/>
                                    <w:rPr/>
                                  </w:pPr>
                                  <w:hyperlink w:anchor="tx903159_105">
                                    <w:r>
                                      <w:rPr>
                                        <w:rStyle w:val="InternetLink"/>
                                      </w:rPr>
                                      <w:t>Executive Compensation Design and Award</w:t>
                                      <w:br/>
                                      <w:t>Decisions for 2025</w:t>
                                    </w:r>
                                  </w:hyperlink>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55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6">
                                    <w:r>
                                      <w:rPr>
                                        <w:rStyle w:val="InternetLink"/>
                                        <w:rFonts w:ascii="ARIAL" w:hAnsi="ARIAL"/>
                                        <w:sz w:val="18"/>
                                      </w:rPr>
                                      <w:t>2025 CEO Compensation</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56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7">
                                    <w:r>
                                      <w:rPr>
                                        <w:rStyle w:val="InternetLink"/>
                                        <w:rFonts w:ascii="ARIAL" w:hAnsi="ARIAL"/>
                                        <w:sz w:val="18"/>
                                      </w:rPr>
                                      <w:t>2025 Base Salaries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56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8">
                                    <w:r>
                                      <w:rPr>
                                        <w:rStyle w:val="InternetLink"/>
                                        <w:rFonts w:ascii="ARIAL" w:hAnsi="ARIAL"/>
                                        <w:sz w:val="18"/>
                                      </w:rPr>
                                      <w:t>2025 Annual Cash Incentive Awards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61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9">
                                    <w:r>
                                      <w:rPr>
                                        <w:rStyle w:val="InternetLink"/>
                                        <w:rFonts w:ascii="ARIAL" w:hAnsi="ARIAL"/>
                                        <w:sz w:val="18"/>
                                      </w:rPr>
                                      <w:t>Equity Incentive Compensation</w:t>
                                    </w:r>
                                  </w:hyperlink>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8.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7030" w:type="dxa"/>
                        <w:jc w:val="left"/>
                        <w:tblInd w:w="0" w:type="dxa"/>
                        <w:tblLayout w:type="fixed"/>
                        <w:tblCellMar>
                          <w:top w:w="0" w:type="dxa"/>
                          <w:left w:w="0" w:type="dxa"/>
                          <w:bottom w:w="0" w:type="dxa"/>
                          <w:right w:w="0" w:type="dxa"/>
                        </w:tblCellMar>
                      </w:tblPr>
                      <w:tblGrid>
                        <w:gridCol w:w="245"/>
                        <w:gridCol w:w="23"/>
                        <w:gridCol w:w="23"/>
                        <w:gridCol w:w="60"/>
                        <w:gridCol w:w="260"/>
                        <w:gridCol w:w="23"/>
                        <w:gridCol w:w="23"/>
                        <w:gridCol w:w="6335"/>
                        <w:gridCol w:w="38"/>
                      </w:tblGrid>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674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46</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6679" w:type="dxa"/>
                            <w:gridSpan w:val="5"/>
                            <w:tcBorders/>
                            <w:shd w:fill="DAEDFA" w:val="clear"/>
                            <w:vAlign w:val="center"/>
                          </w:tcPr>
                          <w:p>
                            <w:pPr>
                              <w:pStyle w:val="TableContents"/>
                              <w:bidi w:val="0"/>
                              <w:spacing w:before="0" w:after="283"/>
                              <w:jc w:val="left"/>
                              <w:rPr/>
                            </w:pPr>
                            <w:hyperlink w:anchor="tx903159_100">
                              <w:r>
                                <w:rPr>
                                  <w:rStyle w:val="InternetLink"/>
                                </w:rPr>
                                <w:t xml:space="preserve">Executive Summary </w:t>
                              </w:r>
                            </w:hyperlink>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46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1">
                              <w:r>
                                <w:rPr>
                                  <w:rStyle w:val="InternetLink"/>
                                  <w:rFonts w:ascii="ARIAL" w:hAnsi="ARIAL"/>
                                  <w:sz w:val="18"/>
                                </w:rPr>
                                <w:t>2025 Business Highlights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47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2">
                              <w:r>
                                <w:rPr>
                                  <w:rStyle w:val="InternetLink"/>
                                  <w:rFonts w:ascii="ARIAL" w:hAnsi="ARIAL"/>
                                  <w:sz w:val="18"/>
                                </w:rPr>
                                <w:t>2025 Say-on-Pay Results, Stockholder Engagement, and Responsive Actions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3">
                              <w:r>
                                <w:rPr>
                                  <w:rStyle w:val="InternetLink"/>
                                  <w:rFonts w:ascii="ARIAL" w:hAnsi="ARIAL"/>
                                  <w:sz w:val="18"/>
                                </w:rPr>
                                <w:t>Executive Compensation Philosophy, Program Objectives, and Practices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674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52</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6679" w:type="dxa"/>
                            <w:gridSpan w:val="5"/>
                            <w:tcBorders/>
                            <w:shd w:fill="DAEDFA" w:val="clear"/>
                            <w:vAlign w:val="center"/>
                          </w:tcPr>
                          <w:p>
                            <w:pPr>
                              <w:pStyle w:val="TableContents"/>
                              <w:bidi w:val="0"/>
                              <w:spacing w:before="0" w:after="283"/>
                              <w:jc w:val="left"/>
                              <w:rPr/>
                            </w:pPr>
                            <w:hyperlink w:anchor="tx903159_104">
                              <w:r>
                                <w:rPr>
                                  <w:rStyle w:val="InternetLink"/>
                                </w:rPr>
                                <w:t>How Executive Compensation Decisions are Made</w:t>
                              </w:r>
                            </w:hyperlink>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674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54</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hyperlink w:anchor="tx903159_105">
                              <w:r>
                                <w:rPr>
                                  <w:rStyle w:val="InternetLink"/>
                                </w:rPr>
                                <w:t> </w:t>
                              </w:r>
                            </w:hyperlink>
                          </w:p>
                        </w:tc>
                        <w:tc>
                          <w:tcPr>
                            <w:tcW w:w="6679" w:type="dxa"/>
                            <w:gridSpan w:val="5"/>
                            <w:tcBorders/>
                            <w:shd w:fill="DAEDFA" w:val="clear"/>
                            <w:vAlign w:val="center"/>
                          </w:tcPr>
                          <w:p>
                            <w:pPr>
                              <w:pStyle w:val="TableContents"/>
                              <w:bidi w:val="0"/>
                              <w:spacing w:before="0" w:after="283"/>
                              <w:jc w:val="left"/>
                              <w:rPr/>
                            </w:pPr>
                            <w:hyperlink w:anchor="tx903159_105">
                              <w:r>
                                <w:rPr>
                                  <w:rStyle w:val="InternetLink"/>
                                </w:rPr>
                                <w:t>Executive Compensation Design and Award</w:t>
                                <w:br/>
                                <w:t>Decisions for 2025</w:t>
                              </w:r>
                            </w:hyperlink>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55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6">
                              <w:r>
                                <w:rPr>
                                  <w:rStyle w:val="InternetLink"/>
                                  <w:rFonts w:ascii="ARIAL" w:hAnsi="ARIAL"/>
                                  <w:sz w:val="18"/>
                                </w:rPr>
                                <w:t>2025 CEO Compensation</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56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7">
                              <w:r>
                                <w:rPr>
                                  <w:rStyle w:val="InternetLink"/>
                                  <w:rFonts w:ascii="ARIAL" w:hAnsi="ARIAL"/>
                                  <w:sz w:val="18"/>
                                </w:rPr>
                                <w:t>2025 Base Salaries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56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8">
                              <w:r>
                                <w:rPr>
                                  <w:rStyle w:val="InternetLink"/>
                                  <w:rFonts w:ascii="ARIAL" w:hAnsi="ARIAL"/>
                                  <w:sz w:val="18"/>
                                </w:rPr>
                                <w:t>2025 Annual Cash Incentive Awards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635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61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0"/>
                              <w:jc w:val="left"/>
                              <w:rPr/>
                            </w:pPr>
                            <w:hyperlink w:anchor="tx903159_109">
                              <w:r>
                                <w:rPr>
                                  <w:rStyle w:val="InternetLink"/>
                                  <w:rFonts w:ascii="ARIAL" w:hAnsi="ARIAL"/>
                                  <w:sz w:val="18"/>
                                </w:rPr>
                                <w:t>Equity Incentive Compensation</w:t>
                              </w:r>
                            </w:hyperlink>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3175000" cy="6198235"/>
                <wp:effectExtent l="0" t="0" r="0" b="0"/>
                <wp:wrapSquare wrapText="right"/>
                <wp:docPr id="304" name="Frame12"/>
                <a:graphic xmlns:a="http://schemas.openxmlformats.org/drawingml/2006/main">
                  <a:graphicData uri="http://schemas.microsoft.com/office/word/2010/wordprocessingShape">
                    <wps:wsp>
                      <wps:cNvSpPr txBox="1"/>
                      <wps:spPr>
                        <a:xfrm>
                          <a:off x="0" y="0"/>
                          <a:ext cx="3175000" cy="6198235"/>
                        </a:xfrm>
                        <a:prstGeom prst="rect"/>
                        <a:solidFill>
                          <a:srgbClr val="FFFFFF"/>
                        </a:solidFill>
                      </wps:spPr>
                      <wps:txbx>
                        <w:txbxContent>
                          <w:tbl>
                            <w:tblPr>
                              <w:tblW w:w="5560" w:type="dxa"/>
                              <w:jc w:val="left"/>
                              <w:tblInd w:w="0" w:type="dxa"/>
                              <w:tblLayout w:type="fixed"/>
                              <w:tblCellMar>
                                <w:top w:w="0" w:type="dxa"/>
                                <w:left w:w="0" w:type="dxa"/>
                                <w:bottom w:w="0" w:type="dxa"/>
                                <w:right w:w="0" w:type="dxa"/>
                              </w:tblCellMar>
                            </w:tblPr>
                            <w:tblGrid>
                              <w:gridCol w:w="245"/>
                              <w:gridCol w:w="23"/>
                              <w:gridCol w:w="23"/>
                              <w:gridCol w:w="60"/>
                              <w:gridCol w:w="260"/>
                              <w:gridCol w:w="23"/>
                              <w:gridCol w:w="23"/>
                              <w:gridCol w:w="4865"/>
                              <w:gridCol w:w="38"/>
                            </w:tblGrid>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527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66</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hyperlink w:anchor="tx903159_110">
                                    <w:r>
                                      <w:rPr>
                                        <w:rStyle w:val="InternetLink"/>
                                      </w:rPr>
                                      <w:t> </w:t>
                                    </w:r>
                                  </w:hyperlink>
                                </w:p>
                              </w:tc>
                              <w:tc>
                                <w:tcPr>
                                  <w:tcW w:w="5209" w:type="dxa"/>
                                  <w:gridSpan w:val="5"/>
                                  <w:tcBorders/>
                                  <w:shd w:fill="DAEDFA" w:val="clear"/>
                                  <w:vAlign w:val="center"/>
                                </w:tcPr>
                                <w:p>
                                  <w:pPr>
                                    <w:pStyle w:val="TableContents"/>
                                    <w:bidi w:val="0"/>
                                    <w:spacing w:before="0" w:after="283"/>
                                    <w:jc w:val="left"/>
                                    <w:rPr/>
                                  </w:pPr>
                                  <w:hyperlink w:anchor="tx903159_110">
                                    <w:r>
                                      <w:rPr>
                                        <w:rStyle w:val="InternetLink"/>
                                      </w:rPr>
                                      <w:t>Company Compensation Policies</w:t>
                                      <w:br/>
                                      <w:t>and Practices</w:t>
                                    </w:r>
                                  </w:hyperlink>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527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70</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5209" w:type="dxa"/>
                                  <w:gridSpan w:val="5"/>
                                  <w:tcBorders/>
                                  <w:shd w:fill="DAEDFA" w:val="clear"/>
                                  <w:vAlign w:val="center"/>
                                </w:tcPr>
                                <w:p>
                                  <w:pPr>
                                    <w:pStyle w:val="TableContents"/>
                                    <w:bidi w:val="0"/>
                                    <w:spacing w:before="0" w:after="283"/>
                                    <w:jc w:val="left"/>
                                    <w:rPr/>
                                  </w:pPr>
                                  <w:hyperlink w:anchor="tx903159_111">
                                    <w:r>
                                      <w:rPr>
                                        <w:rStyle w:val="InternetLink"/>
                                      </w:rPr>
                                      <w:t xml:space="preserve">Compensation Committee Report </w:t>
                                    </w:r>
                                  </w:hyperlink>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2">
                                    <w:r>
                                      <w:rPr>
                                        <w:rStyle w:val="InternetLink"/>
                                        <w:rFonts w:ascii="ARIAL" w:hAnsi="ARIAL"/>
                                        <w:sz w:val="18"/>
                                      </w:rPr>
                                      <w:t>2025 Summary Compensation Table</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3">
                                    <w:r>
                                      <w:rPr>
                                        <w:rStyle w:val="InternetLink"/>
                                        <w:rFonts w:ascii="ARIAL" w:hAnsi="ARIAL"/>
                                        <w:sz w:val="18"/>
                                      </w:rPr>
                                      <w:t>2025 Grants of Plan-Based Awards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4">
                                    <w:r>
                                      <w:rPr>
                                        <w:rStyle w:val="InternetLink"/>
                                        <w:rFonts w:ascii="ARIAL" w:hAnsi="ARIAL"/>
                                        <w:sz w:val="18"/>
                                      </w:rPr>
                                      <w:t>Outstanding Equity Awards at 2025 Fiscal Year-End</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5">
                                    <w:r>
                                      <w:rPr>
                                        <w:rStyle w:val="InternetLink"/>
                                        <w:rFonts w:ascii="ARIAL" w:hAnsi="ARIAL"/>
                                        <w:sz w:val="18"/>
                                      </w:rPr>
                                      <w:t>Option Exercises and Stock Vested in 2025</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6">
                                    <w:r>
                                      <w:rPr>
                                        <w:rStyle w:val="InternetLink"/>
                                        <w:rFonts w:ascii="ARIAL" w:hAnsi="ARIAL"/>
                                        <w:sz w:val="18"/>
                                      </w:rPr>
                                      <w:t>Non-Qualified Deferred Compensation in 2025</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7">
                                    <w:r>
                                      <w:rPr>
                                        <w:rStyle w:val="InternetLink"/>
                                        <w:rFonts w:ascii="ARIAL" w:hAnsi="ARIAL"/>
                                        <w:sz w:val="18"/>
                                      </w:rPr>
                                      <w:t>Potential Payments Upon Termination or Change of Control</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8">
                                    <w:r>
                                      <w:rPr>
                                        <w:rStyle w:val="InternetLink"/>
                                        <w:rFonts w:ascii="ARIAL" w:hAnsi="ARIAL"/>
                                        <w:sz w:val="18"/>
                                      </w:rPr>
                                      <w:t>CEO Pay Ratio</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81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9">
                                    <w:r>
                                      <w:rPr>
                                        <w:rStyle w:val="InternetLink"/>
                                        <w:rFonts w:ascii="ARIAL" w:hAnsi="ARIAL"/>
                                        <w:sz w:val="18"/>
                                      </w:rPr>
                                      <w:t>Pay Versus Performance</w:t>
                                    </w:r>
                                  </w:hyperlink>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8.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560" w:type="dxa"/>
                        <w:jc w:val="left"/>
                        <w:tblInd w:w="0" w:type="dxa"/>
                        <w:tblLayout w:type="fixed"/>
                        <w:tblCellMar>
                          <w:top w:w="0" w:type="dxa"/>
                          <w:left w:w="0" w:type="dxa"/>
                          <w:bottom w:w="0" w:type="dxa"/>
                          <w:right w:w="0" w:type="dxa"/>
                        </w:tblCellMar>
                      </w:tblPr>
                      <w:tblGrid>
                        <w:gridCol w:w="245"/>
                        <w:gridCol w:w="23"/>
                        <w:gridCol w:w="23"/>
                        <w:gridCol w:w="60"/>
                        <w:gridCol w:w="260"/>
                        <w:gridCol w:w="23"/>
                        <w:gridCol w:w="23"/>
                        <w:gridCol w:w="4865"/>
                        <w:gridCol w:w="38"/>
                      </w:tblGrid>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527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66</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hyperlink w:anchor="tx903159_110">
                              <w:r>
                                <w:rPr>
                                  <w:rStyle w:val="InternetLink"/>
                                </w:rPr>
                                <w:t> </w:t>
                              </w:r>
                            </w:hyperlink>
                          </w:p>
                        </w:tc>
                        <w:tc>
                          <w:tcPr>
                            <w:tcW w:w="5209" w:type="dxa"/>
                            <w:gridSpan w:val="5"/>
                            <w:tcBorders/>
                            <w:shd w:fill="DAEDFA" w:val="clear"/>
                            <w:vAlign w:val="center"/>
                          </w:tcPr>
                          <w:p>
                            <w:pPr>
                              <w:pStyle w:val="TableContents"/>
                              <w:bidi w:val="0"/>
                              <w:spacing w:before="0" w:after="283"/>
                              <w:jc w:val="left"/>
                              <w:rPr/>
                            </w:pPr>
                            <w:hyperlink w:anchor="tx903159_110">
                              <w:r>
                                <w:rPr>
                                  <w:rStyle w:val="InternetLink"/>
                                </w:rPr>
                                <w:t>Company Compensation Policies</w:t>
                                <w:br/>
                                <w:t>and Practices</w:t>
                              </w:r>
                            </w:hyperlink>
                          </w:p>
                        </w:tc>
                      </w:tr>
                      <w:tr>
                        <w:trPr/>
                        <w:tc>
                          <w:tcPr>
                            <w:tcW w:w="245" w:type="dxa"/>
                            <w:tcBorders/>
                            <w:shd w:fill="DAEDFA" w:val="clear"/>
                            <w:vAlign w:val="center"/>
                          </w:tcPr>
                          <w:p>
                            <w:pPr>
                              <w:pStyle w:val="TableContents"/>
                              <w:bidi w:val="0"/>
                              <w:spacing w:before="0" w:after="283"/>
                              <w:jc w:val="left"/>
                              <w:rPr>
                                <w:sz w:val="4"/>
                                <w:szCs w:val="4"/>
                              </w:rPr>
                            </w:pPr>
                            <w:r>
                              <w:rPr>
                                <w:sz w:val="4"/>
                                <w:szCs w:val="4"/>
                              </w:rPr>
                            </w:r>
                          </w:p>
                        </w:tc>
                        <w:tc>
                          <w:tcPr>
                            <w:tcW w:w="5277" w:type="dxa"/>
                            <w:gridSpan w:val="7"/>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tcPr>
                          <w:p>
                            <w:pPr>
                              <w:pStyle w:val="TableContents"/>
                              <w:bidi w:val="0"/>
                              <w:spacing w:before="0" w:after="283"/>
                              <w:jc w:val="left"/>
                              <w:rPr>
                                <w:sz w:val="4"/>
                                <w:szCs w:val="4"/>
                              </w:rPr>
                            </w:pPr>
                            <w:r>
                              <w:rPr>
                                <w:sz w:val="4"/>
                                <w:szCs w:val="4"/>
                              </w:rPr>
                            </w:r>
                          </w:p>
                        </w:tc>
                      </w:tr>
                      <w:tr>
                        <w:trPr/>
                        <w:tc>
                          <w:tcPr>
                            <w:tcW w:w="245" w:type="dxa"/>
                            <w:tcBorders/>
                            <w:shd w:fill="DAEDFA" w:val="clear"/>
                            <w:vAlign w:val="center"/>
                          </w:tcPr>
                          <w:p>
                            <w:pPr>
                              <w:pStyle w:val="TableContents"/>
                              <w:bidi w:val="0"/>
                              <w:spacing w:before="0" w:after="0"/>
                              <w:jc w:val="left"/>
                              <w:rPr>
                                <w:rFonts w:ascii="ARIAL" w:hAnsi="ARIAL"/>
                                <w:sz w:val="20"/>
                              </w:rPr>
                            </w:pPr>
                            <w:r>
                              <w:rPr>
                                <w:rFonts w:ascii="ARIAL" w:hAnsi="ARIAL"/>
                                <w:sz w:val="20"/>
                              </w:rPr>
                              <w:t>70</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5209" w:type="dxa"/>
                            <w:gridSpan w:val="5"/>
                            <w:tcBorders/>
                            <w:shd w:fill="DAEDFA" w:val="clear"/>
                            <w:vAlign w:val="center"/>
                          </w:tcPr>
                          <w:p>
                            <w:pPr>
                              <w:pStyle w:val="TableContents"/>
                              <w:bidi w:val="0"/>
                              <w:spacing w:before="0" w:after="283"/>
                              <w:jc w:val="left"/>
                              <w:rPr/>
                            </w:pPr>
                            <w:hyperlink w:anchor="tx903159_111">
                              <w:r>
                                <w:rPr>
                                  <w:rStyle w:val="InternetLink"/>
                                </w:rPr>
                                <w:t xml:space="preserve">Compensation Committee Report </w:t>
                              </w:r>
                            </w:hyperlink>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2">
                              <w:r>
                                <w:rPr>
                                  <w:rStyle w:val="InternetLink"/>
                                  <w:rFonts w:ascii="ARIAL" w:hAnsi="ARIAL"/>
                                  <w:sz w:val="18"/>
                                </w:rPr>
                                <w:t>2025 Summary Compensation Table</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3">
                              <w:r>
                                <w:rPr>
                                  <w:rStyle w:val="InternetLink"/>
                                  <w:rFonts w:ascii="ARIAL" w:hAnsi="ARIAL"/>
                                  <w:sz w:val="18"/>
                                </w:rPr>
                                <w:t>2025 Grants of Plan-Based Awards</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4">
                              <w:r>
                                <w:rPr>
                                  <w:rStyle w:val="InternetLink"/>
                                  <w:rFonts w:ascii="ARIAL" w:hAnsi="ARIAL"/>
                                  <w:sz w:val="18"/>
                                </w:rPr>
                                <w:t>Outstanding Equity Awards at 2025 Fiscal Year-End</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5">
                              <w:r>
                                <w:rPr>
                                  <w:rStyle w:val="InternetLink"/>
                                  <w:rFonts w:ascii="ARIAL" w:hAnsi="ARIAL"/>
                                  <w:sz w:val="18"/>
                                </w:rPr>
                                <w:t>Option Exercises and Stock Vested in 2025</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6">
                              <w:r>
                                <w:rPr>
                                  <w:rStyle w:val="InternetLink"/>
                                  <w:rFonts w:ascii="ARIAL" w:hAnsi="ARIAL"/>
                                  <w:sz w:val="18"/>
                                </w:rPr>
                                <w:t>Non-Qualified Deferred Compensation in 2025</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7">
                              <w:r>
                                <w:rPr>
                                  <w:rStyle w:val="InternetLink"/>
                                  <w:rFonts w:ascii="ARIAL" w:hAnsi="ARIAL"/>
                                  <w:sz w:val="18"/>
                                </w:rPr>
                                <w:t>Potential Payments Upon Termination or Change of Control</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8">
                              <w:r>
                                <w:rPr>
                                  <w:rStyle w:val="InternetLink"/>
                                  <w:rFonts w:ascii="ARIAL" w:hAnsi="ARIAL"/>
                                  <w:sz w:val="18"/>
                                </w:rPr>
                                <w:t>CEO Pay Ratio</w:t>
                              </w:r>
                            </w:hyperlink>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89" w:type="dxa"/>
                            <w:gridSpan w:val="5"/>
                            <w:tcBorders/>
                            <w:vAlign w:val="center"/>
                          </w:tcPr>
                          <w:p>
                            <w:pPr>
                              <w:pStyle w:val="TableContents"/>
                              <w:bidi w:val="0"/>
                              <w:spacing w:before="0" w:after="283"/>
                              <w:jc w:val="left"/>
                              <w:rPr>
                                <w:sz w:val="4"/>
                                <w:szCs w:val="4"/>
                              </w:rPr>
                            </w:pPr>
                            <w:r>
                              <w:rPr>
                                <w:sz w:val="4"/>
                                <w:szCs w:val="4"/>
                              </w:rPr>
                            </w:r>
                          </w:p>
                        </w:tc>
                        <w:tc>
                          <w:tcPr>
                            <w:tcW w:w="4888"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81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0"/>
                              <w:jc w:val="left"/>
                              <w:rPr/>
                            </w:pPr>
                            <w:hyperlink w:anchor="tx903159_119">
                              <w:r>
                                <w:rPr>
                                  <w:rStyle w:val="InternetLink"/>
                                  <w:rFonts w:ascii="ARIAL" w:hAnsi="ARIAL"/>
                                  <w:sz w:val="18"/>
                                </w:rPr>
                                <w:t>Pay Versus Performance</w:t>
                              </w:r>
                            </w:hyperlink>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05"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4" descr=""/>
                          <pic:cNvPicPr>
                            <a:picLocks noChangeAspect="1" noChangeArrowheads="1"/>
                          </pic:cNvPicPr>
                        </pic:nvPicPr>
                        <pic:blipFill>
                          <a:blip r:embed="rId29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bookmarkStart w:id="25" w:name="tx903159_100"/>
      <w:bookmarkEnd w:id="25"/>
      <w:r>
        <w:rPr>
          <w:rFonts w:ascii="ARIAL" w:hAnsi="ARIAL"/>
          <w:b/>
          <w:color w:val="0054BA"/>
          <w:sz w:val="30"/>
        </w:rPr>
        <w:t xml:space="preserve">EXECUTIVE SUMMARY </w:t>
      </w:r>
    </w:p>
    <w:p>
      <w:pPr>
        <w:pStyle w:val="TextBody"/>
        <w:bidi w:val="0"/>
        <w:spacing w:before="200" w:after="0"/>
        <w:jc w:val="left"/>
        <w:rPr>
          <w:rFonts w:ascii="ARIAL" w:hAnsi="ARIAL"/>
          <w:b/>
          <w:sz w:val="24"/>
        </w:rPr>
      </w:pPr>
      <w:bookmarkStart w:id="26" w:name="tx903159_101"/>
      <w:bookmarkEnd w:id="26"/>
      <w:r>
        <w:rPr>
          <w:rFonts w:ascii="ARIAL" w:hAnsi="ARIAL"/>
          <w:b/>
          <w:sz w:val="24"/>
        </w:rPr>
        <w:t xml:space="preserve">2025 Business Highlights </w:t>
      </w:r>
    </w:p>
    <w:p>
      <w:pPr>
        <w:pStyle w:val="TextBody"/>
        <w:bidi w:val="0"/>
        <w:spacing w:before="80" w:after="0"/>
        <w:jc w:val="left"/>
        <w:rPr>
          <w:rFonts w:ascii="ARIAL" w:hAnsi="ARIAL"/>
          <w:sz w:val="18"/>
        </w:rPr>
      </w:pPr>
      <w:r>
        <w:rPr>
          <w:rFonts w:ascii="ARIAL" w:hAnsi="ARIAL"/>
          <w:sz w:val="18"/>
        </w:rPr>
        <w:t xml:space="preserve">As described in more detail under “Executive Compensation—Compensation Discussion and Analysis—Executive Compensation Design and Award Decisions for 2025” below, our NEOs showed strong performance and leadership in both managing the Company and in driving a transformation of our businesses, building long-term value. Fiscal year 2025 reflected continued execution against the Company’s strategic and financial objectives including delivering strong financial performance, enhancing long term stockholder value and gaining operating leverage across the global CoStar platform while demonstrating disciplined execution following major strategic investments.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667635"/>
            <wp:effectExtent l="0" t="0" r="0" b="0"/>
            <wp:docPr id="306"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5" descr=""/>
                    <pic:cNvPicPr>
                      <a:picLocks noChangeAspect="1" noChangeArrowheads="1"/>
                    </pic:cNvPicPr>
                  </pic:nvPicPr>
                  <pic:blipFill>
                    <a:blip r:embed="rId295"/>
                    <a:stretch>
                      <a:fillRect/>
                    </a:stretch>
                  </pic:blipFill>
                  <pic:spPr bwMode="auto">
                    <a:xfrm>
                      <a:off x="0" y="0"/>
                      <a:ext cx="5765800" cy="2667635"/>
                    </a:xfrm>
                    <a:prstGeom prst="rect">
                      <a:avLst/>
                    </a:prstGeom>
                  </pic:spPr>
                </pic:pic>
              </a:graphicData>
            </a:graphic>
          </wp:inline>
        </w:drawing>
      </w:r>
      <w:r>
        <w:rPr/>
        <w:t xml:space="preserve"> </w:t>
      </w:r>
    </w:p>
    <w:p>
      <w:pPr>
        <w:pStyle w:val="TextBody"/>
        <w:bidi w:val="0"/>
        <w:spacing w:before="160" w:after="0"/>
        <w:jc w:val="left"/>
        <w:rPr>
          <w:rFonts w:ascii="ARIAL" w:hAnsi="ARIAL"/>
          <w:sz w:val="18"/>
        </w:rPr>
      </w:pPr>
      <w:r>
        <w:rPr>
          <w:rFonts w:ascii="ARIAL" w:hAnsi="ARIAL"/>
          <w:sz w:val="18"/>
        </w:rPr>
        <w:t xml:space="preserve">The Company delivered strong financial performance, exceeding expectations. We ended 2025 with 59 consecutive quarters of double-digit revenue growth with revenue of $3.25 billion, a 19% increase year over year. </w:t>
      </w:r>
    </w:p>
    <w:p>
      <w:pPr>
        <w:pStyle w:val="TextBody"/>
        <w:bidi w:val="0"/>
        <w:spacing w:before="160" w:after="0"/>
        <w:jc w:val="left"/>
        <w:rPr>
          <w:rFonts w:ascii="ARIAL" w:hAnsi="ARIAL"/>
          <w:sz w:val="18"/>
        </w:rPr>
      </w:pPr>
      <w:r>
        <w:rPr>
          <w:rFonts w:ascii="ARIAL" w:hAnsi="ARIAL"/>
          <w:sz w:val="18"/>
        </w:rPr>
        <w:t xml:space="preserve">Adjusted EBITDA reached $442 million up 83% year-over-year which was driven by sustained organic growth, effective price execution, and strong operating leverage. </w:t>
      </w:r>
    </w:p>
    <w:p>
      <w:pPr>
        <w:pStyle w:val="TextBody"/>
        <w:bidi w:val="0"/>
        <w:spacing w:before="160" w:after="0"/>
        <w:jc w:val="left"/>
        <w:rPr>
          <w:rFonts w:ascii="ARIAL" w:hAnsi="ARIAL"/>
          <w:sz w:val="18"/>
        </w:rPr>
      </w:pPr>
      <w:r>
        <w:rPr>
          <w:rFonts w:ascii="ARIAL" w:hAnsi="ARIAL"/>
          <w:sz w:val="18"/>
        </w:rPr>
        <w:t xml:space="preserve">Customer engagement was reflected in Net New Bookings of $308 million in 2025, the highest in the Company’s history. </w:t>
      </w:r>
    </w:p>
    <w:p>
      <w:pPr>
        <w:pStyle w:val="TextBody"/>
        <w:bidi w:val="0"/>
        <w:spacing w:before="160" w:after="0"/>
        <w:jc w:val="left"/>
        <w:rPr>
          <w:rFonts w:ascii="ARIAL" w:hAnsi="ARIAL"/>
          <w:sz w:val="18"/>
        </w:rPr>
      </w:pPr>
      <w:r>
        <w:rPr>
          <w:rFonts w:ascii="ARIAL" w:hAnsi="ARIAL"/>
          <w:sz w:val="18"/>
        </w:rPr>
        <w:t xml:space="preserve">The Company returned capital to stockholders by completing a $500 million share repurchase program in 2025. </w:t>
      </w:r>
    </w:p>
    <w:p>
      <w:pPr>
        <w:pStyle w:val="TextBody"/>
        <w:bidi w:val="0"/>
        <w:spacing w:before="160" w:after="0"/>
        <w:jc w:val="left"/>
        <w:rPr>
          <w:rFonts w:ascii="ARIAL" w:hAnsi="ARIAL"/>
          <w:sz w:val="18"/>
        </w:rPr>
      </w:pPr>
      <w:r>
        <w:rPr>
          <w:rFonts w:ascii="ARIAL" w:hAnsi="ARIAL"/>
          <w:sz w:val="18"/>
        </w:rPr>
        <w:t xml:space="preserve">While the Company delivered solid financial performance in 2025, the stock price during the fiscal year did not fully reflect these operating results. Instead, the stock price reflected broader market dynamics affecting the information and data services industry. Throughout 2025, the entire information and data services industry experienced continued stock volatility driven by uncertainty regarding the perceived threat of emerging AI technology. Despite these headwinds, management and the Board remain focused on driving long-term stockholder value through disciplined execution, sustained growth, and capital allocation aligned with stockholder interests.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07"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6" descr=""/>
                          <pic:cNvPicPr>
                            <a:picLocks noChangeAspect="1" noChangeArrowheads="1"/>
                          </pic:cNvPicPr>
                        </pic:nvPicPr>
                        <pic:blipFill>
                          <a:blip r:embed="rId29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27" w:name="tx903159_102"/>
      <w:bookmarkEnd w:id="27"/>
      <w:r>
        <w:rPr>
          <w:rFonts w:ascii="ARIAL" w:hAnsi="ARIAL"/>
          <w:b/>
          <w:sz w:val="24"/>
        </w:rPr>
        <w:t xml:space="preserve">2025 Say-on-Pay Results, Stockholder Engagement, and Responsive Actions </w:t>
      </w:r>
    </w:p>
    <w:p>
      <w:pPr>
        <w:pStyle w:val="TextBody"/>
        <w:bidi w:val="0"/>
        <w:spacing w:before="80" w:after="0"/>
        <w:jc w:val="left"/>
        <w:rPr>
          <w:rFonts w:ascii="ARIAL" w:hAnsi="ARIAL"/>
          <w:b/>
          <w:sz w:val="20"/>
        </w:rPr>
      </w:pPr>
      <w:r>
        <w:rPr>
          <w:rFonts w:ascii="ARIAL" w:hAnsi="ARIAL"/>
          <w:b/>
          <w:sz w:val="20"/>
        </w:rPr>
        <w:t xml:space="preserve">STOCKHOLDER ENGAGEMENT </w:t>
      </w:r>
    </w:p>
    <w:p>
      <w:pPr>
        <w:pStyle w:val="TextBody"/>
        <w:bidi w:val="0"/>
        <w:spacing w:before="80" w:after="0"/>
        <w:jc w:val="left"/>
        <w:rPr>
          <w:rFonts w:ascii="ARIAL" w:hAnsi="ARIAL"/>
          <w:sz w:val="18"/>
        </w:rPr>
      </w:pPr>
      <w:r>
        <w:rPr>
          <w:rFonts w:ascii="ARIAL" w:hAnsi="ARIAL"/>
          <w:sz w:val="18"/>
        </w:rPr>
        <w:t xml:space="preserve">At our 2025 Annual Meeting of Stockholders, our executive compensation program received the support of approximately 53% of votes cast, versus approximately 92% in the year prior. Our newly reconstituted Compensation Committee was disappointed with this result and, while we have regular outreach and ongoing discussions with stockholders to learn more about their perspectives, we expanded and deepened our engagement efforts to gather our stockholders’ feedback and understand their concerns. </w:t>
      </w:r>
    </w:p>
    <w:p>
      <w:pPr>
        <w:pStyle w:val="TextBody"/>
        <w:bidi w:val="0"/>
        <w:spacing w:before="160" w:after="0"/>
        <w:jc w:val="left"/>
        <w:rPr>
          <w:rFonts w:ascii="ARIAL" w:hAnsi="ARIAL"/>
          <w:sz w:val="18"/>
        </w:rPr>
      </w:pPr>
      <w:r>
        <w:rPr>
          <w:rFonts w:ascii="ARIAL" w:hAnsi="ARIAL"/>
          <w:sz w:val="18"/>
        </w:rPr>
        <w:t xml:space="preserve">Following our 2025 Annual Meeting, we engaged 100 % of our top 50 stockholders (representing over 77% of outstanding shares) and invited them to meet with our Board Chair, Compensation Committee Chair, and management team to discuss their views on our executive compensation program and related policies and practices. In response to our invitation, we held meetings with 21 stockholders who collectively represent 33% of outstanding shares. In each meeting where Board participation was requested, either Board Chair Louise Sams or Compensation Committee Chair Robert Musslewhite participated and spoke to stockholders, representing over 25% of our outstanding shares. The meetings were supported by Legal and Human Resources management team members.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18"/>
        <w:gridCol w:w="60"/>
        <w:gridCol w:w="23"/>
        <w:gridCol w:w="60"/>
        <w:gridCol w:w="2473"/>
        <w:gridCol w:w="60"/>
        <w:gridCol w:w="23"/>
        <w:gridCol w:w="60"/>
        <w:gridCol w:w="4228"/>
      </w:tblGrid>
      <w:tr>
        <w:trPr/>
        <w:tc>
          <w:tcPr>
            <w:tcW w:w="3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8" w:type="dxa"/>
            <w:tcBorders/>
            <w:vAlign w:val="center"/>
          </w:tcPr>
          <w:p>
            <w:pPr>
              <w:pStyle w:val="TableContents"/>
              <w:bidi w:val="0"/>
              <w:spacing w:before="0" w:after="283"/>
              <w:jc w:val="left"/>
              <w:rPr>
                <w:sz w:val="4"/>
                <w:szCs w:val="4"/>
              </w:rPr>
            </w:pPr>
            <w:r>
              <w:rPr>
                <w:sz w:val="4"/>
                <w:szCs w:val="4"/>
              </w:rPr>
            </w:r>
          </w:p>
        </w:tc>
      </w:tr>
      <w:tr>
        <w:trPr/>
        <w:tc>
          <w:tcPr>
            <w:tcW w:w="3218" w:type="dxa"/>
            <w:tcBorders>
              <w:top w:val="single" w:sz="12" w:space="0" w:color="0054BA"/>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2533" w:type="dxa"/>
            <w:gridSpan w:val="2"/>
            <w:tcBorders>
              <w:top w:val="single" w:sz="12" w:space="0" w:color="0054BA"/>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88" w:type="dxa"/>
            <w:gridSpan w:val="2"/>
            <w:tcBorders>
              <w:top w:val="single" w:sz="12" w:space="0" w:color="0054BA"/>
            </w:tcBorders>
            <w:tcMar>
              <w:top w:w="28" w:type="dxa"/>
            </w:tcMar>
            <w:vAlign w:val="center"/>
          </w:tcPr>
          <w:p>
            <w:pPr>
              <w:pStyle w:val="TableContents"/>
              <w:bidi w:val="0"/>
              <w:spacing w:before="0" w:after="283"/>
              <w:jc w:val="left"/>
              <w:rPr/>
            </w:pPr>
            <w:r>
              <w:rPr/>
              <w:t> </w:t>
            </w:r>
          </w:p>
        </w:tc>
      </w:tr>
      <w:tr>
        <w:trPr/>
        <w:tc>
          <w:tcPr>
            <w:tcW w:w="3218" w:type="dxa"/>
            <w:tcBorders>
              <w:bottom w:val="single" w:sz="12" w:space="0" w:color="0054BA"/>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STOCKHOLDERS REPRESENTING</w:t>
            </w:r>
          </w:p>
          <w:p>
            <w:pPr>
              <w:pStyle w:val="TableContents"/>
              <w:bidi w:val="0"/>
              <w:spacing w:before="0" w:after="0"/>
              <w:jc w:val="center"/>
              <w:rPr>
                <w:rFonts w:ascii="ARIAL" w:hAnsi="ARIAL"/>
                <w:b/>
                <w:color w:val="0054BA"/>
                <w:sz w:val="80"/>
              </w:rPr>
            </w:pPr>
            <w:r>
              <w:rPr>
                <w:rFonts w:ascii="ARIAL" w:hAnsi="ARIAL"/>
                <w:b/>
                <w:color w:val="0054BA"/>
                <w:sz w:val="80"/>
              </w:rPr>
              <w:t>77%</w:t>
            </w:r>
          </w:p>
          <w:p>
            <w:pPr>
              <w:pStyle w:val="TableContents"/>
              <w:bidi w:val="0"/>
              <w:spacing w:before="0" w:after="0"/>
              <w:jc w:val="center"/>
              <w:rPr>
                <w:rFonts w:ascii="ARIAL" w:hAnsi="ARIAL"/>
                <w:b/>
                <w:sz w:val="18"/>
              </w:rPr>
            </w:pPr>
            <w:r>
              <w:rPr>
                <w:rFonts w:ascii="ARIAL" w:hAnsi="ARIAL"/>
                <w:b/>
                <w:sz w:val="18"/>
              </w:rPr>
              <w:t>Of Total Outstanding Shares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12" w:space="0" w:color="0054BA"/>
            </w:tcBorders>
            <w:tcMar>
              <w:bottom w:w="28" w:type="dxa"/>
            </w:tcMar>
            <w:vAlign w:val="center"/>
          </w:tcPr>
          <w:p>
            <w:pPr>
              <w:pStyle w:val="TableContents"/>
              <w:bidi w:val="0"/>
              <w:spacing w:before="0" w:after="283"/>
              <w:jc w:val="left"/>
              <w:rPr/>
            </w:pPr>
            <w:r>
              <w:rPr/>
              <w:t> </w:t>
            </w:r>
          </w:p>
        </w:tc>
        <w:tc>
          <w:tcPr>
            <w:tcW w:w="2473" w:type="dxa"/>
            <w:tcBorders>
              <w:bottom w:val="single" w:sz="12" w:space="0" w:color="0054BA"/>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FEEDBACK PROVIDED BY</w:t>
            </w:r>
          </w:p>
          <w:p>
            <w:pPr>
              <w:pStyle w:val="TableContents"/>
              <w:bidi w:val="0"/>
              <w:spacing w:before="0" w:after="0"/>
              <w:jc w:val="center"/>
              <w:rPr>
                <w:rFonts w:ascii="ARIAL" w:hAnsi="ARIAL"/>
                <w:b/>
                <w:color w:val="0054BA"/>
                <w:sz w:val="80"/>
              </w:rPr>
            </w:pPr>
            <w:r>
              <w:rPr>
                <w:rFonts w:ascii="ARIAL" w:hAnsi="ARIAL"/>
                <w:b/>
                <w:color w:val="0054BA"/>
                <w:sz w:val="80"/>
              </w:rPr>
              <w:t>33%</w:t>
            </w:r>
          </w:p>
          <w:p>
            <w:pPr>
              <w:pStyle w:val="TableContents"/>
              <w:bidi w:val="0"/>
              <w:spacing w:before="0" w:after="20"/>
              <w:jc w:val="center"/>
              <w:rPr>
                <w:rFonts w:ascii="ARIAL" w:hAnsi="ARIAL"/>
                <w:b/>
                <w:sz w:val="18"/>
              </w:rPr>
            </w:pPr>
            <w:r>
              <w:rPr>
                <w:rFonts w:ascii="ARIAL" w:hAnsi="ARIAL"/>
                <w:b/>
                <w:sz w:val="18"/>
              </w:rPr>
              <w:t>Of Total Outstanding Shares</w:t>
              <w:br/>
              <w:t>Provided Feedback</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12" w:space="0" w:color="0054BA"/>
            </w:tcBorders>
            <w:tcMar>
              <w:bottom w:w="28" w:type="dxa"/>
            </w:tcMar>
            <w:vAlign w:val="center"/>
          </w:tcPr>
          <w:p>
            <w:pPr>
              <w:pStyle w:val="TableContents"/>
              <w:bidi w:val="0"/>
              <w:spacing w:before="0" w:after="283"/>
              <w:jc w:val="left"/>
              <w:rPr/>
            </w:pPr>
            <w:r>
              <w:rPr/>
              <w:t> </w:t>
            </w:r>
          </w:p>
        </w:tc>
        <w:tc>
          <w:tcPr>
            <w:tcW w:w="4228" w:type="dxa"/>
            <w:tcBorders>
              <w:bottom w:val="single" w:sz="12" w:space="0" w:color="0054BA"/>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BOARD AND/OR</w:t>
            </w:r>
          </w:p>
          <w:p>
            <w:pPr>
              <w:pStyle w:val="TableContents"/>
              <w:bidi w:val="0"/>
              <w:spacing w:before="0" w:after="0"/>
              <w:jc w:val="center"/>
              <w:rPr>
                <w:rFonts w:ascii="ARIAL" w:hAnsi="ARIAL"/>
                <w:b/>
                <w:sz w:val="20"/>
              </w:rPr>
            </w:pPr>
            <w:r>
              <w:rPr>
                <w:rFonts w:ascii="ARIAL" w:hAnsi="ARIAL"/>
                <w:b/>
                <w:sz w:val="20"/>
              </w:rPr>
              <w:t>COMPENSATION COMMITTEE</w:t>
            </w:r>
          </w:p>
          <w:p>
            <w:pPr>
              <w:pStyle w:val="TableContents"/>
              <w:bidi w:val="0"/>
              <w:spacing w:before="0" w:after="0"/>
              <w:jc w:val="center"/>
              <w:rPr>
                <w:rFonts w:ascii="ARIAL" w:hAnsi="ARIAL"/>
                <w:b/>
                <w:sz w:val="20"/>
              </w:rPr>
            </w:pPr>
            <w:r>
              <w:rPr>
                <w:rFonts w:ascii="ARIAL" w:hAnsi="ARIAL"/>
                <w:b/>
                <w:sz w:val="20"/>
              </w:rPr>
              <w:t>CHAIR PARTICIPATION</w:t>
            </w:r>
          </w:p>
          <w:p>
            <w:pPr>
              <w:pStyle w:val="TableContents"/>
              <w:bidi w:val="0"/>
              <w:spacing w:before="0" w:after="0"/>
              <w:jc w:val="center"/>
              <w:rPr>
                <w:rFonts w:ascii="ARIAL" w:hAnsi="ARIAL"/>
                <w:b/>
                <w:color w:val="0054BA"/>
                <w:sz w:val="80"/>
              </w:rPr>
            </w:pPr>
            <w:r>
              <w:rPr>
                <w:rFonts w:ascii="ARIAL" w:hAnsi="ARIAL"/>
                <w:b/>
                <w:color w:val="0054BA"/>
                <w:sz w:val="80"/>
              </w:rPr>
              <w:t>100%</w:t>
            </w:r>
          </w:p>
          <w:p>
            <w:pPr>
              <w:pStyle w:val="TableContents"/>
              <w:bidi w:val="0"/>
              <w:spacing w:before="0" w:after="0"/>
              <w:jc w:val="center"/>
              <w:rPr>
                <w:rFonts w:ascii="ARIAL" w:hAnsi="ARIAL"/>
                <w:b/>
                <w:sz w:val="18"/>
              </w:rPr>
            </w:pPr>
            <w:r>
              <w:rPr>
                <w:rFonts w:ascii="ARIAL" w:hAnsi="ARIAL"/>
                <w:b/>
                <w:sz w:val="18"/>
              </w:rPr>
              <w:t>Attended all Meetings Requested by Stockholders</w:t>
            </w:r>
          </w:p>
          <w:p>
            <w:pPr>
              <w:pStyle w:val="TableContents"/>
              <w:bidi w:val="0"/>
              <w:spacing w:before="0" w:after="20"/>
              <w:jc w:val="left"/>
              <w:rPr/>
            </w:pPr>
            <w:r>
              <w:rPr/>
              <w:t> </w:t>
            </w:r>
          </w:p>
        </w:tc>
      </w:tr>
    </w:tbl>
    <w:p>
      <w:pPr>
        <w:pStyle w:val="TextBody"/>
        <w:bidi w:val="0"/>
        <w:spacing w:before="360" w:after="0"/>
        <w:jc w:val="left"/>
        <w:rPr>
          <w:rFonts w:ascii="ARIAL" w:hAnsi="ARIAL"/>
          <w:b/>
          <w:color w:val="0054BA"/>
          <w:sz w:val="18"/>
        </w:rPr>
      </w:pPr>
      <w:r>
        <w:rPr>
          <w:rFonts w:ascii="ARIAL" w:hAnsi="ARIAL"/>
          <w:b/>
          <w:color w:val="0054BA"/>
          <w:sz w:val="18"/>
        </w:rPr>
        <w:t xml:space="preserve">We Listened to Stockholder Perspectives </w:t>
      </w:r>
    </w:p>
    <w:p>
      <w:pPr>
        <w:pStyle w:val="TextBody"/>
        <w:bidi w:val="0"/>
        <w:spacing w:before="0" w:after="0"/>
        <w:jc w:val="left"/>
        <w:rPr>
          <w:rFonts w:ascii="ARIAL" w:hAnsi="ARIAL"/>
          <w:sz w:val="18"/>
        </w:rPr>
      </w:pPr>
      <w:r>
        <w:rPr>
          <w:rFonts w:ascii="ARIAL" w:hAnsi="ARIAL"/>
          <w:sz w:val="18"/>
        </w:rPr>
        <w:t xml:space="preserve">While our stockholders had a diverse range of perspectives on our compensation program, below is a summary of the key areas of stockholder feedback and the responsive actions we have taken. </w:t>
      </w:r>
    </w:p>
    <w:p>
      <w:pPr>
        <w:pStyle w:val="TextBody"/>
        <w:bidi w:val="0"/>
        <w:spacing w:before="120" w:after="0"/>
        <w:jc w:val="left"/>
        <w:rPr>
          <w:rFonts w:ascii="ARIAL" w:hAnsi="ARIAL"/>
          <w:sz w:val="18"/>
        </w:rPr>
      </w:pPr>
      <w:r>
        <w:rPr>
          <w:rFonts w:ascii="ARIAL" w:hAnsi="ARIAL"/>
          <w:sz w:val="18"/>
        </w:rPr>
        <w:t xml:space="preserve">The 2025 executive compensation program had already been approved by the Compensation Committee prior to the 2025 say-on-pay vote and subsequent stockholder engagement. As such, all changes we made to the executive compensation program are effective for compensation awarded in 2026. We encourage stockholders to consider these changes in reviewing this year’s say-on-pay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4"/>
        <w:gridCol w:w="60"/>
        <w:gridCol w:w="4310"/>
        <w:gridCol w:w="60"/>
        <w:gridCol w:w="3101"/>
      </w:tblGrid>
      <w:tr>
        <w:trPr/>
        <w:tc>
          <w:tcPr>
            <w:tcW w:w="2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r>
      <w:tr>
        <w:trPr/>
        <w:tc>
          <w:tcPr>
            <w:tcW w:w="2674" w:type="dxa"/>
            <w:tcBorders/>
            <w:shd w:fill="0054BA" w:val="clear"/>
            <w:vAlign w:val="center"/>
          </w:tcPr>
          <w:p>
            <w:pPr>
              <w:pStyle w:val="TableContents"/>
              <w:bidi w:val="0"/>
              <w:spacing w:before="0" w:after="283"/>
              <w:jc w:val="left"/>
              <w:rPr>
                <w:sz w:val="4"/>
                <w:szCs w:val="4"/>
              </w:rPr>
            </w:pPr>
            <w:r>
              <w:rPr>
                <w:sz w:val="4"/>
                <w:szCs w:val="4"/>
              </w:rPr>
            </w:r>
          </w:p>
        </w:tc>
        <w:tc>
          <w:tcPr>
            <w:tcW w:w="4370" w:type="dxa"/>
            <w:gridSpan w:val="2"/>
            <w:tcBorders/>
            <w:shd w:fill="262626" w:val="clear"/>
            <w:vAlign w:val="center"/>
          </w:tcPr>
          <w:p>
            <w:pPr>
              <w:pStyle w:val="TableContents"/>
              <w:bidi w:val="0"/>
              <w:spacing w:before="0" w:after="283"/>
              <w:jc w:val="left"/>
              <w:rPr>
                <w:sz w:val="4"/>
                <w:szCs w:val="4"/>
              </w:rPr>
            </w:pPr>
            <w:r>
              <w:rPr>
                <w:sz w:val="4"/>
                <w:szCs w:val="4"/>
              </w:rPr>
            </w:r>
          </w:p>
        </w:tc>
        <w:tc>
          <w:tcPr>
            <w:tcW w:w="3161"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2674" w:type="dxa"/>
            <w:tcBorders/>
            <w:shd w:fill="0054BA" w:val="clear"/>
            <w:vAlign w:val="center"/>
          </w:tcPr>
          <w:p>
            <w:pPr>
              <w:pStyle w:val="TableContents"/>
              <w:bidi w:val="0"/>
              <w:spacing w:before="0" w:after="283"/>
              <w:jc w:val="center"/>
              <w:rPr>
                <w:b/>
                <w:color w:val="FFFFFF"/>
              </w:rPr>
            </w:pPr>
            <w:r>
              <w:rPr>
                <w:b/>
                <w:color w:val="FFFFFF"/>
              </w:rPr>
              <w:t>WHAT WE HEARD</w:t>
            </w:r>
          </w:p>
        </w:tc>
        <w:tc>
          <w:tcPr>
            <w:tcW w:w="60" w:type="dxa"/>
            <w:tcBorders/>
            <w:shd w:fill="262626" w:val="clear"/>
            <w:vAlign w:val="center"/>
          </w:tcPr>
          <w:p>
            <w:pPr>
              <w:pStyle w:val="TableContents"/>
              <w:bidi w:val="0"/>
              <w:spacing w:before="0" w:after="283"/>
              <w:jc w:val="left"/>
              <w:rPr/>
            </w:pPr>
            <w:r>
              <w:rPr/>
              <w:t> </w:t>
            </w:r>
          </w:p>
        </w:tc>
        <w:tc>
          <w:tcPr>
            <w:tcW w:w="4310" w:type="dxa"/>
            <w:tcBorders/>
            <w:shd w:fill="262626" w:val="clear"/>
            <w:vAlign w:val="center"/>
          </w:tcPr>
          <w:p>
            <w:pPr>
              <w:pStyle w:val="TableContents"/>
              <w:bidi w:val="0"/>
              <w:spacing w:before="0" w:after="283"/>
              <w:jc w:val="center"/>
              <w:rPr>
                <w:b/>
                <w:color w:val="FFFFFF"/>
              </w:rPr>
            </w:pPr>
            <w:r>
              <w:rPr>
                <w:b/>
                <w:color w:val="FFFFFF"/>
              </w:rPr>
              <w:t>HOW WE RESPONDED</w:t>
            </w:r>
          </w:p>
        </w:tc>
        <w:tc>
          <w:tcPr>
            <w:tcW w:w="60" w:type="dxa"/>
            <w:tcBorders/>
            <w:shd w:fill="0054BA" w:val="clear"/>
            <w:vAlign w:val="center"/>
          </w:tcPr>
          <w:p>
            <w:pPr>
              <w:pStyle w:val="TableContents"/>
              <w:bidi w:val="0"/>
              <w:spacing w:before="0" w:after="283"/>
              <w:jc w:val="left"/>
              <w:rPr/>
            </w:pPr>
            <w:r>
              <w:rPr/>
              <w:t> </w:t>
            </w:r>
          </w:p>
        </w:tc>
        <w:tc>
          <w:tcPr>
            <w:tcW w:w="3101" w:type="dxa"/>
            <w:tcBorders/>
            <w:shd w:fill="0054BA" w:val="clear"/>
            <w:vAlign w:val="center"/>
          </w:tcPr>
          <w:p>
            <w:pPr>
              <w:pStyle w:val="TableContents"/>
              <w:bidi w:val="0"/>
              <w:spacing w:before="0" w:after="283"/>
              <w:jc w:val="center"/>
              <w:rPr>
                <w:b/>
                <w:color w:val="FFFFFF"/>
              </w:rPr>
            </w:pPr>
            <w:r>
              <w:rPr>
                <w:b/>
                <w:color w:val="FFFFFF"/>
              </w:rPr>
              <w:t>IMPACT OF ACTION</w:t>
            </w:r>
          </w:p>
        </w:tc>
      </w:tr>
      <w:tr>
        <w:trPr/>
        <w:tc>
          <w:tcPr>
            <w:tcW w:w="2674" w:type="dxa"/>
            <w:tcBorders/>
            <w:shd w:fill="F0F8FD" w:val="clear"/>
            <w:vAlign w:val="center"/>
          </w:tcPr>
          <w:p>
            <w:pPr>
              <w:pStyle w:val="TableContents"/>
              <w:bidi w:val="0"/>
              <w:spacing w:before="0" w:after="283"/>
              <w:jc w:val="left"/>
              <w:rPr>
                <w:sz w:val="4"/>
                <w:szCs w:val="4"/>
              </w:rPr>
            </w:pPr>
            <w:r>
              <w:rPr>
                <w:sz w:val="4"/>
                <w:szCs w:val="4"/>
              </w:rPr>
            </w:r>
          </w:p>
        </w:tc>
        <w:tc>
          <w:tcPr>
            <w:tcW w:w="4370" w:type="dxa"/>
            <w:gridSpan w:val="2"/>
            <w:tcBorders/>
            <w:shd w:fill="EAEAEA" w:val="clear"/>
            <w:vAlign w:val="center"/>
          </w:tcPr>
          <w:p>
            <w:pPr>
              <w:pStyle w:val="TableContents"/>
              <w:bidi w:val="0"/>
              <w:spacing w:before="0" w:after="283"/>
              <w:jc w:val="left"/>
              <w:rPr>
                <w:sz w:val="4"/>
                <w:szCs w:val="4"/>
              </w:rPr>
            </w:pPr>
            <w:r>
              <w:rPr>
                <w:sz w:val="4"/>
                <w:szCs w:val="4"/>
              </w:rPr>
            </w:r>
          </w:p>
        </w:tc>
        <w:tc>
          <w:tcPr>
            <w:tcW w:w="3161"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674"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b/>
                <w:color w:val="0054BA"/>
                <w:sz w:val="18"/>
              </w:rPr>
              <w:t>Enhance Goal Rigor</w:t>
            </w:r>
            <w:r>
              <w:rPr>
                <w:rFonts w:ascii="ARIAL" w:hAnsi="ARIAL"/>
                <w:sz w:val="18"/>
              </w:rPr>
              <w:t xml:space="preserve"> in setting executive compensation targets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10"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Established symmetrical ranges above and below target for our threshold and maximum performance goals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Increased rTSR target to 55th percentile, with threshold of 30th percentile</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Changed TSR to weighted metric from modifier</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rTSR payout is capped at 100% if absolute TSR is negative</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101"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Ambitious, stockholder-aligned goals are essential to the effectiveness of our incentive compensation plans</w:t>
            </w:r>
          </w:p>
        </w:tc>
      </w:tr>
      <w:tr>
        <w:trPr/>
        <w:tc>
          <w:tcPr>
            <w:tcW w:w="2674" w:type="dxa"/>
            <w:tcBorders/>
            <w:shd w:fill="F0F8FD" w:val="clear"/>
            <w:vAlign w:val="center"/>
          </w:tcPr>
          <w:p>
            <w:pPr>
              <w:pStyle w:val="TableContents"/>
              <w:bidi w:val="0"/>
              <w:spacing w:before="0" w:after="283"/>
              <w:jc w:val="left"/>
              <w:rPr>
                <w:sz w:val="4"/>
                <w:szCs w:val="4"/>
              </w:rPr>
            </w:pPr>
            <w:r>
              <w:rPr>
                <w:sz w:val="4"/>
                <w:szCs w:val="4"/>
              </w:rPr>
            </w:r>
          </w:p>
        </w:tc>
        <w:tc>
          <w:tcPr>
            <w:tcW w:w="4370" w:type="dxa"/>
            <w:gridSpan w:val="2"/>
            <w:tcBorders/>
            <w:shd w:fill="EAEAEA" w:val="clear"/>
            <w:vAlign w:val="center"/>
          </w:tcPr>
          <w:p>
            <w:pPr>
              <w:pStyle w:val="TableContents"/>
              <w:bidi w:val="0"/>
              <w:spacing w:before="0" w:after="283"/>
              <w:jc w:val="left"/>
              <w:rPr>
                <w:sz w:val="4"/>
                <w:szCs w:val="4"/>
              </w:rPr>
            </w:pPr>
            <w:r>
              <w:rPr>
                <w:sz w:val="4"/>
                <w:szCs w:val="4"/>
              </w:rPr>
            </w:r>
          </w:p>
        </w:tc>
        <w:tc>
          <w:tcPr>
            <w:tcW w:w="3161"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674"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b/>
                <w:color w:val="0054BA"/>
                <w:sz w:val="18"/>
              </w:rPr>
              <w:t>Reduce Weighting of Qualitative Goals</w:t>
            </w:r>
            <w:r>
              <w:rPr>
                <w:rFonts w:ascii="ARIAL" w:hAnsi="ARIAL"/>
                <w:sz w:val="18"/>
              </w:rPr>
              <w:t xml:space="preserve"> of short-term incentives for all non-CEO NEOs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10"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Increased the portion of short-term incentive payout based on objective financial metrics to 80% for all non-CEO NEOs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CEO’s short-term incentive payout will remain entirely driven (100%) by objective financial metrics</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101"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We increased the weighting of objective financial metrics to better align with stockholder interests</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5575"/>
                  <wp:effectExtent l="0" t="0" r="0" b="0"/>
                  <wp:docPr id="308"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7" descr=""/>
                          <pic:cNvPicPr>
                            <a:picLocks noChangeAspect="1" noChangeArrowheads="1"/>
                          </pic:cNvPicPr>
                        </pic:nvPicPr>
                        <pic:blipFill>
                          <a:blip r:embed="rId297"/>
                          <a:stretch>
                            <a:fillRect/>
                          </a:stretch>
                        </pic:blipFill>
                        <pic:spPr bwMode="auto">
                          <a:xfrm>
                            <a:off x="0" y="0"/>
                            <a:ext cx="908050" cy="1555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9"/>
        <w:gridCol w:w="60"/>
        <w:gridCol w:w="4304"/>
        <w:gridCol w:w="60"/>
        <w:gridCol w:w="3252"/>
      </w:tblGrid>
      <w:tr>
        <w:trPr/>
        <w:tc>
          <w:tcPr>
            <w:tcW w:w="2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jc w:val="left"/>
              <w:rPr>
                <w:sz w:val="4"/>
                <w:szCs w:val="4"/>
              </w:rPr>
            </w:pPr>
            <w:r>
              <w:rPr>
                <w:sz w:val="4"/>
                <w:szCs w:val="4"/>
              </w:rPr>
            </w:r>
          </w:p>
        </w:tc>
      </w:tr>
      <w:tr>
        <w:trPr/>
        <w:tc>
          <w:tcPr>
            <w:tcW w:w="2529" w:type="dxa"/>
            <w:tcBorders/>
            <w:shd w:fill="0054BA" w:val="clear"/>
            <w:vAlign w:val="center"/>
          </w:tcPr>
          <w:p>
            <w:pPr>
              <w:pStyle w:val="TableContents"/>
              <w:bidi w:val="0"/>
              <w:spacing w:before="0" w:after="283"/>
              <w:jc w:val="left"/>
              <w:rPr>
                <w:sz w:val="4"/>
                <w:szCs w:val="4"/>
              </w:rPr>
            </w:pPr>
            <w:r>
              <w:rPr>
                <w:sz w:val="4"/>
                <w:szCs w:val="4"/>
              </w:rPr>
            </w:r>
          </w:p>
        </w:tc>
        <w:tc>
          <w:tcPr>
            <w:tcW w:w="4364" w:type="dxa"/>
            <w:gridSpan w:val="2"/>
            <w:tcBorders/>
            <w:shd w:fill="262626" w:val="clear"/>
            <w:vAlign w:val="center"/>
          </w:tcPr>
          <w:p>
            <w:pPr>
              <w:pStyle w:val="TableContents"/>
              <w:bidi w:val="0"/>
              <w:spacing w:before="0" w:after="283"/>
              <w:jc w:val="left"/>
              <w:rPr>
                <w:sz w:val="4"/>
                <w:szCs w:val="4"/>
              </w:rPr>
            </w:pPr>
            <w:r>
              <w:rPr>
                <w:sz w:val="4"/>
                <w:szCs w:val="4"/>
              </w:rPr>
            </w:r>
          </w:p>
        </w:tc>
        <w:tc>
          <w:tcPr>
            <w:tcW w:w="3312"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2529" w:type="dxa"/>
            <w:tcBorders/>
            <w:shd w:fill="0054BA" w:val="clear"/>
            <w:vAlign w:val="center"/>
          </w:tcPr>
          <w:p>
            <w:pPr>
              <w:pStyle w:val="TableContents"/>
              <w:bidi w:val="0"/>
              <w:spacing w:before="0" w:after="283"/>
              <w:jc w:val="center"/>
              <w:rPr>
                <w:b/>
                <w:color w:val="FFFFFF"/>
              </w:rPr>
            </w:pPr>
            <w:r>
              <w:rPr>
                <w:b/>
                <w:color w:val="FFFFFF"/>
              </w:rPr>
              <w:t>WHAT WE HEARD</w:t>
            </w:r>
          </w:p>
        </w:tc>
        <w:tc>
          <w:tcPr>
            <w:tcW w:w="60" w:type="dxa"/>
            <w:tcBorders/>
            <w:shd w:fill="262626" w:val="clear"/>
            <w:vAlign w:val="center"/>
          </w:tcPr>
          <w:p>
            <w:pPr>
              <w:pStyle w:val="TableContents"/>
              <w:bidi w:val="0"/>
              <w:spacing w:before="0" w:after="283"/>
              <w:jc w:val="left"/>
              <w:rPr/>
            </w:pPr>
            <w:r>
              <w:rPr/>
              <w:t> </w:t>
            </w:r>
          </w:p>
        </w:tc>
        <w:tc>
          <w:tcPr>
            <w:tcW w:w="4304" w:type="dxa"/>
            <w:tcBorders/>
            <w:shd w:fill="262626" w:val="clear"/>
            <w:vAlign w:val="center"/>
          </w:tcPr>
          <w:p>
            <w:pPr>
              <w:pStyle w:val="TableContents"/>
              <w:bidi w:val="0"/>
              <w:spacing w:before="0" w:after="283"/>
              <w:jc w:val="center"/>
              <w:rPr>
                <w:b/>
                <w:color w:val="FFFFFF"/>
              </w:rPr>
            </w:pPr>
            <w:r>
              <w:rPr>
                <w:b/>
                <w:color w:val="FFFFFF"/>
              </w:rPr>
              <w:t>HOW WE RESPONDED</w:t>
            </w:r>
          </w:p>
        </w:tc>
        <w:tc>
          <w:tcPr>
            <w:tcW w:w="60" w:type="dxa"/>
            <w:tcBorders/>
            <w:shd w:fill="0054BA" w:val="clear"/>
            <w:vAlign w:val="center"/>
          </w:tcPr>
          <w:p>
            <w:pPr>
              <w:pStyle w:val="TableContents"/>
              <w:bidi w:val="0"/>
              <w:spacing w:before="0" w:after="283"/>
              <w:jc w:val="left"/>
              <w:rPr/>
            </w:pPr>
            <w:r>
              <w:rPr/>
              <w:t> </w:t>
            </w:r>
          </w:p>
        </w:tc>
        <w:tc>
          <w:tcPr>
            <w:tcW w:w="3252" w:type="dxa"/>
            <w:tcBorders/>
            <w:shd w:fill="0054BA" w:val="clear"/>
            <w:vAlign w:val="center"/>
          </w:tcPr>
          <w:p>
            <w:pPr>
              <w:pStyle w:val="TableContents"/>
              <w:bidi w:val="0"/>
              <w:spacing w:before="0" w:after="283"/>
              <w:jc w:val="center"/>
              <w:rPr>
                <w:b/>
                <w:color w:val="FFFFFF"/>
              </w:rPr>
            </w:pPr>
            <w:r>
              <w:rPr>
                <w:b/>
                <w:color w:val="FFFFFF"/>
              </w:rPr>
              <w:t>IMPACT OF ACTION</w:t>
            </w:r>
          </w:p>
        </w:tc>
      </w:tr>
      <w:tr>
        <w:trPr/>
        <w:tc>
          <w:tcPr>
            <w:tcW w:w="2529" w:type="dxa"/>
            <w:tcBorders/>
            <w:shd w:fill="F0F8FD" w:val="clear"/>
            <w:vAlign w:val="center"/>
          </w:tcPr>
          <w:p>
            <w:pPr>
              <w:pStyle w:val="TableContents"/>
              <w:bidi w:val="0"/>
              <w:spacing w:before="0" w:after="283"/>
              <w:jc w:val="left"/>
              <w:rPr>
                <w:sz w:val="4"/>
                <w:szCs w:val="4"/>
              </w:rPr>
            </w:pPr>
            <w:r>
              <w:rPr>
                <w:sz w:val="4"/>
                <w:szCs w:val="4"/>
              </w:rPr>
            </w:r>
          </w:p>
        </w:tc>
        <w:tc>
          <w:tcPr>
            <w:tcW w:w="4364" w:type="dxa"/>
            <w:gridSpan w:val="2"/>
            <w:tcBorders/>
            <w:shd w:fill="EAEAEA" w:val="clear"/>
            <w:vAlign w:val="center"/>
          </w:tcPr>
          <w:p>
            <w:pPr>
              <w:pStyle w:val="TableContents"/>
              <w:bidi w:val="0"/>
              <w:spacing w:before="0" w:after="283"/>
              <w:jc w:val="left"/>
              <w:rPr>
                <w:sz w:val="4"/>
                <w:szCs w:val="4"/>
              </w:rPr>
            </w:pPr>
            <w:r>
              <w:rPr>
                <w:sz w:val="4"/>
                <w:szCs w:val="4"/>
              </w:rPr>
            </w:r>
          </w:p>
        </w:tc>
        <w:tc>
          <w:tcPr>
            <w:tcW w:w="3312"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529"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b/>
                <w:color w:val="0054BA"/>
                <w:sz w:val="18"/>
              </w:rPr>
              <w:t>Give Heavier Weighting to Performance Stock Units (PSUs)</w:t>
            </w:r>
            <w:r>
              <w:rPr>
                <w:rFonts w:ascii="ARIAL" w:hAnsi="ARIAL"/>
                <w:sz w:val="18"/>
              </w:rPr>
              <w:t xml:space="preserve"> as preferred vehicle for stockholders, especially when tied to rigorous, value-aligned metrics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04"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Set LTI mix of 80% PSUs for the CEO and 60% PSUs for the other executive officers</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252"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The majority of NEO pay will be conditioned on performance, with metrics that align to stockholder value creation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Eliminated the one-year performance period of the performance-based RSAs to increase reliance on long-term performance</w:t>
            </w:r>
          </w:p>
        </w:tc>
      </w:tr>
      <w:tr>
        <w:trPr/>
        <w:tc>
          <w:tcPr>
            <w:tcW w:w="2529" w:type="dxa"/>
            <w:tcBorders/>
            <w:shd w:fill="F0F8FD" w:val="clear"/>
            <w:vAlign w:val="center"/>
          </w:tcPr>
          <w:p>
            <w:pPr>
              <w:pStyle w:val="TableContents"/>
              <w:bidi w:val="0"/>
              <w:spacing w:before="0" w:after="283"/>
              <w:jc w:val="left"/>
              <w:rPr>
                <w:sz w:val="4"/>
                <w:szCs w:val="4"/>
              </w:rPr>
            </w:pPr>
            <w:r>
              <w:rPr>
                <w:sz w:val="4"/>
                <w:szCs w:val="4"/>
              </w:rPr>
            </w:r>
          </w:p>
        </w:tc>
        <w:tc>
          <w:tcPr>
            <w:tcW w:w="4364" w:type="dxa"/>
            <w:gridSpan w:val="2"/>
            <w:tcBorders/>
            <w:shd w:fill="EAEAEA" w:val="clear"/>
            <w:vAlign w:val="center"/>
          </w:tcPr>
          <w:p>
            <w:pPr>
              <w:pStyle w:val="TableContents"/>
              <w:bidi w:val="0"/>
              <w:spacing w:before="0" w:after="283"/>
              <w:jc w:val="left"/>
              <w:rPr>
                <w:sz w:val="4"/>
                <w:szCs w:val="4"/>
              </w:rPr>
            </w:pPr>
            <w:r>
              <w:rPr>
                <w:sz w:val="4"/>
                <w:szCs w:val="4"/>
              </w:rPr>
            </w:r>
          </w:p>
        </w:tc>
        <w:tc>
          <w:tcPr>
            <w:tcW w:w="3312"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529"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b/>
                <w:color w:val="0054BA"/>
                <w:sz w:val="18"/>
              </w:rPr>
              <w:t>Update Performance Metrics</w:t>
            </w:r>
            <w:r>
              <w:rPr>
                <w:rFonts w:ascii="ARIAL" w:hAnsi="ARIAL"/>
                <w:sz w:val="18"/>
              </w:rPr>
              <w:t xml:space="preserve"> for both Short-Term and Long-Term Incentives to ensure alignment with value creation, including TSR and per-share metrics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04"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Balanced EBITDA with Organic Revenue metric in Short-Term Incentive formula</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Replaced Revenue with EPS and relative TSR in Long-Term Incentive formula</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Relative TSR metric rewards top-decile performance</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252"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This combination of metrics reflects a strong emphasis on profitability, while driving organic growth</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Eliminated duplication of metrics between the short- and long-term incentive programs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Use of rTSR fosters alignment between plan payouts, stockholder experience, and aligns with market practice</w:t>
            </w:r>
          </w:p>
        </w:tc>
      </w:tr>
      <w:tr>
        <w:trPr/>
        <w:tc>
          <w:tcPr>
            <w:tcW w:w="2529" w:type="dxa"/>
            <w:tcBorders/>
            <w:shd w:fill="F0F8FD" w:val="clear"/>
            <w:vAlign w:val="center"/>
          </w:tcPr>
          <w:p>
            <w:pPr>
              <w:pStyle w:val="TableContents"/>
              <w:bidi w:val="0"/>
              <w:spacing w:before="0" w:after="283"/>
              <w:jc w:val="left"/>
              <w:rPr>
                <w:sz w:val="4"/>
                <w:szCs w:val="4"/>
              </w:rPr>
            </w:pPr>
            <w:r>
              <w:rPr>
                <w:sz w:val="4"/>
                <w:szCs w:val="4"/>
              </w:rPr>
            </w:r>
          </w:p>
        </w:tc>
        <w:tc>
          <w:tcPr>
            <w:tcW w:w="4364" w:type="dxa"/>
            <w:gridSpan w:val="2"/>
            <w:tcBorders/>
            <w:shd w:fill="EAEAEA" w:val="clear"/>
            <w:vAlign w:val="center"/>
          </w:tcPr>
          <w:p>
            <w:pPr>
              <w:pStyle w:val="TableContents"/>
              <w:bidi w:val="0"/>
              <w:spacing w:before="0" w:after="283"/>
              <w:jc w:val="left"/>
              <w:rPr>
                <w:sz w:val="4"/>
                <w:szCs w:val="4"/>
              </w:rPr>
            </w:pPr>
            <w:r>
              <w:rPr>
                <w:sz w:val="4"/>
                <w:szCs w:val="4"/>
              </w:rPr>
            </w:r>
          </w:p>
        </w:tc>
        <w:tc>
          <w:tcPr>
            <w:tcW w:w="3312"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529"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b/>
                <w:color w:val="0054BA"/>
                <w:sz w:val="18"/>
              </w:rPr>
              <w:t>Simplify the Design</w:t>
            </w:r>
            <w:r>
              <w:rPr>
                <w:rFonts w:ascii="ARIAL" w:hAnsi="ARIAL"/>
                <w:sz w:val="18"/>
              </w:rPr>
              <w:t xml:space="preserve"> of executive compensation structures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04"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Eliminated stock options and performance-based RSAs in favor of a mix of PSUs and time-based Restricted Stock Units (RSUs)</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PSU design utilizes a three-year performance measurement period</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252"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Simplified plan design provides greater transparency to our stockholders and clarity for the executive officers</w:t>
            </w:r>
          </w:p>
        </w:tc>
      </w:tr>
      <w:tr>
        <w:trPr/>
        <w:tc>
          <w:tcPr>
            <w:tcW w:w="2529" w:type="dxa"/>
            <w:tcBorders/>
            <w:shd w:fill="F0F8FD" w:val="clear"/>
            <w:vAlign w:val="center"/>
          </w:tcPr>
          <w:p>
            <w:pPr>
              <w:pStyle w:val="TableContents"/>
              <w:bidi w:val="0"/>
              <w:spacing w:before="0" w:after="283"/>
              <w:jc w:val="left"/>
              <w:rPr>
                <w:sz w:val="4"/>
                <w:szCs w:val="4"/>
              </w:rPr>
            </w:pPr>
            <w:r>
              <w:rPr>
                <w:sz w:val="4"/>
                <w:szCs w:val="4"/>
              </w:rPr>
            </w:r>
          </w:p>
        </w:tc>
        <w:tc>
          <w:tcPr>
            <w:tcW w:w="4364" w:type="dxa"/>
            <w:gridSpan w:val="2"/>
            <w:tcBorders/>
            <w:shd w:fill="EAEAEA" w:val="clear"/>
            <w:vAlign w:val="center"/>
          </w:tcPr>
          <w:p>
            <w:pPr>
              <w:pStyle w:val="TableContents"/>
              <w:bidi w:val="0"/>
              <w:spacing w:before="0" w:after="283"/>
              <w:jc w:val="left"/>
              <w:rPr>
                <w:sz w:val="4"/>
                <w:szCs w:val="4"/>
              </w:rPr>
            </w:pPr>
            <w:r>
              <w:rPr>
                <w:sz w:val="4"/>
                <w:szCs w:val="4"/>
              </w:rPr>
            </w:r>
          </w:p>
        </w:tc>
        <w:tc>
          <w:tcPr>
            <w:tcW w:w="3312"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529"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b/>
                <w:color w:val="0054BA"/>
                <w:sz w:val="18"/>
              </w:rPr>
              <w:t>Enhance Disclosures</w:t>
            </w:r>
            <w:r>
              <w:rPr>
                <w:rFonts w:ascii="ARIAL" w:hAnsi="ARIAL"/>
                <w:sz w:val="18"/>
              </w:rPr>
              <w:t xml:space="preserve"> for greater transparency into compensation framework and the Compensation Committee’s decision making</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04"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Updated disclosures to provide greater clarity and detail on executive compensation design and the Compensation Committee’s rationale</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Provided full transparency on goal achievement in the settlement of the 2022-2024 and 2023-2025 Performance Stock Awards</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252"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Establishes clarity into how performance impacts pay and how the Compensation Committee thinks about pay decisions</w:t>
            </w:r>
          </w:p>
        </w:tc>
      </w:tr>
      <w:tr>
        <w:trPr/>
        <w:tc>
          <w:tcPr>
            <w:tcW w:w="2529" w:type="dxa"/>
            <w:tcBorders/>
            <w:shd w:fill="F0F8FD" w:val="clear"/>
            <w:vAlign w:val="center"/>
          </w:tcPr>
          <w:p>
            <w:pPr>
              <w:pStyle w:val="TableContents"/>
              <w:bidi w:val="0"/>
              <w:spacing w:before="0" w:after="283"/>
              <w:jc w:val="left"/>
              <w:rPr>
                <w:sz w:val="4"/>
                <w:szCs w:val="4"/>
              </w:rPr>
            </w:pPr>
            <w:r>
              <w:rPr>
                <w:sz w:val="4"/>
                <w:szCs w:val="4"/>
              </w:rPr>
            </w:r>
          </w:p>
        </w:tc>
        <w:tc>
          <w:tcPr>
            <w:tcW w:w="4364" w:type="dxa"/>
            <w:gridSpan w:val="2"/>
            <w:tcBorders/>
            <w:shd w:fill="EAEAEA" w:val="clear"/>
            <w:vAlign w:val="center"/>
          </w:tcPr>
          <w:p>
            <w:pPr>
              <w:pStyle w:val="TableContents"/>
              <w:bidi w:val="0"/>
              <w:spacing w:before="0" w:after="283"/>
              <w:jc w:val="left"/>
              <w:rPr>
                <w:sz w:val="4"/>
                <w:szCs w:val="4"/>
              </w:rPr>
            </w:pPr>
            <w:r>
              <w:rPr>
                <w:sz w:val="4"/>
                <w:szCs w:val="4"/>
              </w:rPr>
            </w:r>
          </w:p>
        </w:tc>
        <w:tc>
          <w:tcPr>
            <w:tcW w:w="3312"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529"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b/>
                <w:color w:val="0054BA"/>
                <w:sz w:val="18"/>
              </w:rPr>
              <w:t>Remove Tax Gross-up</w:t>
            </w:r>
            <w:r>
              <w:rPr>
                <w:rFonts w:ascii="ARIAL" w:hAnsi="ARIAL"/>
                <w:sz w:val="18"/>
              </w:rPr>
              <w:t xml:space="preserve"> from CEO’s employment agreement</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04"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Modified CEO employment agreement to eliminate legacy 280G excise tax gross-up</w:t>
            </w:r>
          </w:p>
          <w:p>
            <w:pPr>
              <w:pStyle w:val="TableContents"/>
              <w:bidi w:val="0"/>
              <w:spacing w:before="0" w:after="0"/>
              <w:jc w:val="left"/>
              <w:rPr/>
            </w:pPr>
            <w:r>
              <w:rPr/>
              <w:t> </w:t>
            </w:r>
          </w:p>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Implemented Executive Severance plan that prohibits tax gross-ups and includes “double-trigger“ severance provisions in the event of a change in control</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252"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Incentivizes executives to remain focused on delivering stockholder value through potential organizational changes, with better alignment to stockholder expectations and peer company practices</w:t>
            </w:r>
          </w:p>
        </w:tc>
      </w:tr>
      <w:tr>
        <w:trPr/>
        <w:tc>
          <w:tcPr>
            <w:tcW w:w="2529" w:type="dxa"/>
            <w:tcBorders/>
            <w:shd w:fill="F0F8FD" w:val="clear"/>
            <w:vAlign w:val="center"/>
          </w:tcPr>
          <w:p>
            <w:pPr>
              <w:pStyle w:val="TableContents"/>
              <w:bidi w:val="0"/>
              <w:spacing w:before="0" w:after="283"/>
              <w:jc w:val="left"/>
              <w:rPr>
                <w:sz w:val="4"/>
                <w:szCs w:val="4"/>
              </w:rPr>
            </w:pPr>
            <w:r>
              <w:rPr>
                <w:sz w:val="4"/>
                <w:szCs w:val="4"/>
              </w:rPr>
            </w:r>
          </w:p>
        </w:tc>
        <w:tc>
          <w:tcPr>
            <w:tcW w:w="4364" w:type="dxa"/>
            <w:gridSpan w:val="2"/>
            <w:tcBorders/>
            <w:shd w:fill="EAEAEA" w:val="clear"/>
            <w:vAlign w:val="center"/>
          </w:tcPr>
          <w:p>
            <w:pPr>
              <w:pStyle w:val="TableContents"/>
              <w:bidi w:val="0"/>
              <w:spacing w:before="0" w:after="283"/>
              <w:jc w:val="left"/>
              <w:rPr>
                <w:sz w:val="4"/>
                <w:szCs w:val="4"/>
              </w:rPr>
            </w:pPr>
            <w:r>
              <w:rPr>
                <w:sz w:val="4"/>
                <w:szCs w:val="4"/>
              </w:rPr>
            </w:r>
          </w:p>
        </w:tc>
        <w:tc>
          <w:tcPr>
            <w:tcW w:w="3312"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529"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Enhance Clawback Policy</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04"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Adopted a supplemental clawback policy to claw back compensation (including time-based RSUs) for felony-level crimes resulting in material financial or reputational harm or restrictive covenant breaches</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252"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Robust equity clawback policies deter misconduct and ensure accountability</w:t>
            </w:r>
          </w:p>
        </w:tc>
      </w:tr>
      <w:tr>
        <w:trPr/>
        <w:tc>
          <w:tcPr>
            <w:tcW w:w="2529" w:type="dxa"/>
            <w:tcBorders/>
            <w:shd w:fill="F0F8FD" w:val="clear"/>
            <w:vAlign w:val="center"/>
          </w:tcPr>
          <w:p>
            <w:pPr>
              <w:pStyle w:val="TableContents"/>
              <w:bidi w:val="0"/>
              <w:spacing w:before="0" w:after="283"/>
              <w:jc w:val="left"/>
              <w:rPr>
                <w:sz w:val="4"/>
                <w:szCs w:val="4"/>
              </w:rPr>
            </w:pPr>
            <w:r>
              <w:rPr>
                <w:sz w:val="4"/>
                <w:szCs w:val="4"/>
              </w:rPr>
            </w:r>
          </w:p>
        </w:tc>
        <w:tc>
          <w:tcPr>
            <w:tcW w:w="4364" w:type="dxa"/>
            <w:gridSpan w:val="2"/>
            <w:tcBorders/>
            <w:shd w:fill="EAEAEA" w:val="clear"/>
            <w:vAlign w:val="center"/>
          </w:tcPr>
          <w:p>
            <w:pPr>
              <w:pStyle w:val="TableContents"/>
              <w:bidi w:val="0"/>
              <w:spacing w:before="0" w:after="283"/>
              <w:jc w:val="left"/>
              <w:rPr>
                <w:sz w:val="4"/>
                <w:szCs w:val="4"/>
              </w:rPr>
            </w:pPr>
            <w:r>
              <w:rPr>
                <w:sz w:val="4"/>
                <w:szCs w:val="4"/>
              </w:rPr>
            </w:r>
          </w:p>
        </w:tc>
        <w:tc>
          <w:tcPr>
            <w:tcW w:w="3312"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529"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Increase CEO’s Stock Ownership</w:t>
              <w:br/>
              <w:t>Guidelines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04"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Increased minimum stock ownership requirements for CEO from 6x to 10x base salary</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252"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Increased CEO stock ownership requirements align executive interests with stockholders</w:t>
            </w:r>
          </w:p>
        </w:tc>
      </w:tr>
      <w:tr>
        <w:trPr/>
        <w:tc>
          <w:tcPr>
            <w:tcW w:w="2529" w:type="dxa"/>
            <w:tcBorders/>
            <w:shd w:fill="F0F8FD" w:val="clear"/>
            <w:vAlign w:val="center"/>
          </w:tcPr>
          <w:p>
            <w:pPr>
              <w:pStyle w:val="TableContents"/>
              <w:bidi w:val="0"/>
              <w:spacing w:before="0" w:after="283"/>
              <w:jc w:val="left"/>
              <w:rPr>
                <w:sz w:val="4"/>
                <w:szCs w:val="4"/>
              </w:rPr>
            </w:pPr>
            <w:r>
              <w:rPr>
                <w:sz w:val="4"/>
                <w:szCs w:val="4"/>
              </w:rPr>
            </w:r>
          </w:p>
        </w:tc>
        <w:tc>
          <w:tcPr>
            <w:tcW w:w="4364" w:type="dxa"/>
            <w:gridSpan w:val="2"/>
            <w:tcBorders/>
            <w:shd w:fill="EAEAEA" w:val="clear"/>
            <w:vAlign w:val="center"/>
          </w:tcPr>
          <w:p>
            <w:pPr>
              <w:pStyle w:val="TableContents"/>
              <w:bidi w:val="0"/>
              <w:spacing w:before="0" w:after="283"/>
              <w:jc w:val="left"/>
              <w:rPr>
                <w:sz w:val="4"/>
                <w:szCs w:val="4"/>
              </w:rPr>
            </w:pPr>
            <w:r>
              <w:rPr>
                <w:sz w:val="4"/>
                <w:szCs w:val="4"/>
              </w:rPr>
            </w:r>
          </w:p>
        </w:tc>
        <w:tc>
          <w:tcPr>
            <w:tcW w:w="3312"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2529"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Quantum of CEO Pay Review Against Stockholder Expectations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4304" w:type="dxa"/>
            <w:tcBorders>
              <w:bottom w:val="single" w:sz="6" w:space="0" w:color="000000"/>
            </w:tcBorders>
            <w:shd w:fill="EAEAEA" w:val="clear"/>
            <w:tcMar>
              <w:bottom w:w="28" w:type="dxa"/>
            </w:tcMar>
            <w:vAlign w:val="center"/>
          </w:tcPr>
          <w:p>
            <w:pPr>
              <w:pStyle w:val="TableContents"/>
              <w:bidi w:val="0"/>
              <w:spacing w:before="0" w:after="0"/>
              <w:jc w:val="left"/>
              <w:rPr>
                <w:color w:val="0054BA"/>
              </w:rPr>
            </w:pPr>
            <w:r>
              <w:rPr>
                <w:color w:val="0054BA"/>
              </w:rPr>
              <w:t>•</w:t>
            </w:r>
          </w:p>
          <w:p>
            <w:pPr>
              <w:pStyle w:val="TableContents"/>
              <w:bidi w:val="0"/>
              <w:spacing w:before="0" w:after="0"/>
              <w:jc w:val="left"/>
              <w:rPr>
                <w:rFonts w:ascii="ARIAL" w:hAnsi="ARIAL"/>
              </w:rPr>
            </w:pPr>
            <w:r>
              <w:rPr>
                <w:rFonts w:ascii="ARIAL" w:hAnsi="ARIAL"/>
              </w:rPr>
              <w:t>We took the actions described above to emphasize performance-based pay, update performance metrics and enhance goal rigor</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3252" w:type="dxa"/>
            <w:tcBorders>
              <w:bottom w:val="single" w:sz="6" w:space="0" w:color="000000"/>
            </w:tcBorders>
            <w:shd w:fill="F0F8FD" w:val="clear"/>
            <w:tcMar>
              <w:bottom w:w="28" w:type="dxa"/>
            </w:tcMar>
            <w:vAlign w:val="center"/>
          </w:tcPr>
          <w:p>
            <w:pPr>
              <w:pStyle w:val="TableContents"/>
              <w:bidi w:val="0"/>
              <w:spacing w:before="0" w:after="0"/>
              <w:jc w:val="left"/>
              <w:rPr>
                <w:rFonts w:ascii="ARIAL" w:hAnsi="ARIAL"/>
                <w:sz w:val="18"/>
              </w:rPr>
            </w:pPr>
            <w:r>
              <w:rPr>
                <w:rFonts w:ascii="ARIAL" w:hAnsi="ARIAL"/>
                <w:sz w:val="18"/>
              </w:rPr>
              <w:t>We expect the quantum of CEO pay to more closely align with stockholder expectations following the changes described above</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5575"/>
                  <wp:effectExtent l="0" t="0" r="0" b="0"/>
                  <wp:docPr id="309"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8" descr=""/>
                          <pic:cNvPicPr>
                            <a:picLocks noChangeAspect="1" noChangeArrowheads="1"/>
                          </pic:cNvPicPr>
                        </pic:nvPicPr>
                        <pic:blipFill>
                          <a:blip r:embed="rId298"/>
                          <a:stretch>
                            <a:fillRect/>
                          </a:stretch>
                        </pic:blipFill>
                        <pic:spPr bwMode="auto">
                          <a:xfrm>
                            <a:off x="0" y="0"/>
                            <a:ext cx="908050" cy="1555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tables below provide a side-by-side comparison of our prior executive compensation program and the revised program to clearly illustrate these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4"/>
        <w:gridCol w:w="60"/>
        <w:gridCol w:w="587"/>
        <w:gridCol w:w="60"/>
        <w:gridCol w:w="1901"/>
        <w:gridCol w:w="60"/>
        <w:gridCol w:w="1651"/>
        <w:gridCol w:w="60"/>
        <w:gridCol w:w="1580"/>
        <w:gridCol w:w="60"/>
        <w:gridCol w:w="1814"/>
        <w:gridCol w:w="65"/>
        <w:gridCol w:w="1753"/>
      </w:tblGrid>
      <w:tr>
        <w:trPr/>
        <w:tc>
          <w:tcPr>
            <w:tcW w:w="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554" w:type="dxa"/>
            <w:tcBorders/>
            <w:vAlign w:val="center"/>
          </w:tcPr>
          <w:p>
            <w:pPr>
              <w:pStyle w:val="TableContents"/>
              <w:bidi w:val="0"/>
              <w:spacing w:before="0" w:after="283"/>
              <w:jc w:val="left"/>
              <w:rPr>
                <w:sz w:val="4"/>
                <w:szCs w:val="4"/>
              </w:rPr>
            </w:pPr>
            <w:r>
              <w:rPr>
                <w:sz w:val="4"/>
                <w:szCs w:val="4"/>
              </w:rPr>
            </w:r>
          </w:p>
        </w:tc>
        <w:tc>
          <w:tcPr>
            <w:tcW w:w="647"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c>
          <w:tcPr>
            <w:tcW w:w="3351"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692" w:type="dxa"/>
            <w:gridSpan w:val="4"/>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1"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3291" w:type="dxa"/>
            <w:gridSpan w:val="3"/>
            <w:tcBorders>
              <w:right w:val="single" w:sz="6" w:space="0" w:color="000000"/>
            </w:tcBorders>
            <w:tcMar>
              <w:right w:w="28" w:type="dxa"/>
            </w:tcMar>
            <w:vAlign w:val="center"/>
          </w:tcPr>
          <w:p>
            <w:pPr>
              <w:pStyle w:val="TableContents"/>
              <w:bidi w:val="0"/>
              <w:spacing w:before="0" w:after="0"/>
              <w:jc w:val="center"/>
              <w:rPr>
                <w:rFonts w:ascii="ARIAL" w:hAnsi="ARIAL"/>
                <w:b/>
                <w:sz w:val="16"/>
              </w:rPr>
            </w:pPr>
            <w:r>
              <w:rPr>
                <w:rFonts w:ascii="ARIAL" w:hAnsi="ARIAL"/>
                <w:b/>
                <w:sz w:val="16"/>
              </w:rPr>
              <w:t>COMPARISON OF CEO</w:t>
            </w:r>
          </w:p>
          <w:p>
            <w:pPr>
              <w:pStyle w:val="TableContents"/>
              <w:bidi w:val="0"/>
              <w:spacing w:before="0" w:after="20"/>
              <w:jc w:val="center"/>
              <w:rPr>
                <w:rFonts w:ascii="ARIAL" w:hAnsi="ARIAL"/>
                <w:b/>
                <w:sz w:val="16"/>
              </w:rPr>
            </w:pPr>
            <w:r>
              <w:rPr>
                <w:rFonts w:ascii="ARIAL" w:hAnsi="ARIAL"/>
                <w:b/>
                <w:sz w:val="16"/>
              </w:rPr>
              <w:t>COMPENSATION DESIGN</w:t>
            </w:r>
          </w:p>
        </w:tc>
        <w:tc>
          <w:tcPr>
            <w:tcW w:w="60" w:type="dxa"/>
            <w:tcBorders/>
            <w:vAlign w:val="center"/>
          </w:tcPr>
          <w:p>
            <w:pPr>
              <w:pStyle w:val="TableContents"/>
              <w:bidi w:val="0"/>
              <w:spacing w:before="0" w:after="283"/>
              <w:jc w:val="left"/>
              <w:rPr/>
            </w:pPr>
            <w:r>
              <w:rPr/>
              <w:t> </w:t>
            </w:r>
          </w:p>
        </w:tc>
        <w:tc>
          <w:tcPr>
            <w:tcW w:w="3632" w:type="dxa"/>
            <w:gridSpan w:val="3"/>
            <w:tcBorders>
              <w:right w:val="single" w:sz="6" w:space="0" w:color="000000"/>
            </w:tcBorders>
            <w:tcMar>
              <w:right w:w="40" w:type="dxa"/>
            </w:tcMar>
            <w:vAlign w:val="center"/>
          </w:tcPr>
          <w:p>
            <w:pPr>
              <w:pStyle w:val="TableContents"/>
              <w:bidi w:val="0"/>
              <w:spacing w:before="0" w:after="283"/>
              <w:jc w:val="center"/>
              <w:rPr>
                <w:b/>
              </w:rPr>
            </w:pPr>
            <w:r>
              <w:rPr>
                <w:b/>
              </w:rPr>
              <w:t>COMPARISON OF OTHER NEOS</w:t>
              <w:br/>
              <w:t>COMPENSATION DESIGN</w:t>
            </w:r>
          </w:p>
        </w:tc>
      </w:tr>
      <w:tr>
        <w:trPr/>
        <w:tc>
          <w:tcPr>
            <w:tcW w:w="554" w:type="dxa"/>
            <w:tcBorders/>
            <w:vAlign w:val="center"/>
          </w:tcPr>
          <w:p>
            <w:pPr>
              <w:pStyle w:val="TableContents"/>
              <w:bidi w:val="0"/>
              <w:spacing w:before="0" w:after="283"/>
              <w:jc w:val="left"/>
              <w:rPr>
                <w:sz w:val="4"/>
                <w:szCs w:val="4"/>
              </w:rPr>
            </w:pPr>
            <w:r>
              <w:rPr>
                <w:sz w:val="4"/>
                <w:szCs w:val="4"/>
              </w:rPr>
            </w:r>
          </w:p>
        </w:tc>
        <w:tc>
          <w:tcPr>
            <w:tcW w:w="647"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shd w:fill="262626" w:val="clear"/>
            <w:vAlign w:val="center"/>
          </w:tcPr>
          <w:p>
            <w:pPr>
              <w:pStyle w:val="TableContents"/>
              <w:bidi w:val="0"/>
              <w:spacing w:before="0" w:after="283"/>
              <w:jc w:val="left"/>
              <w:rPr>
                <w:sz w:val="4"/>
                <w:szCs w:val="4"/>
              </w:rPr>
            </w:pPr>
            <w:r>
              <w:rPr>
                <w:sz w:val="4"/>
                <w:szCs w:val="4"/>
              </w:rPr>
            </w:r>
          </w:p>
        </w:tc>
        <w:tc>
          <w:tcPr>
            <w:tcW w:w="1640" w:type="dxa"/>
            <w:gridSpan w:val="2"/>
            <w:tcBorders/>
            <w:shd w:fill="0054BA" w:val="clear"/>
            <w:vAlign w:val="center"/>
          </w:tcPr>
          <w:p>
            <w:pPr>
              <w:pStyle w:val="TableContents"/>
              <w:bidi w:val="0"/>
              <w:spacing w:before="0" w:after="283"/>
              <w:jc w:val="left"/>
              <w:rPr>
                <w:sz w:val="4"/>
                <w:szCs w:val="4"/>
              </w:rPr>
            </w:pPr>
            <w:r>
              <w:rPr>
                <w:sz w:val="4"/>
                <w:szCs w:val="4"/>
              </w:rPr>
            </w:r>
          </w:p>
        </w:tc>
        <w:tc>
          <w:tcPr>
            <w:tcW w:w="1874" w:type="dxa"/>
            <w:gridSpan w:val="2"/>
            <w:tcBorders/>
            <w:shd w:fill="262626" w:val="clear"/>
            <w:vAlign w:val="center"/>
          </w:tcPr>
          <w:p>
            <w:pPr>
              <w:pStyle w:val="TableContents"/>
              <w:bidi w:val="0"/>
              <w:spacing w:before="0" w:after="283"/>
              <w:jc w:val="left"/>
              <w:rPr>
                <w:sz w:val="4"/>
                <w:szCs w:val="4"/>
              </w:rPr>
            </w:pPr>
            <w:r>
              <w:rPr>
                <w:sz w:val="4"/>
                <w:szCs w:val="4"/>
              </w:rPr>
            </w:r>
          </w:p>
        </w:tc>
        <w:tc>
          <w:tcPr>
            <w:tcW w:w="1818"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shd w:fill="262626" w:val="clear"/>
            <w:vAlign w:val="center"/>
          </w:tcPr>
          <w:p>
            <w:pPr>
              <w:pStyle w:val="TableContents"/>
              <w:bidi w:val="0"/>
              <w:spacing w:before="0" w:after="283"/>
              <w:jc w:val="left"/>
              <w:rPr/>
            </w:pPr>
            <w:r>
              <w:rPr/>
              <w:t> </w:t>
            </w:r>
          </w:p>
        </w:tc>
        <w:tc>
          <w:tcPr>
            <w:tcW w:w="1651" w:type="dxa"/>
            <w:tcBorders/>
            <w:shd w:fill="262626" w:val="clear"/>
            <w:vAlign w:val="center"/>
          </w:tcPr>
          <w:p>
            <w:pPr>
              <w:pStyle w:val="TableContents"/>
              <w:bidi w:val="0"/>
              <w:spacing w:before="0" w:after="283"/>
              <w:jc w:val="center"/>
              <w:rPr>
                <w:b/>
                <w:color w:val="FFFFFF"/>
              </w:rPr>
            </w:pPr>
            <w:r>
              <w:rPr>
                <w:b/>
                <w:color w:val="FFFFFF"/>
              </w:rPr>
              <w:t>2025</w:t>
            </w:r>
          </w:p>
        </w:tc>
        <w:tc>
          <w:tcPr>
            <w:tcW w:w="60" w:type="dxa"/>
            <w:tcBorders/>
            <w:shd w:fill="0054BA" w:val="clear"/>
            <w:vAlign w:val="center"/>
          </w:tcPr>
          <w:p>
            <w:pPr>
              <w:pStyle w:val="TableContents"/>
              <w:bidi w:val="0"/>
              <w:spacing w:before="0" w:after="283"/>
              <w:jc w:val="left"/>
              <w:rPr/>
            </w:pPr>
            <w:r>
              <w:rPr/>
              <w:t> </w:t>
            </w:r>
          </w:p>
        </w:tc>
        <w:tc>
          <w:tcPr>
            <w:tcW w:w="1580" w:type="dxa"/>
            <w:tcBorders/>
            <w:shd w:fill="0054BA" w:val="clear"/>
            <w:vAlign w:val="center"/>
          </w:tcPr>
          <w:p>
            <w:pPr>
              <w:pStyle w:val="TableContents"/>
              <w:bidi w:val="0"/>
              <w:spacing w:before="0" w:after="283"/>
              <w:jc w:val="center"/>
              <w:rPr>
                <w:b/>
                <w:color w:val="FFFFFF"/>
              </w:rPr>
            </w:pPr>
            <w:r>
              <w:rPr>
                <w:b/>
                <w:color w:val="FFFFFF"/>
              </w:rPr>
              <w:t>2026</w:t>
            </w:r>
          </w:p>
        </w:tc>
        <w:tc>
          <w:tcPr>
            <w:tcW w:w="60" w:type="dxa"/>
            <w:tcBorders/>
            <w:shd w:fill="262626" w:val="clear"/>
            <w:vAlign w:val="center"/>
          </w:tcPr>
          <w:p>
            <w:pPr>
              <w:pStyle w:val="TableContents"/>
              <w:bidi w:val="0"/>
              <w:spacing w:before="0" w:after="283"/>
              <w:jc w:val="left"/>
              <w:rPr/>
            </w:pPr>
            <w:r>
              <w:rPr/>
              <w:t> </w:t>
            </w:r>
          </w:p>
        </w:tc>
        <w:tc>
          <w:tcPr>
            <w:tcW w:w="1814" w:type="dxa"/>
            <w:tcBorders/>
            <w:shd w:fill="262626" w:val="clear"/>
            <w:vAlign w:val="center"/>
          </w:tcPr>
          <w:p>
            <w:pPr>
              <w:pStyle w:val="TableContents"/>
              <w:bidi w:val="0"/>
              <w:spacing w:before="0" w:after="283"/>
              <w:jc w:val="center"/>
              <w:rPr>
                <w:b/>
                <w:color w:val="FFFFFF"/>
              </w:rPr>
            </w:pPr>
            <w:r>
              <w:rPr>
                <w:b/>
                <w:color w:val="FFFFFF"/>
              </w:rPr>
              <w:t>2025</w:t>
            </w:r>
          </w:p>
        </w:tc>
        <w:tc>
          <w:tcPr>
            <w:tcW w:w="65" w:type="dxa"/>
            <w:tcBorders/>
            <w:shd w:fill="0054BA" w:val="clear"/>
            <w:vAlign w:val="center"/>
          </w:tcPr>
          <w:p>
            <w:pPr>
              <w:pStyle w:val="TableContents"/>
              <w:bidi w:val="0"/>
              <w:spacing w:before="0" w:after="283"/>
              <w:jc w:val="left"/>
              <w:rPr/>
            </w:pPr>
            <w:r>
              <w:rPr/>
              <w:t> </w:t>
            </w:r>
          </w:p>
        </w:tc>
        <w:tc>
          <w:tcPr>
            <w:tcW w:w="1753" w:type="dxa"/>
            <w:tcBorders/>
            <w:shd w:fill="0054BA" w:val="clear"/>
            <w:vAlign w:val="center"/>
          </w:tcPr>
          <w:p>
            <w:pPr>
              <w:pStyle w:val="TableContents"/>
              <w:bidi w:val="0"/>
              <w:spacing w:before="0" w:after="283"/>
              <w:jc w:val="center"/>
              <w:rPr>
                <w:b/>
                <w:color w:val="FFFFFF"/>
              </w:rPr>
            </w:pPr>
            <w:r>
              <w:rPr>
                <w:b/>
                <w:color w:val="FFFFFF"/>
              </w:rPr>
              <w:t>2026</w:t>
            </w:r>
          </w:p>
        </w:tc>
      </w:tr>
      <w:tr>
        <w:trPr/>
        <w:tc>
          <w:tcPr>
            <w:tcW w:w="554" w:type="dxa"/>
            <w:tcBorders/>
            <w:vAlign w:val="center"/>
          </w:tcPr>
          <w:p>
            <w:pPr>
              <w:pStyle w:val="TableContents"/>
              <w:bidi w:val="0"/>
              <w:spacing w:before="0" w:after="283"/>
              <w:jc w:val="left"/>
              <w:rPr>
                <w:sz w:val="4"/>
                <w:szCs w:val="4"/>
              </w:rPr>
            </w:pPr>
            <w:r>
              <w:rPr>
                <w:sz w:val="4"/>
                <w:szCs w:val="4"/>
              </w:rPr>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587" w:type="dxa"/>
            <w:vMerge w:val="restart"/>
            <w:tcBorders>
              <w:bottom w:val="single" w:sz="6" w:space="0" w:color="000000"/>
            </w:tcBorders>
            <w:tcMar>
              <w:bottom w:w="28" w:type="dxa"/>
            </w:tcMar>
            <w:vAlign w:val="center"/>
          </w:tcPr>
          <w:p>
            <w:pPr>
              <w:pStyle w:val="TableContents"/>
              <w:bidi w:val="0"/>
              <w:spacing w:lineRule="atLeast" w:line="1600" w:before="0" w:after="0"/>
              <w:jc w:val="left"/>
              <w:rPr/>
            </w:pPr>
            <w:r>
              <w:rPr/>
              <w:drawing>
                <wp:inline distT="0" distB="0" distL="0" distR="0">
                  <wp:extent cx="343535" cy="1109980"/>
                  <wp:effectExtent l="0" t="0" r="0" b="0"/>
                  <wp:docPr id="310"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9" descr=""/>
                          <pic:cNvPicPr>
                            <a:picLocks noChangeAspect="1" noChangeArrowheads="1"/>
                          </pic:cNvPicPr>
                        </pic:nvPicPr>
                        <pic:blipFill>
                          <a:blip r:embed="rId299"/>
                          <a:stretch>
                            <a:fillRect/>
                          </a:stretch>
                        </pic:blipFill>
                        <pic:spPr bwMode="auto">
                          <a:xfrm>
                            <a:off x="0" y="0"/>
                            <a:ext cx="343535" cy="110998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Performance Goals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100% EBITDA</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0"/>
              <w:jc w:val="center"/>
              <w:rPr>
                <w:rFonts w:ascii="ARIAL" w:hAnsi="ARIAL"/>
                <w:b/>
                <w:sz w:val="18"/>
              </w:rPr>
            </w:pPr>
            <w:r>
              <w:rPr>
                <w:rFonts w:ascii="ARIAL" w:hAnsi="ARIAL"/>
                <w:b/>
                <w:sz w:val="18"/>
              </w:rPr>
              <w:t>50% Organic</w:t>
              <w:br/>
              <w:t>Revenue;</w:t>
            </w:r>
          </w:p>
          <w:p>
            <w:pPr>
              <w:pStyle w:val="TableContents"/>
              <w:bidi w:val="0"/>
              <w:spacing w:before="0" w:after="20"/>
              <w:jc w:val="center"/>
              <w:rPr>
                <w:rFonts w:ascii="ARIAL" w:hAnsi="ARIAL"/>
                <w:b/>
                <w:sz w:val="18"/>
              </w:rPr>
            </w:pPr>
            <w:r>
              <w:rPr>
                <w:rFonts w:ascii="ARIAL" w:hAnsi="ARIAL"/>
                <w:b/>
                <w:sz w:val="18"/>
              </w:rPr>
              <w:t>50% EBITDA</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100% EBITDA</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0"/>
              <w:jc w:val="center"/>
              <w:rPr>
                <w:rFonts w:ascii="ARIAL" w:hAnsi="ARIAL"/>
                <w:b/>
                <w:sz w:val="18"/>
              </w:rPr>
            </w:pPr>
            <w:r>
              <w:rPr>
                <w:rFonts w:ascii="ARIAL" w:hAnsi="ARIAL"/>
                <w:b/>
                <w:sz w:val="18"/>
              </w:rPr>
              <w:t>40% Organic</w:t>
              <w:br/>
              <w:t>Revenue;</w:t>
            </w:r>
          </w:p>
          <w:p>
            <w:pPr>
              <w:pStyle w:val="TableContents"/>
              <w:bidi w:val="0"/>
              <w:spacing w:before="0" w:after="20"/>
              <w:jc w:val="center"/>
              <w:rPr>
                <w:rFonts w:ascii="ARIAL" w:hAnsi="ARIAL"/>
                <w:b/>
                <w:sz w:val="18"/>
              </w:rPr>
            </w:pPr>
            <w:r>
              <w:rPr>
                <w:rFonts w:ascii="ARIAL" w:hAnsi="ARIAL"/>
                <w:b/>
                <w:sz w:val="18"/>
              </w:rPr>
              <w:t>40% EBITDA</w:t>
            </w:r>
          </w:p>
        </w:tc>
      </w:tr>
      <w:tr>
        <w:trPr/>
        <w:tc>
          <w:tcPr>
            <w:tcW w:w="554" w:type="dxa"/>
            <w:tcBorders/>
            <w:vAlign w:val="center"/>
          </w:tcPr>
          <w:p>
            <w:pPr>
              <w:pStyle w:val="TableContents"/>
              <w:bidi w:val="0"/>
              <w:spacing w:before="0" w:after="283"/>
              <w:jc w:val="left"/>
              <w:rPr>
                <w:sz w:val="4"/>
                <w:szCs w:val="4"/>
              </w:rPr>
            </w:pPr>
            <w:r>
              <w:rPr>
                <w:sz w:val="4"/>
                <w:szCs w:val="4"/>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87"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 Individual Performance</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0%</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0%</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35% – 50%</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20%</w:t>
            </w:r>
          </w:p>
        </w:tc>
      </w:tr>
      <w:tr>
        <w:trPr/>
        <w:tc>
          <w:tcPr>
            <w:tcW w:w="554" w:type="dxa"/>
            <w:tcBorders/>
            <w:vAlign w:val="center"/>
          </w:tcPr>
          <w:p>
            <w:pPr>
              <w:pStyle w:val="TableContents"/>
              <w:bidi w:val="0"/>
              <w:spacing w:before="0" w:after="283"/>
              <w:jc w:val="left"/>
              <w:rPr>
                <w:sz w:val="4"/>
                <w:szCs w:val="4"/>
              </w:rPr>
            </w:pPr>
            <w:r>
              <w:rPr>
                <w:sz w:val="4"/>
                <w:szCs w:val="4"/>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87"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Performance Slope</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Asymmetrical</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Symmetrical</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Asymmetrical</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Symmetrical</w:t>
            </w:r>
          </w:p>
        </w:tc>
      </w:tr>
      <w:tr>
        <w:trPr/>
        <w:tc>
          <w:tcPr>
            <w:tcW w:w="554"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647"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shd w:fill="EAEAEA" w:val="clear"/>
            <w:vAlign w:val="center"/>
          </w:tcPr>
          <w:p>
            <w:pPr>
              <w:pStyle w:val="TableContents"/>
              <w:bidi w:val="0"/>
              <w:spacing w:before="0" w:after="283"/>
              <w:jc w:val="left"/>
              <w:rPr>
                <w:sz w:val="4"/>
                <w:szCs w:val="4"/>
              </w:rPr>
            </w:pPr>
            <w:r>
              <w:rPr>
                <w:sz w:val="4"/>
                <w:szCs w:val="4"/>
              </w:rPr>
            </w:r>
          </w:p>
        </w:tc>
        <w:tc>
          <w:tcPr>
            <w:tcW w:w="1640" w:type="dxa"/>
            <w:gridSpan w:val="2"/>
            <w:tcBorders/>
            <w:shd w:fill="F0F8FD" w:val="clear"/>
            <w:vAlign w:val="center"/>
          </w:tcPr>
          <w:p>
            <w:pPr>
              <w:pStyle w:val="TableContents"/>
              <w:bidi w:val="0"/>
              <w:spacing w:before="0" w:after="283"/>
              <w:jc w:val="left"/>
              <w:rPr>
                <w:sz w:val="4"/>
                <w:szCs w:val="4"/>
              </w:rPr>
            </w:pPr>
            <w:r>
              <w:rPr>
                <w:sz w:val="4"/>
                <w:szCs w:val="4"/>
              </w:rPr>
            </w:r>
          </w:p>
        </w:tc>
        <w:tc>
          <w:tcPr>
            <w:tcW w:w="1874" w:type="dxa"/>
            <w:gridSpan w:val="2"/>
            <w:tcBorders/>
            <w:shd w:fill="EAEAEA" w:val="clear"/>
            <w:vAlign w:val="center"/>
          </w:tcPr>
          <w:p>
            <w:pPr>
              <w:pStyle w:val="TableContents"/>
              <w:bidi w:val="0"/>
              <w:spacing w:before="0" w:after="283"/>
              <w:jc w:val="left"/>
              <w:rPr>
                <w:sz w:val="4"/>
                <w:szCs w:val="4"/>
              </w:rPr>
            </w:pPr>
            <w:r>
              <w:rPr>
                <w:sz w:val="4"/>
                <w:szCs w:val="4"/>
              </w:rPr>
            </w:r>
          </w:p>
        </w:tc>
        <w:tc>
          <w:tcPr>
            <w:tcW w:w="1818" w:type="dxa"/>
            <w:gridSpan w:val="2"/>
            <w:tcBorders/>
            <w:shd w:fill="F0F8FD" w:val="clear"/>
            <w:vAlign w:val="center"/>
          </w:tcPr>
          <w:p>
            <w:pPr>
              <w:pStyle w:val="TableContents"/>
              <w:bidi w:val="0"/>
              <w:spacing w:before="0" w:after="283"/>
              <w:jc w:val="left"/>
              <w:rPr>
                <w:sz w:val="4"/>
                <w:szCs w:val="4"/>
              </w:rPr>
            </w:pPr>
            <w:r>
              <w:rPr>
                <w:sz w:val="4"/>
                <w:szCs w:val="4"/>
              </w:rPr>
            </w:r>
          </w:p>
        </w:tc>
      </w:tr>
      <w:tr>
        <w:trPr/>
        <w:tc>
          <w:tcPr>
            <w:tcW w:w="554" w:type="dxa"/>
            <w:vMerge w:val="restart"/>
            <w:tcBorders>
              <w:left w:val="single" w:sz="6" w:space="0" w:color="000000"/>
            </w:tcBorders>
            <w:tcMar>
              <w:left w:w="160" w:type="dxa"/>
            </w:tcMar>
            <w:vAlign w:val="center"/>
          </w:tcPr>
          <w:p>
            <w:pPr>
              <w:pStyle w:val="TableContents"/>
              <w:bidi w:val="0"/>
              <w:spacing w:before="0" w:after="0"/>
              <w:jc w:val="center"/>
              <w:rPr/>
            </w:pPr>
            <w:r>
              <w:rPr/>
              <w:drawing>
                <wp:inline distT="0" distB="0" distL="0" distR="0">
                  <wp:extent cx="140970" cy="812800"/>
                  <wp:effectExtent l="0" t="0" r="0" b="0"/>
                  <wp:docPr id="311"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90" descr=""/>
                          <pic:cNvPicPr>
                            <a:picLocks noChangeAspect="1" noChangeArrowheads="1"/>
                          </pic:cNvPicPr>
                        </pic:nvPicPr>
                        <pic:blipFill>
                          <a:blip r:embed="rId300"/>
                          <a:stretch>
                            <a:fillRect/>
                          </a:stretch>
                        </pic:blipFill>
                        <pic:spPr bwMode="auto">
                          <a:xfrm>
                            <a:off x="0" y="0"/>
                            <a:ext cx="140970" cy="812800"/>
                          </a:xfrm>
                          <a:prstGeom prst="rect">
                            <a:avLst/>
                          </a:prstGeom>
                        </pic:spPr>
                      </pic:pic>
                    </a:graphicData>
                  </a:graphic>
                </wp:inline>
              </w:drawing>
            </w:r>
            <w:r>
              <w:rPr/>
              <w:t xml:space="preserve">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587" w:type="dxa"/>
            <w:vMerge w:val="restart"/>
            <w:tcBorders>
              <w:bottom w:val="single" w:sz="6" w:space="0" w:color="000000"/>
            </w:tcBorders>
            <w:tcMar>
              <w:bottom w:w="28" w:type="dxa"/>
            </w:tcMar>
            <w:vAlign w:val="center"/>
          </w:tcPr>
          <w:p>
            <w:pPr>
              <w:pStyle w:val="TableContents"/>
              <w:bidi w:val="0"/>
              <w:spacing w:lineRule="atLeast" w:line="4300" w:before="0" w:after="0"/>
              <w:jc w:val="left"/>
              <w:rPr/>
            </w:pPr>
            <w:r>
              <w:rPr/>
              <w:drawing>
                <wp:inline distT="0" distB="0" distL="0" distR="0">
                  <wp:extent cx="340995" cy="2413000"/>
                  <wp:effectExtent l="0" t="0" r="0" b="0"/>
                  <wp:docPr id="312"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91" descr=""/>
                          <pic:cNvPicPr>
                            <a:picLocks noChangeAspect="1" noChangeArrowheads="1"/>
                          </pic:cNvPicPr>
                        </pic:nvPicPr>
                        <pic:blipFill>
                          <a:blip r:embed="rId301"/>
                          <a:stretch>
                            <a:fillRect/>
                          </a:stretch>
                        </pic:blipFill>
                        <pic:spPr bwMode="auto">
                          <a:xfrm>
                            <a:off x="0" y="0"/>
                            <a:ext cx="340995" cy="24130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Three-Year Performance</w:t>
            </w:r>
          </w:p>
          <w:p>
            <w:pPr>
              <w:pStyle w:val="TableContents"/>
              <w:bidi w:val="0"/>
              <w:spacing w:before="0" w:after="20"/>
              <w:jc w:val="left"/>
              <w:rPr>
                <w:rFonts w:ascii="ARIAL" w:hAnsi="ARIAL"/>
                <w:sz w:val="18"/>
              </w:rPr>
            </w:pPr>
            <w:r>
              <w:rPr>
                <w:rFonts w:ascii="ARIAL" w:hAnsi="ARIAL"/>
                <w:sz w:val="18"/>
              </w:rPr>
              <w:t>Stock Awards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40%</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80%</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40%</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60%</w:t>
            </w:r>
          </w:p>
        </w:tc>
      </w:tr>
      <w:tr>
        <w:trPr/>
        <w:tc>
          <w:tcPr>
            <w:tcW w:w="554" w:type="dxa"/>
            <w:vMerge w:val="continue"/>
            <w:tcBorders>
              <w:left w:val="single" w:sz="6" w:space="0" w:color="000000"/>
            </w:tcBorders>
            <w:tcMar>
              <w:left w:w="160"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87"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Time Based-RSUs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20%</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40%</w:t>
            </w:r>
          </w:p>
        </w:tc>
      </w:tr>
      <w:tr>
        <w:trPr/>
        <w:tc>
          <w:tcPr>
            <w:tcW w:w="554" w:type="dxa"/>
            <w:vMerge w:val="continue"/>
            <w:tcBorders>
              <w:left w:val="single" w:sz="6" w:space="0" w:color="000000"/>
            </w:tcBorders>
            <w:tcMar>
              <w:left w:w="160"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87"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Performance Based</w:t>
            </w:r>
          </w:p>
          <w:p>
            <w:pPr>
              <w:pStyle w:val="TableContents"/>
              <w:bidi w:val="0"/>
              <w:spacing w:before="0" w:after="0"/>
              <w:jc w:val="left"/>
              <w:rPr>
                <w:rFonts w:ascii="ARIAL" w:hAnsi="ARIAL"/>
                <w:sz w:val="18"/>
              </w:rPr>
            </w:pPr>
            <w:r>
              <w:rPr>
                <w:rFonts w:ascii="ARIAL" w:hAnsi="ARIAL"/>
                <w:sz w:val="18"/>
              </w:rPr>
              <w:t>Restricted Stock</w:t>
            </w:r>
          </w:p>
          <w:p>
            <w:pPr>
              <w:pStyle w:val="TableContents"/>
              <w:bidi w:val="0"/>
              <w:spacing w:before="0" w:after="20"/>
              <w:jc w:val="left"/>
              <w:rPr>
                <w:rFonts w:ascii="ARIAL" w:hAnsi="ARIAL"/>
                <w:sz w:val="18"/>
              </w:rPr>
            </w:pPr>
            <w:r>
              <w:rPr>
                <w:rFonts w:ascii="ARIAL" w:hAnsi="ARIAL"/>
                <w:sz w:val="18"/>
              </w:rPr>
              <w:t>Awards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45%</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Eliminate</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45%</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Eliminate</w:t>
            </w:r>
          </w:p>
        </w:tc>
      </w:tr>
      <w:tr>
        <w:trPr/>
        <w:tc>
          <w:tcPr>
            <w:tcW w:w="554" w:type="dxa"/>
            <w:vMerge w:val="continue"/>
            <w:tcBorders>
              <w:left w:val="single" w:sz="6" w:space="0" w:color="000000"/>
            </w:tcBorders>
            <w:tcMar>
              <w:left w:w="160"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87"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Stock Options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15%</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Eliminate</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15%</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Eliminate</w:t>
            </w:r>
          </w:p>
        </w:tc>
      </w:tr>
      <w:tr>
        <w:trPr/>
        <w:tc>
          <w:tcPr>
            <w:tcW w:w="554" w:type="dxa"/>
            <w:vMerge w:val="restart"/>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center"/>
              <w:rPr/>
            </w:pPr>
            <w:r>
              <w:rPr/>
              <w:drawing>
                <wp:inline distT="0" distB="0" distL="0" distR="0">
                  <wp:extent cx="278130" cy="759460"/>
                  <wp:effectExtent l="0" t="0" r="0" b="0"/>
                  <wp:docPr id="313"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92" descr=""/>
                          <pic:cNvPicPr>
                            <a:picLocks noChangeAspect="1" noChangeArrowheads="1"/>
                          </pic:cNvPicPr>
                        </pic:nvPicPr>
                        <pic:blipFill>
                          <a:blip r:embed="rId302"/>
                          <a:stretch>
                            <a:fillRect/>
                          </a:stretch>
                        </pic:blipFill>
                        <pic:spPr bwMode="auto">
                          <a:xfrm>
                            <a:off x="0" y="0"/>
                            <a:ext cx="278130" cy="759460"/>
                          </a:xfrm>
                          <a:prstGeom prst="rect">
                            <a:avLst/>
                          </a:prstGeom>
                        </pic:spPr>
                      </pic:pic>
                    </a:graphicData>
                  </a:graphic>
                </wp:inline>
              </w:drawing>
            </w:r>
            <w:r>
              <w:rPr/>
              <w:t xml:space="preserve">  </w:t>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87"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Performance Goals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sz w:val="18"/>
              </w:rPr>
            </w:pPr>
            <w:r>
              <w:rPr>
                <w:sz w:val="18"/>
              </w:rPr>
              <w:t>Three-Year Cumulative</w:t>
              <w:br/>
              <w:t>Revenue; Relative</w:t>
              <w:br/>
              <w:t>TSR Modifier ±20%</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0"/>
              <w:jc w:val="center"/>
              <w:rPr>
                <w:rFonts w:ascii="ARIAL" w:hAnsi="ARIAL"/>
                <w:b/>
                <w:sz w:val="18"/>
              </w:rPr>
            </w:pPr>
            <w:r>
              <w:rPr>
                <w:rFonts w:ascii="ARIAL" w:hAnsi="ARIAL"/>
                <w:b/>
                <w:sz w:val="18"/>
              </w:rPr>
              <w:t>75% Adjusted</w:t>
              <w:br/>
              <w:t>EPS1; 25%</w:t>
              <w:br/>
              <w:t>Relative TSR2</w:t>
            </w:r>
          </w:p>
          <w:p>
            <w:pPr>
              <w:pStyle w:val="TableContents"/>
              <w:bidi w:val="0"/>
              <w:spacing w:before="0" w:after="0"/>
              <w:jc w:val="left"/>
              <w:rPr/>
            </w:pPr>
            <w:r>
              <w:rPr/>
              <w:t> </w:t>
            </w:r>
          </w:p>
          <w:p>
            <w:pPr>
              <w:pStyle w:val="TableContents"/>
              <w:bidi w:val="0"/>
              <w:spacing w:before="0" w:after="20"/>
              <w:jc w:val="center"/>
              <w:rPr>
                <w:rFonts w:ascii="ARIAL" w:hAnsi="ARIAL"/>
                <w:b/>
                <w:sz w:val="16"/>
              </w:rPr>
            </w:pPr>
            <w:r>
              <w:rPr>
                <w:rFonts w:ascii="ARIAL" w:hAnsi="ARIAL"/>
                <w:b/>
                <w:sz w:val="16"/>
              </w:rPr>
              <w:t>Three-Year</w:t>
              <w:br/>
              <w:t>Performance Period</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sz w:val="18"/>
              </w:rPr>
            </w:pPr>
            <w:r>
              <w:rPr>
                <w:sz w:val="18"/>
              </w:rPr>
              <w:t>Three-Year Cumulative</w:t>
              <w:br/>
              <w:t>Revenue; Relative</w:t>
              <w:br/>
              <w:t>TSR Modifier ±20%</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0"/>
              <w:jc w:val="center"/>
              <w:rPr>
                <w:rFonts w:ascii="ARIAL" w:hAnsi="ARIAL"/>
                <w:b/>
                <w:sz w:val="18"/>
              </w:rPr>
            </w:pPr>
            <w:r>
              <w:rPr>
                <w:rFonts w:ascii="ARIAL" w:hAnsi="ARIAL"/>
                <w:b/>
                <w:sz w:val="18"/>
              </w:rPr>
              <w:t>75% Adjusted</w:t>
              <w:br/>
              <w:t>EPS; 25%</w:t>
              <w:br/>
              <w:t>Relative TSR1</w:t>
            </w:r>
          </w:p>
          <w:p>
            <w:pPr>
              <w:pStyle w:val="TableContents"/>
              <w:bidi w:val="0"/>
              <w:spacing w:before="0" w:after="0"/>
              <w:jc w:val="left"/>
              <w:rPr/>
            </w:pPr>
            <w:r>
              <w:rPr/>
              <w:t> </w:t>
            </w:r>
          </w:p>
          <w:p>
            <w:pPr>
              <w:pStyle w:val="TableContents"/>
              <w:bidi w:val="0"/>
              <w:spacing w:before="0" w:after="20"/>
              <w:jc w:val="center"/>
              <w:rPr>
                <w:rFonts w:ascii="ARIAL" w:hAnsi="ARIAL"/>
                <w:b/>
                <w:sz w:val="16"/>
              </w:rPr>
            </w:pPr>
            <w:r>
              <w:rPr>
                <w:rFonts w:ascii="ARIAL" w:hAnsi="ARIAL"/>
                <w:b/>
                <w:sz w:val="16"/>
              </w:rPr>
              <w:t>Three-Year</w:t>
              <w:br/>
              <w:t>Performance Period</w:t>
            </w:r>
          </w:p>
        </w:tc>
      </w:tr>
      <w:tr>
        <w:trPr/>
        <w:tc>
          <w:tcPr>
            <w:tcW w:w="554" w:type="dxa"/>
            <w:vMerge w:val="continue"/>
            <w:tcBorders>
              <w:top w:val="single" w:sz="6" w:space="0" w:color="000000"/>
              <w:left w:val="single" w:sz="6" w:space="0" w:color="000000"/>
              <w:bottom w:val="single" w:sz="6" w:space="0" w:color="000000"/>
            </w:tcBorders>
            <w:tcMar>
              <w:top w:w="28" w:type="dxa"/>
              <w:left w:w="160" w:type="dxa"/>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87"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Performance Slope</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Asymmetrical</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Symmetrical</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Asymmetrical</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Symmetrical</w:t>
            </w:r>
          </w:p>
        </w:tc>
      </w:tr>
      <w:tr>
        <w:trPr/>
        <w:tc>
          <w:tcPr>
            <w:tcW w:w="554" w:type="dxa"/>
            <w:vMerge w:val="continue"/>
            <w:tcBorders>
              <w:top w:val="single" w:sz="6" w:space="0" w:color="000000"/>
              <w:left w:val="single" w:sz="6" w:space="0" w:color="000000"/>
              <w:bottom w:val="single" w:sz="6" w:space="0" w:color="000000"/>
            </w:tcBorders>
            <w:tcMar>
              <w:top w:w="28" w:type="dxa"/>
              <w:left w:w="160" w:type="dxa"/>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87"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1"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Relative TSR Target</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651" w:type="dxa"/>
            <w:tcBorders>
              <w:bottom w:val="single" w:sz="6" w:space="0" w:color="000000"/>
            </w:tcBorders>
            <w:shd w:fill="EAEAEA" w:val="clear"/>
            <w:tcMar>
              <w:bottom w:w="28" w:type="dxa"/>
            </w:tcMar>
            <w:vAlign w:val="center"/>
          </w:tcPr>
          <w:p>
            <w:pPr>
              <w:pStyle w:val="TableContents"/>
              <w:bidi w:val="0"/>
              <w:spacing w:before="0" w:after="283"/>
              <w:jc w:val="center"/>
              <w:rPr/>
            </w:pPr>
            <w:r>
              <w:rPr/>
              <w:t>50th Percentile</w:t>
            </w:r>
          </w:p>
        </w:tc>
        <w:tc>
          <w:tcPr>
            <w:tcW w:w="60"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55th Percentile</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1814" w:type="dxa"/>
            <w:tcBorders>
              <w:bottom w:val="single" w:sz="6" w:space="0" w:color="000000"/>
            </w:tcBorders>
            <w:shd w:fill="EAEAEA" w:val="clear"/>
            <w:tcMar>
              <w:bottom w:w="28" w:type="dxa"/>
            </w:tcMar>
            <w:vAlign w:val="center"/>
          </w:tcPr>
          <w:p>
            <w:pPr>
              <w:pStyle w:val="TableContents"/>
              <w:bidi w:val="0"/>
              <w:spacing w:before="0" w:after="283"/>
              <w:jc w:val="center"/>
              <w:rPr/>
            </w:pPr>
            <w:r>
              <w:rPr/>
              <w:t>50th Percentile</w:t>
            </w:r>
          </w:p>
        </w:tc>
        <w:tc>
          <w:tcPr>
            <w:tcW w:w="65" w:type="dxa"/>
            <w:tcBorders>
              <w:bottom w:val="single" w:sz="6" w:space="0" w:color="000000"/>
            </w:tcBorders>
            <w:shd w:fill="F0F8FD" w:val="clear"/>
            <w:tcMar>
              <w:bottom w:w="28" w:type="dxa"/>
            </w:tcMar>
            <w:vAlign w:val="center"/>
          </w:tcPr>
          <w:p>
            <w:pPr>
              <w:pStyle w:val="TableContents"/>
              <w:bidi w:val="0"/>
              <w:spacing w:before="0" w:after="283"/>
              <w:jc w:val="left"/>
              <w:rPr/>
            </w:pPr>
            <w:r>
              <w:rPr/>
              <w:t> </w:t>
            </w:r>
          </w:p>
        </w:tc>
        <w:tc>
          <w:tcPr>
            <w:tcW w:w="1753" w:type="dxa"/>
            <w:tcBorders>
              <w:bottom w:val="single" w:sz="6" w:space="0" w:color="000000"/>
            </w:tcBorders>
            <w:shd w:fill="F0F8FD" w:val="clear"/>
            <w:tcMar>
              <w:bottom w:w="28" w:type="dxa"/>
            </w:tcMar>
            <w:vAlign w:val="center"/>
          </w:tcPr>
          <w:p>
            <w:pPr>
              <w:pStyle w:val="TableContents"/>
              <w:bidi w:val="0"/>
              <w:spacing w:before="0" w:after="283"/>
              <w:jc w:val="center"/>
              <w:rPr>
                <w:b/>
              </w:rPr>
            </w:pPr>
            <w:r>
              <w:rPr>
                <w:b/>
              </w:rPr>
              <w:t>55th Percentile</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305"/>
        <w:gridCol w:w="4430"/>
      </w:tblGrid>
      <w:tr>
        <w:trPr/>
        <w:tc>
          <w:tcPr>
            <w:tcW w:w="305" w:type="dxa"/>
            <w:tcBorders/>
            <w:vAlign w:val="center"/>
          </w:tcPr>
          <w:p>
            <w:pPr>
              <w:pStyle w:val="TableContents"/>
              <w:bidi w:val="0"/>
              <w:spacing w:before="0" w:after="283"/>
              <w:jc w:val="left"/>
              <w:rPr>
                <w:i/>
              </w:rPr>
            </w:pPr>
            <w:r>
              <w:rPr>
                <w:i/>
              </w:rPr>
              <w:t>(1)</w:t>
            </w:r>
          </w:p>
        </w:tc>
        <w:tc>
          <w:tcPr>
            <w:tcW w:w="4430" w:type="dxa"/>
            <w:tcBorders/>
            <w:vAlign w:val="center"/>
          </w:tcPr>
          <w:p>
            <w:pPr>
              <w:pStyle w:val="TableContents"/>
              <w:bidi w:val="0"/>
              <w:spacing w:before="0" w:after="0"/>
              <w:jc w:val="left"/>
              <w:rPr>
                <w:rFonts w:ascii="ARIAL" w:hAnsi="ARIAL"/>
                <w:i/>
                <w:sz w:val="16"/>
              </w:rPr>
            </w:pPr>
            <w:r>
              <w:rPr>
                <w:rFonts w:ascii="ARIAL" w:hAnsi="ARIAL"/>
                <w:i/>
                <w:sz w:val="16"/>
              </w:rPr>
              <w:t xml:space="preserve">Adjusted EPS = Non-GAAP Net Income per Share – Diluted. </w:t>
            </w:r>
          </w:p>
        </w:tc>
      </w:tr>
    </w:tbl>
    <w:tbl>
      <w:tblPr>
        <w:tblW w:w="5140" w:type="dxa"/>
        <w:jc w:val="left"/>
        <w:tblInd w:w="0" w:type="dxa"/>
        <w:tblLayout w:type="fixed"/>
        <w:tblCellMar>
          <w:top w:w="0" w:type="dxa"/>
          <w:left w:w="0" w:type="dxa"/>
          <w:bottom w:w="0" w:type="dxa"/>
          <w:right w:w="0" w:type="dxa"/>
        </w:tblCellMar>
      </w:tblPr>
      <w:tblGrid>
        <w:gridCol w:w="305"/>
        <w:gridCol w:w="4835"/>
      </w:tblGrid>
      <w:tr>
        <w:trPr/>
        <w:tc>
          <w:tcPr>
            <w:tcW w:w="305" w:type="dxa"/>
            <w:tcBorders/>
            <w:vAlign w:val="center"/>
          </w:tcPr>
          <w:p>
            <w:pPr>
              <w:pStyle w:val="TableContents"/>
              <w:bidi w:val="0"/>
              <w:spacing w:before="0" w:after="283"/>
              <w:jc w:val="left"/>
              <w:rPr>
                <w:i/>
              </w:rPr>
            </w:pPr>
            <w:r>
              <w:rPr>
                <w:i/>
              </w:rPr>
              <w:t>(2)</w:t>
            </w:r>
          </w:p>
        </w:tc>
        <w:tc>
          <w:tcPr>
            <w:tcW w:w="4835" w:type="dxa"/>
            <w:tcBorders/>
            <w:vAlign w:val="center"/>
          </w:tcPr>
          <w:p>
            <w:pPr>
              <w:pStyle w:val="TableContents"/>
              <w:bidi w:val="0"/>
              <w:spacing w:before="0" w:after="0"/>
              <w:jc w:val="left"/>
              <w:rPr>
                <w:rFonts w:ascii="ARIAL" w:hAnsi="ARIAL"/>
                <w:i/>
                <w:sz w:val="16"/>
              </w:rPr>
            </w:pPr>
            <w:r>
              <w:rPr>
                <w:rFonts w:ascii="ARIAL" w:hAnsi="ARIAL"/>
                <w:i/>
                <w:sz w:val="16"/>
              </w:rPr>
              <w:t xml:space="preserve">Relative TSR payout capped at 100% if absolute TSR is negative.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5575"/>
                  <wp:effectExtent l="0" t="0" r="0" b="0"/>
                  <wp:docPr id="314"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3" descr=""/>
                          <pic:cNvPicPr>
                            <a:picLocks noChangeAspect="1" noChangeArrowheads="1"/>
                          </pic:cNvPicPr>
                        </pic:nvPicPr>
                        <pic:blipFill>
                          <a:blip r:embed="rId303"/>
                          <a:stretch>
                            <a:fillRect/>
                          </a:stretch>
                        </pic:blipFill>
                        <pic:spPr bwMode="auto">
                          <a:xfrm>
                            <a:off x="0" y="0"/>
                            <a:ext cx="908050" cy="1555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49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Board Actions Rationale </w:t>
      </w:r>
    </w:p>
    <w:p>
      <w:pPr>
        <w:pStyle w:val="TextBody"/>
        <w:bidi w:val="0"/>
        <w:spacing w:before="80" w:after="0"/>
        <w:jc w:val="left"/>
        <w:rPr>
          <w:rFonts w:ascii="ARIAL" w:hAnsi="ARIAL"/>
          <w:sz w:val="18"/>
        </w:rPr>
      </w:pPr>
      <w:r>
        <w:rPr>
          <w:rFonts w:ascii="ARIAL" w:hAnsi="ARIAL"/>
          <w:sz w:val="18"/>
        </w:rPr>
        <w:t xml:space="preserve">In evaluating our executive compensation program, the Compensation Committee and the Board sought to reinforce a strong pay-for-performance philosophy, further align executive incentives with long-term stockholder value, and enhance the overall clarity of the program. The revised design places a greater emphasis on performance-based compensation tied to rigorous and ambitious goals, including the introduction of ‘super stretch’ performance levels that reward truly exceptional results. In addition, the Board simplified key program elements to improve transparency and ensure that stockholders can clearly understand how compensation outcomes relate to performance outcomes. </w:t>
      </w:r>
    </w:p>
    <w:p>
      <w:pPr>
        <w:pStyle w:val="TextBody"/>
        <w:bidi w:val="0"/>
        <w:spacing w:before="160" w:after="0"/>
        <w:jc w:val="left"/>
        <w:rPr>
          <w:rFonts w:ascii="ARIAL" w:hAnsi="ARIAL"/>
          <w:sz w:val="18"/>
        </w:rPr>
      </w:pPr>
      <w:r>
        <w:rPr>
          <w:rFonts w:ascii="ARIAL" w:hAnsi="ARIAL"/>
          <w:sz w:val="18"/>
        </w:rPr>
        <w:t xml:space="preserve">The Board believes these changes strengthen the alignment between pay and performance and support long-term value creation. </w:t>
      </w:r>
    </w:p>
    <w:p>
      <w:pPr>
        <w:pStyle w:val="TextBody"/>
        <w:bidi w:val="0"/>
        <w:spacing w:before="360" w:after="0"/>
        <w:jc w:val="left"/>
        <w:rPr>
          <w:rFonts w:ascii="ARIAL" w:hAnsi="ARIAL"/>
          <w:b/>
          <w:sz w:val="24"/>
        </w:rPr>
      </w:pPr>
      <w:bookmarkStart w:id="28" w:name="toc903159_23"/>
      <w:bookmarkStart w:id="29" w:name="tx903159_103"/>
      <w:bookmarkEnd w:id="28"/>
      <w:bookmarkEnd w:id="29"/>
      <w:r>
        <w:rPr>
          <w:rFonts w:ascii="ARIAL" w:hAnsi="ARIAL"/>
          <w:b/>
          <w:sz w:val="24"/>
        </w:rPr>
        <w:t xml:space="preserve">Executive Compensation Philosophy, Program Objectives, and Practices </w:t>
      </w:r>
    </w:p>
    <w:p>
      <w:pPr>
        <w:pStyle w:val="TextBody"/>
        <w:bidi w:val="0"/>
        <w:spacing w:before="80" w:after="0"/>
        <w:jc w:val="left"/>
        <w:rPr>
          <w:rFonts w:ascii="ARIAL" w:hAnsi="ARIAL"/>
          <w:sz w:val="18"/>
        </w:rPr>
      </w:pPr>
      <w:r>
        <w:rPr>
          <w:rFonts w:ascii="ARIAL" w:hAnsi="ARIAL"/>
          <w:sz w:val="18"/>
        </w:rPr>
        <w:t xml:space="preserve">In addition to attracting, motivating, and retaining talented executives, our executive compensation program is designed to hold our executives accountable for corporate results over the short and long-term, and to reward them for successful execution. As a result, a substantial portion of our executives’ overall compensation is tied to performance. The charts below illustrate the percentage of 2025 compensation (based on target award opportunities) that was performance-based and the percentage that was fixed. </w:t>
      </w:r>
    </w:p>
    <w:p>
      <w:pPr>
        <w:pStyle w:val="TextBody"/>
        <w:bidi w:val="0"/>
        <w:spacing w:before="360" w:after="0"/>
        <w:jc w:val="left"/>
        <w:rPr>
          <w:rFonts w:ascii="ARIAL" w:hAnsi="ARIAL"/>
          <w:b/>
          <w:sz w:val="24"/>
        </w:rPr>
      </w:pPr>
      <w:bookmarkStart w:id="30" w:name="toc903159_25"/>
      <w:bookmarkEnd w:id="30"/>
      <w:r>
        <w:rPr>
          <w:rFonts w:ascii="ARIAL" w:hAnsi="ARIAL"/>
          <w:b/>
          <w:sz w:val="24"/>
        </w:rPr>
        <w:t xml:space="preserve">Pay for Performance </w:t>
      </w:r>
    </w:p>
    <w:p>
      <w:pPr>
        <w:pStyle w:val="TextBody"/>
        <w:bidi w:val="0"/>
        <w:spacing w:before="80" w:after="0"/>
        <w:jc w:val="left"/>
        <w:rPr>
          <w:rFonts w:ascii="ARIAL" w:hAnsi="ARIAL"/>
          <w:sz w:val="18"/>
        </w:rPr>
      </w:pPr>
      <w:r>
        <w:rPr>
          <w:rFonts w:ascii="ARIAL" w:hAnsi="ARIAL"/>
          <w:sz w:val="18"/>
        </w:rPr>
        <w:t xml:space="preserve">The charts below illustrate the percentage of 2025 compensation (based on target award opportunities) that was performance-based (including cash incentives, restricted stock, the value of which was determined based on the executive’s performance in the prior fiscal year), long-term performance shares and stock options, and the percentage that was fixed (consisting solely of base salary). </w:t>
      </w:r>
    </w:p>
    <w:p>
      <w:pPr>
        <w:pStyle w:val="TextBody"/>
        <w:bidi w:val="0"/>
        <w:spacing w:before="0" w:after="0"/>
        <w:jc w:val="left"/>
        <w:rPr/>
      </w:pPr>
      <w:r>
        <w:rPr/>
        <w:t> </w:t>
      </w:r>
    </w:p>
    <w:p>
      <w:pPr>
        <w:pStyle w:val="TextBody"/>
        <w:bidi w:val="0"/>
        <w:spacing w:before="0" w:after="0"/>
        <w:jc w:val="center"/>
        <w:rPr/>
      </w:pPr>
      <w:r>
        <w:rPr/>
        <w:drawing>
          <wp:inline distT="0" distB="0" distL="0" distR="0">
            <wp:extent cx="5225415" cy="2569845"/>
            <wp:effectExtent l="0" t="0" r="0" b="0"/>
            <wp:docPr id="315"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4" descr=""/>
                    <pic:cNvPicPr>
                      <a:picLocks noChangeAspect="1" noChangeArrowheads="1"/>
                    </pic:cNvPicPr>
                  </pic:nvPicPr>
                  <pic:blipFill>
                    <a:blip r:embed="rId304"/>
                    <a:stretch>
                      <a:fillRect/>
                    </a:stretch>
                  </pic:blipFill>
                  <pic:spPr bwMode="auto">
                    <a:xfrm>
                      <a:off x="0" y="0"/>
                      <a:ext cx="5225415" cy="2569845"/>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Our executive compensation program links executive compensation to the attainment of challenging goals. Cash compensation includes payments under our executive annual cash incentive plan that are based on Company performance relative to operational goals as well as individual performance. Equity-based compensation is used to align executive compensation with the long-term interests of our stockholders.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16"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5" descr=""/>
                          <pic:cNvPicPr>
                            <a:picLocks noChangeAspect="1" noChangeArrowheads="1"/>
                          </pic:cNvPicPr>
                        </pic:nvPicPr>
                        <pic:blipFill>
                          <a:blip r:embed="rId30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We supplement our pay-for-performance philosophy with compensation practices intended to align the interests of management with those of our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27"/>
        <w:gridCol w:w="23"/>
        <w:gridCol w:w="3955"/>
      </w:tblGrid>
      <w:tr>
        <w:trPr/>
        <w:tc>
          <w:tcPr>
            <w:tcW w:w="62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6227" w:type="dxa"/>
            <w:tcBorders/>
            <w:shd w:fill="0054BA" w:val="clear"/>
            <w:vAlign w:val="center"/>
          </w:tcPr>
          <w:p>
            <w:pPr>
              <w:pStyle w:val="TableContents"/>
              <w:bidi w:val="0"/>
              <w:spacing w:before="0" w:after="283"/>
              <w:jc w:val="left"/>
              <w:rPr>
                <w:sz w:val="4"/>
                <w:szCs w:val="4"/>
              </w:rPr>
            </w:pPr>
            <w:r>
              <w:rPr>
                <w:sz w:val="4"/>
                <w:szCs w:val="4"/>
              </w:rPr>
            </w:r>
          </w:p>
        </w:tc>
        <w:tc>
          <w:tcPr>
            <w:tcW w:w="3978" w:type="dxa"/>
            <w:gridSpan w:val="2"/>
            <w:tcBorders/>
            <w:shd w:fill="262626" w:val="clear"/>
            <w:vAlign w:val="center"/>
          </w:tcPr>
          <w:p>
            <w:pPr>
              <w:pStyle w:val="TableContents"/>
              <w:bidi w:val="0"/>
              <w:spacing w:before="0" w:after="283"/>
              <w:jc w:val="left"/>
              <w:rPr>
                <w:sz w:val="4"/>
                <w:szCs w:val="4"/>
              </w:rPr>
            </w:pPr>
            <w:r>
              <w:rPr>
                <w:sz w:val="4"/>
                <w:szCs w:val="4"/>
              </w:rPr>
            </w:r>
          </w:p>
        </w:tc>
      </w:tr>
      <w:tr>
        <w:trPr/>
        <w:tc>
          <w:tcPr>
            <w:tcW w:w="6227" w:type="dxa"/>
            <w:tcBorders/>
            <w:shd w:fill="0054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WHAT WE DO</w:t>
            </w:r>
          </w:p>
        </w:tc>
        <w:tc>
          <w:tcPr>
            <w:tcW w:w="23" w:type="dxa"/>
            <w:tcBorders/>
            <w:shd w:fill="262626" w:val="clear"/>
            <w:vAlign w:val="center"/>
          </w:tcPr>
          <w:p>
            <w:pPr>
              <w:pStyle w:val="TableContents"/>
              <w:bidi w:val="0"/>
              <w:spacing w:before="0" w:after="283"/>
              <w:jc w:val="left"/>
              <w:rPr>
                <w:sz w:val="4"/>
                <w:szCs w:val="4"/>
              </w:rPr>
            </w:pPr>
            <w:r>
              <w:rPr>
                <w:sz w:val="4"/>
                <w:szCs w:val="4"/>
              </w:rPr>
            </w:r>
          </w:p>
        </w:tc>
        <w:tc>
          <w:tcPr>
            <w:tcW w:w="3955" w:type="dxa"/>
            <w:tcBorders/>
            <w:shd w:fill="262626" w:val="clear"/>
            <w:vAlign w:val="center"/>
          </w:tcPr>
          <w:p>
            <w:pPr>
              <w:pStyle w:val="TableContents"/>
              <w:bidi w:val="0"/>
              <w:spacing w:before="0" w:after="283"/>
              <w:jc w:val="center"/>
              <w:rPr>
                <w:b/>
                <w:color w:val="FFFFFF"/>
              </w:rPr>
            </w:pPr>
            <w:r>
              <w:rPr>
                <w:b/>
                <w:color w:val="FFFFFF"/>
              </w:rPr>
              <w:t>WHAT WE DON’T DO</w:t>
            </w:r>
          </w:p>
        </w:tc>
      </w:tr>
      <w:tr>
        <w:trPr/>
        <w:tc>
          <w:tcPr>
            <w:tcW w:w="6227" w:type="dxa"/>
            <w:tcBorders/>
            <w:shd w:fill="F0F8FD" w:val="clear"/>
            <w:vAlign w:val="center"/>
          </w:tcPr>
          <w:p>
            <w:pPr>
              <w:pStyle w:val="TableContents"/>
              <w:bidi w:val="0"/>
              <w:spacing w:before="0" w:after="283"/>
              <w:jc w:val="left"/>
              <w:rPr>
                <w:sz w:val="4"/>
                <w:szCs w:val="4"/>
              </w:rPr>
            </w:pPr>
            <w:r>
              <w:rPr>
                <w:sz w:val="4"/>
                <w:szCs w:val="4"/>
              </w:rPr>
            </w:r>
          </w:p>
        </w:tc>
        <w:tc>
          <w:tcPr>
            <w:tcW w:w="3978"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6227" w:type="dxa"/>
            <w:tcBorders>
              <w:bottom w:val="single" w:sz="6" w:space="0" w:color="000000"/>
            </w:tcBorders>
            <w:shd w:fill="F0F8FD" w:val="clear"/>
            <w:tcMar>
              <w:bottom w:w="60" w:type="dxa"/>
            </w:tcMar>
            <w:vAlign w:val="center"/>
          </w:tcPr>
          <w:p>
            <w:pPr>
              <w:pStyle w:val="TableContents"/>
              <w:bidi w:val="0"/>
              <w:spacing w:before="0" w:after="0"/>
              <w:jc w:val="left"/>
              <w:rPr/>
            </w:pPr>
            <w:r>
              <w:rPr>
                <w:color w:val="0054BA"/>
              </w:rPr>
              <w:t>✓</w:t>
            </w:r>
            <w:r>
              <w:rPr/>
              <w:t>  </w:t>
            </w:r>
            <w:r>
              <w:rPr>
                <w:rFonts w:ascii="ARIAL" w:hAnsi="ARIAL"/>
                <w:sz w:val="18"/>
              </w:rPr>
              <w:t>Pay for Performance</w:t>
            </w:r>
          </w:p>
          <w:p>
            <w:pPr>
              <w:pStyle w:val="TableContents"/>
              <w:bidi w:val="0"/>
              <w:spacing w:before="0" w:after="20"/>
              <w:jc w:val="left"/>
              <w:rPr>
                <w:rFonts w:ascii="ARIAL" w:hAnsi="ARIAL"/>
                <w:sz w:val="18"/>
              </w:rPr>
            </w:pPr>
            <w:r>
              <w:rPr>
                <w:rFonts w:ascii="ARIAL" w:hAnsi="ARIAL"/>
                <w:sz w:val="18"/>
              </w:rPr>
              <w:t>At least 80% of our NEO’s target total compensation is performance-based and tied to performance metrics aligned with our short and long-term objectives. We tie short- and long-term incentive pay to objective performance metrics.</w:t>
            </w:r>
          </w:p>
        </w:tc>
        <w:tc>
          <w:tcPr>
            <w:tcW w:w="23" w:type="dxa"/>
            <w:tcBorders>
              <w:bottom w:val="single" w:sz="6" w:space="0" w:color="000000"/>
            </w:tcBorders>
            <w:shd w:fill="EAEAEA" w:val="clear"/>
            <w:tcMar>
              <w:bottom w:w="28" w:type="dxa"/>
            </w:tcMar>
            <w:vAlign w:val="center"/>
          </w:tcPr>
          <w:p>
            <w:pPr>
              <w:pStyle w:val="TableContents"/>
              <w:bidi w:val="0"/>
              <w:spacing w:before="0" w:after="283"/>
              <w:jc w:val="left"/>
              <w:rPr>
                <w:sz w:val="4"/>
                <w:szCs w:val="4"/>
              </w:rPr>
            </w:pPr>
            <w:r>
              <w:rPr>
                <w:sz w:val="4"/>
                <w:szCs w:val="4"/>
              </w:rPr>
            </w:r>
          </w:p>
        </w:tc>
        <w:tc>
          <w:tcPr>
            <w:tcW w:w="3955" w:type="dxa"/>
            <w:tcBorders>
              <w:bottom w:val="single" w:sz="6" w:space="0" w:color="000000"/>
            </w:tcBorders>
            <w:shd w:fill="EAEAEA" w:val="clear"/>
            <w:tcMar>
              <w:bottom w:w="60" w:type="dxa"/>
            </w:tcMar>
            <w:vAlign w:val="center"/>
          </w:tcPr>
          <w:p>
            <w:pPr>
              <w:pStyle w:val="TableContents"/>
              <w:bidi w:val="0"/>
              <w:spacing w:before="0" w:after="0"/>
              <w:jc w:val="left"/>
              <w:rPr>
                <w:rFonts w:ascii="ARIAL" w:hAnsi="ARIAL"/>
                <w:sz w:val="18"/>
              </w:rPr>
            </w:pPr>
            <w:r>
              <w:rPr>
                <w:rFonts w:ascii="ARIAL" w:hAnsi="ARIAL"/>
                <w:sz w:val="18"/>
              </w:rPr>
              <w:t>×   Permit Hedging or Pledging of Company Stock</w:t>
            </w:r>
          </w:p>
          <w:p>
            <w:pPr>
              <w:pStyle w:val="TableContents"/>
              <w:bidi w:val="0"/>
              <w:spacing w:before="0" w:after="20"/>
              <w:jc w:val="left"/>
              <w:rPr>
                <w:rFonts w:ascii="ARIAL" w:hAnsi="ARIAL"/>
                <w:sz w:val="18"/>
              </w:rPr>
            </w:pPr>
            <w:r>
              <w:rPr>
                <w:rFonts w:ascii="ARIAL" w:hAnsi="ARIAL"/>
                <w:sz w:val="18"/>
              </w:rPr>
              <w:t>We prohibit executive officers from hedging Company stock or margining or pledging shares</w:t>
            </w:r>
          </w:p>
        </w:tc>
      </w:tr>
      <w:tr>
        <w:trPr/>
        <w:tc>
          <w:tcPr>
            <w:tcW w:w="6227" w:type="dxa"/>
            <w:tcBorders/>
            <w:shd w:fill="F0F8FD" w:val="clear"/>
            <w:vAlign w:val="center"/>
          </w:tcPr>
          <w:p>
            <w:pPr>
              <w:pStyle w:val="TableContents"/>
              <w:bidi w:val="0"/>
              <w:spacing w:before="0" w:after="283"/>
              <w:jc w:val="left"/>
              <w:rPr>
                <w:sz w:val="4"/>
                <w:szCs w:val="4"/>
              </w:rPr>
            </w:pPr>
            <w:r>
              <w:rPr>
                <w:sz w:val="4"/>
                <w:szCs w:val="4"/>
              </w:rPr>
            </w:r>
          </w:p>
        </w:tc>
        <w:tc>
          <w:tcPr>
            <w:tcW w:w="3978"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6227" w:type="dxa"/>
            <w:tcBorders>
              <w:bottom w:val="single" w:sz="6" w:space="0" w:color="000000"/>
            </w:tcBorders>
            <w:shd w:fill="F0F8FD" w:val="clear"/>
            <w:tcMar>
              <w:bottom w:w="60" w:type="dxa"/>
            </w:tcMar>
            <w:vAlign w:val="center"/>
          </w:tcPr>
          <w:p>
            <w:pPr>
              <w:pStyle w:val="TableContents"/>
              <w:bidi w:val="0"/>
              <w:spacing w:before="0" w:after="0"/>
              <w:jc w:val="left"/>
              <w:rPr/>
            </w:pPr>
            <w:r>
              <w:rPr>
                <w:color w:val="0054BA"/>
              </w:rPr>
              <w:t>✓</w:t>
            </w:r>
            <w:r>
              <w:rPr/>
              <w:t>  </w:t>
            </w:r>
            <w:r>
              <w:rPr>
                <w:rFonts w:ascii="ARIAL" w:hAnsi="ARIAL"/>
                <w:sz w:val="18"/>
              </w:rPr>
              <w:t>Link executive compensation to stock price performance</w:t>
            </w:r>
          </w:p>
          <w:p>
            <w:pPr>
              <w:pStyle w:val="TableContents"/>
              <w:bidi w:val="0"/>
              <w:spacing w:before="0" w:after="20"/>
              <w:jc w:val="left"/>
              <w:rPr>
                <w:rFonts w:ascii="ARIAL" w:hAnsi="ARIAL"/>
                <w:sz w:val="18"/>
              </w:rPr>
            </w:pPr>
            <w:r>
              <w:rPr>
                <w:rFonts w:ascii="ARIAL" w:hAnsi="ARIAL"/>
                <w:sz w:val="18"/>
              </w:rPr>
              <w:t>Relative TSR is factored into determining performance share payouts. Further, a significant portion of each of our NEO’s pay is ultimately based on stock price performance.</w:t>
            </w:r>
          </w:p>
        </w:tc>
        <w:tc>
          <w:tcPr>
            <w:tcW w:w="23" w:type="dxa"/>
            <w:tcBorders>
              <w:bottom w:val="single" w:sz="6" w:space="0" w:color="000000"/>
            </w:tcBorders>
            <w:shd w:fill="EAEAEA" w:val="clear"/>
            <w:tcMar>
              <w:bottom w:w="28" w:type="dxa"/>
            </w:tcMar>
            <w:vAlign w:val="center"/>
          </w:tcPr>
          <w:p>
            <w:pPr>
              <w:pStyle w:val="TableContents"/>
              <w:bidi w:val="0"/>
              <w:spacing w:before="0" w:after="283"/>
              <w:jc w:val="left"/>
              <w:rPr>
                <w:sz w:val="4"/>
                <w:szCs w:val="4"/>
              </w:rPr>
            </w:pPr>
            <w:r>
              <w:rPr>
                <w:sz w:val="4"/>
                <w:szCs w:val="4"/>
              </w:rPr>
            </w:r>
          </w:p>
        </w:tc>
        <w:tc>
          <w:tcPr>
            <w:tcW w:w="3955" w:type="dxa"/>
            <w:tcBorders>
              <w:bottom w:val="single" w:sz="6" w:space="0" w:color="000000"/>
            </w:tcBorders>
            <w:shd w:fill="EAEAEA" w:val="clear"/>
            <w:tcMar>
              <w:bottom w:w="60" w:type="dxa"/>
            </w:tcMar>
            <w:vAlign w:val="center"/>
          </w:tcPr>
          <w:p>
            <w:pPr>
              <w:pStyle w:val="TableContents"/>
              <w:bidi w:val="0"/>
              <w:spacing w:before="0" w:after="0"/>
              <w:jc w:val="left"/>
              <w:rPr>
                <w:rFonts w:ascii="ARIAL" w:hAnsi="ARIAL"/>
                <w:sz w:val="18"/>
              </w:rPr>
            </w:pPr>
            <w:r>
              <w:rPr>
                <w:rFonts w:ascii="ARIAL" w:hAnsi="ARIAL"/>
                <w:sz w:val="18"/>
              </w:rPr>
              <w:t>×   Encourage excessive or inappropriate risk taking through our compensation programs</w:t>
            </w:r>
          </w:p>
          <w:p>
            <w:pPr>
              <w:pStyle w:val="TableContents"/>
              <w:bidi w:val="0"/>
              <w:spacing w:before="0" w:after="20"/>
              <w:jc w:val="left"/>
              <w:rPr>
                <w:rFonts w:ascii="ARIAL" w:hAnsi="ARIAL"/>
                <w:sz w:val="18"/>
              </w:rPr>
            </w:pPr>
            <w:r>
              <w:rPr>
                <w:rFonts w:ascii="ARIAL" w:hAnsi="ARIAL"/>
                <w:sz w:val="18"/>
              </w:rPr>
              <w:t>The independent compensation consultant conducts an annual risk assessment of our compensation programs</w:t>
            </w:r>
          </w:p>
        </w:tc>
      </w:tr>
      <w:tr>
        <w:trPr/>
        <w:tc>
          <w:tcPr>
            <w:tcW w:w="6227" w:type="dxa"/>
            <w:tcBorders/>
            <w:shd w:fill="F0F8FD" w:val="clear"/>
            <w:vAlign w:val="center"/>
          </w:tcPr>
          <w:p>
            <w:pPr>
              <w:pStyle w:val="TableContents"/>
              <w:bidi w:val="0"/>
              <w:spacing w:before="0" w:after="283"/>
              <w:jc w:val="left"/>
              <w:rPr>
                <w:sz w:val="4"/>
                <w:szCs w:val="4"/>
              </w:rPr>
            </w:pPr>
            <w:r>
              <w:rPr>
                <w:sz w:val="4"/>
                <w:szCs w:val="4"/>
              </w:rPr>
            </w:r>
          </w:p>
        </w:tc>
        <w:tc>
          <w:tcPr>
            <w:tcW w:w="3978"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6227" w:type="dxa"/>
            <w:tcBorders>
              <w:bottom w:val="single" w:sz="6" w:space="0" w:color="000000"/>
            </w:tcBorders>
            <w:shd w:fill="F0F8FD" w:val="clear"/>
            <w:tcMar>
              <w:bottom w:w="60" w:type="dxa"/>
            </w:tcMar>
            <w:vAlign w:val="center"/>
          </w:tcPr>
          <w:p>
            <w:pPr>
              <w:pStyle w:val="TableContents"/>
              <w:bidi w:val="0"/>
              <w:spacing w:before="0" w:after="0"/>
              <w:jc w:val="left"/>
              <w:rPr/>
            </w:pPr>
            <w:r>
              <w:rPr>
                <w:color w:val="0054BA"/>
              </w:rPr>
              <w:t>✓</w:t>
            </w:r>
            <w:r>
              <w:rPr/>
              <w:t>  </w:t>
            </w:r>
            <w:r>
              <w:rPr>
                <w:rFonts w:ascii="ARIAL" w:hAnsi="ARIAL"/>
                <w:sz w:val="18"/>
              </w:rPr>
              <w:t>Require meaningful stock ownership</w:t>
            </w:r>
          </w:p>
          <w:p>
            <w:pPr>
              <w:pStyle w:val="TableContents"/>
              <w:bidi w:val="0"/>
              <w:spacing w:before="0" w:after="20"/>
              <w:jc w:val="left"/>
              <w:rPr>
                <w:rFonts w:ascii="ARIAL" w:hAnsi="ARIAL"/>
                <w:sz w:val="18"/>
              </w:rPr>
            </w:pPr>
            <w:r>
              <w:rPr>
                <w:rFonts w:ascii="ARIAL" w:hAnsi="ARIAL"/>
                <w:sz w:val="18"/>
              </w:rPr>
              <w:t>Executive Stock Ownership Guidelines require executives to own shares of CoStar common stock with a value equal to a multiple of their base salary, depending on their position</w:t>
            </w:r>
          </w:p>
        </w:tc>
        <w:tc>
          <w:tcPr>
            <w:tcW w:w="23" w:type="dxa"/>
            <w:tcBorders>
              <w:bottom w:val="single" w:sz="6" w:space="0" w:color="000000"/>
            </w:tcBorders>
            <w:shd w:fill="EAEAEA" w:val="clear"/>
            <w:tcMar>
              <w:bottom w:w="28" w:type="dxa"/>
            </w:tcMar>
            <w:vAlign w:val="center"/>
          </w:tcPr>
          <w:p>
            <w:pPr>
              <w:pStyle w:val="TableContents"/>
              <w:bidi w:val="0"/>
              <w:spacing w:before="0" w:after="283"/>
              <w:jc w:val="left"/>
              <w:rPr>
                <w:sz w:val="4"/>
                <w:szCs w:val="4"/>
              </w:rPr>
            </w:pPr>
            <w:r>
              <w:rPr>
                <w:sz w:val="4"/>
                <w:szCs w:val="4"/>
              </w:rPr>
            </w:r>
          </w:p>
        </w:tc>
        <w:tc>
          <w:tcPr>
            <w:tcW w:w="3955" w:type="dxa"/>
            <w:tcBorders>
              <w:bottom w:val="single" w:sz="6" w:space="0" w:color="000000"/>
            </w:tcBorders>
            <w:shd w:fill="EAEAEA" w:val="clear"/>
            <w:tcMar>
              <w:bottom w:w="60" w:type="dxa"/>
            </w:tcMar>
            <w:vAlign w:val="center"/>
          </w:tcPr>
          <w:p>
            <w:pPr>
              <w:pStyle w:val="TableContents"/>
              <w:bidi w:val="0"/>
              <w:spacing w:before="0" w:after="0"/>
              <w:jc w:val="left"/>
              <w:rPr>
                <w:rFonts w:ascii="ARIAL" w:hAnsi="ARIAL"/>
                <w:sz w:val="18"/>
              </w:rPr>
            </w:pPr>
            <w:r>
              <w:rPr>
                <w:rFonts w:ascii="ARIAL" w:hAnsi="ARIAL"/>
                <w:sz w:val="18"/>
              </w:rPr>
              <w:t>×   Guarantee minimum payouts</w:t>
            </w:r>
          </w:p>
          <w:p>
            <w:pPr>
              <w:pStyle w:val="TableContents"/>
              <w:bidi w:val="0"/>
              <w:spacing w:before="0" w:after="20"/>
              <w:jc w:val="left"/>
              <w:rPr>
                <w:rFonts w:ascii="ARIAL" w:hAnsi="ARIAL"/>
                <w:sz w:val="18"/>
              </w:rPr>
            </w:pPr>
            <w:r>
              <w:rPr>
                <w:rFonts w:ascii="ARIAL" w:hAnsi="ARIAL"/>
                <w:sz w:val="18"/>
              </w:rPr>
              <w:t>We do not have guaranteed minimum payment levels for executives’ cash incentives or performance-based equity awards</w:t>
            </w:r>
          </w:p>
        </w:tc>
      </w:tr>
      <w:tr>
        <w:trPr/>
        <w:tc>
          <w:tcPr>
            <w:tcW w:w="6227" w:type="dxa"/>
            <w:tcBorders/>
            <w:shd w:fill="F0F8FD" w:val="clear"/>
            <w:vAlign w:val="center"/>
          </w:tcPr>
          <w:p>
            <w:pPr>
              <w:pStyle w:val="TableContents"/>
              <w:bidi w:val="0"/>
              <w:spacing w:before="0" w:after="283"/>
              <w:jc w:val="left"/>
              <w:rPr>
                <w:sz w:val="4"/>
                <w:szCs w:val="4"/>
              </w:rPr>
            </w:pPr>
            <w:r>
              <w:rPr>
                <w:sz w:val="4"/>
                <w:szCs w:val="4"/>
              </w:rPr>
            </w:r>
          </w:p>
        </w:tc>
        <w:tc>
          <w:tcPr>
            <w:tcW w:w="3978"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6227" w:type="dxa"/>
            <w:tcBorders>
              <w:bottom w:val="single" w:sz="6" w:space="0" w:color="000000"/>
            </w:tcBorders>
            <w:shd w:fill="F0F8FD" w:val="clear"/>
            <w:tcMar>
              <w:bottom w:w="60" w:type="dxa"/>
            </w:tcMar>
            <w:vAlign w:val="center"/>
          </w:tcPr>
          <w:p>
            <w:pPr>
              <w:pStyle w:val="TableContents"/>
              <w:bidi w:val="0"/>
              <w:spacing w:before="0" w:after="0"/>
              <w:jc w:val="left"/>
              <w:rPr/>
            </w:pPr>
            <w:r>
              <w:rPr>
                <w:color w:val="0054BA"/>
              </w:rPr>
              <w:t>✓</w:t>
            </w:r>
            <w:r>
              <w:rPr/>
              <w:t>  </w:t>
            </w:r>
            <w:r>
              <w:rPr>
                <w:rFonts w:ascii="ARIAL" w:hAnsi="ARIAL"/>
                <w:sz w:val="18"/>
              </w:rPr>
              <w:t>Use an independent compensation consultant</w:t>
            </w:r>
          </w:p>
          <w:p>
            <w:pPr>
              <w:pStyle w:val="TableContents"/>
              <w:bidi w:val="0"/>
              <w:spacing w:before="0" w:after="20"/>
              <w:jc w:val="left"/>
              <w:rPr>
                <w:rFonts w:ascii="ARIAL" w:hAnsi="ARIAL"/>
                <w:sz w:val="18"/>
              </w:rPr>
            </w:pPr>
            <w:r>
              <w:rPr>
                <w:rFonts w:ascii="ARIAL" w:hAnsi="ARIAL"/>
                <w:sz w:val="18"/>
              </w:rPr>
              <w:t>In 2025, the Compensation Committee engaged an independent compensation consultant for advice on executive compensation</w:t>
            </w:r>
          </w:p>
        </w:tc>
        <w:tc>
          <w:tcPr>
            <w:tcW w:w="23" w:type="dxa"/>
            <w:tcBorders>
              <w:bottom w:val="single" w:sz="6" w:space="0" w:color="000000"/>
            </w:tcBorders>
            <w:shd w:fill="EAEAEA" w:val="clear"/>
            <w:tcMar>
              <w:bottom w:w="28" w:type="dxa"/>
            </w:tcMar>
            <w:vAlign w:val="center"/>
          </w:tcPr>
          <w:p>
            <w:pPr>
              <w:pStyle w:val="TableContents"/>
              <w:bidi w:val="0"/>
              <w:spacing w:before="0" w:after="283"/>
              <w:jc w:val="left"/>
              <w:rPr>
                <w:sz w:val="4"/>
                <w:szCs w:val="4"/>
              </w:rPr>
            </w:pPr>
            <w:r>
              <w:rPr>
                <w:sz w:val="4"/>
                <w:szCs w:val="4"/>
              </w:rPr>
            </w:r>
          </w:p>
        </w:tc>
        <w:tc>
          <w:tcPr>
            <w:tcW w:w="3955" w:type="dxa"/>
            <w:tcBorders>
              <w:bottom w:val="single" w:sz="6" w:space="0" w:color="000000"/>
            </w:tcBorders>
            <w:shd w:fill="EAEAEA" w:val="clear"/>
            <w:tcMar>
              <w:bottom w:w="60" w:type="dxa"/>
            </w:tcMar>
            <w:vAlign w:val="center"/>
          </w:tcPr>
          <w:p>
            <w:pPr>
              <w:pStyle w:val="TableContents"/>
              <w:bidi w:val="0"/>
              <w:spacing w:before="0" w:after="0"/>
              <w:jc w:val="left"/>
              <w:rPr>
                <w:rFonts w:ascii="ARIAL" w:hAnsi="ARIAL"/>
                <w:sz w:val="18"/>
              </w:rPr>
            </w:pPr>
            <w:r>
              <w:rPr>
                <w:rFonts w:ascii="ARIAL" w:hAnsi="ARIAL"/>
                <w:sz w:val="18"/>
              </w:rPr>
              <w:t>×   Reprice underwater stock options</w:t>
            </w:r>
          </w:p>
          <w:p>
            <w:pPr>
              <w:pStyle w:val="TableContents"/>
              <w:bidi w:val="0"/>
              <w:spacing w:before="0" w:after="20"/>
              <w:jc w:val="left"/>
              <w:rPr>
                <w:rFonts w:ascii="ARIAL" w:hAnsi="ARIAL"/>
                <w:sz w:val="18"/>
              </w:rPr>
            </w:pPr>
            <w:r>
              <w:rPr>
                <w:rFonts w:ascii="ARIAL" w:hAnsi="ARIAL"/>
                <w:sz w:val="18"/>
              </w:rPr>
              <w:t>Our stock incentive plan prohibits the repricing of options without stockholder approval</w:t>
            </w:r>
          </w:p>
        </w:tc>
      </w:tr>
      <w:tr>
        <w:trPr/>
        <w:tc>
          <w:tcPr>
            <w:tcW w:w="6227" w:type="dxa"/>
            <w:tcBorders/>
            <w:shd w:fill="F0F8FD" w:val="clear"/>
            <w:vAlign w:val="center"/>
          </w:tcPr>
          <w:p>
            <w:pPr>
              <w:pStyle w:val="TableContents"/>
              <w:bidi w:val="0"/>
              <w:spacing w:before="0" w:after="283"/>
              <w:jc w:val="left"/>
              <w:rPr>
                <w:sz w:val="4"/>
                <w:szCs w:val="4"/>
              </w:rPr>
            </w:pPr>
            <w:r>
              <w:rPr>
                <w:sz w:val="4"/>
                <w:szCs w:val="4"/>
              </w:rPr>
            </w:r>
          </w:p>
        </w:tc>
        <w:tc>
          <w:tcPr>
            <w:tcW w:w="3978"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6227" w:type="dxa"/>
            <w:tcBorders>
              <w:bottom w:val="single" w:sz="6" w:space="0" w:color="000000"/>
            </w:tcBorders>
            <w:shd w:fill="F0F8FD" w:val="clear"/>
            <w:tcMar>
              <w:bottom w:w="60" w:type="dxa"/>
            </w:tcMar>
            <w:vAlign w:val="center"/>
          </w:tcPr>
          <w:p>
            <w:pPr>
              <w:pStyle w:val="TableContents"/>
              <w:bidi w:val="0"/>
              <w:spacing w:before="0" w:after="0"/>
              <w:jc w:val="left"/>
              <w:rPr/>
            </w:pPr>
            <w:r>
              <w:rPr>
                <w:color w:val="0054BA"/>
              </w:rPr>
              <w:t>✓</w:t>
            </w:r>
            <w:r>
              <w:rPr/>
              <w:t>  </w:t>
            </w:r>
            <w:r>
              <w:rPr>
                <w:rFonts w:ascii="ARIAL" w:hAnsi="ARIAL"/>
                <w:sz w:val="18"/>
              </w:rPr>
              <w:t>Subject incentive compensation to robust clawback provisions</w:t>
            </w:r>
          </w:p>
          <w:p>
            <w:pPr>
              <w:pStyle w:val="TableContents"/>
              <w:bidi w:val="0"/>
              <w:spacing w:before="0" w:after="20"/>
              <w:jc w:val="left"/>
              <w:rPr>
                <w:rFonts w:ascii="ARIAL" w:hAnsi="ARIAL"/>
                <w:sz w:val="18"/>
              </w:rPr>
            </w:pPr>
            <w:r>
              <w:rPr>
                <w:rFonts w:ascii="ARIAL" w:hAnsi="ARIAL"/>
                <w:sz w:val="18"/>
              </w:rPr>
              <w:t>The company has a robust clawback policy that provides for mandatory recovery from current and former officers of cash and equity compensation that were erroneously received in the event of an accounting restatement as well as a supplemental clawback policy that expands the ability to recover compensation, including time-based equity, in certain misconduct-related circumstances</w:t>
            </w:r>
          </w:p>
        </w:tc>
        <w:tc>
          <w:tcPr>
            <w:tcW w:w="23" w:type="dxa"/>
            <w:tcBorders>
              <w:bottom w:val="single" w:sz="6" w:space="0" w:color="000000"/>
            </w:tcBorders>
            <w:shd w:fill="EAEAEA" w:val="clear"/>
            <w:tcMar>
              <w:bottom w:w="28" w:type="dxa"/>
            </w:tcMar>
            <w:vAlign w:val="center"/>
          </w:tcPr>
          <w:p>
            <w:pPr>
              <w:pStyle w:val="TableContents"/>
              <w:bidi w:val="0"/>
              <w:spacing w:before="0" w:after="283"/>
              <w:jc w:val="left"/>
              <w:rPr>
                <w:sz w:val="4"/>
                <w:szCs w:val="4"/>
              </w:rPr>
            </w:pPr>
            <w:r>
              <w:rPr>
                <w:sz w:val="4"/>
                <w:szCs w:val="4"/>
              </w:rPr>
            </w:r>
          </w:p>
        </w:tc>
        <w:tc>
          <w:tcPr>
            <w:tcW w:w="3955" w:type="dxa"/>
            <w:tcBorders>
              <w:bottom w:val="single" w:sz="6" w:space="0" w:color="000000"/>
            </w:tcBorders>
            <w:shd w:fill="EAEAEA" w:val="clear"/>
            <w:tcMar>
              <w:bottom w:w="60" w:type="dxa"/>
            </w:tcMar>
            <w:vAlign w:val="center"/>
          </w:tcPr>
          <w:p>
            <w:pPr>
              <w:pStyle w:val="TableContents"/>
              <w:bidi w:val="0"/>
              <w:spacing w:before="0" w:after="0"/>
              <w:jc w:val="left"/>
              <w:rPr>
                <w:rFonts w:ascii="ARIAL" w:hAnsi="ARIAL"/>
                <w:sz w:val="18"/>
              </w:rPr>
            </w:pPr>
            <w:r>
              <w:rPr>
                <w:rFonts w:ascii="ARIAL" w:hAnsi="ARIAL"/>
                <w:sz w:val="18"/>
              </w:rPr>
              <w:t>×   Provide excessive perquisites</w:t>
            </w:r>
          </w:p>
          <w:p>
            <w:pPr>
              <w:pStyle w:val="TableContents"/>
              <w:bidi w:val="0"/>
              <w:spacing w:before="0" w:after="20"/>
              <w:jc w:val="left"/>
              <w:rPr>
                <w:rFonts w:ascii="ARIAL" w:hAnsi="ARIAL"/>
                <w:sz w:val="18"/>
              </w:rPr>
            </w:pPr>
            <w:r>
              <w:rPr>
                <w:rFonts w:ascii="ARIAL" w:hAnsi="ARIAL"/>
                <w:sz w:val="18"/>
              </w:rPr>
              <w:t>We do not provide excessive perquisites to our NEOs or offer supplemental executive retirement plans or loans of any kind</w:t>
            </w:r>
          </w:p>
        </w:tc>
      </w:tr>
      <w:tr>
        <w:trPr/>
        <w:tc>
          <w:tcPr>
            <w:tcW w:w="6227" w:type="dxa"/>
            <w:tcBorders/>
            <w:shd w:fill="F0F8FD" w:val="clear"/>
            <w:vAlign w:val="center"/>
          </w:tcPr>
          <w:p>
            <w:pPr>
              <w:pStyle w:val="TableContents"/>
              <w:bidi w:val="0"/>
              <w:spacing w:before="0" w:after="283"/>
              <w:jc w:val="left"/>
              <w:rPr>
                <w:sz w:val="4"/>
                <w:szCs w:val="4"/>
              </w:rPr>
            </w:pPr>
            <w:r>
              <w:rPr>
                <w:sz w:val="4"/>
                <w:szCs w:val="4"/>
              </w:rPr>
            </w:r>
          </w:p>
        </w:tc>
        <w:tc>
          <w:tcPr>
            <w:tcW w:w="3978"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6227" w:type="dxa"/>
            <w:tcBorders>
              <w:bottom w:val="single" w:sz="6" w:space="0" w:color="000000"/>
            </w:tcBorders>
            <w:shd w:fill="F0F8FD" w:val="clear"/>
            <w:tcMar>
              <w:bottom w:w="60" w:type="dxa"/>
            </w:tcMar>
            <w:vAlign w:val="center"/>
          </w:tcPr>
          <w:p>
            <w:pPr>
              <w:pStyle w:val="TableContents"/>
              <w:bidi w:val="0"/>
              <w:spacing w:before="0" w:after="0"/>
              <w:jc w:val="left"/>
              <w:rPr/>
            </w:pPr>
            <w:r>
              <w:rPr>
                <w:color w:val="0054BA"/>
              </w:rPr>
              <w:t>✓</w:t>
            </w:r>
            <w:r>
              <w:rPr/>
              <w:t>  </w:t>
            </w:r>
            <w:r>
              <w:rPr>
                <w:rFonts w:ascii="ARIAL" w:hAnsi="ARIAL"/>
                <w:sz w:val="18"/>
              </w:rPr>
              <w:t>Use multiple performance metrics</w:t>
            </w:r>
          </w:p>
          <w:p>
            <w:pPr>
              <w:pStyle w:val="TableContents"/>
              <w:bidi w:val="0"/>
              <w:spacing w:before="0" w:after="20"/>
              <w:jc w:val="left"/>
              <w:rPr>
                <w:rFonts w:ascii="ARIAL" w:hAnsi="ARIAL"/>
                <w:sz w:val="18"/>
              </w:rPr>
            </w:pPr>
            <w:r>
              <w:rPr>
                <w:rFonts w:ascii="ARIAL" w:hAnsi="ARIAL"/>
                <w:sz w:val="18"/>
              </w:rPr>
              <w:t>We structure our annual and long-term incentive compensation so that payouts are based on distinct performance metrics</w:t>
            </w:r>
          </w:p>
        </w:tc>
        <w:tc>
          <w:tcPr>
            <w:tcW w:w="23" w:type="dxa"/>
            <w:tcBorders>
              <w:bottom w:val="single" w:sz="6" w:space="0" w:color="000000"/>
            </w:tcBorders>
            <w:shd w:fill="EAEAEA" w:val="clear"/>
            <w:tcMar>
              <w:bottom w:w="28" w:type="dxa"/>
            </w:tcMar>
            <w:vAlign w:val="center"/>
          </w:tcPr>
          <w:p>
            <w:pPr>
              <w:pStyle w:val="TableContents"/>
              <w:bidi w:val="0"/>
              <w:spacing w:before="0" w:after="283"/>
              <w:jc w:val="left"/>
              <w:rPr>
                <w:sz w:val="4"/>
                <w:szCs w:val="4"/>
              </w:rPr>
            </w:pPr>
            <w:r>
              <w:rPr>
                <w:sz w:val="4"/>
                <w:szCs w:val="4"/>
              </w:rPr>
            </w:r>
          </w:p>
        </w:tc>
        <w:tc>
          <w:tcPr>
            <w:tcW w:w="3955" w:type="dxa"/>
            <w:tcBorders>
              <w:bottom w:val="single" w:sz="6" w:space="0" w:color="000000"/>
            </w:tcBorders>
            <w:shd w:fill="EAEAEA" w:val="clear"/>
            <w:tcMar>
              <w:bottom w:w="60" w:type="dxa"/>
            </w:tcMar>
            <w:vAlign w:val="center"/>
          </w:tcPr>
          <w:p>
            <w:pPr>
              <w:pStyle w:val="TableContents"/>
              <w:bidi w:val="0"/>
              <w:spacing w:before="0" w:after="0"/>
              <w:jc w:val="left"/>
              <w:rPr>
                <w:rFonts w:ascii="ARIAL" w:hAnsi="ARIAL"/>
                <w:sz w:val="18"/>
              </w:rPr>
            </w:pPr>
            <w:r>
              <w:rPr>
                <w:rFonts w:ascii="ARIAL" w:hAnsi="ARIAL"/>
                <w:sz w:val="18"/>
              </w:rPr>
              <w:t>×   Provide Golden Parachute Gross-Ups</w:t>
            </w:r>
          </w:p>
          <w:p>
            <w:pPr>
              <w:pStyle w:val="TableContents"/>
              <w:bidi w:val="0"/>
              <w:spacing w:before="0" w:after="20"/>
              <w:jc w:val="left"/>
              <w:rPr>
                <w:rFonts w:ascii="ARIAL" w:hAnsi="ARIAL"/>
                <w:sz w:val="18"/>
              </w:rPr>
            </w:pPr>
            <w:r>
              <w:rPr>
                <w:rFonts w:ascii="ARIAL" w:hAnsi="ARIAL"/>
                <w:sz w:val="18"/>
              </w:rPr>
              <w:t>We do not provide 280G golden parachute excise tax gross-ups to any executive. In January 2026, this provision was removed from our CEO’s employment agreement, which had been in place since 1998</w:t>
            </w:r>
          </w:p>
        </w:tc>
      </w:tr>
      <w:tr>
        <w:trPr/>
        <w:tc>
          <w:tcPr>
            <w:tcW w:w="6227" w:type="dxa"/>
            <w:tcBorders/>
            <w:shd w:fill="F0F8FD" w:val="clear"/>
            <w:vAlign w:val="center"/>
          </w:tcPr>
          <w:p>
            <w:pPr>
              <w:pStyle w:val="TableContents"/>
              <w:bidi w:val="0"/>
              <w:spacing w:before="0" w:after="283"/>
              <w:jc w:val="left"/>
              <w:rPr>
                <w:sz w:val="4"/>
                <w:szCs w:val="4"/>
              </w:rPr>
            </w:pPr>
            <w:r>
              <w:rPr>
                <w:sz w:val="4"/>
                <w:szCs w:val="4"/>
              </w:rPr>
            </w:r>
          </w:p>
        </w:tc>
        <w:tc>
          <w:tcPr>
            <w:tcW w:w="3978"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6227" w:type="dxa"/>
            <w:tcBorders>
              <w:bottom w:val="single" w:sz="6" w:space="0" w:color="000000"/>
            </w:tcBorders>
            <w:shd w:fill="F0F8FD" w:val="clear"/>
            <w:tcMar>
              <w:bottom w:w="60" w:type="dxa"/>
            </w:tcMar>
            <w:vAlign w:val="center"/>
          </w:tcPr>
          <w:p>
            <w:pPr>
              <w:pStyle w:val="TableContents"/>
              <w:bidi w:val="0"/>
              <w:spacing w:before="0" w:after="0"/>
              <w:jc w:val="left"/>
              <w:rPr/>
            </w:pPr>
            <w:r>
              <w:rPr>
                <w:color w:val="0054BA"/>
              </w:rPr>
              <w:t>✓</w:t>
            </w:r>
            <w:r>
              <w:rPr/>
              <w:t>  </w:t>
            </w:r>
            <w:r>
              <w:rPr>
                <w:rFonts w:ascii="ARIAL" w:hAnsi="ARIAL"/>
                <w:sz w:val="18"/>
              </w:rPr>
              <w:t>Engage directly with our stockholders</w:t>
            </w:r>
          </w:p>
          <w:p>
            <w:pPr>
              <w:pStyle w:val="TableContents"/>
              <w:bidi w:val="0"/>
              <w:spacing w:before="0" w:after="20"/>
              <w:jc w:val="left"/>
              <w:rPr>
                <w:rFonts w:ascii="ARIAL" w:hAnsi="ARIAL"/>
                <w:sz w:val="18"/>
              </w:rPr>
            </w:pPr>
            <w:r>
              <w:rPr>
                <w:rFonts w:ascii="ARIAL" w:hAnsi="ARIAL"/>
                <w:sz w:val="18"/>
              </w:rPr>
              <w:t>We maintain direct and open communication with our stockholders throughout the year</w:t>
            </w:r>
          </w:p>
        </w:tc>
        <w:tc>
          <w:tcPr>
            <w:tcW w:w="23" w:type="dxa"/>
            <w:tcBorders>
              <w:bottom w:val="single" w:sz="6" w:space="0" w:color="000000"/>
            </w:tcBorders>
            <w:shd w:fill="EAEAEA" w:val="clear"/>
            <w:tcMar>
              <w:bottom w:w="28" w:type="dxa"/>
            </w:tcMar>
            <w:vAlign w:val="center"/>
          </w:tcPr>
          <w:p>
            <w:pPr>
              <w:pStyle w:val="TableContents"/>
              <w:bidi w:val="0"/>
              <w:spacing w:before="0" w:after="283"/>
              <w:jc w:val="left"/>
              <w:rPr>
                <w:sz w:val="4"/>
                <w:szCs w:val="4"/>
              </w:rPr>
            </w:pPr>
            <w:r>
              <w:rPr>
                <w:sz w:val="4"/>
                <w:szCs w:val="4"/>
              </w:rPr>
            </w:r>
          </w:p>
        </w:tc>
        <w:tc>
          <w:tcPr>
            <w:tcW w:w="3955" w:type="dxa"/>
            <w:tcBorders>
              <w:bottom w:val="single" w:sz="6" w:space="0" w:color="000000"/>
            </w:tcBorders>
            <w:shd w:fill="EAEAEA" w:val="clear"/>
            <w:tcMar>
              <w:bottom w:w="60" w:type="dxa"/>
            </w:tcMar>
            <w:vAlign w:val="center"/>
          </w:tcPr>
          <w:p>
            <w:pPr>
              <w:pStyle w:val="TableContents"/>
              <w:bidi w:val="0"/>
              <w:spacing w:before="0" w:after="0"/>
              <w:jc w:val="left"/>
              <w:rPr>
                <w:rFonts w:ascii="ARIAL" w:hAnsi="ARIAL"/>
                <w:sz w:val="18"/>
              </w:rPr>
            </w:pPr>
            <w:r>
              <w:rPr>
                <w:rFonts w:ascii="ARIAL" w:hAnsi="ARIAL"/>
                <w:sz w:val="18"/>
              </w:rPr>
              <w:t>×   Do not include revenue contribution of acquired target during the year of acquisition for purposes of calculating performance for incentive compensation</w:t>
            </w:r>
          </w:p>
        </w:tc>
      </w:tr>
      <w:tr>
        <w:trPr/>
        <w:tc>
          <w:tcPr>
            <w:tcW w:w="6227" w:type="dxa"/>
            <w:tcBorders/>
            <w:shd w:fill="F0F8FD" w:val="clear"/>
            <w:vAlign w:val="center"/>
          </w:tcPr>
          <w:p>
            <w:pPr>
              <w:pStyle w:val="TableContents"/>
              <w:bidi w:val="0"/>
              <w:spacing w:before="0" w:after="283"/>
              <w:jc w:val="left"/>
              <w:rPr>
                <w:sz w:val="4"/>
                <w:szCs w:val="4"/>
              </w:rPr>
            </w:pPr>
            <w:r>
              <w:rPr>
                <w:sz w:val="4"/>
                <w:szCs w:val="4"/>
              </w:rPr>
            </w:r>
          </w:p>
        </w:tc>
        <w:tc>
          <w:tcPr>
            <w:tcW w:w="3978" w:type="dxa"/>
            <w:gridSpan w:val="2"/>
            <w:tcBorders/>
            <w:vAlign w:val="center"/>
          </w:tcPr>
          <w:p>
            <w:pPr>
              <w:pStyle w:val="TableContents"/>
              <w:bidi w:val="0"/>
              <w:spacing w:before="0" w:after="283"/>
              <w:jc w:val="left"/>
              <w:rPr>
                <w:sz w:val="4"/>
                <w:szCs w:val="4"/>
              </w:rPr>
            </w:pPr>
            <w:r>
              <w:rPr>
                <w:sz w:val="4"/>
                <w:szCs w:val="4"/>
              </w:rPr>
            </w:r>
          </w:p>
        </w:tc>
      </w:tr>
      <w:tr>
        <w:trPr/>
        <w:tc>
          <w:tcPr>
            <w:tcW w:w="6227" w:type="dxa"/>
            <w:tcBorders>
              <w:bottom w:val="single" w:sz="6" w:space="0" w:color="000000"/>
            </w:tcBorders>
            <w:shd w:fill="F0F8FD" w:val="clear"/>
            <w:tcMar>
              <w:bottom w:w="60" w:type="dxa"/>
            </w:tcMar>
            <w:vAlign w:val="center"/>
          </w:tcPr>
          <w:p>
            <w:pPr>
              <w:pStyle w:val="TableContents"/>
              <w:bidi w:val="0"/>
              <w:spacing w:before="0" w:after="0"/>
              <w:jc w:val="left"/>
              <w:rPr/>
            </w:pPr>
            <w:r>
              <w:rPr>
                <w:color w:val="0054BA"/>
              </w:rPr>
              <w:t>✓</w:t>
            </w:r>
            <w:r>
              <w:rPr/>
              <w:t>  </w:t>
            </w:r>
            <w:r>
              <w:rPr>
                <w:rFonts w:ascii="ARIAL" w:hAnsi="ARIAL"/>
                <w:sz w:val="18"/>
              </w:rPr>
              <w:t>Equity awards granted to our NEOs after the 2025 Annual Meeting of Stockholders and the adoption of the 2025 Stock Incentive Plan include a Double Trigger termination protection</w:t>
            </w:r>
          </w:p>
        </w:tc>
        <w:tc>
          <w:tcPr>
            <w:tcW w:w="23"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17"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6" descr=""/>
                          <pic:cNvPicPr>
                            <a:picLocks noChangeAspect="1" noChangeArrowheads="1"/>
                          </pic:cNvPicPr>
                        </pic:nvPicPr>
                        <pic:blipFill>
                          <a:blip r:embed="rId30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bookmarkStart w:id="31" w:name="tx903159_104"/>
      <w:bookmarkEnd w:id="31"/>
      <w:r>
        <w:rPr>
          <w:rFonts w:ascii="ARIAL" w:hAnsi="ARIAL"/>
          <w:b/>
          <w:color w:val="0054BA"/>
          <w:sz w:val="30"/>
        </w:rPr>
        <w:t xml:space="preserve">HOW EXECUTIVE COMPENSATION DECISIONS ARE MADE </w:t>
      </w:r>
    </w:p>
    <w:p>
      <w:pPr>
        <w:pStyle w:val="TextBody"/>
        <w:bidi w:val="0"/>
        <w:spacing w:before="200" w:after="0"/>
        <w:jc w:val="left"/>
        <w:rPr>
          <w:rFonts w:ascii="ARIAL" w:hAnsi="ARIAL"/>
          <w:b/>
          <w:sz w:val="24"/>
        </w:rPr>
      </w:pPr>
      <w:r>
        <w:rPr>
          <w:rFonts w:ascii="ARIAL" w:hAnsi="ARIAL"/>
          <w:b/>
          <w:sz w:val="24"/>
        </w:rPr>
        <w:t xml:space="preserve">Overview </w:t>
      </w:r>
    </w:p>
    <w:p>
      <w:pPr>
        <w:pStyle w:val="TextBody"/>
        <w:bidi w:val="0"/>
        <w:spacing w:before="80" w:after="0"/>
        <w:jc w:val="left"/>
        <w:rPr>
          <w:rFonts w:ascii="ARIAL" w:hAnsi="ARIAL"/>
          <w:sz w:val="18"/>
        </w:rPr>
      </w:pPr>
      <w:r>
        <w:rPr>
          <w:rFonts w:ascii="ARIAL" w:hAnsi="ARIAL"/>
          <w:sz w:val="18"/>
        </w:rPr>
        <w:t xml:space="preserve">The Compensation Committee annually establishes and reviews all forms of compensation for the Company’s NEOs, including base salaries, annual cash incentive bonuses, and both the terms and types of equity awards. The Compensation Committee reviews and discusses the performance of the CEO and sets the CEO’s compensation. For the other NEOs, the CEO conducts an annual performance evaluation of each and based on performance and competitive benchmarking reports, makes individual compensation recommendations for review and approval by the Compensation Committee. In making compensation determinations, the Compensation Committee utilizes the advice of its independent compensation consultant, reviews compensation-related policies, considers the feedback of long-term investors, analyzes competitive market information and peer group data, and assesses both absolute and relative performance, including stock price performance, operational results, and individual contributions. </w:t>
      </w:r>
    </w:p>
    <w:p>
      <w:pPr>
        <w:pStyle w:val="TextBody"/>
        <w:bidi w:val="0"/>
        <w:spacing w:before="160" w:after="0"/>
        <w:jc w:val="left"/>
        <w:rPr>
          <w:rFonts w:ascii="ARIAL" w:hAnsi="ARIAL"/>
          <w:sz w:val="18"/>
        </w:rPr>
      </w:pPr>
      <w:r>
        <w:rPr>
          <w:rFonts w:ascii="ARIAL" w:hAnsi="ARIAL"/>
          <w:sz w:val="18"/>
        </w:rPr>
        <w:t xml:space="preserve">Our Human Resources, Legal, and Finance teams support the Compensation Committee in the execution of its responsibilities. No NEO, including the CEO, has a role in determining their own compensation. </w:t>
      </w:r>
    </w:p>
    <w:p>
      <w:pPr>
        <w:pStyle w:val="TextBody"/>
        <w:bidi w:val="0"/>
        <w:spacing w:before="360" w:after="0"/>
        <w:jc w:val="left"/>
        <w:rPr>
          <w:rFonts w:ascii="ARIAL" w:hAnsi="ARIAL"/>
          <w:b/>
          <w:sz w:val="24"/>
        </w:rPr>
      </w:pPr>
      <w:r>
        <w:rPr>
          <w:rFonts w:ascii="ARIAL" w:hAnsi="ARIAL"/>
          <w:b/>
          <w:sz w:val="24"/>
        </w:rPr>
        <w:t xml:space="preserve">Role of the Independent Compensation Consultant </w:t>
      </w:r>
    </w:p>
    <w:p>
      <w:pPr>
        <w:pStyle w:val="TextBody"/>
        <w:bidi w:val="0"/>
        <w:spacing w:before="80" w:after="0"/>
        <w:jc w:val="left"/>
        <w:rPr>
          <w:rFonts w:ascii="ARIAL" w:hAnsi="ARIAL"/>
          <w:sz w:val="18"/>
        </w:rPr>
      </w:pPr>
      <w:r>
        <w:rPr>
          <w:rFonts w:ascii="ARIAL" w:hAnsi="ARIAL"/>
          <w:sz w:val="18"/>
        </w:rPr>
        <w:t xml:space="preserve">Historically, the Compensation Committee has retained Willis Towers Watson as its independent compensation consultant to assist the Compensation Committee in gathering comparison data and to provide information about trends in compensation among comparable companies. The Compensation Committee reviewed an assessment of the independence of, and any potential conflicts of interest raised by, Willis Towers Watson’s work for the Compensation Committee by considering, among other things, the factors prescribed by the SEC and Nasdaq, and concluded that Willis Towers Watson is independent and there are no such conflicts of interest. </w:t>
      </w:r>
    </w:p>
    <w:p>
      <w:pPr>
        <w:pStyle w:val="TextBody"/>
        <w:bidi w:val="0"/>
        <w:spacing w:before="160" w:after="0"/>
        <w:jc w:val="left"/>
        <w:rPr>
          <w:rFonts w:ascii="ARIAL" w:hAnsi="ARIAL"/>
          <w:sz w:val="18"/>
        </w:rPr>
      </w:pPr>
      <w:r>
        <w:rPr>
          <w:rFonts w:ascii="ARIAL" w:hAnsi="ARIAL"/>
          <w:sz w:val="18"/>
        </w:rPr>
        <w:t xml:space="preserve">In connection with the Compensation Committee’s executive compensation determinations in February 2025, the Compensation Committee engaged Willis Towers Watson for the following services: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25"/>
        <w:gridCol w:w="60"/>
        <w:gridCol w:w="566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8"/>
              </w:rPr>
            </w:pPr>
            <w:r>
              <w:rPr>
                <w:rFonts w:ascii="ARIAL" w:hAnsi="ARIAL"/>
                <w:sz w:val="18"/>
              </w:rPr>
              <w:t xml:space="preserve">Reviewed and recommended updates to the Company’s peer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Provided the Compensation Committee with a compensation analysis with respect to the competitiveness of the Company’s executive compensation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Conducted a market study of executive compensation practices to help ensure that the Company’s compensation programs are reasonable and competitive;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Conducted an assessment of potential risk factors associated with the design and administration of the Company’s executive compensation programs. </w:t>
            </w:r>
          </w:p>
        </w:tc>
      </w:tr>
    </w:tbl>
    <w:p>
      <w:pPr>
        <w:pStyle w:val="TextBody"/>
        <w:bidi w:val="0"/>
        <w:spacing w:before="160" w:after="0"/>
        <w:jc w:val="left"/>
        <w:rPr>
          <w:rFonts w:ascii="ARIAL" w:hAnsi="ARIAL"/>
          <w:sz w:val="18"/>
        </w:rPr>
      </w:pPr>
      <w:r>
        <w:rPr>
          <w:rFonts w:ascii="ARIAL" w:hAnsi="ARIAL"/>
          <w:sz w:val="18"/>
        </w:rPr>
        <w:t xml:space="preserve">The Compensation Committee reviewed and considered the recommendations of Willis Towers Watson in connection with its executive compensation decisions for 2025. </w:t>
      </w:r>
    </w:p>
    <w:p>
      <w:pPr>
        <w:pStyle w:val="TextBody"/>
        <w:bidi w:val="0"/>
        <w:spacing w:before="160" w:after="0"/>
        <w:jc w:val="left"/>
        <w:rPr>
          <w:rFonts w:ascii="ARIAL" w:hAnsi="ARIAL"/>
          <w:sz w:val="18"/>
        </w:rPr>
      </w:pPr>
      <w:r>
        <w:rPr>
          <w:rFonts w:ascii="ARIAL" w:hAnsi="ARIAL"/>
          <w:sz w:val="18"/>
        </w:rPr>
        <w:t xml:space="preserve">Willis Towers Watson reported to the Compensation Committee when performing the executive compensation studies and, at the direction of the Compensation Committee chair, also worked directly with the Company’s management to discuss compensation initiatives, including the new executive compensation program for 2026 and to develop materials and proposals with respect to NEO compensation. In addition, management engaged Korn Ferry to advise on the new executive compensation program for 2026. </w:t>
      </w:r>
    </w:p>
    <w:p>
      <w:pPr>
        <w:pStyle w:val="TextBody"/>
        <w:bidi w:val="0"/>
        <w:spacing w:before="240" w:after="0"/>
        <w:jc w:val="left"/>
        <w:rPr>
          <w:rFonts w:ascii="ARIAL" w:hAnsi="ARIAL"/>
          <w:b/>
          <w:sz w:val="24"/>
        </w:rPr>
      </w:pPr>
      <w:r>
        <w:rPr>
          <w:rFonts w:ascii="ARIAL" w:hAnsi="ARIAL"/>
          <w:b/>
          <w:sz w:val="24"/>
        </w:rPr>
        <w:t xml:space="preserve">Competitive Analysis (Benchmarking) </w:t>
      </w:r>
    </w:p>
    <w:p>
      <w:pPr>
        <w:pStyle w:val="TextBody"/>
        <w:bidi w:val="0"/>
        <w:spacing w:before="80" w:after="0"/>
        <w:jc w:val="left"/>
        <w:rPr>
          <w:rFonts w:ascii="ARIAL" w:hAnsi="ARIAL"/>
          <w:sz w:val="18"/>
        </w:rPr>
      </w:pPr>
      <w:r>
        <w:rPr>
          <w:rFonts w:ascii="ARIAL" w:hAnsi="ARIAL"/>
          <w:sz w:val="18"/>
        </w:rPr>
        <w:t xml:space="preserve">The Compensation Committee, with assistance from its independent compensation consultant, annually reviews our compensation peer group. These peer companies consist of real estate and technology companies with similar business focus and operations that compete with us for executive talent and have similar market capitalization and annual revenue, among other criteria, used to evaluate similarity of company performance, company lifecycle, and business focus, including net income and EBITDA, operating cash flow, and employee count.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18"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7" descr=""/>
                          <pic:cNvPicPr>
                            <a:picLocks noChangeAspect="1" noChangeArrowheads="1"/>
                          </pic:cNvPicPr>
                        </pic:nvPicPr>
                        <pic:blipFill>
                          <a:blip r:embed="rId30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December 2024, the Compensation Committee reevaluated our peer group (the “2024 Peer Group”), which positioned us at the 47th percentile on revenue and 57th percentile on Market Capitalization and, taking into account Willis Towers Watson’s review and recommendation, made adjustments noted below. Mercado Libre, Inc. and ServiceNow, Inc. were eliminated from the peer group because they no longer met any of the selection criteria. They were replaced with Autodesk, Inc. and DocuSign, Inc. which met the revenue and market capitalization criteria (the “2025 Peer Group”). These changes ensure continued alignment with our selection criteria. The resulting peer group positions us at the 49th percentile on revenue and 82nd percentile on market cap.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2"/>
        <w:gridCol w:w="60"/>
        <w:gridCol w:w="2345"/>
        <w:gridCol w:w="60"/>
        <w:gridCol w:w="773"/>
        <w:gridCol w:w="120"/>
        <w:gridCol w:w="2464"/>
        <w:gridCol w:w="60"/>
        <w:gridCol w:w="2251"/>
      </w:tblGrid>
      <w:tr>
        <w:trPr/>
        <w:tc>
          <w:tcPr>
            <w:tcW w:w="2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EAEAEA" w:val="clear"/>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4895" w:type="dxa"/>
            <w:gridSpan w:val="4"/>
            <w:tcBorders/>
            <w:shd w:fill="DAEDFA" w:val="clear"/>
            <w:vAlign w:val="center"/>
          </w:tcPr>
          <w:p>
            <w:pPr>
              <w:pStyle w:val="TableContents"/>
              <w:bidi w:val="0"/>
              <w:spacing w:before="0" w:after="283"/>
              <w:jc w:val="left"/>
              <w:rPr>
                <w:sz w:val="4"/>
                <w:szCs w:val="4"/>
              </w:rPr>
            </w:pPr>
            <w:r>
              <w:rPr>
                <w:sz w:val="4"/>
                <w:szCs w:val="4"/>
              </w:rPr>
            </w:r>
          </w:p>
        </w:tc>
      </w:tr>
      <w:tr>
        <w:trPr/>
        <w:tc>
          <w:tcPr>
            <w:tcW w:w="4477" w:type="dxa"/>
            <w:gridSpan w:val="3"/>
            <w:tcBorders/>
            <w:shd w:fill="EAEAEA" w:val="clear"/>
            <w:vAlign w:val="center"/>
          </w:tcPr>
          <w:p>
            <w:pPr>
              <w:pStyle w:val="TableContents"/>
              <w:bidi w:val="0"/>
              <w:spacing w:before="0" w:after="283"/>
              <w:jc w:val="center"/>
              <w:rPr>
                <w:b/>
                <w:sz w:val="20"/>
              </w:rPr>
            </w:pPr>
            <w:r>
              <w:rPr>
                <w:b/>
                <w:sz w:val="20"/>
              </w:rPr>
              <w:t>2024 PEER GROUP</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drawing>
                <wp:inline distT="0" distB="0" distL="0" distR="0">
                  <wp:extent cx="457200" cy="147955"/>
                  <wp:effectExtent l="0" t="0" r="0" b="0"/>
                  <wp:docPr id="319"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8" descr=""/>
                          <pic:cNvPicPr>
                            <a:picLocks noChangeAspect="1" noChangeArrowheads="1"/>
                          </pic:cNvPicPr>
                        </pic:nvPicPr>
                        <pic:blipFill>
                          <a:blip r:embed="rId308"/>
                          <a:stretch>
                            <a:fillRect/>
                          </a:stretch>
                        </pic:blipFill>
                        <pic:spPr bwMode="auto">
                          <a:xfrm>
                            <a:off x="0" y="0"/>
                            <a:ext cx="457200" cy="147955"/>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4775" w:type="dxa"/>
            <w:gridSpan w:val="3"/>
            <w:tcBorders/>
            <w:shd w:fill="DAEDFA" w:val="clear"/>
            <w:vAlign w:val="center"/>
          </w:tcPr>
          <w:p>
            <w:pPr>
              <w:pStyle w:val="TableContents"/>
              <w:bidi w:val="0"/>
              <w:spacing w:before="0" w:after="283"/>
              <w:jc w:val="center"/>
              <w:rPr>
                <w:b/>
                <w:sz w:val="20"/>
              </w:rPr>
            </w:pPr>
            <w:r>
              <w:rPr>
                <w:b/>
                <w:sz w:val="20"/>
              </w:rPr>
              <w:t>2025 PEER GROUP</w:t>
            </w:r>
          </w:p>
        </w:tc>
      </w:tr>
      <w:tr>
        <w:trPr/>
        <w:tc>
          <w:tcPr>
            <w:tcW w:w="2072" w:type="dxa"/>
            <w:tcBorders/>
            <w:shd w:fill="EAEAEA" w:val="clear"/>
            <w:vAlign w:val="center"/>
          </w:tcPr>
          <w:p>
            <w:pPr>
              <w:pStyle w:val="TableContents"/>
              <w:bidi w:val="0"/>
              <w:spacing w:before="0" w:after="283"/>
              <w:jc w:val="left"/>
              <w:rPr>
                <w:sz w:val="4"/>
                <w:szCs w:val="4"/>
              </w:rPr>
            </w:pPr>
            <w:r>
              <w:rPr>
                <w:sz w:val="4"/>
                <w:szCs w:val="4"/>
              </w:rPr>
            </w:r>
          </w:p>
        </w:tc>
        <w:tc>
          <w:tcPr>
            <w:tcW w:w="2405" w:type="dxa"/>
            <w:gridSpan w:val="2"/>
            <w:tcBorders/>
            <w:shd w:fill="EAEAEA" w:val="clear"/>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2584" w:type="dxa"/>
            <w:gridSpan w:val="2"/>
            <w:tcBorders/>
            <w:shd w:fill="DAEDFA" w:val="clear"/>
            <w:vAlign w:val="center"/>
          </w:tcPr>
          <w:p>
            <w:pPr>
              <w:pStyle w:val="TableContents"/>
              <w:bidi w:val="0"/>
              <w:spacing w:before="0" w:after="283"/>
              <w:jc w:val="left"/>
              <w:rPr>
                <w:sz w:val="4"/>
                <w:szCs w:val="4"/>
              </w:rPr>
            </w:pPr>
            <w:r>
              <w:rPr>
                <w:sz w:val="4"/>
                <w:szCs w:val="4"/>
              </w:rPr>
            </w:r>
          </w:p>
        </w:tc>
        <w:tc>
          <w:tcPr>
            <w:tcW w:w="2311"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2072" w:type="dxa"/>
            <w:tcBorders/>
            <w:shd w:fill="EAEAEA" w:val="clear"/>
            <w:vAlign w:val="center"/>
          </w:tcPr>
          <w:p>
            <w:pPr>
              <w:pStyle w:val="TableContents"/>
              <w:bidi w:val="0"/>
              <w:spacing w:before="0" w:after="0"/>
              <w:jc w:val="left"/>
              <w:rPr>
                <w:rFonts w:ascii="ARIAL" w:hAnsi="ARIAL"/>
                <w:sz w:val="18"/>
              </w:rPr>
            </w:pPr>
            <w:r>
              <w:rPr>
                <w:rFonts w:ascii="ARIAL" w:hAnsi="ARIAL"/>
                <w:sz w:val="18"/>
              </w:rPr>
              <w:t>Akamai Technologies, Inc.</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pPr>
            <w:r>
              <w:rPr/>
              <w:t>Paycom Software, Inc.</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b/>
              </w:rPr>
              <w:t>Autodesk, Inc.</w:t>
            </w:r>
            <w:r>
              <w:rPr/>
              <w:t xml:space="preserve"> </w:t>
            </w:r>
            <w:r>
              <w:rPr>
                <w:b/>
              </w:rPr>
              <w:t>+</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MSCI Inc.</w:t>
            </w:r>
          </w:p>
        </w:tc>
      </w:tr>
      <w:tr>
        <w:trPr/>
        <w:tc>
          <w:tcPr>
            <w:tcW w:w="2072" w:type="dxa"/>
            <w:tcBorders/>
            <w:shd w:fill="EAEAEA" w:val="clear"/>
            <w:vAlign w:val="center"/>
          </w:tcPr>
          <w:p>
            <w:pPr>
              <w:pStyle w:val="TableContents"/>
              <w:bidi w:val="0"/>
              <w:spacing w:before="0" w:after="0"/>
              <w:jc w:val="left"/>
              <w:rPr>
                <w:rFonts w:ascii="ARIAL" w:hAnsi="ARIAL"/>
                <w:sz w:val="18"/>
              </w:rPr>
            </w:pPr>
            <w:r>
              <w:rPr>
                <w:rFonts w:ascii="ARIAL" w:hAnsi="ARIAL"/>
                <w:sz w:val="18"/>
              </w:rPr>
              <w:t>ANSYS, Inc.</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pPr>
            <w:r>
              <w:rPr/>
              <w:t>PTC Inc.</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t>Akamai Technologies, Inc.</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Paycom Software, Inc.</w:t>
            </w:r>
          </w:p>
        </w:tc>
      </w:tr>
      <w:tr>
        <w:trPr/>
        <w:tc>
          <w:tcPr>
            <w:tcW w:w="2072" w:type="dxa"/>
            <w:tcBorders/>
            <w:shd w:fill="EAEAEA" w:val="clear"/>
            <w:vAlign w:val="center"/>
          </w:tcPr>
          <w:p>
            <w:pPr>
              <w:pStyle w:val="TableContents"/>
              <w:bidi w:val="0"/>
              <w:spacing w:before="0" w:after="0"/>
              <w:jc w:val="left"/>
              <w:rPr>
                <w:rFonts w:ascii="ARIAL" w:hAnsi="ARIAL"/>
                <w:sz w:val="18"/>
              </w:rPr>
            </w:pPr>
            <w:r>
              <w:rPr>
                <w:rFonts w:ascii="ARIAL" w:hAnsi="ARIAL"/>
                <w:sz w:val="18"/>
              </w:rPr>
              <w:t>Equifax Inc.</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b/>
              </w:rPr>
            </w:pPr>
            <w:r>
              <w:rPr>
                <w:b/>
              </w:rPr>
              <w:t>ServiceNow, Inc. –</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t>ANSYS, Inc.</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PTC Inc.</w:t>
            </w:r>
          </w:p>
        </w:tc>
      </w:tr>
      <w:tr>
        <w:trPr/>
        <w:tc>
          <w:tcPr>
            <w:tcW w:w="2072" w:type="dxa"/>
            <w:tcBorders/>
            <w:shd w:fill="EAEAEA" w:val="clear"/>
            <w:vAlign w:val="center"/>
          </w:tcPr>
          <w:p>
            <w:pPr>
              <w:pStyle w:val="TableContents"/>
              <w:bidi w:val="0"/>
              <w:spacing w:before="0" w:after="0"/>
              <w:jc w:val="left"/>
              <w:rPr>
                <w:rFonts w:ascii="ARIAL" w:hAnsi="ARIAL"/>
                <w:sz w:val="18"/>
              </w:rPr>
            </w:pPr>
            <w:r>
              <w:rPr>
                <w:rFonts w:ascii="ARIAL" w:hAnsi="ARIAL"/>
                <w:sz w:val="18"/>
              </w:rPr>
              <w:t>FactSet Research</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pPr>
            <w:r>
              <w:rPr/>
              <w:t>TransUnion</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b/>
              </w:rPr>
              <w:t>DocuSign, Inc.</w:t>
            </w:r>
            <w:r>
              <w:rPr/>
              <w:t xml:space="preserve"> </w:t>
            </w:r>
            <w:r>
              <w:rPr>
                <w:b/>
              </w:rPr>
              <w:t>+</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TransUnion</w:t>
            </w:r>
          </w:p>
        </w:tc>
      </w:tr>
      <w:tr>
        <w:trPr/>
        <w:tc>
          <w:tcPr>
            <w:tcW w:w="2072" w:type="dxa"/>
            <w:tcBorders/>
            <w:shd w:fill="EAEAEA" w:val="clear"/>
            <w:vAlign w:val="center"/>
          </w:tcPr>
          <w:p>
            <w:pPr>
              <w:pStyle w:val="TableContents"/>
              <w:bidi w:val="0"/>
              <w:spacing w:before="0" w:after="0"/>
              <w:jc w:val="left"/>
              <w:rPr>
                <w:rFonts w:ascii="ARIAL" w:hAnsi="ARIAL"/>
                <w:sz w:val="18"/>
              </w:rPr>
            </w:pPr>
            <w:r>
              <w:rPr>
                <w:rFonts w:ascii="ARIAL" w:hAnsi="ARIAL"/>
                <w:sz w:val="18"/>
              </w:rPr>
              <w:t>Systems, Inc.</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pPr>
            <w:r>
              <w:rPr/>
              <w:t>Tyler Technologies, Inc.</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t>Equifax Inc.</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Tyler Technologies, Inc.</w:t>
            </w:r>
          </w:p>
        </w:tc>
      </w:tr>
      <w:tr>
        <w:trPr/>
        <w:tc>
          <w:tcPr>
            <w:tcW w:w="2072" w:type="dxa"/>
            <w:tcBorders/>
            <w:shd w:fill="EAEAEA" w:val="clear"/>
            <w:vAlign w:val="center"/>
          </w:tcPr>
          <w:p>
            <w:pPr>
              <w:pStyle w:val="TableContents"/>
              <w:bidi w:val="0"/>
              <w:spacing w:before="0" w:after="0"/>
              <w:jc w:val="left"/>
              <w:rPr>
                <w:rFonts w:ascii="ARIAL" w:hAnsi="ARIAL"/>
                <w:sz w:val="18"/>
              </w:rPr>
            </w:pPr>
            <w:r>
              <w:rPr>
                <w:rFonts w:ascii="ARIAL" w:hAnsi="ARIAL"/>
                <w:sz w:val="18"/>
              </w:rPr>
              <w:t>Fair Isaac Corporation</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pPr>
            <w:r>
              <w:rPr/>
              <w:t>VeriSign, Inc.</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t>FactSet Research</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VeriSign, Inc.</w:t>
            </w:r>
          </w:p>
        </w:tc>
      </w:tr>
      <w:tr>
        <w:trPr/>
        <w:tc>
          <w:tcPr>
            <w:tcW w:w="2072" w:type="dxa"/>
            <w:tcBorders/>
            <w:shd w:fill="EAEAEA" w:val="clear"/>
            <w:vAlign w:val="center"/>
          </w:tcPr>
          <w:p>
            <w:pPr>
              <w:pStyle w:val="TableContents"/>
              <w:bidi w:val="0"/>
              <w:spacing w:before="0" w:after="0"/>
              <w:jc w:val="left"/>
              <w:rPr>
                <w:rFonts w:ascii="ARIAL" w:hAnsi="ARIAL"/>
                <w:sz w:val="18"/>
              </w:rPr>
            </w:pPr>
            <w:r>
              <w:rPr>
                <w:rFonts w:ascii="ARIAL" w:hAnsi="ARIAL"/>
                <w:sz w:val="18"/>
              </w:rPr>
              <w:t>Gartner, Inc.</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pPr>
            <w:r>
              <w:rPr/>
              <w:t>Verisk Analytics, Inc.</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t>Systems, Inc.</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Verisk Analytics, Inc.</w:t>
            </w:r>
          </w:p>
        </w:tc>
      </w:tr>
      <w:tr>
        <w:trPr/>
        <w:tc>
          <w:tcPr>
            <w:tcW w:w="2072" w:type="dxa"/>
            <w:tcBorders/>
            <w:shd w:fill="EAEAEA" w:val="clear"/>
            <w:vAlign w:val="center"/>
          </w:tcPr>
          <w:p>
            <w:pPr>
              <w:pStyle w:val="TableContents"/>
              <w:bidi w:val="0"/>
              <w:spacing w:before="0" w:after="0"/>
              <w:jc w:val="left"/>
              <w:rPr>
                <w:rFonts w:ascii="ARIAL" w:hAnsi="ARIAL"/>
                <w:b/>
                <w:sz w:val="18"/>
              </w:rPr>
            </w:pPr>
            <w:r>
              <w:rPr>
                <w:rFonts w:ascii="ARIAL" w:hAnsi="ARIAL"/>
                <w:b/>
                <w:sz w:val="18"/>
              </w:rPr>
              <w:t>MercadoLibre –</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pPr>
            <w:r>
              <w:rPr/>
              <w:t>Workday, Inc.</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t>Fair Isaac Corporation</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Workday, Inc.</w:t>
            </w:r>
          </w:p>
        </w:tc>
      </w:tr>
      <w:tr>
        <w:trPr/>
        <w:tc>
          <w:tcPr>
            <w:tcW w:w="2072" w:type="dxa"/>
            <w:tcBorders/>
            <w:shd w:fill="EAEAEA" w:val="clear"/>
            <w:vAlign w:val="center"/>
          </w:tcPr>
          <w:p>
            <w:pPr>
              <w:pStyle w:val="TableContents"/>
              <w:bidi w:val="0"/>
              <w:spacing w:before="0" w:after="0"/>
              <w:jc w:val="left"/>
              <w:rPr>
                <w:rFonts w:ascii="ARIAL" w:hAnsi="ARIAL"/>
                <w:sz w:val="18"/>
              </w:rPr>
            </w:pPr>
            <w:r>
              <w:rPr>
                <w:rFonts w:ascii="ARIAL" w:hAnsi="ARIAL"/>
                <w:sz w:val="18"/>
              </w:rPr>
              <w:t>MSCI Inc.</w:t>
            </w:r>
          </w:p>
        </w:tc>
        <w:tc>
          <w:tcPr>
            <w:tcW w:w="60" w:type="dxa"/>
            <w:tcBorders/>
            <w:shd w:fill="EAEAEA" w:val="clear"/>
            <w:vAlign w:val="center"/>
          </w:tcPr>
          <w:p>
            <w:pPr>
              <w:pStyle w:val="TableContents"/>
              <w:bidi w:val="0"/>
              <w:spacing w:before="0" w:after="283"/>
              <w:jc w:val="left"/>
              <w:rPr/>
            </w:pPr>
            <w:r>
              <w:rPr/>
              <w:t> </w:t>
            </w:r>
          </w:p>
        </w:tc>
        <w:tc>
          <w:tcPr>
            <w:tcW w:w="2345" w:type="dxa"/>
            <w:tcBorders/>
            <w:shd w:fill="EAEAEA" w:val="clear"/>
            <w:vAlign w:val="center"/>
          </w:tcPr>
          <w:p>
            <w:pPr>
              <w:pStyle w:val="TableContents"/>
              <w:bidi w:val="0"/>
              <w:spacing w:before="0" w:after="283"/>
              <w:jc w:val="left"/>
              <w:rPr/>
            </w:pPr>
            <w:r>
              <w:rPr/>
              <w:t>Zillow Group, Inc.</w:t>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464" w:type="dxa"/>
            <w:tcBorders/>
            <w:shd w:fill="DAEDFA" w:val="clear"/>
            <w:vAlign w:val="center"/>
          </w:tcPr>
          <w:p>
            <w:pPr>
              <w:pStyle w:val="TableContents"/>
              <w:bidi w:val="0"/>
              <w:spacing w:before="0" w:after="283"/>
              <w:jc w:val="left"/>
              <w:rPr/>
            </w:pPr>
            <w:r>
              <w:rPr/>
              <w:t>Gartner, Inc.</w:t>
            </w:r>
          </w:p>
        </w:tc>
        <w:tc>
          <w:tcPr>
            <w:tcW w:w="60" w:type="dxa"/>
            <w:tcBorders/>
            <w:shd w:fill="DAEDFA" w:val="clear"/>
            <w:vAlign w:val="center"/>
          </w:tcPr>
          <w:p>
            <w:pPr>
              <w:pStyle w:val="TableContents"/>
              <w:bidi w:val="0"/>
              <w:spacing w:before="0" w:after="283"/>
              <w:jc w:val="left"/>
              <w:rPr/>
            </w:pPr>
            <w:r>
              <w:rPr/>
              <w:t> </w:t>
            </w:r>
          </w:p>
        </w:tc>
        <w:tc>
          <w:tcPr>
            <w:tcW w:w="2251" w:type="dxa"/>
            <w:tcBorders/>
            <w:shd w:fill="DAEDFA" w:val="clear"/>
            <w:vAlign w:val="center"/>
          </w:tcPr>
          <w:p>
            <w:pPr>
              <w:pStyle w:val="TableContents"/>
              <w:bidi w:val="0"/>
              <w:spacing w:before="0" w:after="283"/>
              <w:jc w:val="left"/>
              <w:rPr/>
            </w:pPr>
            <w:r>
              <w:rPr/>
              <w:t>Zillow Group, Inc.</w:t>
            </w:r>
          </w:p>
        </w:tc>
      </w:tr>
      <w:tr>
        <w:trPr/>
        <w:tc>
          <w:tcPr>
            <w:tcW w:w="2072" w:type="dxa"/>
            <w:tcBorders/>
            <w:vAlign w:val="center"/>
          </w:tcPr>
          <w:p>
            <w:pPr>
              <w:pStyle w:val="TableContents"/>
              <w:bidi w:val="0"/>
              <w:spacing w:before="0" w:after="283"/>
              <w:jc w:val="left"/>
              <w:rPr>
                <w:sz w:val="4"/>
                <w:szCs w:val="4"/>
              </w:rPr>
            </w:pPr>
            <w:r>
              <w:rPr>
                <w:sz w:val="4"/>
                <w:szCs w:val="4"/>
              </w:rPr>
            </w:r>
          </w:p>
        </w:tc>
        <w:tc>
          <w:tcPr>
            <w:tcW w:w="240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2584" w:type="dxa"/>
            <w:gridSpan w:val="2"/>
            <w:tcBorders/>
            <w:vAlign w:val="center"/>
          </w:tcPr>
          <w:p>
            <w:pPr>
              <w:pStyle w:val="TableContents"/>
              <w:bidi w:val="0"/>
              <w:spacing w:before="0" w:after="283"/>
              <w:jc w:val="left"/>
              <w:rPr>
                <w:sz w:val="4"/>
                <w:szCs w:val="4"/>
              </w:rPr>
            </w:pPr>
            <w:r>
              <w:rPr>
                <w:sz w:val="4"/>
                <w:szCs w:val="4"/>
              </w:rPr>
            </w:r>
          </w:p>
        </w:tc>
        <w:tc>
          <w:tcPr>
            <w:tcW w:w="2311"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vAlign w:val="center"/>
          </w:tcPr>
          <w:p>
            <w:pPr>
              <w:pStyle w:val="TableContents"/>
              <w:bidi w:val="0"/>
              <w:spacing w:before="0" w:after="0"/>
              <w:jc w:val="left"/>
              <w:rPr/>
            </w:pPr>
            <w:r>
              <w:rPr/>
              <w:t>–  </w:t>
            </w:r>
            <w:r>
              <w:rPr>
                <w:rFonts w:ascii="ARIAL" w:hAnsi="ARIAL"/>
                <w:sz w:val="18"/>
              </w:rPr>
              <w:t>Removed</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64" w:type="dxa"/>
            <w:tcBorders/>
            <w:vAlign w:val="center"/>
          </w:tcPr>
          <w:p>
            <w:pPr>
              <w:pStyle w:val="TableContents"/>
              <w:bidi w:val="0"/>
              <w:spacing w:before="0" w:after="0"/>
              <w:jc w:val="left"/>
              <w:rPr>
                <w:rFonts w:ascii="ARIAL" w:hAnsi="ARIAL"/>
                <w:sz w:val="18"/>
              </w:rPr>
            </w:pPr>
            <w:r>
              <w:rPr>
                <w:rFonts w:ascii="ARIAL" w:hAnsi="ARIAL"/>
                <w:b/>
                <w:sz w:val="18"/>
              </w:rPr>
              <w:t>+</w:t>
            </w:r>
            <w:r>
              <w:rPr>
                <w:rFonts w:ascii="ARIAL" w:hAnsi="ARIAL"/>
                <w:sz w:val="18"/>
              </w:rPr>
              <w:t xml:space="preserve">  Added</w:t>
            </w:r>
          </w:p>
        </w:tc>
        <w:tc>
          <w:tcPr>
            <w:tcW w:w="60"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18"/>
        </w:rPr>
      </w:pPr>
      <w:r>
        <w:rPr>
          <w:rFonts w:ascii="ARIAL" w:hAnsi="ARIAL"/>
          <w:sz w:val="18"/>
        </w:rPr>
        <w:t xml:space="preserve">The following charts show CoStar’s position within the peer group on the two primary screening criteria, Revenue and Market Capitalization. Dollar values are presented in millions. Revenue was extracted from Standard and Poor’s Capital IC (CapIQ) financial database in November 2025, reflecting trailing 12-month data. Market Capitalization is as of September 1, 2025.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3175000" cy="1461770"/>
                <wp:effectExtent l="0" t="0" r="0" b="0"/>
                <wp:wrapSquare wrapText="right"/>
                <wp:docPr id="320" name="Frame14"/>
                <a:graphic xmlns:a="http://schemas.openxmlformats.org/drawingml/2006/main">
                  <a:graphicData uri="http://schemas.microsoft.com/office/word/2010/wordprocessingShape">
                    <wps:wsp>
                      <wps:cNvSpPr txBox="1"/>
                      <wps:spPr>
                        <a:xfrm>
                          <a:off x="0" y="0"/>
                          <a:ext cx="3175000" cy="1461770"/>
                        </a:xfrm>
                        <a:prstGeom prst="rect"/>
                        <a:solidFill>
                          <a:srgbClr val="FFFFFF"/>
                        </a:solidFill>
                      </wps:spPr>
                      <wps:txbx>
                        <w:txbxContent>
                          <w:p>
                            <w:pPr>
                              <w:pStyle w:val="TextBody"/>
                              <w:bidi w:val="0"/>
                              <w:spacing w:before="0" w:after="0"/>
                              <w:jc w:val="center"/>
                              <w:rPr/>
                            </w:pPr>
                            <w:r>
                              <w:rPr/>
                              <w:drawing>
                                <wp:inline distT="0" distB="0" distL="0" distR="0">
                                  <wp:extent cx="3201035" cy="1428750"/>
                                  <wp:effectExtent l="0" t="0" r="0" b="0"/>
                                  <wp:docPr id="321"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00" descr=""/>
                                          <pic:cNvPicPr>
                                            <a:picLocks noChangeAspect="1" noChangeArrowheads="1"/>
                                          </pic:cNvPicPr>
                                        </pic:nvPicPr>
                                        <pic:blipFill>
                                          <a:blip r:embed="rId309"/>
                                          <a:stretch>
                                            <a:fillRect/>
                                          </a:stretch>
                                        </pic:blipFill>
                                        <pic:spPr bwMode="auto">
                                          <a:xfrm>
                                            <a:off x="0" y="0"/>
                                            <a:ext cx="3201035" cy="142875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5.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pPr>
                      <w:r>
                        <w:rPr/>
                        <w:drawing>
                          <wp:inline distT="0" distB="0" distL="0" distR="0">
                            <wp:extent cx="3201035" cy="1428750"/>
                            <wp:effectExtent l="0" t="0" r="0" b="0"/>
                            <wp:docPr id="322"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00" descr=""/>
                                    <pic:cNvPicPr>
                                      <a:picLocks noChangeAspect="1" noChangeArrowheads="1"/>
                                    </pic:cNvPicPr>
                                  </pic:nvPicPr>
                                  <pic:blipFill>
                                    <a:blip r:embed="rId310"/>
                                    <a:stretch>
                                      <a:fillRect/>
                                    </a:stretch>
                                  </pic:blipFill>
                                  <pic:spPr bwMode="auto">
                                    <a:xfrm>
                                      <a:off x="0" y="0"/>
                                      <a:ext cx="3201035" cy="142875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3110230" cy="1461770"/>
                <wp:effectExtent l="0" t="0" r="0" b="0"/>
                <wp:wrapSquare wrapText="right"/>
                <wp:docPr id="323" name="Frame13"/>
                <a:graphic xmlns:a="http://schemas.openxmlformats.org/drawingml/2006/main">
                  <a:graphicData uri="http://schemas.microsoft.com/office/word/2010/wordprocessingShape">
                    <wps:wsp>
                      <wps:cNvSpPr txBox="1"/>
                      <wps:spPr>
                        <a:xfrm>
                          <a:off x="0" y="0"/>
                          <a:ext cx="3110230" cy="1461770"/>
                        </a:xfrm>
                        <a:prstGeom prst="rect"/>
                        <a:solidFill>
                          <a:srgbClr val="FFFFFF"/>
                        </a:solidFill>
                      </wps:spPr>
                      <wps:txbx>
                        <w:txbxContent>
                          <w:p>
                            <w:pPr>
                              <w:pStyle w:val="TextBody"/>
                              <w:bidi w:val="0"/>
                              <w:spacing w:before="0" w:after="0"/>
                              <w:jc w:val="center"/>
                              <w:rPr/>
                            </w:pPr>
                            <w:r>
                              <w:rPr/>
                              <w:drawing>
                                <wp:inline distT="0" distB="0" distL="0" distR="0">
                                  <wp:extent cx="3200400" cy="1428750"/>
                                  <wp:effectExtent l="0" t="0" r="0" b="0"/>
                                  <wp:docPr id="324"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99" descr=""/>
                                          <pic:cNvPicPr>
                                            <a:picLocks noChangeAspect="1" noChangeArrowheads="1"/>
                                          </pic:cNvPicPr>
                                        </pic:nvPicPr>
                                        <pic:blipFill>
                                          <a:blip r:embed="rId311"/>
                                          <a:stretch>
                                            <a:fillRect/>
                                          </a:stretch>
                                        </pic:blipFill>
                                        <pic:spPr bwMode="auto">
                                          <a:xfrm>
                                            <a:off x="0" y="0"/>
                                            <a:ext cx="3200400" cy="142875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5.1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center"/>
                        <w:rPr/>
                      </w:pPr>
                      <w:r>
                        <w:rPr/>
                        <w:drawing>
                          <wp:inline distT="0" distB="0" distL="0" distR="0">
                            <wp:extent cx="3200400" cy="1428750"/>
                            <wp:effectExtent l="0" t="0" r="0" b="0"/>
                            <wp:docPr id="325"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99" descr=""/>
                                    <pic:cNvPicPr>
                                      <a:picLocks noChangeAspect="1" noChangeArrowheads="1"/>
                                    </pic:cNvPicPr>
                                  </pic:nvPicPr>
                                  <pic:blipFill>
                                    <a:blip r:embed="rId312"/>
                                    <a:stretch>
                                      <a:fillRect/>
                                    </a:stretch>
                                  </pic:blipFill>
                                  <pic:spPr bwMode="auto">
                                    <a:xfrm>
                                      <a:off x="0" y="0"/>
                                      <a:ext cx="3200400" cy="142875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Compensation Committee believes that comparing the compensation of each of the Company’s NEOs with executives in comparable positions at peer companies supports the Compensation Committee’s goal that the total compensation provided be set at an appropriate level to attract, reward, and retain top performers over the long term. Willis Towers Watson reviewed comparative data from the Company’s peer group, as described above, as well as data from a nationally recognized executive compensation survey using relevant revenue and industry benchmarks. </w:t>
      </w:r>
    </w:p>
    <w:p>
      <w:pPr>
        <w:pStyle w:val="TextBody"/>
        <w:bidi w:val="0"/>
        <w:spacing w:before="160" w:after="0"/>
        <w:jc w:val="left"/>
        <w:rPr>
          <w:rFonts w:ascii="ARIAL" w:hAnsi="ARIAL"/>
          <w:sz w:val="19"/>
        </w:rPr>
      </w:pPr>
      <w:r>
        <w:rPr>
          <w:rFonts w:ascii="ARIAL" w:hAnsi="ARIAL"/>
          <w:sz w:val="19"/>
        </w:rPr>
        <w:t xml:space="preserve">The Compensation Committee evaluates each component of the compensation program on a holistic basis and establishes target compensation levels considering market benchmarking, the Company’s objectives, individual performance, and internal pay equity.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26"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1" descr=""/>
                          <pic:cNvPicPr>
                            <a:picLocks noChangeAspect="1" noChangeArrowheads="1"/>
                          </pic:cNvPicPr>
                        </pic:nvPicPr>
                        <pic:blipFill>
                          <a:blip r:embed="rId31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54BA"/>
          <w:sz w:val="30"/>
        </w:rPr>
      </w:pPr>
      <w:bookmarkStart w:id="32" w:name="tx903159_105"/>
      <w:bookmarkEnd w:id="32"/>
      <w:r>
        <w:rPr>
          <w:rFonts w:ascii="ARIAL" w:hAnsi="ARIAL"/>
          <w:b/>
          <w:color w:val="0054BA"/>
          <w:sz w:val="30"/>
        </w:rPr>
        <w:t xml:space="preserve">EXECUTIVE COMPENSATION DESIGN AND AWARD DECISIONS FOR 2025 </w:t>
      </w:r>
    </w:p>
    <w:p>
      <w:pPr>
        <w:pStyle w:val="TextBody"/>
        <w:bidi w:val="0"/>
        <w:spacing w:before="80" w:after="0"/>
        <w:jc w:val="left"/>
        <w:rPr>
          <w:rFonts w:ascii="ARIAL" w:hAnsi="ARIAL"/>
          <w:sz w:val="18"/>
        </w:rPr>
      </w:pPr>
      <w:r>
        <w:rPr>
          <w:rFonts w:ascii="ARIAL" w:hAnsi="ARIAL"/>
          <w:sz w:val="18"/>
        </w:rPr>
        <w:t xml:space="preserve">In this section, we summarize each of the elements of our 2025 compensation program, as well as how each element is set and linked to performance. These 2025 elements were already approved and in place prior to the 2025 say-on-pay vote, subsequent stockholder engagement, and the significant changes described above in response to stockholder feedback. As such, except where otherwise noted, this section describes our prior executive compensation programs.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9"/>
        <w:gridCol w:w="60"/>
        <w:gridCol w:w="1401"/>
        <w:gridCol w:w="60"/>
        <w:gridCol w:w="2263"/>
        <w:gridCol w:w="120"/>
        <w:gridCol w:w="4952"/>
      </w:tblGrid>
      <w:tr>
        <w:trPr/>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2" w:type="dxa"/>
            <w:tcBorders/>
            <w:vAlign w:val="center"/>
          </w:tcPr>
          <w:p>
            <w:pPr>
              <w:pStyle w:val="TableContents"/>
              <w:bidi w:val="0"/>
              <w:spacing w:before="0" w:after="283"/>
              <w:jc w:val="left"/>
              <w:rPr>
                <w:sz w:val="4"/>
                <w:szCs w:val="4"/>
              </w:rPr>
            </w:pPr>
            <w:r>
              <w:rPr>
                <w:sz w:val="4"/>
                <w:szCs w:val="4"/>
              </w:rPr>
            </w:r>
          </w:p>
        </w:tc>
      </w:tr>
      <w:tr>
        <w:trPr/>
        <w:tc>
          <w:tcPr>
            <w:tcW w:w="1349" w:type="dxa"/>
            <w:tcBorders>
              <w:top w:val="single" w:sz="6" w:space="0" w:color="7F7F7F"/>
              <w:left w:val="single" w:sz="6" w:space="0" w:color="7F7F7F"/>
              <w:right w:val="single" w:sz="6" w:space="0" w:color="7F7F7F"/>
            </w:tcBorders>
            <w:shd w:fill="0054BA" w:val="clear"/>
            <w:tcMar>
              <w:top w:w="28" w:type="dxa"/>
              <w:left w:w="160" w:type="dxa"/>
              <w:right w:w="28" w:type="dxa"/>
            </w:tcMar>
            <w:vAlign w:val="center"/>
          </w:tcPr>
          <w:p>
            <w:pPr>
              <w:pStyle w:val="TableContents"/>
              <w:bidi w:val="0"/>
              <w:spacing w:before="0" w:after="283"/>
              <w:jc w:val="left"/>
              <w:rPr/>
            </w:pPr>
            <w:r>
              <w:rPr/>
              <w:t> </w:t>
            </w:r>
          </w:p>
        </w:tc>
        <w:tc>
          <w:tcPr>
            <w:tcW w:w="1461" w:type="dxa"/>
            <w:gridSpan w:val="2"/>
            <w:tcBorders>
              <w:top w:val="single" w:sz="6" w:space="0" w:color="7F7F7F"/>
              <w:right w:val="single" w:sz="6" w:space="0" w:color="7F7F7F"/>
            </w:tcBorders>
            <w:shd w:fill="0054BA" w:val="clear"/>
            <w:tcMar>
              <w:top w:w="28" w:type="dxa"/>
              <w:right w:w="28" w:type="dxa"/>
            </w:tcMar>
            <w:vAlign w:val="center"/>
          </w:tcPr>
          <w:p>
            <w:pPr>
              <w:pStyle w:val="TableContents"/>
              <w:bidi w:val="0"/>
              <w:spacing w:before="0" w:after="283"/>
              <w:jc w:val="left"/>
              <w:rPr/>
            </w:pPr>
            <w:r>
              <w:rPr/>
              <w:t> </w:t>
            </w:r>
          </w:p>
        </w:tc>
        <w:tc>
          <w:tcPr>
            <w:tcW w:w="2323" w:type="dxa"/>
            <w:gridSpan w:val="2"/>
            <w:tcBorders>
              <w:top w:val="single" w:sz="6" w:space="0" w:color="7F7F7F"/>
              <w:right w:val="single" w:sz="6" w:space="0" w:color="7F7F7F"/>
            </w:tcBorders>
            <w:shd w:fill="0054BA" w:val="clear"/>
            <w:tcMar>
              <w:top w:w="28" w:type="dxa"/>
              <w:right w:w="28" w:type="dxa"/>
            </w:tcMar>
            <w:vAlign w:val="center"/>
          </w:tcPr>
          <w:p>
            <w:pPr>
              <w:pStyle w:val="TableContents"/>
              <w:bidi w:val="0"/>
              <w:spacing w:before="0" w:after="283"/>
              <w:jc w:val="left"/>
              <w:rPr/>
            </w:pPr>
            <w:r>
              <w:rPr/>
              <w:t> </w:t>
            </w:r>
          </w:p>
        </w:tc>
        <w:tc>
          <w:tcPr>
            <w:tcW w:w="5072" w:type="dxa"/>
            <w:gridSpan w:val="2"/>
            <w:tcBorders>
              <w:top w:val="single" w:sz="6" w:space="0" w:color="7F7F7F"/>
              <w:right w:val="single" w:sz="6" w:space="0" w:color="7F7F7F"/>
            </w:tcBorders>
            <w:shd w:fill="0054BA" w:val="clear"/>
            <w:tcMar>
              <w:top w:w="28" w:type="dxa"/>
              <w:right w:w="28" w:type="dxa"/>
            </w:tcMar>
            <w:vAlign w:val="center"/>
          </w:tcPr>
          <w:p>
            <w:pPr>
              <w:pStyle w:val="TableContents"/>
              <w:bidi w:val="0"/>
              <w:spacing w:before="0" w:after="283"/>
              <w:jc w:val="left"/>
              <w:rPr/>
            </w:pPr>
            <w:r>
              <w:rPr/>
              <w:t> </w:t>
            </w:r>
          </w:p>
        </w:tc>
      </w:tr>
      <w:tr>
        <w:trPr/>
        <w:tc>
          <w:tcPr>
            <w:tcW w:w="1349" w:type="dxa"/>
            <w:tcBorders>
              <w:left w:val="single" w:sz="6" w:space="0" w:color="7F7F7F"/>
              <w:right w:val="single" w:sz="6" w:space="0" w:color="7F7F7F"/>
            </w:tcBorders>
            <w:shd w:fill="0054BA" w:val="clear"/>
            <w:tcMar>
              <w:left w:w="160" w:type="dxa"/>
              <w:right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1401" w:type="dxa"/>
            <w:tcBorders>
              <w:right w:val="single" w:sz="6" w:space="0" w:color="7F7F7F"/>
            </w:tcBorders>
            <w:shd w:fill="0054BA" w:val="clear"/>
            <w:tcMar>
              <w:right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263" w:type="dxa"/>
            <w:tcBorders>
              <w:right w:val="single" w:sz="6" w:space="0" w:color="7F7F7F"/>
            </w:tcBorders>
            <w:shd w:fill="0054BA" w:val="clear"/>
            <w:tcMar>
              <w:right w:w="28" w:type="dxa"/>
            </w:tcMar>
            <w:vAlign w:val="center"/>
          </w:tcPr>
          <w:p>
            <w:pPr>
              <w:pStyle w:val="TableContents"/>
              <w:bidi w:val="0"/>
              <w:spacing w:before="0" w:after="283"/>
              <w:jc w:val="center"/>
              <w:rPr>
                <w:b/>
                <w:color w:val="FFFFFF"/>
              </w:rPr>
            </w:pPr>
            <w:r>
              <w:rPr>
                <w:b/>
                <w:color w:val="FFFFFF"/>
              </w:rPr>
              <w:t>COMPONENT</w:t>
            </w:r>
          </w:p>
        </w:tc>
        <w:tc>
          <w:tcPr>
            <w:tcW w:w="120" w:type="dxa"/>
            <w:tcBorders/>
            <w:shd w:fill="0054BA" w:val="clear"/>
            <w:vAlign w:val="center"/>
          </w:tcPr>
          <w:p>
            <w:pPr>
              <w:pStyle w:val="TableContents"/>
              <w:bidi w:val="0"/>
              <w:spacing w:before="0" w:after="283"/>
              <w:jc w:val="left"/>
              <w:rPr/>
            </w:pPr>
            <w:r>
              <w:rPr/>
              <w:t>  </w:t>
            </w:r>
          </w:p>
        </w:tc>
        <w:tc>
          <w:tcPr>
            <w:tcW w:w="4952" w:type="dxa"/>
            <w:tcBorders>
              <w:right w:val="single" w:sz="6" w:space="0" w:color="7F7F7F"/>
            </w:tcBorders>
            <w:shd w:fill="0054BA" w:val="clear"/>
            <w:tcMar>
              <w:right w:w="40" w:type="dxa"/>
            </w:tcMar>
            <w:vAlign w:val="center"/>
          </w:tcPr>
          <w:p>
            <w:pPr>
              <w:pStyle w:val="TableContents"/>
              <w:bidi w:val="0"/>
              <w:spacing w:before="0" w:after="283"/>
              <w:jc w:val="center"/>
              <w:rPr>
                <w:b/>
                <w:color w:val="FFFFFF"/>
              </w:rPr>
            </w:pPr>
            <w:r>
              <w:rPr>
                <w:b/>
                <w:color w:val="FFFFFF"/>
              </w:rPr>
              <w:t>LINK TO PERFORMANCE</w:t>
            </w:r>
          </w:p>
        </w:tc>
      </w:tr>
      <w:tr>
        <w:trPr/>
        <w:tc>
          <w:tcPr>
            <w:tcW w:w="1349" w:type="dxa"/>
            <w:tcBorders>
              <w:left w:val="single" w:sz="6" w:space="0" w:color="7F7F7F"/>
              <w:bottom w:val="single" w:sz="6" w:space="0" w:color="7F7F7F"/>
              <w:right w:val="single" w:sz="6" w:space="0" w:color="7F7F7F"/>
            </w:tcBorders>
            <w:shd w:fill="F2F2F2" w:val="clear"/>
            <w:tcMar>
              <w:left w:w="160" w:type="dxa"/>
              <w:bottom w:w="28" w:type="dxa"/>
              <w:right w:w="28" w:type="dxa"/>
            </w:tcMar>
            <w:vAlign w:val="center"/>
          </w:tcPr>
          <w:p>
            <w:pPr>
              <w:pStyle w:val="TableContents"/>
              <w:bidi w:val="0"/>
              <w:spacing w:before="0" w:after="283"/>
              <w:jc w:val="left"/>
              <w:rPr/>
            </w:pPr>
            <w:r>
              <w:rPr/>
              <w:t> </w:t>
            </w:r>
            <w:r>
              <w:rPr>
                <w:b/>
              </w:rPr>
              <w:t>FIXED</w:t>
            </w:r>
          </w:p>
        </w:tc>
        <w:tc>
          <w:tcPr>
            <w:tcW w:w="60" w:type="dxa"/>
            <w:tcBorders>
              <w:bottom w:val="single" w:sz="6" w:space="0" w:color="7F7F7F"/>
            </w:tcBorders>
            <w:shd w:fill="F2F2F2" w:val="clear"/>
            <w:tcMar>
              <w:bottom w:w="28" w:type="dxa"/>
            </w:tcMar>
            <w:vAlign w:val="center"/>
          </w:tcPr>
          <w:p>
            <w:pPr>
              <w:pStyle w:val="TableContents"/>
              <w:bidi w:val="0"/>
              <w:spacing w:before="0" w:after="283"/>
              <w:jc w:val="left"/>
              <w:rPr/>
            </w:pPr>
            <w:r>
              <w:rPr/>
              <w:t> </w:t>
            </w:r>
          </w:p>
        </w:tc>
        <w:tc>
          <w:tcPr>
            <w:tcW w:w="1401" w:type="dxa"/>
            <w:tcBorders>
              <w:bottom w:val="single" w:sz="6" w:space="0" w:color="7F7F7F"/>
              <w:right w:val="single" w:sz="6" w:space="0" w:color="7F7F7F"/>
            </w:tcBorders>
            <w:shd w:fill="F2F2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7F7F7F"/>
            </w:tcBorders>
            <w:shd w:fill="F2F2F2" w:val="clear"/>
            <w:tcMar>
              <w:bottom w:w="28" w:type="dxa"/>
            </w:tcMar>
            <w:vAlign w:val="center"/>
          </w:tcPr>
          <w:p>
            <w:pPr>
              <w:pStyle w:val="TableContents"/>
              <w:bidi w:val="0"/>
              <w:spacing w:before="0" w:after="283"/>
              <w:jc w:val="left"/>
              <w:rPr/>
            </w:pPr>
            <w:r>
              <w:rPr/>
              <w:t> </w:t>
            </w:r>
          </w:p>
        </w:tc>
        <w:tc>
          <w:tcPr>
            <w:tcW w:w="2263" w:type="dxa"/>
            <w:tcBorders>
              <w:bottom w:val="single" w:sz="6" w:space="0" w:color="7F7F7F"/>
              <w:right w:val="single" w:sz="6" w:space="0" w:color="7F7F7F"/>
            </w:tcBorders>
            <w:shd w:fill="F2F2F2" w:val="clear"/>
            <w:tcMar>
              <w:bottom w:w="28" w:type="dxa"/>
              <w:right w:w="28" w:type="dxa"/>
            </w:tcMar>
            <w:vAlign w:val="center"/>
          </w:tcPr>
          <w:p>
            <w:pPr>
              <w:pStyle w:val="TableContents"/>
              <w:bidi w:val="0"/>
              <w:spacing w:before="0" w:after="283"/>
              <w:jc w:val="left"/>
              <w:rPr>
                <w:b/>
              </w:rPr>
            </w:pPr>
            <w:r>
              <w:rPr>
                <w:b/>
              </w:rPr>
              <w:t>Base Salary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4952" w:type="dxa"/>
            <w:tcBorders>
              <w:bottom w:val="single" w:sz="6" w:space="0" w:color="7F7F7F"/>
              <w:right w:val="single" w:sz="6" w:space="0" w:color="7F7F7F"/>
            </w:tcBorders>
            <w:tcMar>
              <w:bottom w:w="28" w:type="dxa"/>
              <w:right w:w="40" w:type="dxa"/>
            </w:tcMar>
            <w:vAlign w:val="center"/>
          </w:tcPr>
          <w:p>
            <w:pPr>
              <w:pStyle w:val="TableContents"/>
              <w:bidi w:val="0"/>
              <w:spacing w:before="0" w:after="0"/>
              <w:jc w:val="left"/>
              <w:rPr>
                <w:rFonts w:ascii="ARIAL" w:hAnsi="ARIAL"/>
                <w:sz w:val="18"/>
              </w:rPr>
            </w:pPr>
            <w:r>
              <w:rPr>
                <w:rFonts w:ascii="ARIAL" w:hAnsi="ARIAL"/>
                <w:sz w:val="18"/>
              </w:rPr>
              <w:t>Delivers market-competitive compensation designed to attract and retain highly qualified executive talent and compensates executives for their day-to-day responsibilities, reward sustained long-term performance, and offer an appropriate level of financial stability.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Reviewed annually in light of responsibilities, performance, internal pay equity, total compensation, and advice of Independent Compensation Consultant.</w:t>
            </w:r>
          </w:p>
        </w:tc>
      </w:tr>
      <w:tr>
        <w:trPr/>
        <w:tc>
          <w:tcPr>
            <w:tcW w:w="1349" w:type="dxa"/>
            <w:vMerge w:val="restart"/>
            <w:tcBorders>
              <w:left w:val="single" w:sz="6" w:space="0" w:color="7F7F7F"/>
              <w:bottom w:val="single" w:sz="6" w:space="0" w:color="7F7F7F"/>
              <w:right w:val="single" w:sz="6" w:space="0" w:color="7F7F7F"/>
            </w:tcBorders>
            <w:shd w:fill="F2F2F2" w:val="clear"/>
            <w:tcMar>
              <w:left w:w="160" w:type="dxa"/>
              <w:bottom w:w="28" w:type="dxa"/>
              <w:right w:w="28" w:type="dxa"/>
            </w:tcMar>
            <w:vAlign w:val="center"/>
          </w:tcPr>
          <w:p>
            <w:pPr>
              <w:pStyle w:val="TableContents"/>
              <w:bidi w:val="0"/>
              <w:spacing w:before="0" w:after="283"/>
              <w:jc w:val="left"/>
              <w:rPr/>
            </w:pPr>
            <w:r>
              <w:rPr/>
              <w:t> </w:t>
            </w:r>
            <w:r>
              <w:rPr>
                <w:b/>
              </w:rPr>
              <w:t>VARIABLE</w:t>
            </w:r>
          </w:p>
        </w:tc>
        <w:tc>
          <w:tcPr>
            <w:tcW w:w="60" w:type="dxa"/>
            <w:tcBorders>
              <w:bottom w:val="single" w:sz="6" w:space="0" w:color="7F7F7F"/>
            </w:tcBorders>
            <w:shd w:fill="F2F2F2" w:val="clear"/>
            <w:tcMar>
              <w:bottom w:w="28" w:type="dxa"/>
            </w:tcMar>
            <w:vAlign w:val="center"/>
          </w:tcPr>
          <w:p>
            <w:pPr>
              <w:pStyle w:val="TableContents"/>
              <w:bidi w:val="0"/>
              <w:spacing w:before="0" w:after="283"/>
              <w:jc w:val="left"/>
              <w:rPr/>
            </w:pPr>
            <w:r>
              <w:rPr/>
              <w:t> </w:t>
            </w:r>
          </w:p>
        </w:tc>
        <w:tc>
          <w:tcPr>
            <w:tcW w:w="1401" w:type="dxa"/>
            <w:tcBorders>
              <w:bottom w:val="single" w:sz="6" w:space="0" w:color="7F7F7F"/>
              <w:right w:val="single" w:sz="6" w:space="0" w:color="7F7F7F"/>
            </w:tcBorders>
            <w:shd w:fill="F2F2F2" w:val="clear"/>
            <w:tcMar>
              <w:bottom w:w="28" w:type="dxa"/>
              <w:right w:w="28" w:type="dxa"/>
            </w:tcMar>
            <w:vAlign w:val="center"/>
          </w:tcPr>
          <w:p>
            <w:pPr>
              <w:pStyle w:val="TableContents"/>
              <w:bidi w:val="0"/>
              <w:spacing w:before="0" w:after="283"/>
              <w:jc w:val="left"/>
              <w:rPr>
                <w:b/>
              </w:rPr>
            </w:pPr>
            <w:r>
              <w:rPr>
                <w:b/>
              </w:rPr>
              <w:t>VARIABLE CASH</w:t>
            </w:r>
          </w:p>
        </w:tc>
        <w:tc>
          <w:tcPr>
            <w:tcW w:w="60" w:type="dxa"/>
            <w:tcBorders>
              <w:bottom w:val="single" w:sz="6" w:space="0" w:color="7F7F7F"/>
            </w:tcBorders>
            <w:shd w:fill="F2F2F2" w:val="clear"/>
            <w:tcMar>
              <w:bottom w:w="28" w:type="dxa"/>
            </w:tcMar>
            <w:vAlign w:val="center"/>
          </w:tcPr>
          <w:p>
            <w:pPr>
              <w:pStyle w:val="TableContents"/>
              <w:bidi w:val="0"/>
              <w:spacing w:before="0" w:after="283"/>
              <w:jc w:val="left"/>
              <w:rPr/>
            </w:pPr>
            <w:r>
              <w:rPr/>
              <w:t> </w:t>
            </w:r>
          </w:p>
        </w:tc>
        <w:tc>
          <w:tcPr>
            <w:tcW w:w="2263" w:type="dxa"/>
            <w:tcBorders>
              <w:bottom w:val="single" w:sz="6" w:space="0" w:color="7F7F7F"/>
              <w:right w:val="single" w:sz="6" w:space="0" w:color="7F7F7F"/>
            </w:tcBorders>
            <w:shd w:fill="F2F2F2" w:val="clear"/>
            <w:tcMar>
              <w:bottom w:w="28" w:type="dxa"/>
              <w:right w:w="28" w:type="dxa"/>
            </w:tcMar>
            <w:vAlign w:val="center"/>
          </w:tcPr>
          <w:p>
            <w:pPr>
              <w:pStyle w:val="TableContents"/>
              <w:bidi w:val="0"/>
              <w:spacing w:before="0" w:after="283"/>
              <w:jc w:val="left"/>
              <w:rPr>
                <w:b/>
              </w:rPr>
            </w:pPr>
            <w:r>
              <w:rPr>
                <w:b/>
              </w:rPr>
              <w:t>Annual Cash Incentive Compensation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4952" w:type="dxa"/>
            <w:tcBorders>
              <w:bottom w:val="single" w:sz="6" w:space="0" w:color="7F7F7F"/>
              <w:right w:val="single" w:sz="6" w:space="0" w:color="7F7F7F"/>
            </w:tcBorders>
            <w:tcMar>
              <w:bottom w:w="28" w:type="dxa"/>
              <w:right w:w="40" w:type="dxa"/>
            </w:tcMar>
            <w:vAlign w:val="center"/>
          </w:tcPr>
          <w:p>
            <w:pPr>
              <w:pStyle w:val="TableContents"/>
              <w:bidi w:val="0"/>
              <w:spacing w:before="0" w:after="0"/>
              <w:jc w:val="left"/>
              <w:rPr>
                <w:rFonts w:ascii="ARIAL" w:hAnsi="ARIAL"/>
                <w:sz w:val="18"/>
              </w:rPr>
            </w:pPr>
            <w:r>
              <w:rPr>
                <w:rFonts w:ascii="ARIAL" w:hAnsi="ARIAL"/>
                <w:sz w:val="18"/>
              </w:rPr>
              <w:t>Offers an at-risk, variable cash incentive opportunity tied to annual performance, designed to motivate executives to achieve or exceed annual objectives while operating within appropriate risk parameters.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Variable based on the Company’s performance against established financial goals and achievement of individual goals for the prior year.</w:t>
            </w:r>
          </w:p>
        </w:tc>
      </w:tr>
      <w:tr>
        <w:trPr/>
        <w:tc>
          <w:tcPr>
            <w:tcW w:w="1349" w:type="dxa"/>
            <w:vMerge w:val="continue"/>
            <w:tcBorders>
              <w:left w:val="single" w:sz="6" w:space="0" w:color="7F7F7F"/>
              <w:bottom w:val="single" w:sz="6" w:space="0" w:color="7F7F7F"/>
              <w:right w:val="single" w:sz="6" w:space="0" w:color="7F7F7F"/>
            </w:tcBorders>
            <w:shd w:fill="F2F2F2" w:val="clear"/>
            <w:tcMar>
              <w:left w:w="160" w:type="dxa"/>
              <w:bottom w:w="28" w:type="dxa"/>
              <w:right w:w="28" w:type="dxa"/>
            </w:tcMar>
            <w:vAlign w:val="center"/>
          </w:tcPr>
          <w:p>
            <w:pPr>
              <w:pStyle w:val="Normal"/>
              <w:bidi w:val="0"/>
              <w:jc w:val="left"/>
              <w:rPr/>
            </w:pPr>
            <w:r>
              <w:rPr/>
            </w:r>
          </w:p>
        </w:tc>
        <w:tc>
          <w:tcPr>
            <w:tcW w:w="60" w:type="dxa"/>
            <w:vMerge w:val="restart"/>
            <w:tcBorders>
              <w:bottom w:val="single" w:sz="6" w:space="0" w:color="7F7F7F"/>
            </w:tcBorders>
            <w:shd w:fill="F2F2F2" w:val="clear"/>
            <w:tcMar>
              <w:bottom w:w="28" w:type="dxa"/>
            </w:tcMar>
            <w:vAlign w:val="center"/>
          </w:tcPr>
          <w:p>
            <w:pPr>
              <w:pStyle w:val="TableContents"/>
              <w:bidi w:val="0"/>
              <w:spacing w:before="0" w:after="283"/>
              <w:jc w:val="left"/>
              <w:rPr/>
            </w:pPr>
            <w:r>
              <w:rPr/>
              <w:t> </w:t>
            </w:r>
          </w:p>
        </w:tc>
        <w:tc>
          <w:tcPr>
            <w:tcW w:w="1401" w:type="dxa"/>
            <w:vMerge w:val="restart"/>
            <w:tcBorders>
              <w:bottom w:val="single" w:sz="6" w:space="0" w:color="7F7F7F"/>
              <w:right w:val="single" w:sz="6" w:space="0" w:color="7F7F7F"/>
            </w:tcBorders>
            <w:shd w:fill="F2F2F2" w:val="clear"/>
            <w:tcMar>
              <w:bottom w:w="28" w:type="dxa"/>
              <w:right w:w="28" w:type="dxa"/>
            </w:tcMar>
            <w:vAlign w:val="center"/>
          </w:tcPr>
          <w:p>
            <w:pPr>
              <w:pStyle w:val="TableContents"/>
              <w:bidi w:val="0"/>
              <w:spacing w:before="0" w:after="283"/>
              <w:jc w:val="left"/>
              <w:rPr>
                <w:b/>
              </w:rPr>
            </w:pPr>
            <w:r>
              <w:rPr>
                <w:b/>
              </w:rPr>
              <w:t>VARIABLE EQUITY</w:t>
            </w:r>
          </w:p>
        </w:tc>
        <w:tc>
          <w:tcPr>
            <w:tcW w:w="60" w:type="dxa"/>
            <w:tcBorders>
              <w:bottom w:val="single" w:sz="6" w:space="0" w:color="7F7F7F"/>
            </w:tcBorders>
            <w:shd w:fill="F2F2F2" w:val="clear"/>
            <w:tcMar>
              <w:bottom w:w="28" w:type="dxa"/>
            </w:tcMar>
            <w:vAlign w:val="center"/>
          </w:tcPr>
          <w:p>
            <w:pPr>
              <w:pStyle w:val="TableContents"/>
              <w:bidi w:val="0"/>
              <w:spacing w:before="0" w:after="283"/>
              <w:jc w:val="left"/>
              <w:rPr/>
            </w:pPr>
            <w:r>
              <w:rPr/>
              <w:t> </w:t>
            </w:r>
          </w:p>
        </w:tc>
        <w:tc>
          <w:tcPr>
            <w:tcW w:w="2263" w:type="dxa"/>
            <w:tcBorders>
              <w:bottom w:val="single" w:sz="6" w:space="0" w:color="7F7F7F"/>
              <w:right w:val="single" w:sz="6" w:space="0" w:color="7F7F7F"/>
            </w:tcBorders>
            <w:shd w:fill="F2F2F2" w:val="clear"/>
            <w:tcMar>
              <w:bottom w:w="28" w:type="dxa"/>
              <w:right w:w="28" w:type="dxa"/>
            </w:tcMar>
            <w:vAlign w:val="center"/>
          </w:tcPr>
          <w:p>
            <w:pPr>
              <w:pStyle w:val="TableContents"/>
              <w:bidi w:val="0"/>
              <w:spacing w:before="0" w:after="283"/>
              <w:jc w:val="left"/>
              <w:rPr/>
            </w:pPr>
            <w:r>
              <w:rPr>
                <w:b/>
              </w:rPr>
              <w:t>Performance-Based  Restricted Stock Award</w:t>
              <w:br/>
            </w:r>
            <w:r>
              <w:rPr>
                <w:i/>
              </w:rPr>
              <w:t>(45% of Equity)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4952" w:type="dxa"/>
            <w:tcBorders>
              <w:bottom w:val="single" w:sz="6" w:space="0" w:color="7F7F7F"/>
              <w:right w:val="single" w:sz="6" w:space="0" w:color="7F7F7F"/>
            </w:tcBorders>
            <w:tcMar>
              <w:bottom w:w="28" w:type="dxa"/>
              <w:right w:w="40" w:type="dxa"/>
            </w:tcMar>
            <w:vAlign w:val="center"/>
          </w:tcPr>
          <w:p>
            <w:pPr>
              <w:pStyle w:val="TableContents"/>
              <w:bidi w:val="0"/>
              <w:spacing w:before="0" w:after="0"/>
              <w:jc w:val="left"/>
              <w:rPr>
                <w:rFonts w:ascii="ARIAL" w:hAnsi="ARIAL"/>
                <w:sz w:val="18"/>
              </w:rPr>
            </w:pPr>
            <w:r>
              <w:rPr>
                <w:rFonts w:ascii="ARIAL" w:hAnsi="ARIAL"/>
                <w:sz w:val="18"/>
              </w:rPr>
              <w:t>Offer at-risk, equity-based pay opportunity tied to both performance and retention, with a performance-based grant and time-based vesting. Shares are granted at 0-200% of target award, with actual payout based on achievement of one-year net income goal set in the prior year. Once granted, shares vest over three years.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i/>
                <w:color w:val="0054BA"/>
                <w:sz w:val="18"/>
              </w:rPr>
              <w:t>Note for 2026:</w:t>
            </w:r>
            <w:r>
              <w:rPr>
                <w:rFonts w:ascii="ARIAL" w:hAnsi="ARIAL"/>
                <w:sz w:val="18"/>
              </w:rPr>
              <w:t xml:space="preserve"> Performance-based RSAs were removed from the Variable Equity mix in favor of time-based RSUs in a smaller proportion.</w:t>
            </w:r>
          </w:p>
        </w:tc>
      </w:tr>
      <w:tr>
        <w:trPr/>
        <w:tc>
          <w:tcPr>
            <w:tcW w:w="1349" w:type="dxa"/>
            <w:vMerge w:val="continue"/>
            <w:tcBorders>
              <w:left w:val="single" w:sz="6" w:space="0" w:color="7F7F7F"/>
              <w:bottom w:val="single" w:sz="6" w:space="0" w:color="7F7F7F"/>
              <w:right w:val="single" w:sz="6" w:space="0" w:color="7F7F7F"/>
            </w:tcBorders>
            <w:shd w:fill="F2F2F2" w:val="clear"/>
            <w:tcMar>
              <w:left w:w="160" w:type="dxa"/>
              <w:bottom w:w="28" w:type="dxa"/>
              <w:right w:w="28" w:type="dxa"/>
            </w:tcMar>
            <w:vAlign w:val="center"/>
          </w:tcPr>
          <w:p>
            <w:pPr>
              <w:pStyle w:val="Normal"/>
              <w:bidi w:val="0"/>
              <w:jc w:val="left"/>
              <w:rPr/>
            </w:pPr>
            <w:r>
              <w:rPr/>
            </w:r>
          </w:p>
        </w:tc>
        <w:tc>
          <w:tcPr>
            <w:tcW w:w="60" w:type="dxa"/>
            <w:vMerge w:val="continue"/>
            <w:tcBorders>
              <w:bottom w:val="single" w:sz="6" w:space="0" w:color="7F7F7F"/>
            </w:tcBorders>
            <w:shd w:fill="F2F2F2" w:val="clear"/>
            <w:tcMar>
              <w:bottom w:w="28" w:type="dxa"/>
            </w:tcMar>
            <w:vAlign w:val="center"/>
          </w:tcPr>
          <w:p>
            <w:pPr>
              <w:pStyle w:val="Normal"/>
              <w:bidi w:val="0"/>
              <w:jc w:val="left"/>
              <w:rPr/>
            </w:pPr>
            <w:r>
              <w:rPr/>
            </w:r>
          </w:p>
        </w:tc>
        <w:tc>
          <w:tcPr>
            <w:tcW w:w="1401" w:type="dxa"/>
            <w:vMerge w:val="continue"/>
            <w:tcBorders>
              <w:bottom w:val="single" w:sz="6" w:space="0" w:color="7F7F7F"/>
              <w:right w:val="single" w:sz="6" w:space="0" w:color="7F7F7F"/>
            </w:tcBorders>
            <w:shd w:fill="F2F2F2" w:val="clear"/>
            <w:tcMar>
              <w:bottom w:w="28" w:type="dxa"/>
              <w:right w:w="28" w:type="dxa"/>
            </w:tcMar>
            <w:vAlign w:val="center"/>
          </w:tcPr>
          <w:p>
            <w:pPr>
              <w:pStyle w:val="Normal"/>
              <w:bidi w:val="0"/>
              <w:jc w:val="left"/>
              <w:rPr/>
            </w:pPr>
            <w:r>
              <w:rPr/>
            </w:r>
          </w:p>
        </w:tc>
        <w:tc>
          <w:tcPr>
            <w:tcW w:w="60" w:type="dxa"/>
            <w:tcBorders>
              <w:bottom w:val="single" w:sz="6" w:space="0" w:color="7F7F7F"/>
            </w:tcBorders>
            <w:shd w:fill="F2F2F2" w:val="clear"/>
            <w:tcMar>
              <w:bottom w:w="28" w:type="dxa"/>
            </w:tcMar>
            <w:vAlign w:val="center"/>
          </w:tcPr>
          <w:p>
            <w:pPr>
              <w:pStyle w:val="TableContents"/>
              <w:bidi w:val="0"/>
              <w:spacing w:before="0" w:after="283"/>
              <w:jc w:val="left"/>
              <w:rPr/>
            </w:pPr>
            <w:r>
              <w:rPr/>
              <w:t> </w:t>
            </w:r>
          </w:p>
        </w:tc>
        <w:tc>
          <w:tcPr>
            <w:tcW w:w="2263" w:type="dxa"/>
            <w:tcBorders>
              <w:bottom w:val="single" w:sz="6" w:space="0" w:color="7F7F7F"/>
              <w:right w:val="single" w:sz="6" w:space="0" w:color="7F7F7F"/>
            </w:tcBorders>
            <w:shd w:fill="F2F2F2" w:val="clear"/>
            <w:tcMar>
              <w:bottom w:w="28" w:type="dxa"/>
              <w:right w:w="28" w:type="dxa"/>
            </w:tcMar>
            <w:vAlign w:val="center"/>
          </w:tcPr>
          <w:p>
            <w:pPr>
              <w:pStyle w:val="TableContents"/>
              <w:bidi w:val="0"/>
              <w:spacing w:before="0" w:after="283"/>
              <w:jc w:val="left"/>
              <w:rPr/>
            </w:pPr>
            <w:r>
              <w:rPr>
                <w:b/>
              </w:rPr>
              <w:t>Three-Year Performance Stock Awards</w:t>
            </w:r>
            <w:r>
              <w:rPr/>
              <w:br/>
            </w:r>
            <w:r>
              <w:rPr>
                <w:i/>
              </w:rPr>
              <w:t>(40% of Equity)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4952" w:type="dxa"/>
            <w:tcBorders>
              <w:bottom w:val="single" w:sz="6" w:space="0" w:color="7F7F7F"/>
              <w:right w:val="single" w:sz="6" w:space="0" w:color="7F7F7F"/>
            </w:tcBorders>
            <w:tcMar>
              <w:bottom w:w="28" w:type="dxa"/>
              <w:right w:w="40" w:type="dxa"/>
            </w:tcMar>
            <w:vAlign w:val="center"/>
          </w:tcPr>
          <w:p>
            <w:pPr>
              <w:pStyle w:val="TableContents"/>
              <w:bidi w:val="0"/>
              <w:spacing w:before="0" w:after="0"/>
              <w:jc w:val="left"/>
              <w:rPr>
                <w:rFonts w:ascii="ARIAL" w:hAnsi="ARIAL"/>
                <w:sz w:val="18"/>
              </w:rPr>
            </w:pPr>
            <w:r>
              <w:rPr>
                <w:rFonts w:ascii="ARIAL" w:hAnsi="ARIAL"/>
                <w:sz w:val="18"/>
              </w:rPr>
              <w:t>Offer at-risk, equity-based pay opportunity tied to the creation of long-term stockholder value. Shares are eligible to vest at 0-200% of target award, based on achievement of a three-year cumulative revenue performance goal, subject to adjustment based on relative TSR performance. For purposes of the three-year performance period, ‘Revenue’ reflects organic performance and excludes revenues attributable to acquisitions completed during the acquisition year, in order to focus on underlying business growth.</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i/>
                <w:color w:val="0054BA"/>
                <w:sz w:val="18"/>
              </w:rPr>
              <w:t>Note for 2026:</w:t>
            </w:r>
            <w:r>
              <w:rPr>
                <w:rFonts w:ascii="ARIAL" w:hAnsi="ARIAL"/>
                <w:sz w:val="18"/>
              </w:rPr>
              <w:t xml:space="preserve"> Performance Stock Awards were redesigned with updated metrics, more rigorous goals, and granted as a larger proportion of the Variable Equity mix.</w:t>
            </w:r>
          </w:p>
        </w:tc>
      </w:tr>
      <w:tr>
        <w:trPr/>
        <w:tc>
          <w:tcPr>
            <w:tcW w:w="1349" w:type="dxa"/>
            <w:vMerge w:val="continue"/>
            <w:tcBorders>
              <w:left w:val="single" w:sz="6" w:space="0" w:color="7F7F7F"/>
              <w:bottom w:val="single" w:sz="6" w:space="0" w:color="7F7F7F"/>
              <w:right w:val="single" w:sz="6" w:space="0" w:color="7F7F7F"/>
            </w:tcBorders>
            <w:shd w:fill="F2F2F2" w:val="clear"/>
            <w:tcMar>
              <w:left w:w="160" w:type="dxa"/>
              <w:bottom w:w="28" w:type="dxa"/>
              <w:right w:w="28" w:type="dxa"/>
            </w:tcMar>
            <w:vAlign w:val="center"/>
          </w:tcPr>
          <w:p>
            <w:pPr>
              <w:pStyle w:val="Normal"/>
              <w:bidi w:val="0"/>
              <w:jc w:val="left"/>
              <w:rPr/>
            </w:pPr>
            <w:r>
              <w:rPr/>
            </w:r>
          </w:p>
        </w:tc>
        <w:tc>
          <w:tcPr>
            <w:tcW w:w="60" w:type="dxa"/>
            <w:vMerge w:val="continue"/>
            <w:tcBorders>
              <w:bottom w:val="single" w:sz="6" w:space="0" w:color="7F7F7F"/>
            </w:tcBorders>
            <w:shd w:fill="F2F2F2" w:val="clear"/>
            <w:tcMar>
              <w:bottom w:w="28" w:type="dxa"/>
            </w:tcMar>
            <w:vAlign w:val="center"/>
          </w:tcPr>
          <w:p>
            <w:pPr>
              <w:pStyle w:val="Normal"/>
              <w:bidi w:val="0"/>
              <w:jc w:val="left"/>
              <w:rPr/>
            </w:pPr>
            <w:r>
              <w:rPr/>
            </w:r>
          </w:p>
        </w:tc>
        <w:tc>
          <w:tcPr>
            <w:tcW w:w="1401" w:type="dxa"/>
            <w:vMerge w:val="continue"/>
            <w:tcBorders>
              <w:bottom w:val="single" w:sz="6" w:space="0" w:color="7F7F7F"/>
              <w:right w:val="single" w:sz="6" w:space="0" w:color="7F7F7F"/>
            </w:tcBorders>
            <w:shd w:fill="F2F2F2" w:val="clear"/>
            <w:tcMar>
              <w:bottom w:w="28" w:type="dxa"/>
              <w:right w:w="28" w:type="dxa"/>
            </w:tcMar>
            <w:vAlign w:val="center"/>
          </w:tcPr>
          <w:p>
            <w:pPr>
              <w:pStyle w:val="Normal"/>
              <w:bidi w:val="0"/>
              <w:jc w:val="left"/>
              <w:rPr/>
            </w:pPr>
            <w:r>
              <w:rPr/>
            </w:r>
          </w:p>
        </w:tc>
        <w:tc>
          <w:tcPr>
            <w:tcW w:w="60" w:type="dxa"/>
            <w:tcBorders>
              <w:bottom w:val="single" w:sz="6" w:space="0" w:color="7F7F7F"/>
            </w:tcBorders>
            <w:shd w:fill="F2F2F2" w:val="clear"/>
            <w:tcMar>
              <w:bottom w:w="28" w:type="dxa"/>
            </w:tcMar>
            <w:vAlign w:val="center"/>
          </w:tcPr>
          <w:p>
            <w:pPr>
              <w:pStyle w:val="TableContents"/>
              <w:bidi w:val="0"/>
              <w:spacing w:before="0" w:after="283"/>
              <w:jc w:val="left"/>
              <w:rPr/>
            </w:pPr>
            <w:r>
              <w:rPr/>
              <w:t> </w:t>
            </w:r>
          </w:p>
        </w:tc>
        <w:tc>
          <w:tcPr>
            <w:tcW w:w="2263" w:type="dxa"/>
            <w:tcBorders>
              <w:bottom w:val="single" w:sz="6" w:space="0" w:color="7F7F7F"/>
              <w:right w:val="single" w:sz="6" w:space="0" w:color="7F7F7F"/>
            </w:tcBorders>
            <w:shd w:fill="F2F2F2" w:val="clear"/>
            <w:tcMar>
              <w:bottom w:w="28" w:type="dxa"/>
              <w:right w:w="28" w:type="dxa"/>
            </w:tcMar>
            <w:vAlign w:val="center"/>
          </w:tcPr>
          <w:p>
            <w:pPr>
              <w:pStyle w:val="TableContents"/>
              <w:bidi w:val="0"/>
              <w:spacing w:before="0" w:after="283"/>
              <w:jc w:val="left"/>
              <w:rPr/>
            </w:pPr>
            <w:r>
              <w:rPr>
                <w:b/>
              </w:rPr>
              <w:t>Stock Options</w:t>
              <w:br/>
            </w:r>
            <w:r>
              <w:rPr>
                <w:i/>
              </w:rPr>
              <w:t>(15% of Equity)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4952" w:type="dxa"/>
            <w:tcBorders>
              <w:bottom w:val="single" w:sz="6" w:space="0" w:color="7F7F7F"/>
              <w:right w:val="single" w:sz="6" w:space="0" w:color="7F7F7F"/>
            </w:tcBorders>
            <w:tcMar>
              <w:bottom w:w="28" w:type="dxa"/>
              <w:right w:w="40" w:type="dxa"/>
            </w:tcMar>
            <w:vAlign w:val="center"/>
          </w:tcPr>
          <w:p>
            <w:pPr>
              <w:pStyle w:val="TableContents"/>
              <w:bidi w:val="0"/>
              <w:spacing w:before="0" w:after="0"/>
              <w:jc w:val="left"/>
              <w:rPr>
                <w:rFonts w:ascii="ARIAL" w:hAnsi="ARIAL"/>
                <w:sz w:val="18"/>
              </w:rPr>
            </w:pPr>
            <w:r>
              <w:rPr>
                <w:rFonts w:ascii="ARIAL" w:hAnsi="ARIAL"/>
                <w:sz w:val="18"/>
              </w:rPr>
              <w:t>Offer at-risk, equity-based pay opportunity over the long term, with potential value of awards increasing or decreasing with stock price. Options vest over three years.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i/>
                <w:color w:val="0054BA"/>
                <w:sz w:val="18"/>
              </w:rPr>
              <w:t>Note for 2026:</w:t>
            </w:r>
            <w:r>
              <w:rPr>
                <w:rFonts w:ascii="ARIAL" w:hAnsi="ARIAL"/>
                <w:sz w:val="18"/>
              </w:rPr>
              <w:t xml:space="preserve"> Stock Options were removed from the Variable Equity mix.</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27"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2" descr=""/>
                          <pic:cNvPicPr>
                            <a:picLocks noChangeAspect="1" noChangeArrowheads="1"/>
                          </pic:cNvPicPr>
                        </pic:nvPicPr>
                        <pic:blipFill>
                          <a:blip r:embed="rId31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33" w:name="tx903159_106"/>
      <w:bookmarkEnd w:id="33"/>
      <w:r>
        <w:rPr>
          <w:rFonts w:ascii="ARIAL" w:hAnsi="ARIAL"/>
          <w:b/>
          <w:sz w:val="24"/>
        </w:rPr>
        <w:t xml:space="preserve">2025 CEO Compensation </w:t>
      </w:r>
    </w:p>
    <w:p>
      <w:pPr>
        <w:pStyle w:val="TextBody"/>
        <w:bidi w:val="0"/>
        <w:spacing w:before="80" w:after="0"/>
        <w:jc w:val="left"/>
        <w:rPr>
          <w:rFonts w:ascii="ARIAL" w:hAnsi="ARIAL"/>
          <w:sz w:val="18"/>
        </w:rPr>
      </w:pPr>
      <w:r>
        <w:rPr>
          <w:rFonts w:ascii="ARIAL" w:hAnsi="ARIAL"/>
          <w:sz w:val="18"/>
        </w:rPr>
        <w:t xml:space="preserve">The Compensation Committee sets the CEO’s compensation at the beginning of each year, in consultation with its independent compensation consultant. In establishing the 2025 compensation target levels, the Compensation Committee considered Mr. Florance’s leadership and performance, the breadth and complexity of his responsibilities as the Company’s Founder and Chief Executive Officer, and the Board’s confidence in his long-term strategic direction. The Compensation Committee also took into account Mr. Florance’s tenure as one of foremost experts in the real estate industry, his tenure as one of the longest-serving founder CEOs in the S&amp;P 500, and the continuity, strategic discipline, and accountability that such leadership provides. The Compensation Committee considered that Mr. Florance is critical to the Company’s overall management as well as the continued development of its products and services, the Company’s culture, and its strategic direction. These factors were considered in relation to his pay positioning against relevant external market benchmarks. The Compensation Committee believes Mr. Florance’s compensation structure is strongly aligned with stockholder interests, with approximately 95% of his compensation tied to performance and at risk, requiring the creation of significant stockholder value to achieve maximum payout levels. </w:t>
      </w:r>
    </w:p>
    <w:p>
      <w:pPr>
        <w:pStyle w:val="TextBody"/>
        <w:bidi w:val="0"/>
        <w:spacing w:before="160" w:after="0"/>
        <w:jc w:val="left"/>
        <w:rPr>
          <w:rFonts w:ascii="ARIAL" w:hAnsi="ARIAL"/>
          <w:sz w:val="18"/>
        </w:rPr>
      </w:pPr>
      <w:r>
        <w:rPr>
          <w:rFonts w:ascii="ARIAL" w:hAnsi="ARIAL"/>
          <w:sz w:val="18"/>
        </w:rPr>
        <w:t xml:space="preserve">For 2026, in response to stockholder feedback regarding the quantum of CEO pay, the Compensation Committee enhanced the rigor and emphasis on long-term performance within the executive compensation program. In connection with these enhancements, current pay positioning against relevant external benchmarks, and with the full support of Mr. Florance, the Compensation Committee determined not to increase Mr. Florance’s target compensation from 2025 levels. For additional information, refer to the 2025 Say-on-Pay Results, Stockholder Engagement, and Responsive Actions section, including quantum of CEO pay. </w:t>
      </w:r>
    </w:p>
    <w:p>
      <w:pPr>
        <w:pStyle w:val="TextBody"/>
        <w:bidi w:val="0"/>
        <w:spacing w:before="360" w:after="0"/>
        <w:jc w:val="left"/>
        <w:rPr>
          <w:rFonts w:ascii="ARIAL" w:hAnsi="ARIAL"/>
          <w:b/>
          <w:sz w:val="24"/>
        </w:rPr>
      </w:pPr>
      <w:r>
        <w:rPr>
          <w:rFonts w:ascii="ARIAL" w:hAnsi="ARIAL"/>
          <w:b/>
          <w:sz w:val="24"/>
        </w:rPr>
        <w:t xml:space="preserve">2025 Total Target Compensation </w:t>
      </w:r>
    </w:p>
    <w:p>
      <w:pPr>
        <w:pStyle w:val="TextBody"/>
        <w:bidi w:val="0"/>
        <w:spacing w:before="80" w:after="0"/>
        <w:jc w:val="left"/>
        <w:rPr>
          <w:rFonts w:ascii="ARIAL" w:hAnsi="ARIAL"/>
          <w:sz w:val="18"/>
        </w:rPr>
      </w:pPr>
      <w:r>
        <w:rPr>
          <w:rFonts w:ascii="ARIAL" w:hAnsi="ARIAL"/>
          <w:sz w:val="18"/>
        </w:rPr>
        <w:t xml:space="preserve">The table below sets out the 2025 compensation target levels approved by the Compensation Committee for each NEO at the beginning of 2025. In the following sections, we provide detail for each component. </w:t>
      </w:r>
    </w:p>
    <w:p>
      <w:pPr>
        <w:pStyle w:val="TextBody"/>
        <w:bidi w:val="0"/>
        <w:spacing w:before="0" w:after="0"/>
        <w:jc w:val="left"/>
        <w:rPr/>
      </w:pPr>
      <w:r>
        <w:rPr/>
        <w:t> </w:t>
      </w:r>
    </w:p>
    <w:tbl>
      <w:tblPr>
        <w:tblW w:w="10366" w:type="dxa"/>
        <w:jc w:val="left"/>
        <w:tblInd w:w="0" w:type="dxa"/>
        <w:tblLayout w:type="fixed"/>
        <w:tblCellMar>
          <w:top w:w="0" w:type="dxa"/>
          <w:left w:w="0" w:type="dxa"/>
          <w:bottom w:w="0" w:type="dxa"/>
          <w:right w:w="0" w:type="dxa"/>
        </w:tblCellMar>
      </w:tblPr>
      <w:tblGrid>
        <w:gridCol w:w="890"/>
        <w:gridCol w:w="23"/>
        <w:gridCol w:w="32"/>
        <w:gridCol w:w="85"/>
        <w:gridCol w:w="881"/>
        <w:gridCol w:w="87"/>
        <w:gridCol w:w="23"/>
        <w:gridCol w:w="37"/>
        <w:gridCol w:w="97"/>
        <w:gridCol w:w="618"/>
        <w:gridCol w:w="97"/>
        <w:gridCol w:w="37"/>
        <w:gridCol w:w="37"/>
        <w:gridCol w:w="97"/>
        <w:gridCol w:w="1058"/>
        <w:gridCol w:w="102"/>
        <w:gridCol w:w="23"/>
        <w:gridCol w:w="30"/>
        <w:gridCol w:w="82"/>
        <w:gridCol w:w="903"/>
        <w:gridCol w:w="85"/>
        <w:gridCol w:w="25"/>
        <w:gridCol w:w="25"/>
        <w:gridCol w:w="67"/>
        <w:gridCol w:w="729"/>
        <w:gridCol w:w="67"/>
        <w:gridCol w:w="25"/>
        <w:gridCol w:w="31"/>
        <w:gridCol w:w="84"/>
        <w:gridCol w:w="915"/>
        <w:gridCol w:w="85"/>
        <w:gridCol w:w="25"/>
        <w:gridCol w:w="25"/>
        <w:gridCol w:w="67"/>
        <w:gridCol w:w="729"/>
        <w:gridCol w:w="75"/>
        <w:gridCol w:w="23"/>
        <w:gridCol w:w="49"/>
        <w:gridCol w:w="130"/>
        <w:gridCol w:w="1702"/>
        <w:gridCol w:w="164"/>
      </w:tblGrid>
      <w:tr>
        <w:trPr/>
        <w:tc>
          <w:tcPr>
            <w:tcW w:w="8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0054BA" w:val="clear"/>
            <w:vAlign w:val="center"/>
          </w:tcPr>
          <w:p>
            <w:pPr>
              <w:pStyle w:val="TableContents"/>
              <w:bidi w:val="0"/>
              <w:spacing w:before="0" w:after="283"/>
              <w:jc w:val="left"/>
              <w:rPr>
                <w:sz w:val="4"/>
                <w:szCs w:val="4"/>
              </w:rPr>
            </w:pPr>
            <w:r>
              <w:rPr>
                <w:sz w:val="4"/>
                <w:szCs w:val="4"/>
              </w:rPr>
            </w:r>
          </w:p>
        </w:tc>
        <w:tc>
          <w:tcPr>
            <w:tcW w:w="1108" w:type="dxa"/>
            <w:gridSpan w:val="5"/>
            <w:tcBorders/>
            <w:shd w:fill="0054BA" w:val="clear"/>
            <w:vAlign w:val="center"/>
          </w:tcPr>
          <w:p>
            <w:pPr>
              <w:pStyle w:val="TableContents"/>
              <w:bidi w:val="0"/>
              <w:spacing w:before="0" w:after="283"/>
              <w:jc w:val="left"/>
              <w:rPr>
                <w:sz w:val="4"/>
                <w:szCs w:val="4"/>
              </w:rPr>
            </w:pPr>
            <w:r>
              <w:rPr>
                <w:sz w:val="4"/>
                <w:szCs w:val="4"/>
              </w:rPr>
            </w:r>
          </w:p>
        </w:tc>
        <w:tc>
          <w:tcPr>
            <w:tcW w:w="2203" w:type="dxa"/>
            <w:gridSpan w:val="10"/>
            <w:tcBorders/>
            <w:shd w:fill="0054BA" w:val="clear"/>
            <w:vAlign w:val="center"/>
          </w:tcPr>
          <w:p>
            <w:pPr>
              <w:pStyle w:val="TableContents"/>
              <w:bidi w:val="0"/>
              <w:spacing w:before="0" w:after="283"/>
              <w:jc w:val="left"/>
              <w:rPr>
                <w:sz w:val="4"/>
                <w:szCs w:val="4"/>
              </w:rPr>
            </w:pPr>
            <w:r>
              <w:rPr>
                <w:sz w:val="4"/>
                <w:szCs w:val="4"/>
              </w:rPr>
            </w:r>
          </w:p>
        </w:tc>
        <w:tc>
          <w:tcPr>
            <w:tcW w:w="4097" w:type="dxa"/>
            <w:gridSpan w:val="20"/>
            <w:tcBorders/>
            <w:shd w:fill="0054BA" w:val="clear"/>
            <w:vAlign w:val="center"/>
          </w:tcPr>
          <w:p>
            <w:pPr>
              <w:pStyle w:val="TableContents"/>
              <w:bidi w:val="0"/>
              <w:spacing w:before="0" w:after="283"/>
              <w:jc w:val="left"/>
              <w:rPr>
                <w:sz w:val="4"/>
                <w:szCs w:val="4"/>
              </w:rPr>
            </w:pPr>
            <w:r>
              <w:rPr>
                <w:sz w:val="4"/>
                <w:szCs w:val="4"/>
              </w:rPr>
            </w:r>
          </w:p>
        </w:tc>
        <w:tc>
          <w:tcPr>
            <w:tcW w:w="2068"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890" w:type="dxa"/>
            <w:vMerge w:val="restart"/>
            <w:tcBorders>
              <w:bottom w:val="single" w:sz="6" w:space="0" w:color="0054BA"/>
            </w:tcBorders>
            <w:shd w:fill="0054BA" w:val="clear"/>
            <w:tcMar>
              <w:bottom w:w="6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vMerge w:val="restart"/>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1085" w:type="dxa"/>
            <w:gridSpan w:val="4"/>
            <w:vMerge w:val="restart"/>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ANNUAL</w:t>
              <w:br/>
              <w:t>BASE</w:t>
              <w:br/>
              <w:t>SALARY</w:t>
            </w:r>
          </w:p>
        </w:tc>
        <w:tc>
          <w:tcPr>
            <w:tcW w:w="23" w:type="dxa"/>
            <w:vMerge w:val="restart"/>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2180" w:type="dxa"/>
            <w:gridSpan w:val="9"/>
            <w:vMerge w:val="restart"/>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TARGET ANNUAL</w:t>
              <w:br/>
              <w:t>CASH INCENTIVE</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4074" w:type="dxa"/>
            <w:gridSpan w:val="19"/>
            <w:tcBorders>
              <w:bottom w:val="single" w:sz="6" w:space="0" w:color="FFFFFF"/>
            </w:tcBorders>
            <w:shd w:fill="0054BA" w:val="clear"/>
            <w:tcMar>
              <w:bottom w:w="60" w:type="dxa"/>
            </w:tcMar>
            <w:vAlign w:val="center"/>
          </w:tcPr>
          <w:p>
            <w:pPr>
              <w:pStyle w:val="TableContents"/>
              <w:bidi w:val="0"/>
              <w:spacing w:before="0" w:after="283"/>
              <w:jc w:val="center"/>
              <w:rPr>
                <w:b/>
                <w:color w:val="FFFFFF"/>
              </w:rPr>
            </w:pPr>
            <w:r>
              <w:rPr>
                <w:b/>
                <w:color w:val="FFFFFF"/>
              </w:rPr>
              <w:t>2025 TARGET EQUITY AWARD</w:t>
            </w:r>
          </w:p>
        </w:tc>
        <w:tc>
          <w:tcPr>
            <w:tcW w:w="23" w:type="dxa"/>
            <w:vMerge w:val="restart"/>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2045" w:type="dxa"/>
            <w:gridSpan w:val="4"/>
            <w:vMerge w:val="restart"/>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2025 TOTAL</w:t>
              <w:br/>
              <w:t>TARGET</w:t>
              <w:br/>
              <w:t>COMPENSATION</w:t>
            </w:r>
          </w:p>
        </w:tc>
      </w:tr>
      <w:tr>
        <w:trPr/>
        <w:tc>
          <w:tcPr>
            <w:tcW w:w="890" w:type="dxa"/>
            <w:vMerge w:val="continue"/>
            <w:tcBorders>
              <w:bottom w:val="single" w:sz="6" w:space="0" w:color="0054BA"/>
            </w:tcBorders>
            <w:shd w:fill="0054BA" w:val="clear"/>
            <w:tcMar>
              <w:bottom w:w="60" w:type="dxa"/>
            </w:tcMar>
            <w:vAlign w:val="center"/>
          </w:tcPr>
          <w:p>
            <w:pPr>
              <w:pStyle w:val="Normal"/>
              <w:bidi w:val="0"/>
              <w:jc w:val="left"/>
              <w:rPr/>
            </w:pPr>
            <w:r>
              <w:rPr/>
            </w:r>
          </w:p>
        </w:tc>
        <w:tc>
          <w:tcPr>
            <w:tcW w:w="23" w:type="dxa"/>
            <w:vMerge w:val="continue"/>
            <w:tcBorders>
              <w:bottom w:val="single" w:sz="6" w:space="0" w:color="0054BA"/>
            </w:tcBorders>
            <w:shd w:fill="0054BA" w:val="clear"/>
            <w:tcMar>
              <w:bottom w:w="28" w:type="dxa"/>
            </w:tcMar>
            <w:vAlign w:val="center"/>
          </w:tcPr>
          <w:p>
            <w:pPr>
              <w:pStyle w:val="Normal"/>
              <w:bidi w:val="0"/>
              <w:jc w:val="left"/>
              <w:rPr/>
            </w:pPr>
            <w:r>
              <w:rPr/>
            </w:r>
          </w:p>
        </w:tc>
        <w:tc>
          <w:tcPr>
            <w:tcW w:w="1085" w:type="dxa"/>
            <w:gridSpan w:val="4"/>
            <w:vMerge w:val="continue"/>
            <w:tcBorders>
              <w:bottom w:val="single" w:sz="6" w:space="0" w:color="0054BA"/>
            </w:tcBorders>
            <w:shd w:fill="0054BA" w:val="clear"/>
            <w:tcMar>
              <w:bottom w:w="60" w:type="dxa"/>
            </w:tcMar>
            <w:vAlign w:val="center"/>
          </w:tcPr>
          <w:p>
            <w:pPr>
              <w:pStyle w:val="Normal"/>
              <w:bidi w:val="0"/>
              <w:jc w:val="left"/>
              <w:rPr/>
            </w:pPr>
            <w:r>
              <w:rPr/>
            </w:r>
          </w:p>
        </w:tc>
        <w:tc>
          <w:tcPr>
            <w:tcW w:w="23" w:type="dxa"/>
            <w:vMerge w:val="continue"/>
            <w:tcBorders>
              <w:bottom w:val="single" w:sz="6" w:space="0" w:color="0054BA"/>
            </w:tcBorders>
            <w:shd w:fill="0054BA" w:val="clear"/>
            <w:tcMar>
              <w:bottom w:w="28" w:type="dxa"/>
            </w:tcMar>
            <w:vAlign w:val="center"/>
          </w:tcPr>
          <w:p>
            <w:pPr>
              <w:pStyle w:val="Normal"/>
              <w:bidi w:val="0"/>
              <w:jc w:val="left"/>
              <w:rPr/>
            </w:pPr>
            <w:r>
              <w:rPr/>
            </w:r>
          </w:p>
        </w:tc>
        <w:tc>
          <w:tcPr>
            <w:tcW w:w="2180" w:type="dxa"/>
            <w:gridSpan w:val="9"/>
            <w:vMerge w:val="continue"/>
            <w:tcBorders>
              <w:bottom w:val="single" w:sz="6" w:space="0" w:color="0054BA"/>
            </w:tcBorders>
            <w:shd w:fill="0054BA" w:val="clear"/>
            <w:tcMar>
              <w:bottom w:w="60" w:type="dxa"/>
            </w:tcMar>
            <w:vAlign w:val="center"/>
          </w:tcPr>
          <w:p>
            <w:pPr>
              <w:pStyle w:val="Normal"/>
              <w:bidi w:val="0"/>
              <w:jc w:val="left"/>
              <w:rPr/>
            </w:pPr>
            <w:r>
              <w:rPr/>
            </w:r>
          </w:p>
        </w:tc>
        <w:tc>
          <w:tcPr>
            <w:tcW w:w="23" w:type="dxa"/>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OPTIONS</w:t>
            </w:r>
          </w:p>
        </w:tc>
        <w:tc>
          <w:tcPr>
            <w:tcW w:w="25" w:type="dxa"/>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888" w:type="dxa"/>
            <w:gridSpan w:val="4"/>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PERF</w:t>
              <w:br/>
              <w:t>BASED</w:t>
              <w:br/>
              <w:t>RSAS</w:t>
            </w:r>
          </w:p>
        </w:tc>
        <w:tc>
          <w:tcPr>
            <w:tcW w:w="25" w:type="dxa"/>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PERF</w:t>
              <w:br/>
              <w:t>STOCK</w:t>
              <w:br/>
              <w:t>AWARDS</w:t>
            </w:r>
          </w:p>
        </w:tc>
        <w:tc>
          <w:tcPr>
            <w:tcW w:w="25" w:type="dxa"/>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896" w:type="dxa"/>
            <w:gridSpan w:val="4"/>
            <w:tcBorders>
              <w:bottom w:val="single" w:sz="6" w:space="0" w:color="0054BA"/>
            </w:tcBorders>
            <w:shd w:fill="0054BA" w:val="clear"/>
            <w:tcMar>
              <w:bottom w:w="60" w:type="dxa"/>
            </w:tcMar>
            <w:vAlign w:val="center"/>
          </w:tcPr>
          <w:p>
            <w:pPr>
              <w:pStyle w:val="TableContents"/>
              <w:bidi w:val="0"/>
              <w:spacing w:before="0" w:after="283"/>
              <w:jc w:val="center"/>
              <w:rPr>
                <w:b/>
                <w:color w:val="FFFFFF"/>
              </w:rPr>
            </w:pPr>
            <w:r>
              <w:rPr>
                <w:b/>
                <w:color w:val="FFFFFF"/>
              </w:rPr>
              <w:t>TOTAL</w:t>
            </w:r>
          </w:p>
        </w:tc>
        <w:tc>
          <w:tcPr>
            <w:tcW w:w="23" w:type="dxa"/>
            <w:vMerge w:val="continue"/>
            <w:tcBorders>
              <w:bottom w:val="single" w:sz="6" w:space="0" w:color="0054BA"/>
            </w:tcBorders>
            <w:shd w:fill="0054BA" w:val="clear"/>
            <w:tcMar>
              <w:bottom w:w="28" w:type="dxa"/>
            </w:tcMar>
            <w:vAlign w:val="center"/>
          </w:tcPr>
          <w:p>
            <w:pPr>
              <w:pStyle w:val="Normal"/>
              <w:bidi w:val="0"/>
              <w:jc w:val="left"/>
              <w:rPr/>
            </w:pPr>
            <w:r>
              <w:rPr/>
            </w:r>
          </w:p>
        </w:tc>
        <w:tc>
          <w:tcPr>
            <w:tcW w:w="2045" w:type="dxa"/>
            <w:gridSpan w:val="4"/>
            <w:vMerge w:val="continue"/>
            <w:tcBorders>
              <w:bottom w:val="single" w:sz="6" w:space="0" w:color="0054BA"/>
            </w:tcBorders>
            <w:shd w:fill="0054BA" w:val="clear"/>
            <w:tcMar>
              <w:bottom w:w="60" w:type="dxa"/>
            </w:tcMar>
            <w:vAlign w:val="center"/>
          </w:tcPr>
          <w:p>
            <w:pPr>
              <w:pStyle w:val="Normal"/>
              <w:bidi w:val="0"/>
              <w:jc w:val="left"/>
              <w:rPr/>
            </w:pPr>
            <w:r>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872" w:type="dxa"/>
            <w:gridSpan w:val="5"/>
            <w:tcBorders/>
            <w:vAlign w:val="center"/>
          </w:tcPr>
          <w:p>
            <w:pPr>
              <w:pStyle w:val="TableContents"/>
              <w:bidi w:val="0"/>
              <w:spacing w:before="0" w:after="283"/>
              <w:jc w:val="left"/>
              <w:rPr>
                <w:sz w:val="4"/>
                <w:szCs w:val="4"/>
              </w:rPr>
            </w:pPr>
            <w:r>
              <w:rPr>
                <w:sz w:val="4"/>
                <w:szCs w:val="4"/>
              </w:rPr>
            </w:r>
          </w:p>
        </w:tc>
        <w:tc>
          <w:tcPr>
            <w:tcW w:w="1331"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913" w:type="dxa"/>
            <w:gridSpan w:val="5"/>
            <w:tcBorders/>
            <w:vAlign w:val="center"/>
          </w:tcPr>
          <w:p>
            <w:pPr>
              <w:pStyle w:val="TableContents"/>
              <w:bidi w:val="0"/>
              <w:spacing w:before="0" w:after="283"/>
              <w:jc w:val="left"/>
              <w:rPr>
                <w:sz w:val="4"/>
                <w:szCs w:val="4"/>
              </w:rPr>
            </w:pPr>
            <w:r>
              <w:rPr>
                <w:sz w:val="4"/>
                <w:szCs w:val="4"/>
              </w:rPr>
            </w:r>
          </w:p>
        </w:tc>
        <w:tc>
          <w:tcPr>
            <w:tcW w:w="1140" w:type="dxa"/>
            <w:gridSpan w:val="5"/>
            <w:tcBorders/>
            <w:vAlign w:val="center"/>
          </w:tcPr>
          <w:p>
            <w:pPr>
              <w:pStyle w:val="TableContents"/>
              <w:bidi w:val="0"/>
              <w:spacing w:before="0" w:after="283"/>
              <w:jc w:val="left"/>
              <w:rPr>
                <w:sz w:val="4"/>
                <w:szCs w:val="4"/>
              </w:rPr>
            </w:pPr>
            <w:r>
              <w:rPr>
                <w:sz w:val="4"/>
                <w:szCs w:val="4"/>
              </w:rPr>
            </w:r>
          </w:p>
        </w:tc>
        <w:tc>
          <w:tcPr>
            <w:tcW w:w="921" w:type="dxa"/>
            <w:gridSpan w:val="5"/>
            <w:tcBorders/>
            <w:vAlign w:val="center"/>
          </w:tcPr>
          <w:p>
            <w:pPr>
              <w:pStyle w:val="TableContents"/>
              <w:bidi w:val="0"/>
              <w:spacing w:before="0" w:after="283"/>
              <w:jc w:val="left"/>
              <w:rPr>
                <w:sz w:val="4"/>
                <w:szCs w:val="4"/>
              </w:rPr>
            </w:pPr>
            <w:r>
              <w:rPr>
                <w:sz w:val="4"/>
                <w:szCs w:val="4"/>
              </w:rPr>
            </w:r>
          </w:p>
        </w:tc>
        <w:tc>
          <w:tcPr>
            <w:tcW w:w="2068"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Andrew C. Florance </w:t>
            </w:r>
            <w:r>
              <w:rPr>
                <w:rFonts w:ascii="ARIAL" w:hAnsi="ARIAL"/>
                <w:sz w:val="16"/>
              </w:rPr>
              <w:br/>
              <w:t>Founder and Chief 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881" w:type="dxa"/>
            <w:tcBorders>
              <w:bottom w:val="single" w:sz="6" w:space="0" w:color="000000"/>
            </w:tcBorders>
            <w:tcMar>
              <w:bottom w:w="100" w:type="dxa"/>
            </w:tcMar>
            <w:vAlign w:val="center"/>
          </w:tcPr>
          <w:p>
            <w:pPr>
              <w:pStyle w:val="TableContents"/>
              <w:bidi w:val="0"/>
              <w:spacing w:before="0" w:after="283"/>
              <w:jc w:val="center"/>
              <w:rPr/>
            </w:pPr>
            <w:r>
              <w:rPr/>
              <w:t>$1M</w:t>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618" w:type="dxa"/>
            <w:tcBorders>
              <w:bottom w:val="single" w:sz="6" w:space="0" w:color="000000"/>
            </w:tcBorders>
            <w:tcMar>
              <w:bottom w:w="100" w:type="dxa"/>
            </w:tcMar>
            <w:vAlign w:val="center"/>
          </w:tcPr>
          <w:p>
            <w:pPr>
              <w:pStyle w:val="TableContents"/>
              <w:bidi w:val="0"/>
              <w:spacing w:before="0" w:after="283"/>
              <w:jc w:val="center"/>
              <w:rPr/>
            </w:pPr>
            <w:r>
              <w:rPr/>
              <w:t>150%</w:t>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8" w:type="dxa"/>
            <w:tcBorders>
              <w:bottom w:val="single" w:sz="6" w:space="0" w:color="000000"/>
            </w:tcBorders>
            <w:tcMar>
              <w:bottom w:w="100" w:type="dxa"/>
            </w:tcMar>
            <w:vAlign w:val="center"/>
          </w:tcPr>
          <w:p>
            <w:pPr>
              <w:pStyle w:val="TableContents"/>
              <w:bidi w:val="0"/>
              <w:spacing w:before="0" w:after="283"/>
              <w:jc w:val="center"/>
              <w:rPr/>
            </w:pPr>
            <w:r>
              <w:rPr/>
              <w:t>$1.5M</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903" w:type="dxa"/>
            <w:tcBorders>
              <w:bottom w:val="single" w:sz="6" w:space="0" w:color="000000"/>
            </w:tcBorders>
            <w:tcMar>
              <w:bottom w:w="100" w:type="dxa"/>
            </w:tcMar>
            <w:vAlign w:val="center"/>
          </w:tcPr>
          <w:p>
            <w:pPr>
              <w:pStyle w:val="TableContents"/>
              <w:bidi w:val="0"/>
              <w:spacing w:before="0" w:after="283"/>
              <w:jc w:val="center"/>
              <w:rPr/>
            </w:pPr>
            <w:r>
              <w:rPr/>
              <w:t>$2.9M</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$8.6M</w:t>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$7.6M</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$19M</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702"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$21.5M</w:t>
            </w:r>
          </w:p>
        </w:tc>
        <w:tc>
          <w:tcPr>
            <w:tcW w:w="164"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872" w:type="dxa"/>
            <w:gridSpan w:val="5"/>
            <w:tcBorders/>
            <w:vAlign w:val="center"/>
          </w:tcPr>
          <w:p>
            <w:pPr>
              <w:pStyle w:val="TableContents"/>
              <w:bidi w:val="0"/>
              <w:spacing w:before="0" w:after="283"/>
              <w:jc w:val="left"/>
              <w:rPr>
                <w:sz w:val="4"/>
                <w:szCs w:val="4"/>
              </w:rPr>
            </w:pPr>
            <w:r>
              <w:rPr>
                <w:sz w:val="4"/>
                <w:szCs w:val="4"/>
              </w:rPr>
            </w:r>
          </w:p>
        </w:tc>
        <w:tc>
          <w:tcPr>
            <w:tcW w:w="1331"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913" w:type="dxa"/>
            <w:gridSpan w:val="5"/>
            <w:tcBorders/>
            <w:vAlign w:val="center"/>
          </w:tcPr>
          <w:p>
            <w:pPr>
              <w:pStyle w:val="TableContents"/>
              <w:bidi w:val="0"/>
              <w:spacing w:before="0" w:after="283"/>
              <w:jc w:val="left"/>
              <w:rPr>
                <w:sz w:val="4"/>
                <w:szCs w:val="4"/>
              </w:rPr>
            </w:pPr>
            <w:r>
              <w:rPr>
                <w:sz w:val="4"/>
                <w:szCs w:val="4"/>
              </w:rPr>
            </w:r>
          </w:p>
        </w:tc>
        <w:tc>
          <w:tcPr>
            <w:tcW w:w="1140" w:type="dxa"/>
            <w:gridSpan w:val="5"/>
            <w:tcBorders/>
            <w:vAlign w:val="center"/>
          </w:tcPr>
          <w:p>
            <w:pPr>
              <w:pStyle w:val="TableContents"/>
              <w:bidi w:val="0"/>
              <w:spacing w:before="0" w:after="283"/>
              <w:jc w:val="left"/>
              <w:rPr>
                <w:sz w:val="4"/>
                <w:szCs w:val="4"/>
              </w:rPr>
            </w:pPr>
            <w:r>
              <w:rPr>
                <w:sz w:val="4"/>
                <w:szCs w:val="4"/>
              </w:rPr>
            </w:r>
          </w:p>
        </w:tc>
        <w:tc>
          <w:tcPr>
            <w:tcW w:w="921" w:type="dxa"/>
            <w:gridSpan w:val="5"/>
            <w:tcBorders/>
            <w:vAlign w:val="center"/>
          </w:tcPr>
          <w:p>
            <w:pPr>
              <w:pStyle w:val="TableContents"/>
              <w:bidi w:val="0"/>
              <w:spacing w:before="0" w:after="283"/>
              <w:jc w:val="left"/>
              <w:rPr>
                <w:sz w:val="4"/>
                <w:szCs w:val="4"/>
              </w:rPr>
            </w:pPr>
            <w:r>
              <w:rPr>
                <w:sz w:val="4"/>
                <w:szCs w:val="4"/>
              </w:rPr>
            </w:r>
          </w:p>
        </w:tc>
        <w:tc>
          <w:tcPr>
            <w:tcW w:w="2068"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Christian M. Lown </w:t>
            </w:r>
            <w:r>
              <w:rPr>
                <w:rFonts w:ascii="ARIAL" w:hAnsi="ARIAL"/>
                <w:sz w:val="16"/>
              </w:rPr>
              <w:br/>
              <w:t>Chief Financial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881" w:type="dxa"/>
            <w:tcBorders>
              <w:bottom w:val="single" w:sz="6" w:space="0" w:color="000000"/>
            </w:tcBorders>
            <w:tcMar>
              <w:bottom w:w="100" w:type="dxa"/>
            </w:tcMar>
            <w:vAlign w:val="center"/>
          </w:tcPr>
          <w:p>
            <w:pPr>
              <w:pStyle w:val="TableContents"/>
              <w:bidi w:val="0"/>
              <w:spacing w:before="0" w:after="283"/>
              <w:jc w:val="center"/>
              <w:rPr/>
            </w:pPr>
            <w:r>
              <w:rPr/>
              <w:t>$600k</w:t>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618" w:type="dxa"/>
            <w:tcBorders>
              <w:bottom w:val="single" w:sz="6" w:space="0" w:color="000000"/>
            </w:tcBorders>
            <w:tcMar>
              <w:bottom w:w="100" w:type="dxa"/>
            </w:tcMar>
            <w:vAlign w:val="center"/>
          </w:tcPr>
          <w:p>
            <w:pPr>
              <w:pStyle w:val="TableContents"/>
              <w:bidi w:val="0"/>
              <w:spacing w:before="0" w:after="283"/>
              <w:jc w:val="center"/>
              <w:rPr/>
            </w:pPr>
            <w:r>
              <w:rPr/>
              <w:t>100%</w:t>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8" w:type="dxa"/>
            <w:tcBorders>
              <w:bottom w:val="single" w:sz="6" w:space="0" w:color="000000"/>
            </w:tcBorders>
            <w:tcMar>
              <w:bottom w:w="100" w:type="dxa"/>
            </w:tcMar>
            <w:vAlign w:val="center"/>
          </w:tcPr>
          <w:p>
            <w:pPr>
              <w:pStyle w:val="TableContents"/>
              <w:bidi w:val="0"/>
              <w:spacing w:before="0" w:after="283"/>
              <w:jc w:val="center"/>
              <w:rPr/>
            </w:pPr>
            <w:r>
              <w:rPr/>
              <w:t>$600k</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903" w:type="dxa"/>
            <w:tcBorders>
              <w:bottom w:val="single" w:sz="6" w:space="0" w:color="000000"/>
            </w:tcBorders>
            <w:tcMar>
              <w:bottom w:w="100" w:type="dxa"/>
            </w:tcMar>
            <w:vAlign w:val="center"/>
          </w:tcPr>
          <w:p>
            <w:pPr>
              <w:pStyle w:val="TableContents"/>
              <w:bidi w:val="0"/>
              <w:spacing w:before="0" w:after="283"/>
              <w:jc w:val="center"/>
              <w:rPr/>
            </w:pPr>
            <w:r>
              <w:rPr/>
              <w:t>$615k</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$1.8M</w:t>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$1.6M</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$4.1M</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702"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$5.3M</w:t>
            </w:r>
          </w:p>
        </w:tc>
        <w:tc>
          <w:tcPr>
            <w:tcW w:w="164"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872" w:type="dxa"/>
            <w:gridSpan w:val="5"/>
            <w:tcBorders/>
            <w:vAlign w:val="center"/>
          </w:tcPr>
          <w:p>
            <w:pPr>
              <w:pStyle w:val="TableContents"/>
              <w:bidi w:val="0"/>
              <w:spacing w:before="0" w:after="283"/>
              <w:jc w:val="left"/>
              <w:rPr>
                <w:sz w:val="4"/>
                <w:szCs w:val="4"/>
              </w:rPr>
            </w:pPr>
            <w:r>
              <w:rPr>
                <w:sz w:val="4"/>
                <w:szCs w:val="4"/>
              </w:rPr>
            </w:r>
          </w:p>
        </w:tc>
        <w:tc>
          <w:tcPr>
            <w:tcW w:w="1331"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913" w:type="dxa"/>
            <w:gridSpan w:val="5"/>
            <w:tcBorders/>
            <w:vAlign w:val="center"/>
          </w:tcPr>
          <w:p>
            <w:pPr>
              <w:pStyle w:val="TableContents"/>
              <w:bidi w:val="0"/>
              <w:spacing w:before="0" w:after="283"/>
              <w:jc w:val="left"/>
              <w:rPr>
                <w:sz w:val="4"/>
                <w:szCs w:val="4"/>
              </w:rPr>
            </w:pPr>
            <w:r>
              <w:rPr>
                <w:sz w:val="4"/>
                <w:szCs w:val="4"/>
              </w:rPr>
            </w:r>
          </w:p>
        </w:tc>
        <w:tc>
          <w:tcPr>
            <w:tcW w:w="1140" w:type="dxa"/>
            <w:gridSpan w:val="5"/>
            <w:tcBorders/>
            <w:vAlign w:val="center"/>
          </w:tcPr>
          <w:p>
            <w:pPr>
              <w:pStyle w:val="TableContents"/>
              <w:bidi w:val="0"/>
              <w:spacing w:before="0" w:after="283"/>
              <w:jc w:val="left"/>
              <w:rPr>
                <w:sz w:val="4"/>
                <w:szCs w:val="4"/>
              </w:rPr>
            </w:pPr>
            <w:r>
              <w:rPr>
                <w:sz w:val="4"/>
                <w:szCs w:val="4"/>
              </w:rPr>
            </w:r>
          </w:p>
        </w:tc>
        <w:tc>
          <w:tcPr>
            <w:tcW w:w="921" w:type="dxa"/>
            <w:gridSpan w:val="5"/>
            <w:tcBorders/>
            <w:vAlign w:val="center"/>
          </w:tcPr>
          <w:p>
            <w:pPr>
              <w:pStyle w:val="TableContents"/>
              <w:bidi w:val="0"/>
              <w:spacing w:before="0" w:after="283"/>
              <w:jc w:val="left"/>
              <w:rPr>
                <w:sz w:val="4"/>
                <w:szCs w:val="4"/>
              </w:rPr>
            </w:pPr>
            <w:r>
              <w:rPr>
                <w:sz w:val="4"/>
                <w:szCs w:val="4"/>
              </w:rPr>
            </w:r>
          </w:p>
        </w:tc>
        <w:tc>
          <w:tcPr>
            <w:tcW w:w="2068"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Lisa C. Ruggles </w:t>
            </w:r>
            <w:r>
              <w:rPr>
                <w:rFonts w:ascii="ARIAL" w:hAnsi="ARIAL"/>
                <w:sz w:val="16"/>
              </w:rPr>
              <w:b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881" w:type="dxa"/>
            <w:tcBorders>
              <w:bottom w:val="single" w:sz="6" w:space="0" w:color="000000"/>
            </w:tcBorders>
            <w:tcMar>
              <w:bottom w:w="100" w:type="dxa"/>
            </w:tcMar>
            <w:vAlign w:val="center"/>
          </w:tcPr>
          <w:p>
            <w:pPr>
              <w:pStyle w:val="TableContents"/>
              <w:bidi w:val="0"/>
              <w:spacing w:before="0" w:after="283"/>
              <w:jc w:val="center"/>
              <w:rPr/>
            </w:pPr>
            <w:r>
              <w:rPr/>
              <w:t>$595k</w:t>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618" w:type="dxa"/>
            <w:tcBorders>
              <w:bottom w:val="single" w:sz="6" w:space="0" w:color="000000"/>
            </w:tcBorders>
            <w:tcMar>
              <w:bottom w:w="100" w:type="dxa"/>
            </w:tcMar>
            <w:vAlign w:val="center"/>
          </w:tcPr>
          <w:p>
            <w:pPr>
              <w:pStyle w:val="TableContents"/>
              <w:bidi w:val="0"/>
              <w:spacing w:before="0" w:after="283"/>
              <w:jc w:val="center"/>
              <w:rPr/>
            </w:pPr>
            <w:r>
              <w:rPr/>
              <w:t>95%</w:t>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8" w:type="dxa"/>
            <w:tcBorders>
              <w:bottom w:val="single" w:sz="6" w:space="0" w:color="000000"/>
            </w:tcBorders>
            <w:tcMar>
              <w:bottom w:w="100" w:type="dxa"/>
            </w:tcMar>
            <w:vAlign w:val="center"/>
          </w:tcPr>
          <w:p>
            <w:pPr>
              <w:pStyle w:val="TableContents"/>
              <w:bidi w:val="0"/>
              <w:spacing w:before="0" w:after="283"/>
              <w:jc w:val="center"/>
              <w:rPr/>
            </w:pPr>
            <w:r>
              <w:rPr/>
              <w:t>$565k</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903" w:type="dxa"/>
            <w:tcBorders>
              <w:bottom w:val="single" w:sz="6" w:space="0" w:color="000000"/>
            </w:tcBorders>
            <w:tcMar>
              <w:bottom w:w="100" w:type="dxa"/>
            </w:tcMar>
            <w:vAlign w:val="center"/>
          </w:tcPr>
          <w:p>
            <w:pPr>
              <w:pStyle w:val="TableContents"/>
              <w:bidi w:val="0"/>
              <w:spacing w:before="0" w:after="283"/>
              <w:jc w:val="center"/>
              <w:rPr/>
            </w:pPr>
            <w:r>
              <w:rPr/>
              <w:t>$413k</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$1.2M</w:t>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$1.1M</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$2.8M</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702"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$3.9M</w:t>
            </w:r>
          </w:p>
        </w:tc>
        <w:tc>
          <w:tcPr>
            <w:tcW w:w="164"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872" w:type="dxa"/>
            <w:gridSpan w:val="5"/>
            <w:tcBorders/>
            <w:vAlign w:val="center"/>
          </w:tcPr>
          <w:p>
            <w:pPr>
              <w:pStyle w:val="TableContents"/>
              <w:bidi w:val="0"/>
              <w:spacing w:before="0" w:after="283"/>
              <w:jc w:val="left"/>
              <w:rPr>
                <w:sz w:val="4"/>
                <w:szCs w:val="4"/>
              </w:rPr>
            </w:pPr>
            <w:r>
              <w:rPr>
                <w:sz w:val="4"/>
                <w:szCs w:val="4"/>
              </w:rPr>
            </w:r>
          </w:p>
        </w:tc>
        <w:tc>
          <w:tcPr>
            <w:tcW w:w="1331"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913" w:type="dxa"/>
            <w:gridSpan w:val="5"/>
            <w:tcBorders/>
            <w:vAlign w:val="center"/>
          </w:tcPr>
          <w:p>
            <w:pPr>
              <w:pStyle w:val="TableContents"/>
              <w:bidi w:val="0"/>
              <w:spacing w:before="0" w:after="283"/>
              <w:jc w:val="left"/>
              <w:rPr>
                <w:sz w:val="4"/>
                <w:szCs w:val="4"/>
              </w:rPr>
            </w:pPr>
            <w:r>
              <w:rPr>
                <w:sz w:val="4"/>
                <w:szCs w:val="4"/>
              </w:rPr>
            </w:r>
          </w:p>
        </w:tc>
        <w:tc>
          <w:tcPr>
            <w:tcW w:w="1140" w:type="dxa"/>
            <w:gridSpan w:val="5"/>
            <w:tcBorders/>
            <w:vAlign w:val="center"/>
          </w:tcPr>
          <w:p>
            <w:pPr>
              <w:pStyle w:val="TableContents"/>
              <w:bidi w:val="0"/>
              <w:spacing w:before="0" w:after="283"/>
              <w:jc w:val="left"/>
              <w:rPr>
                <w:sz w:val="4"/>
                <w:szCs w:val="4"/>
              </w:rPr>
            </w:pPr>
            <w:r>
              <w:rPr>
                <w:sz w:val="4"/>
                <w:szCs w:val="4"/>
              </w:rPr>
            </w:r>
          </w:p>
        </w:tc>
        <w:tc>
          <w:tcPr>
            <w:tcW w:w="921" w:type="dxa"/>
            <w:gridSpan w:val="5"/>
            <w:tcBorders/>
            <w:vAlign w:val="center"/>
          </w:tcPr>
          <w:p>
            <w:pPr>
              <w:pStyle w:val="TableContents"/>
              <w:bidi w:val="0"/>
              <w:spacing w:before="0" w:after="283"/>
              <w:jc w:val="left"/>
              <w:rPr>
                <w:sz w:val="4"/>
                <w:szCs w:val="4"/>
              </w:rPr>
            </w:pPr>
            <w:r>
              <w:rPr>
                <w:sz w:val="4"/>
                <w:szCs w:val="4"/>
              </w:rPr>
            </w:r>
          </w:p>
        </w:tc>
        <w:tc>
          <w:tcPr>
            <w:tcW w:w="2068"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Frederick G. Saint </w:t>
            </w:r>
            <w:r>
              <w:rPr>
                <w:rFonts w:ascii="ARIAL" w:hAnsi="ARIAL"/>
                <w:sz w:val="16"/>
              </w:rPr>
              <w:b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881" w:type="dxa"/>
            <w:tcBorders>
              <w:bottom w:val="single" w:sz="6" w:space="0" w:color="000000"/>
            </w:tcBorders>
            <w:tcMar>
              <w:bottom w:w="100" w:type="dxa"/>
            </w:tcMar>
            <w:vAlign w:val="center"/>
          </w:tcPr>
          <w:p>
            <w:pPr>
              <w:pStyle w:val="TableContents"/>
              <w:bidi w:val="0"/>
              <w:spacing w:before="0" w:after="283"/>
              <w:jc w:val="center"/>
              <w:rPr/>
            </w:pPr>
            <w:r>
              <w:rPr/>
              <w:t>$595k</w:t>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618" w:type="dxa"/>
            <w:tcBorders>
              <w:bottom w:val="single" w:sz="6" w:space="0" w:color="000000"/>
            </w:tcBorders>
            <w:tcMar>
              <w:bottom w:w="100" w:type="dxa"/>
            </w:tcMar>
            <w:vAlign w:val="center"/>
          </w:tcPr>
          <w:p>
            <w:pPr>
              <w:pStyle w:val="TableContents"/>
              <w:bidi w:val="0"/>
              <w:spacing w:before="0" w:after="283"/>
              <w:jc w:val="center"/>
              <w:rPr/>
            </w:pPr>
            <w:r>
              <w:rPr/>
              <w:t>100%</w:t>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8" w:type="dxa"/>
            <w:tcBorders>
              <w:bottom w:val="single" w:sz="6" w:space="0" w:color="000000"/>
            </w:tcBorders>
            <w:tcMar>
              <w:bottom w:w="100" w:type="dxa"/>
            </w:tcMar>
            <w:vAlign w:val="center"/>
          </w:tcPr>
          <w:p>
            <w:pPr>
              <w:pStyle w:val="TableContents"/>
              <w:bidi w:val="0"/>
              <w:spacing w:before="0" w:after="283"/>
              <w:jc w:val="center"/>
              <w:rPr/>
            </w:pPr>
            <w:r>
              <w:rPr/>
              <w:t>$595k</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903" w:type="dxa"/>
            <w:tcBorders>
              <w:bottom w:val="single" w:sz="6" w:space="0" w:color="000000"/>
            </w:tcBorders>
            <w:tcMar>
              <w:bottom w:w="100" w:type="dxa"/>
            </w:tcMar>
            <w:vAlign w:val="center"/>
          </w:tcPr>
          <w:p>
            <w:pPr>
              <w:pStyle w:val="TableContents"/>
              <w:bidi w:val="0"/>
              <w:spacing w:before="0" w:after="283"/>
              <w:jc w:val="center"/>
              <w:rPr/>
            </w:pPr>
            <w:r>
              <w:rPr/>
              <w:t>$615k</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$1.8M</w:t>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$1.6M</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$4.1M</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702"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$5.3M</w:t>
            </w:r>
          </w:p>
        </w:tc>
        <w:tc>
          <w:tcPr>
            <w:tcW w:w="164"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872" w:type="dxa"/>
            <w:gridSpan w:val="5"/>
            <w:tcBorders/>
            <w:vAlign w:val="center"/>
          </w:tcPr>
          <w:p>
            <w:pPr>
              <w:pStyle w:val="TableContents"/>
              <w:bidi w:val="0"/>
              <w:spacing w:before="0" w:after="283"/>
              <w:jc w:val="left"/>
              <w:rPr>
                <w:sz w:val="4"/>
                <w:szCs w:val="4"/>
              </w:rPr>
            </w:pPr>
            <w:r>
              <w:rPr>
                <w:sz w:val="4"/>
                <w:szCs w:val="4"/>
              </w:rPr>
            </w:r>
          </w:p>
        </w:tc>
        <w:tc>
          <w:tcPr>
            <w:tcW w:w="1331"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913" w:type="dxa"/>
            <w:gridSpan w:val="5"/>
            <w:tcBorders/>
            <w:vAlign w:val="center"/>
          </w:tcPr>
          <w:p>
            <w:pPr>
              <w:pStyle w:val="TableContents"/>
              <w:bidi w:val="0"/>
              <w:spacing w:before="0" w:after="283"/>
              <w:jc w:val="left"/>
              <w:rPr>
                <w:sz w:val="4"/>
                <w:szCs w:val="4"/>
              </w:rPr>
            </w:pPr>
            <w:r>
              <w:rPr>
                <w:sz w:val="4"/>
                <w:szCs w:val="4"/>
              </w:rPr>
            </w:r>
          </w:p>
        </w:tc>
        <w:tc>
          <w:tcPr>
            <w:tcW w:w="1140" w:type="dxa"/>
            <w:gridSpan w:val="5"/>
            <w:tcBorders/>
            <w:vAlign w:val="center"/>
          </w:tcPr>
          <w:p>
            <w:pPr>
              <w:pStyle w:val="TableContents"/>
              <w:bidi w:val="0"/>
              <w:spacing w:before="0" w:after="283"/>
              <w:jc w:val="left"/>
              <w:rPr>
                <w:sz w:val="4"/>
                <w:szCs w:val="4"/>
              </w:rPr>
            </w:pPr>
            <w:r>
              <w:rPr>
                <w:sz w:val="4"/>
                <w:szCs w:val="4"/>
              </w:rPr>
            </w:r>
          </w:p>
        </w:tc>
        <w:tc>
          <w:tcPr>
            <w:tcW w:w="921" w:type="dxa"/>
            <w:gridSpan w:val="5"/>
            <w:tcBorders/>
            <w:vAlign w:val="center"/>
          </w:tcPr>
          <w:p>
            <w:pPr>
              <w:pStyle w:val="TableContents"/>
              <w:bidi w:val="0"/>
              <w:spacing w:before="0" w:after="283"/>
              <w:jc w:val="left"/>
              <w:rPr>
                <w:sz w:val="4"/>
                <w:szCs w:val="4"/>
              </w:rPr>
            </w:pPr>
            <w:r>
              <w:rPr>
                <w:sz w:val="4"/>
                <w:szCs w:val="4"/>
              </w:rPr>
            </w:r>
          </w:p>
        </w:tc>
        <w:tc>
          <w:tcPr>
            <w:tcW w:w="2068"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Frank A. Simuro </w:t>
            </w:r>
            <w:r>
              <w:rPr>
                <w:rFonts w:ascii="ARIAL" w:hAnsi="ARIAL"/>
                <w:sz w:val="16"/>
              </w:rPr>
              <w:b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881" w:type="dxa"/>
            <w:tcBorders>
              <w:bottom w:val="single" w:sz="6" w:space="0" w:color="000000"/>
            </w:tcBorders>
            <w:tcMar>
              <w:bottom w:w="100" w:type="dxa"/>
            </w:tcMar>
            <w:vAlign w:val="center"/>
          </w:tcPr>
          <w:p>
            <w:pPr>
              <w:pStyle w:val="TableContents"/>
              <w:bidi w:val="0"/>
              <w:spacing w:before="0" w:after="283"/>
              <w:jc w:val="center"/>
              <w:rPr/>
            </w:pPr>
            <w:r>
              <w:rPr/>
              <w:t>$650k</w:t>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618" w:type="dxa"/>
            <w:tcBorders>
              <w:bottom w:val="single" w:sz="6" w:space="0" w:color="000000"/>
            </w:tcBorders>
            <w:tcMar>
              <w:bottom w:w="100" w:type="dxa"/>
            </w:tcMar>
            <w:vAlign w:val="center"/>
          </w:tcPr>
          <w:p>
            <w:pPr>
              <w:pStyle w:val="TableContents"/>
              <w:bidi w:val="0"/>
              <w:spacing w:before="0" w:after="283"/>
              <w:jc w:val="center"/>
              <w:rPr/>
            </w:pPr>
            <w:r>
              <w:rPr/>
              <w:t>100%</w:t>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8" w:type="dxa"/>
            <w:tcBorders>
              <w:bottom w:val="single" w:sz="6" w:space="0" w:color="000000"/>
            </w:tcBorders>
            <w:tcMar>
              <w:bottom w:w="100" w:type="dxa"/>
            </w:tcMar>
            <w:vAlign w:val="center"/>
          </w:tcPr>
          <w:p>
            <w:pPr>
              <w:pStyle w:val="TableContents"/>
              <w:bidi w:val="0"/>
              <w:spacing w:before="0" w:after="283"/>
              <w:jc w:val="center"/>
              <w:rPr/>
            </w:pPr>
            <w:r>
              <w:rPr/>
              <w:t>$650k</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903" w:type="dxa"/>
            <w:tcBorders>
              <w:bottom w:val="single" w:sz="6" w:space="0" w:color="000000"/>
            </w:tcBorders>
            <w:tcMar>
              <w:bottom w:w="100" w:type="dxa"/>
            </w:tcMar>
            <w:vAlign w:val="center"/>
          </w:tcPr>
          <w:p>
            <w:pPr>
              <w:pStyle w:val="TableContents"/>
              <w:bidi w:val="0"/>
              <w:spacing w:before="0" w:after="283"/>
              <w:jc w:val="center"/>
              <w:rPr/>
            </w:pPr>
            <w:r>
              <w:rPr/>
              <w:t>$825k</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$2.5M</w:t>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$2.2M</w:t>
            </w:r>
          </w:p>
        </w:tc>
        <w:tc>
          <w:tcPr>
            <w:tcW w:w="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29" w:type="dxa"/>
            <w:tcBorders>
              <w:bottom w:val="single" w:sz="6" w:space="0" w:color="000000"/>
            </w:tcBorders>
            <w:tcMar>
              <w:bottom w:w="100" w:type="dxa"/>
            </w:tcMar>
            <w:vAlign w:val="center"/>
          </w:tcPr>
          <w:p>
            <w:pPr>
              <w:pStyle w:val="TableContents"/>
              <w:bidi w:val="0"/>
              <w:spacing w:before="0" w:after="283"/>
              <w:jc w:val="center"/>
              <w:rPr/>
            </w:pPr>
            <w:r>
              <w:rPr/>
              <w:t>$5.5M</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702"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$6.8M</w:t>
            </w:r>
          </w:p>
        </w:tc>
        <w:tc>
          <w:tcPr>
            <w:tcW w:w="164"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28"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3" descr=""/>
                          <pic:cNvPicPr>
                            <a:picLocks noChangeAspect="1" noChangeArrowheads="1"/>
                          </pic:cNvPicPr>
                        </pic:nvPicPr>
                        <pic:blipFill>
                          <a:blip r:embed="rId31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34" w:name="tx903159_107"/>
      <w:bookmarkEnd w:id="34"/>
      <w:r>
        <w:rPr>
          <w:rFonts w:ascii="ARIAL" w:hAnsi="ARIAL"/>
          <w:b/>
          <w:sz w:val="24"/>
        </w:rPr>
        <w:t xml:space="preserve">2025 Base Salaries </w:t>
      </w:r>
    </w:p>
    <w:p>
      <w:pPr>
        <w:pStyle w:val="TextBody"/>
        <w:bidi w:val="0"/>
        <w:spacing w:before="80" w:after="0"/>
        <w:jc w:val="left"/>
        <w:rPr>
          <w:rFonts w:ascii="ARIAL" w:hAnsi="ARIAL"/>
          <w:sz w:val="18"/>
        </w:rPr>
      </w:pPr>
      <w:r>
        <w:rPr>
          <w:rFonts w:ascii="ARIAL" w:hAnsi="ARIAL"/>
          <w:sz w:val="18"/>
        </w:rPr>
        <w:t xml:space="preserve">Base salaries provide a minimum, fixed level of cash compensation for the NEOs. Salary levels of the executive officers are reviewed annually by the Compensation Committee. In establishing salary levels, the Compensation Committee considers each executive’s individual responsibilities and performance, prior base salary and total compensation, the pay levels of similarly situated executives within the Company, benchmarking data, and current market conditions. </w:t>
      </w:r>
    </w:p>
    <w:p>
      <w:pPr>
        <w:pStyle w:val="TextBody"/>
        <w:bidi w:val="0"/>
        <w:spacing w:before="120" w:after="0"/>
        <w:jc w:val="left"/>
        <w:rPr>
          <w:rFonts w:ascii="ARIAL" w:hAnsi="ARIAL"/>
          <w:sz w:val="18"/>
        </w:rPr>
      </w:pPr>
      <w:r>
        <w:rPr>
          <w:rFonts w:ascii="ARIAL" w:hAnsi="ARIAL"/>
          <w:sz w:val="18"/>
        </w:rPr>
        <w:t xml:space="preserve">In 2025, the Compensation Committee conducted its annual review of NEO salaries and as a result determined that Mr. Florance’s salary should remain at the prior year’s level, Mr. Lown’s salary should be adjusted for better alignment with external benchmarks, and the rest of the NEOs should receive increases similar to the broader employee population. The following table shows the change to each NEO’s base salaries. </w:t>
      </w:r>
    </w:p>
    <w:p>
      <w:pPr>
        <w:pStyle w:val="TextBody"/>
        <w:bidi w:val="0"/>
        <w:spacing w:before="0" w:after="0"/>
        <w:jc w:val="left"/>
        <w:rPr/>
      </w:pPr>
      <w:r>
        <w:rPr/>
        <w:t> </w:t>
      </w:r>
    </w:p>
    <w:tbl>
      <w:tblPr>
        <w:tblW w:w="8757" w:type="dxa"/>
        <w:jc w:val="left"/>
        <w:tblInd w:w="0" w:type="dxa"/>
        <w:tblLayout w:type="fixed"/>
        <w:tblCellMar>
          <w:top w:w="0" w:type="dxa"/>
          <w:left w:w="0" w:type="dxa"/>
          <w:bottom w:w="0" w:type="dxa"/>
          <w:right w:w="0" w:type="dxa"/>
        </w:tblCellMar>
      </w:tblPr>
      <w:tblGrid>
        <w:gridCol w:w="2690"/>
        <w:gridCol w:w="23"/>
        <w:gridCol w:w="43"/>
        <w:gridCol w:w="112"/>
        <w:gridCol w:w="2061"/>
        <w:gridCol w:w="114"/>
        <w:gridCol w:w="23"/>
        <w:gridCol w:w="43"/>
        <w:gridCol w:w="112"/>
        <w:gridCol w:w="2061"/>
        <w:gridCol w:w="114"/>
        <w:gridCol w:w="23"/>
        <w:gridCol w:w="63"/>
        <w:gridCol w:w="168"/>
        <w:gridCol w:w="896"/>
        <w:gridCol w:w="211"/>
      </w:tblGrid>
      <w:tr>
        <w:trPr/>
        <w:tc>
          <w:tcPr>
            <w:tcW w:w="26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90" w:type="dxa"/>
            <w:tcBorders/>
            <w:shd w:fill="0054BA" w:val="clear"/>
            <w:vAlign w:val="center"/>
          </w:tcPr>
          <w:p>
            <w:pPr>
              <w:pStyle w:val="TableContents"/>
              <w:bidi w:val="0"/>
              <w:spacing w:before="0" w:after="283"/>
              <w:jc w:val="left"/>
              <w:rPr>
                <w:sz w:val="4"/>
                <w:szCs w:val="4"/>
              </w:rPr>
            </w:pPr>
            <w:r>
              <w:rPr>
                <w:sz w:val="4"/>
                <w:szCs w:val="4"/>
              </w:rPr>
            </w:r>
          </w:p>
        </w:tc>
        <w:tc>
          <w:tcPr>
            <w:tcW w:w="2353" w:type="dxa"/>
            <w:gridSpan w:val="5"/>
            <w:tcBorders/>
            <w:shd w:fill="0054BA" w:val="clear"/>
            <w:vAlign w:val="center"/>
          </w:tcPr>
          <w:p>
            <w:pPr>
              <w:pStyle w:val="TableContents"/>
              <w:bidi w:val="0"/>
              <w:spacing w:before="0" w:after="283"/>
              <w:jc w:val="left"/>
              <w:rPr>
                <w:sz w:val="4"/>
                <w:szCs w:val="4"/>
              </w:rPr>
            </w:pPr>
            <w:r>
              <w:rPr>
                <w:sz w:val="4"/>
                <w:szCs w:val="4"/>
              </w:rPr>
            </w:r>
          </w:p>
        </w:tc>
        <w:tc>
          <w:tcPr>
            <w:tcW w:w="2353" w:type="dxa"/>
            <w:gridSpan w:val="5"/>
            <w:tcBorders/>
            <w:shd w:fill="0054BA" w:val="clear"/>
            <w:vAlign w:val="center"/>
          </w:tcPr>
          <w:p>
            <w:pPr>
              <w:pStyle w:val="TableContents"/>
              <w:bidi w:val="0"/>
              <w:spacing w:before="0" w:after="283"/>
              <w:jc w:val="left"/>
              <w:rPr>
                <w:sz w:val="4"/>
                <w:szCs w:val="4"/>
              </w:rPr>
            </w:pPr>
            <w:r>
              <w:rPr>
                <w:sz w:val="4"/>
                <w:szCs w:val="4"/>
              </w:rPr>
            </w:r>
          </w:p>
        </w:tc>
        <w:tc>
          <w:tcPr>
            <w:tcW w:w="1361"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2690"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330" w:type="dxa"/>
            <w:gridSpan w:val="4"/>
            <w:tcBorders/>
            <w:shd w:fill="0054BA" w:val="clear"/>
            <w:vAlign w:val="center"/>
          </w:tcPr>
          <w:p>
            <w:pPr>
              <w:pStyle w:val="TableContents"/>
              <w:bidi w:val="0"/>
              <w:spacing w:before="0" w:after="283"/>
              <w:jc w:val="center"/>
              <w:rPr>
                <w:b/>
                <w:color w:val="FFFFFF"/>
              </w:rPr>
            </w:pPr>
            <w:r>
              <w:rPr>
                <w:b/>
                <w:color w:val="FFFFFF"/>
              </w:rPr>
              <w:t>2025 ANNUAL BASE</w:t>
              <w:br/>
              <w:t>SALARY</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330" w:type="dxa"/>
            <w:gridSpan w:val="4"/>
            <w:tcBorders/>
            <w:shd w:fill="0054BA" w:val="clear"/>
            <w:vAlign w:val="center"/>
          </w:tcPr>
          <w:p>
            <w:pPr>
              <w:pStyle w:val="TableContents"/>
              <w:bidi w:val="0"/>
              <w:spacing w:before="0" w:after="283"/>
              <w:jc w:val="center"/>
              <w:rPr>
                <w:b/>
                <w:color w:val="FFFFFF"/>
              </w:rPr>
            </w:pPr>
            <w:r>
              <w:rPr>
                <w:b/>
                <w:color w:val="FFFFFF"/>
              </w:rPr>
              <w:t>2024 ANNUAL BASE</w:t>
              <w:br/>
              <w:t>SALARY</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38" w:type="dxa"/>
            <w:gridSpan w:val="4"/>
            <w:tcBorders/>
            <w:shd w:fill="0054BA" w:val="clear"/>
            <w:vAlign w:val="center"/>
          </w:tcPr>
          <w:p>
            <w:pPr>
              <w:pStyle w:val="TableContents"/>
              <w:bidi w:val="0"/>
              <w:spacing w:before="0" w:after="283"/>
              <w:jc w:val="center"/>
              <w:rPr>
                <w:color w:val="FFFFFF"/>
              </w:rPr>
            </w:pPr>
            <w:r>
              <w:rPr>
                <w:color w:val="FFFFFF"/>
              </w:rPr>
              <w:t> </w:t>
            </w:r>
            <w:r>
              <w:rPr>
                <w:b/>
                <w:color w:val="FFFFFF"/>
              </w:rPr>
              <w:t>CHANGE 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1361" w:type="dxa"/>
            <w:gridSpan w:val="5"/>
            <w:tcBorders/>
            <w:vAlign w:val="center"/>
          </w:tcPr>
          <w:p>
            <w:pPr>
              <w:pStyle w:val="TableContents"/>
              <w:bidi w:val="0"/>
              <w:spacing w:before="0" w:after="283"/>
              <w:jc w:val="left"/>
              <w:rPr>
                <w:sz w:val="4"/>
                <w:szCs w:val="4"/>
              </w:rPr>
            </w:pPr>
            <w:r>
              <w:rPr>
                <w:sz w:val="4"/>
                <w:szCs w:val="4"/>
              </w:rPr>
            </w:r>
          </w:p>
        </w:tc>
      </w:tr>
      <w:tr>
        <w:trPr/>
        <w:tc>
          <w:tcPr>
            <w:tcW w:w="26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Andrew C. Florance </w:t>
            </w:r>
            <w:r>
              <w:rPr>
                <w:rFonts w:ascii="ARIAL" w:hAnsi="ARIAL"/>
                <w:sz w:val="16"/>
              </w:rPr>
              <w:br/>
              <w:t>Founder and Chief 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$1,000,000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$1,000,000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000000"/>
            </w:tcBorders>
            <w:tcMar>
              <w:bottom w:w="100" w:type="dxa"/>
            </w:tcMar>
            <w:vAlign w:val="center"/>
          </w:tcPr>
          <w:p>
            <w:pPr>
              <w:pStyle w:val="TableContents"/>
              <w:bidi w:val="0"/>
              <w:spacing w:before="0" w:after="283"/>
              <w:jc w:val="left"/>
              <w:rPr/>
            </w:pPr>
            <w:r>
              <w:rPr/>
              <w:t> </w:t>
            </w:r>
          </w:p>
        </w:tc>
        <w:tc>
          <w:tcPr>
            <w:tcW w:w="896"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1361" w:type="dxa"/>
            <w:gridSpan w:val="5"/>
            <w:tcBorders/>
            <w:vAlign w:val="center"/>
          </w:tcPr>
          <w:p>
            <w:pPr>
              <w:pStyle w:val="TableContents"/>
              <w:bidi w:val="0"/>
              <w:spacing w:before="0" w:after="283"/>
              <w:jc w:val="left"/>
              <w:rPr>
                <w:sz w:val="4"/>
                <w:szCs w:val="4"/>
              </w:rPr>
            </w:pPr>
            <w:r>
              <w:rPr>
                <w:sz w:val="4"/>
                <w:szCs w:val="4"/>
              </w:rPr>
            </w:r>
          </w:p>
        </w:tc>
      </w:tr>
      <w:tr>
        <w:trPr/>
        <w:tc>
          <w:tcPr>
            <w:tcW w:w="26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Christian M. Lown </w:t>
            </w:r>
            <w:r>
              <w:rPr>
                <w:rFonts w:ascii="ARIAL" w:hAnsi="ARIAL"/>
                <w:sz w:val="16"/>
              </w:rPr>
              <w:br/>
              <w:t>Chief Financial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$600,000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$550,000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000000"/>
            </w:tcBorders>
            <w:tcMar>
              <w:bottom w:w="100" w:type="dxa"/>
            </w:tcMar>
            <w:vAlign w:val="center"/>
          </w:tcPr>
          <w:p>
            <w:pPr>
              <w:pStyle w:val="TableContents"/>
              <w:bidi w:val="0"/>
              <w:spacing w:before="0" w:after="283"/>
              <w:jc w:val="left"/>
              <w:rPr/>
            </w:pPr>
            <w:r>
              <w:rPr/>
              <w:t> </w:t>
            </w:r>
          </w:p>
        </w:tc>
        <w:tc>
          <w:tcPr>
            <w:tcW w:w="896" w:type="dxa"/>
            <w:tcBorders>
              <w:bottom w:val="single" w:sz="6" w:space="0" w:color="000000"/>
            </w:tcBorders>
            <w:tcMar>
              <w:bottom w:w="100" w:type="dxa"/>
            </w:tcMar>
            <w:vAlign w:val="center"/>
          </w:tcPr>
          <w:p>
            <w:pPr>
              <w:pStyle w:val="TableContents"/>
              <w:bidi w:val="0"/>
              <w:spacing w:before="0" w:after="283"/>
              <w:jc w:val="center"/>
              <w:rPr/>
            </w:pPr>
            <w:r>
              <w:rPr/>
              <w:t>9.1%</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1361" w:type="dxa"/>
            <w:gridSpan w:val="5"/>
            <w:tcBorders/>
            <w:vAlign w:val="center"/>
          </w:tcPr>
          <w:p>
            <w:pPr>
              <w:pStyle w:val="TableContents"/>
              <w:bidi w:val="0"/>
              <w:spacing w:before="0" w:after="283"/>
              <w:jc w:val="left"/>
              <w:rPr>
                <w:sz w:val="4"/>
                <w:szCs w:val="4"/>
              </w:rPr>
            </w:pPr>
            <w:r>
              <w:rPr>
                <w:sz w:val="4"/>
                <w:szCs w:val="4"/>
              </w:rPr>
            </w:r>
          </w:p>
        </w:tc>
      </w:tr>
      <w:tr>
        <w:trPr/>
        <w:tc>
          <w:tcPr>
            <w:tcW w:w="26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Lisa C. Ruggles </w:t>
            </w:r>
            <w:r>
              <w:rPr>
                <w:rFonts w:ascii="ARIAL" w:hAnsi="ARIAL"/>
                <w:sz w:val="16"/>
              </w:rPr>
              <w:b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$595,000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$575,000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000000"/>
            </w:tcBorders>
            <w:tcMar>
              <w:bottom w:w="100" w:type="dxa"/>
            </w:tcMar>
            <w:vAlign w:val="center"/>
          </w:tcPr>
          <w:p>
            <w:pPr>
              <w:pStyle w:val="TableContents"/>
              <w:bidi w:val="0"/>
              <w:spacing w:before="0" w:after="283"/>
              <w:jc w:val="left"/>
              <w:rPr/>
            </w:pPr>
            <w:r>
              <w:rPr/>
              <w:t> </w:t>
            </w:r>
          </w:p>
        </w:tc>
        <w:tc>
          <w:tcPr>
            <w:tcW w:w="896" w:type="dxa"/>
            <w:tcBorders>
              <w:bottom w:val="single" w:sz="6" w:space="0" w:color="000000"/>
            </w:tcBorders>
            <w:tcMar>
              <w:bottom w:w="100" w:type="dxa"/>
            </w:tcMar>
            <w:vAlign w:val="center"/>
          </w:tcPr>
          <w:p>
            <w:pPr>
              <w:pStyle w:val="TableContents"/>
              <w:bidi w:val="0"/>
              <w:spacing w:before="0" w:after="283"/>
              <w:jc w:val="center"/>
              <w:rPr/>
            </w:pPr>
            <w:r>
              <w:rPr/>
              <w:t>3.5%</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1361" w:type="dxa"/>
            <w:gridSpan w:val="5"/>
            <w:tcBorders/>
            <w:vAlign w:val="center"/>
          </w:tcPr>
          <w:p>
            <w:pPr>
              <w:pStyle w:val="TableContents"/>
              <w:bidi w:val="0"/>
              <w:spacing w:before="0" w:after="283"/>
              <w:jc w:val="left"/>
              <w:rPr>
                <w:sz w:val="4"/>
                <w:szCs w:val="4"/>
              </w:rPr>
            </w:pPr>
            <w:r>
              <w:rPr>
                <w:sz w:val="4"/>
                <w:szCs w:val="4"/>
              </w:rPr>
            </w:r>
          </w:p>
        </w:tc>
      </w:tr>
      <w:tr>
        <w:trPr/>
        <w:tc>
          <w:tcPr>
            <w:tcW w:w="26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Frederick G. Saint </w:t>
            </w:r>
            <w:r>
              <w:rPr>
                <w:rFonts w:ascii="ARIAL" w:hAnsi="ARIAL"/>
                <w:sz w:val="16"/>
              </w:rPr>
              <w:b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$595,000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$575,000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000000"/>
            </w:tcBorders>
            <w:tcMar>
              <w:bottom w:w="100" w:type="dxa"/>
            </w:tcMar>
            <w:vAlign w:val="center"/>
          </w:tcPr>
          <w:p>
            <w:pPr>
              <w:pStyle w:val="TableContents"/>
              <w:bidi w:val="0"/>
              <w:spacing w:before="0" w:after="283"/>
              <w:jc w:val="left"/>
              <w:rPr/>
            </w:pPr>
            <w:r>
              <w:rPr/>
              <w:t> </w:t>
            </w:r>
          </w:p>
        </w:tc>
        <w:tc>
          <w:tcPr>
            <w:tcW w:w="896" w:type="dxa"/>
            <w:tcBorders>
              <w:bottom w:val="single" w:sz="6" w:space="0" w:color="000000"/>
            </w:tcBorders>
            <w:tcMar>
              <w:bottom w:w="100" w:type="dxa"/>
            </w:tcMar>
            <w:vAlign w:val="center"/>
          </w:tcPr>
          <w:p>
            <w:pPr>
              <w:pStyle w:val="TableContents"/>
              <w:bidi w:val="0"/>
              <w:spacing w:before="0" w:after="283"/>
              <w:jc w:val="center"/>
              <w:rPr/>
            </w:pPr>
            <w:r>
              <w:rPr/>
              <w:t>3.5%</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c>
          <w:tcPr>
            <w:tcW w:w="1361" w:type="dxa"/>
            <w:gridSpan w:val="5"/>
            <w:tcBorders/>
            <w:vAlign w:val="center"/>
          </w:tcPr>
          <w:p>
            <w:pPr>
              <w:pStyle w:val="TableContents"/>
              <w:bidi w:val="0"/>
              <w:spacing w:before="0" w:after="283"/>
              <w:jc w:val="left"/>
              <w:rPr>
                <w:sz w:val="4"/>
                <w:szCs w:val="4"/>
              </w:rPr>
            </w:pPr>
            <w:r>
              <w:rPr>
                <w:sz w:val="4"/>
                <w:szCs w:val="4"/>
              </w:rPr>
            </w:r>
          </w:p>
        </w:tc>
      </w:tr>
      <w:tr>
        <w:trPr/>
        <w:tc>
          <w:tcPr>
            <w:tcW w:w="26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Frank A. Simuro </w:t>
            </w:r>
            <w:r>
              <w:rPr>
                <w:rFonts w:ascii="ARIAL" w:hAnsi="ARIAL"/>
                <w:sz w:val="16"/>
              </w:rPr>
              <w:b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$650,000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61" w:type="dxa"/>
            <w:tcBorders>
              <w:bottom w:val="single" w:sz="6" w:space="0" w:color="000000"/>
            </w:tcBorders>
            <w:tcMar>
              <w:bottom w:w="100" w:type="dxa"/>
            </w:tcMar>
            <w:vAlign w:val="center"/>
          </w:tcPr>
          <w:p>
            <w:pPr>
              <w:pStyle w:val="TableContents"/>
              <w:bidi w:val="0"/>
              <w:spacing w:before="0" w:after="283"/>
              <w:jc w:val="center"/>
              <w:rPr/>
            </w:pPr>
            <w:r>
              <w:rPr/>
              <w:t>$630,000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000000"/>
            </w:tcBorders>
            <w:tcMar>
              <w:bottom w:w="100" w:type="dxa"/>
            </w:tcMar>
            <w:vAlign w:val="center"/>
          </w:tcPr>
          <w:p>
            <w:pPr>
              <w:pStyle w:val="TableContents"/>
              <w:bidi w:val="0"/>
              <w:spacing w:before="0" w:after="283"/>
              <w:jc w:val="left"/>
              <w:rPr/>
            </w:pPr>
            <w:r>
              <w:rPr/>
              <w:t> </w:t>
            </w:r>
          </w:p>
        </w:tc>
        <w:tc>
          <w:tcPr>
            <w:tcW w:w="896" w:type="dxa"/>
            <w:tcBorders>
              <w:bottom w:val="single" w:sz="6" w:space="0" w:color="000000"/>
            </w:tcBorders>
            <w:tcMar>
              <w:bottom w:w="100" w:type="dxa"/>
            </w:tcMar>
            <w:vAlign w:val="center"/>
          </w:tcPr>
          <w:p>
            <w:pPr>
              <w:pStyle w:val="TableContents"/>
              <w:bidi w:val="0"/>
              <w:spacing w:before="0" w:after="283"/>
              <w:jc w:val="center"/>
              <w:rPr/>
            </w:pPr>
            <w:r>
              <w:rPr/>
              <w:t>3.2%</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4"/>
        </w:rPr>
      </w:pPr>
      <w:bookmarkStart w:id="35" w:name="tx903159_108"/>
      <w:bookmarkEnd w:id="35"/>
      <w:r>
        <w:rPr>
          <w:rFonts w:ascii="ARIAL" w:hAnsi="ARIAL"/>
          <w:b/>
          <w:sz w:val="24"/>
        </w:rPr>
        <w:t xml:space="preserve">2025 Annual Cash Incentive Awards </w:t>
      </w:r>
    </w:p>
    <w:p>
      <w:pPr>
        <w:pStyle w:val="TextBody"/>
        <w:bidi w:val="0"/>
        <w:spacing w:before="80" w:after="0"/>
        <w:jc w:val="left"/>
        <w:rPr>
          <w:rFonts w:ascii="ARIAL" w:hAnsi="ARIAL"/>
          <w:sz w:val="18"/>
        </w:rPr>
      </w:pPr>
      <w:r>
        <w:rPr>
          <w:rFonts w:ascii="ARIAL" w:hAnsi="ARIAL"/>
          <w:sz w:val="18"/>
        </w:rPr>
        <w:t xml:space="preserve">The Compensation Committee believes the use of an annual performance-based cash incentive award creates a direct link between executive compensation and individual and corporate performance. The Compensation Committee administers an annual cash incentive program under which our NEOs may earn a cash incentive award based on a fixed target percentage of base salary during the fiscal year if individual and corporate performance objectives for the fiscal year are achieved. The Compensation Committee reviews the target bonus opportunities annually, considering market and competitive conditions, peer company practices, and internal pay equity considerations. </w:t>
      </w:r>
    </w:p>
    <w:p>
      <w:pPr>
        <w:pStyle w:val="TextBody"/>
        <w:bidi w:val="0"/>
        <w:spacing w:before="160" w:after="0"/>
        <w:jc w:val="left"/>
        <w:rPr>
          <w:rFonts w:ascii="ARIAL" w:hAnsi="ARIAL"/>
          <w:sz w:val="18"/>
        </w:rPr>
      </w:pPr>
      <w:r>
        <w:rPr>
          <w:rFonts w:ascii="ARIAL" w:hAnsi="ARIAL"/>
          <w:sz w:val="18"/>
        </w:rPr>
        <w:t xml:space="preserve">In 2025, the Compensation Committee conducted its annual review of NEO target bonus opportunities and determined that adjustment was needed only for Mr. Lown in order to better align with external benchmarking. The following table shows each NEO’s target annual bonus opportunity for 2025, expressed as a percentage of his or her base salary.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77"/>
        <w:gridCol w:w="23"/>
        <w:gridCol w:w="119"/>
        <w:gridCol w:w="312"/>
        <w:gridCol w:w="1976"/>
        <w:gridCol w:w="313"/>
        <w:gridCol w:w="23"/>
        <w:gridCol w:w="119"/>
        <w:gridCol w:w="312"/>
        <w:gridCol w:w="1976"/>
        <w:gridCol w:w="313"/>
        <w:gridCol w:w="23"/>
        <w:gridCol w:w="71"/>
        <w:gridCol w:w="188"/>
        <w:gridCol w:w="820"/>
        <w:gridCol w:w="240"/>
      </w:tblGrid>
      <w:tr>
        <w:trPr/>
        <w:tc>
          <w:tcPr>
            <w:tcW w:w="337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377" w:type="dxa"/>
            <w:tcBorders/>
            <w:shd w:fill="0054BA" w:val="clear"/>
            <w:vAlign w:val="center"/>
          </w:tcPr>
          <w:p>
            <w:pPr>
              <w:pStyle w:val="TableContents"/>
              <w:bidi w:val="0"/>
              <w:spacing w:before="0" w:after="283"/>
              <w:jc w:val="left"/>
              <w:rPr>
                <w:sz w:val="4"/>
                <w:szCs w:val="4"/>
              </w:rPr>
            </w:pPr>
            <w:r>
              <w:rPr>
                <w:sz w:val="4"/>
                <w:szCs w:val="4"/>
              </w:rPr>
            </w:r>
          </w:p>
        </w:tc>
        <w:tc>
          <w:tcPr>
            <w:tcW w:w="2743" w:type="dxa"/>
            <w:gridSpan w:val="5"/>
            <w:tcBorders/>
            <w:shd w:fill="0054BA" w:val="clear"/>
            <w:vAlign w:val="center"/>
          </w:tcPr>
          <w:p>
            <w:pPr>
              <w:pStyle w:val="TableContents"/>
              <w:bidi w:val="0"/>
              <w:spacing w:before="0" w:after="283"/>
              <w:jc w:val="left"/>
              <w:rPr>
                <w:sz w:val="4"/>
                <w:szCs w:val="4"/>
              </w:rPr>
            </w:pPr>
            <w:r>
              <w:rPr>
                <w:sz w:val="4"/>
                <w:szCs w:val="4"/>
              </w:rPr>
            </w:r>
          </w:p>
        </w:tc>
        <w:tc>
          <w:tcPr>
            <w:tcW w:w="2743" w:type="dxa"/>
            <w:gridSpan w:val="5"/>
            <w:tcBorders/>
            <w:shd w:fill="0054BA" w:val="clear"/>
            <w:vAlign w:val="center"/>
          </w:tcPr>
          <w:p>
            <w:pPr>
              <w:pStyle w:val="TableContents"/>
              <w:bidi w:val="0"/>
              <w:spacing w:before="0" w:after="283"/>
              <w:jc w:val="left"/>
              <w:rPr>
                <w:sz w:val="4"/>
                <w:szCs w:val="4"/>
              </w:rPr>
            </w:pPr>
            <w:r>
              <w:rPr>
                <w:sz w:val="4"/>
                <w:szCs w:val="4"/>
              </w:rPr>
            </w:r>
          </w:p>
        </w:tc>
        <w:tc>
          <w:tcPr>
            <w:tcW w:w="1342"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3377"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720" w:type="dxa"/>
            <w:gridSpan w:val="4"/>
            <w:tcBorders/>
            <w:shd w:fill="0054BA" w:val="clear"/>
            <w:vAlign w:val="center"/>
          </w:tcPr>
          <w:p>
            <w:pPr>
              <w:pStyle w:val="TableContents"/>
              <w:bidi w:val="0"/>
              <w:spacing w:before="0" w:after="283"/>
              <w:jc w:val="center"/>
              <w:rPr>
                <w:b/>
                <w:color w:val="FFFFFF"/>
              </w:rPr>
            </w:pPr>
            <w:r>
              <w:rPr>
                <w:b/>
                <w:color w:val="FFFFFF"/>
              </w:rPr>
              <w:t>2025 TARGET ANNUAL</w:t>
              <w:br/>
              <w:t>CASH INCENTIVE</w:t>
              <w:br/>
              <w:t>OPPORTUNITY</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720" w:type="dxa"/>
            <w:gridSpan w:val="4"/>
            <w:tcBorders/>
            <w:shd w:fill="0054BA" w:val="clear"/>
            <w:vAlign w:val="center"/>
          </w:tcPr>
          <w:p>
            <w:pPr>
              <w:pStyle w:val="TableContents"/>
              <w:bidi w:val="0"/>
              <w:spacing w:before="0" w:after="283"/>
              <w:jc w:val="center"/>
              <w:rPr>
                <w:b/>
                <w:color w:val="FFFFFF"/>
              </w:rPr>
            </w:pPr>
            <w:r>
              <w:rPr>
                <w:b/>
                <w:color w:val="FFFFFF"/>
              </w:rPr>
              <w:t>2024 TARGET ANNUAL</w:t>
              <w:br/>
              <w:t>CASH INCENTIVE</w:t>
              <w:br/>
              <w:t>OPPORTUNITY</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19" w:type="dxa"/>
            <w:gridSpan w:val="4"/>
            <w:tcBorders/>
            <w:shd w:fill="0054BA" w:val="clear"/>
            <w:vAlign w:val="center"/>
          </w:tcPr>
          <w:p>
            <w:pPr>
              <w:pStyle w:val="TableContents"/>
              <w:bidi w:val="0"/>
              <w:spacing w:before="0" w:after="283"/>
              <w:jc w:val="center"/>
              <w:rPr>
                <w:color w:val="FFFFFF"/>
              </w:rPr>
            </w:pPr>
            <w:r>
              <w:rPr>
                <w:color w:val="FFFFFF"/>
              </w:rPr>
              <w:t> </w:t>
            </w:r>
            <w:r>
              <w:rPr>
                <w:b/>
                <w:color w:val="FFFFFF"/>
              </w:rPr>
              <w:t>CHANGE </w:t>
            </w:r>
          </w:p>
        </w:tc>
      </w:tr>
      <w:tr>
        <w:trPr/>
        <w:tc>
          <w:tcPr>
            <w:tcW w:w="3377" w:type="dxa"/>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1342" w:type="dxa"/>
            <w:gridSpan w:val="5"/>
            <w:tcBorders/>
            <w:vAlign w:val="center"/>
          </w:tcPr>
          <w:p>
            <w:pPr>
              <w:pStyle w:val="TableContents"/>
              <w:bidi w:val="0"/>
              <w:spacing w:before="0" w:after="283"/>
              <w:jc w:val="left"/>
              <w:rPr>
                <w:sz w:val="4"/>
                <w:szCs w:val="4"/>
              </w:rPr>
            </w:pPr>
            <w:r>
              <w:rPr>
                <w:sz w:val="4"/>
                <w:szCs w:val="4"/>
              </w:rPr>
            </w:r>
          </w:p>
        </w:tc>
      </w:tr>
      <w:tr>
        <w:trPr/>
        <w:tc>
          <w:tcPr>
            <w:tcW w:w="337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Andrew C. Florance </w:t>
            </w:r>
            <w:r>
              <w:rPr>
                <w:rFonts w:ascii="ARIAL" w:hAnsi="ARIAL"/>
                <w:sz w:val="16"/>
              </w:rPr>
              <w:br/>
              <w:t>Founder &amp; Chief Executive Officer and President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150%</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150%</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6" w:space="0" w:color="000000"/>
            </w:tcBorders>
            <w:tcMar>
              <w:bottom w:w="100" w:type="dxa"/>
            </w:tcMar>
            <w:vAlign w:val="center"/>
          </w:tcPr>
          <w:p>
            <w:pPr>
              <w:pStyle w:val="TableContents"/>
              <w:bidi w:val="0"/>
              <w:spacing w:before="0" w:after="283"/>
              <w:jc w:val="left"/>
              <w:rPr/>
            </w:pPr>
            <w:r>
              <w:rPr/>
              <w:t> </w:t>
            </w:r>
          </w:p>
        </w:tc>
        <w:tc>
          <w:tcPr>
            <w:tcW w:w="820" w:type="dxa"/>
            <w:tcBorders>
              <w:bottom w:val="single" w:sz="6" w:space="0" w:color="000000"/>
            </w:tcBorders>
            <w:tcMar>
              <w:bottom w:w="100" w:type="dxa"/>
            </w:tcMar>
            <w:vAlign w:val="center"/>
          </w:tcPr>
          <w:p>
            <w:pPr>
              <w:pStyle w:val="TableContents"/>
              <w:bidi w:val="0"/>
              <w:spacing w:before="0" w:after="283"/>
              <w:jc w:val="center"/>
              <w:rPr/>
            </w:pPr>
            <w:r>
              <w:rPr/>
              <w:t>—</w:t>
            </w:r>
          </w:p>
        </w:tc>
        <w:tc>
          <w:tcPr>
            <w:tcW w:w="24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377" w:type="dxa"/>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1342" w:type="dxa"/>
            <w:gridSpan w:val="5"/>
            <w:tcBorders/>
            <w:vAlign w:val="center"/>
          </w:tcPr>
          <w:p>
            <w:pPr>
              <w:pStyle w:val="TableContents"/>
              <w:bidi w:val="0"/>
              <w:spacing w:before="0" w:after="283"/>
              <w:jc w:val="left"/>
              <w:rPr>
                <w:sz w:val="4"/>
                <w:szCs w:val="4"/>
              </w:rPr>
            </w:pPr>
            <w:r>
              <w:rPr>
                <w:sz w:val="4"/>
                <w:szCs w:val="4"/>
              </w:rPr>
            </w:r>
          </w:p>
        </w:tc>
      </w:tr>
      <w:tr>
        <w:trPr/>
        <w:tc>
          <w:tcPr>
            <w:tcW w:w="337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Christian M. Lown </w:t>
            </w:r>
            <w:r>
              <w:rPr>
                <w:rFonts w:ascii="ARIAL" w:hAnsi="ARIAL"/>
                <w:sz w:val="16"/>
              </w:rPr>
              <w:br/>
              <w:t>Chief Financial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100%</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95%</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6" w:space="0" w:color="000000"/>
            </w:tcBorders>
            <w:tcMar>
              <w:bottom w:w="100" w:type="dxa"/>
            </w:tcMar>
            <w:vAlign w:val="center"/>
          </w:tcPr>
          <w:p>
            <w:pPr>
              <w:pStyle w:val="TableContents"/>
              <w:bidi w:val="0"/>
              <w:spacing w:before="0" w:after="283"/>
              <w:jc w:val="left"/>
              <w:rPr/>
            </w:pPr>
            <w:r>
              <w:rPr/>
              <w:t> </w:t>
            </w:r>
          </w:p>
        </w:tc>
        <w:tc>
          <w:tcPr>
            <w:tcW w:w="820" w:type="dxa"/>
            <w:tcBorders>
              <w:bottom w:val="single" w:sz="6" w:space="0" w:color="000000"/>
            </w:tcBorders>
            <w:tcMar>
              <w:bottom w:w="100" w:type="dxa"/>
            </w:tcMar>
            <w:vAlign w:val="center"/>
          </w:tcPr>
          <w:p>
            <w:pPr>
              <w:pStyle w:val="TableContents"/>
              <w:bidi w:val="0"/>
              <w:spacing w:before="0" w:after="283"/>
              <w:jc w:val="center"/>
              <w:rPr/>
            </w:pPr>
            <w:r>
              <w:rPr/>
              <w:t>5%</w:t>
            </w:r>
          </w:p>
        </w:tc>
        <w:tc>
          <w:tcPr>
            <w:tcW w:w="24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377" w:type="dxa"/>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1342" w:type="dxa"/>
            <w:gridSpan w:val="5"/>
            <w:tcBorders/>
            <w:vAlign w:val="center"/>
          </w:tcPr>
          <w:p>
            <w:pPr>
              <w:pStyle w:val="TableContents"/>
              <w:bidi w:val="0"/>
              <w:spacing w:before="0" w:after="283"/>
              <w:jc w:val="left"/>
              <w:rPr>
                <w:sz w:val="4"/>
                <w:szCs w:val="4"/>
              </w:rPr>
            </w:pPr>
            <w:r>
              <w:rPr>
                <w:sz w:val="4"/>
                <w:szCs w:val="4"/>
              </w:rPr>
            </w:r>
          </w:p>
        </w:tc>
      </w:tr>
      <w:tr>
        <w:trPr/>
        <w:tc>
          <w:tcPr>
            <w:tcW w:w="337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Lisa C. Ruggles </w:t>
            </w:r>
            <w:r>
              <w:rPr>
                <w:rFonts w:ascii="ARIAL" w:hAnsi="ARIAL"/>
                <w:sz w:val="16"/>
              </w:rPr>
              <w:b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95%</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95%</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6" w:space="0" w:color="000000"/>
            </w:tcBorders>
            <w:tcMar>
              <w:bottom w:w="100" w:type="dxa"/>
            </w:tcMar>
            <w:vAlign w:val="center"/>
          </w:tcPr>
          <w:p>
            <w:pPr>
              <w:pStyle w:val="TableContents"/>
              <w:bidi w:val="0"/>
              <w:spacing w:before="0" w:after="283"/>
              <w:jc w:val="left"/>
              <w:rPr/>
            </w:pPr>
            <w:r>
              <w:rPr/>
              <w:t> </w:t>
            </w:r>
          </w:p>
        </w:tc>
        <w:tc>
          <w:tcPr>
            <w:tcW w:w="820" w:type="dxa"/>
            <w:tcBorders>
              <w:bottom w:val="single" w:sz="6" w:space="0" w:color="000000"/>
            </w:tcBorders>
            <w:tcMar>
              <w:bottom w:w="100" w:type="dxa"/>
            </w:tcMar>
            <w:vAlign w:val="center"/>
          </w:tcPr>
          <w:p>
            <w:pPr>
              <w:pStyle w:val="TableContents"/>
              <w:bidi w:val="0"/>
              <w:spacing w:before="0" w:after="283"/>
              <w:jc w:val="center"/>
              <w:rPr/>
            </w:pPr>
            <w:r>
              <w:rPr/>
              <w:t>—</w:t>
            </w:r>
          </w:p>
        </w:tc>
        <w:tc>
          <w:tcPr>
            <w:tcW w:w="24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377" w:type="dxa"/>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1342" w:type="dxa"/>
            <w:gridSpan w:val="5"/>
            <w:tcBorders/>
            <w:vAlign w:val="center"/>
          </w:tcPr>
          <w:p>
            <w:pPr>
              <w:pStyle w:val="TableContents"/>
              <w:bidi w:val="0"/>
              <w:spacing w:before="0" w:after="283"/>
              <w:jc w:val="left"/>
              <w:rPr>
                <w:sz w:val="4"/>
                <w:szCs w:val="4"/>
              </w:rPr>
            </w:pPr>
            <w:r>
              <w:rPr>
                <w:sz w:val="4"/>
                <w:szCs w:val="4"/>
              </w:rPr>
            </w:r>
          </w:p>
        </w:tc>
      </w:tr>
      <w:tr>
        <w:trPr/>
        <w:tc>
          <w:tcPr>
            <w:tcW w:w="337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Frederick G. Saint </w:t>
            </w:r>
            <w:r>
              <w:rPr>
                <w:rFonts w:ascii="ARIAL" w:hAnsi="ARIAL"/>
                <w:sz w:val="16"/>
              </w:rPr>
              <w:b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100%</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100%</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6" w:space="0" w:color="000000"/>
            </w:tcBorders>
            <w:tcMar>
              <w:bottom w:w="100" w:type="dxa"/>
            </w:tcMar>
            <w:vAlign w:val="center"/>
          </w:tcPr>
          <w:p>
            <w:pPr>
              <w:pStyle w:val="TableContents"/>
              <w:bidi w:val="0"/>
              <w:spacing w:before="0" w:after="283"/>
              <w:jc w:val="left"/>
              <w:rPr/>
            </w:pPr>
            <w:r>
              <w:rPr/>
              <w:t> </w:t>
            </w:r>
          </w:p>
        </w:tc>
        <w:tc>
          <w:tcPr>
            <w:tcW w:w="820" w:type="dxa"/>
            <w:tcBorders>
              <w:bottom w:val="single" w:sz="6" w:space="0" w:color="000000"/>
            </w:tcBorders>
            <w:tcMar>
              <w:bottom w:w="100" w:type="dxa"/>
            </w:tcMar>
            <w:vAlign w:val="center"/>
          </w:tcPr>
          <w:p>
            <w:pPr>
              <w:pStyle w:val="TableContents"/>
              <w:bidi w:val="0"/>
              <w:spacing w:before="0" w:after="283"/>
              <w:jc w:val="center"/>
              <w:rPr/>
            </w:pPr>
            <w:r>
              <w:rPr/>
              <w:t>—</w:t>
            </w:r>
          </w:p>
        </w:tc>
        <w:tc>
          <w:tcPr>
            <w:tcW w:w="24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377" w:type="dxa"/>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2743" w:type="dxa"/>
            <w:gridSpan w:val="5"/>
            <w:tcBorders/>
            <w:vAlign w:val="center"/>
          </w:tcPr>
          <w:p>
            <w:pPr>
              <w:pStyle w:val="TableContents"/>
              <w:bidi w:val="0"/>
              <w:spacing w:before="0" w:after="283"/>
              <w:jc w:val="left"/>
              <w:rPr>
                <w:sz w:val="4"/>
                <w:szCs w:val="4"/>
              </w:rPr>
            </w:pPr>
            <w:r>
              <w:rPr>
                <w:sz w:val="4"/>
                <w:szCs w:val="4"/>
              </w:rPr>
            </w:r>
          </w:p>
        </w:tc>
        <w:tc>
          <w:tcPr>
            <w:tcW w:w="1342" w:type="dxa"/>
            <w:gridSpan w:val="5"/>
            <w:tcBorders/>
            <w:vAlign w:val="center"/>
          </w:tcPr>
          <w:p>
            <w:pPr>
              <w:pStyle w:val="TableContents"/>
              <w:bidi w:val="0"/>
              <w:spacing w:before="0" w:after="283"/>
              <w:jc w:val="left"/>
              <w:rPr>
                <w:sz w:val="4"/>
                <w:szCs w:val="4"/>
              </w:rPr>
            </w:pPr>
            <w:r>
              <w:rPr>
                <w:sz w:val="4"/>
                <w:szCs w:val="4"/>
              </w:rPr>
            </w:r>
          </w:p>
        </w:tc>
      </w:tr>
      <w:tr>
        <w:trPr/>
        <w:tc>
          <w:tcPr>
            <w:tcW w:w="337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Frank A. Simuro </w:t>
            </w:r>
            <w:r>
              <w:rPr>
                <w:rFonts w:ascii="ARIAL" w:hAnsi="ARIAL"/>
                <w:sz w:val="16"/>
              </w:rPr>
              <w:b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100%</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000000"/>
            </w:tcBorders>
            <w:tcMar>
              <w:bottom w:w="100" w:type="dxa"/>
            </w:tcMar>
            <w:vAlign w:val="center"/>
          </w:tcPr>
          <w:p>
            <w:pPr>
              <w:pStyle w:val="TableContents"/>
              <w:bidi w:val="0"/>
              <w:spacing w:before="0" w:after="283"/>
              <w:jc w:val="left"/>
              <w:rPr/>
            </w:pPr>
            <w:r>
              <w:rPr/>
              <w:t> </w:t>
            </w:r>
          </w:p>
        </w:tc>
        <w:tc>
          <w:tcPr>
            <w:tcW w:w="1976" w:type="dxa"/>
            <w:tcBorders>
              <w:bottom w:val="single" w:sz="6" w:space="0" w:color="000000"/>
            </w:tcBorders>
            <w:tcMar>
              <w:bottom w:w="100" w:type="dxa"/>
            </w:tcMar>
            <w:vAlign w:val="center"/>
          </w:tcPr>
          <w:p>
            <w:pPr>
              <w:pStyle w:val="TableContents"/>
              <w:bidi w:val="0"/>
              <w:spacing w:before="0" w:after="283"/>
              <w:jc w:val="center"/>
              <w:rPr/>
            </w:pPr>
            <w:r>
              <w:rPr/>
              <w:t>100%</w:t>
            </w:r>
          </w:p>
        </w:tc>
        <w:tc>
          <w:tcPr>
            <w:tcW w:w="3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6" w:space="0" w:color="000000"/>
            </w:tcBorders>
            <w:tcMar>
              <w:bottom w:w="100" w:type="dxa"/>
            </w:tcMar>
            <w:vAlign w:val="center"/>
          </w:tcPr>
          <w:p>
            <w:pPr>
              <w:pStyle w:val="TableContents"/>
              <w:bidi w:val="0"/>
              <w:spacing w:before="0" w:after="283"/>
              <w:jc w:val="left"/>
              <w:rPr/>
            </w:pPr>
            <w:r>
              <w:rPr/>
              <w:t> </w:t>
            </w:r>
          </w:p>
        </w:tc>
        <w:tc>
          <w:tcPr>
            <w:tcW w:w="820" w:type="dxa"/>
            <w:tcBorders>
              <w:bottom w:val="single" w:sz="6" w:space="0" w:color="000000"/>
            </w:tcBorders>
            <w:tcMar>
              <w:bottom w:w="100" w:type="dxa"/>
            </w:tcMar>
            <w:vAlign w:val="center"/>
          </w:tcPr>
          <w:p>
            <w:pPr>
              <w:pStyle w:val="TableContents"/>
              <w:bidi w:val="0"/>
              <w:spacing w:before="0" w:after="283"/>
              <w:jc w:val="center"/>
              <w:rPr/>
            </w:pPr>
            <w:r>
              <w:rPr/>
              <w:t>—</w:t>
            </w:r>
          </w:p>
        </w:tc>
        <w:tc>
          <w:tcPr>
            <w:tcW w:w="240"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18"/>
        </w:rPr>
      </w:pPr>
      <w:r>
        <w:rPr>
          <w:rFonts w:ascii="ARIAL" w:hAnsi="ARIAL"/>
          <w:sz w:val="18"/>
        </w:rPr>
        <w:t xml:space="preserve">The Compensation Committee also determines the weighting of various individual (subjective) and Company financial goals (objective). In 2025 and prior years, these weightings varied among the NEOs and were subject to change from year to year, based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29"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4" descr=""/>
                          <pic:cNvPicPr>
                            <a:picLocks noChangeAspect="1" noChangeArrowheads="1"/>
                          </pic:cNvPicPr>
                        </pic:nvPicPr>
                        <pic:blipFill>
                          <a:blip r:embed="rId31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on position and functional accountability and responsibility, as well as recommendations from our Chief Executive Officer. The individual weightings for 2025 are detailed below. </w:t>
      </w:r>
    </w:p>
    <w:p>
      <w:pPr>
        <w:pStyle w:val="TextBody"/>
        <w:bidi w:val="0"/>
        <w:spacing w:before="0" w:after="0"/>
        <w:jc w:val="left"/>
        <w:rPr/>
      </w:pPr>
      <w:r>
        <w:rPr/>
        <w:t> </w:t>
      </w:r>
    </w:p>
    <w:p>
      <w:pPr>
        <w:pStyle w:val="TextBody"/>
        <w:pBdr/>
        <w:bidi w:val="0"/>
        <w:spacing w:before="0" w:after="0"/>
        <w:jc w:val="left"/>
        <w:rPr>
          <w:rFonts w:ascii="ARIAL" w:hAnsi="ARIAL"/>
          <w:sz w:val="18"/>
          <w:bdr w:val="single" w:sz="2" w:space="2" w:color="DAEDFA"/>
          <w:shd w:fill="DAEDFA" w:val="clear"/>
        </w:rPr>
      </w:pPr>
      <w:r>
        <w:rPr>
          <w:rFonts w:ascii="ARIAL" w:hAnsi="ARIAL"/>
          <w:b/>
          <w:color w:val="0054BA"/>
          <w:sz w:val="18"/>
          <w:bdr w:val="single" w:sz="2" w:space="2" w:color="DAEDFA"/>
          <w:shd w:fill="DAEDFA" w:val="clear"/>
        </w:rPr>
        <w:t>Note for 2026:</w:t>
      </w:r>
      <w:r>
        <w:rPr>
          <w:rFonts w:ascii="ARIAL" w:hAnsi="ARIAL"/>
          <w:sz w:val="18"/>
          <w:bdr w:val="single" w:sz="2" w:space="2" w:color="DAEDFA"/>
          <w:shd w:fill="DAEDFA" w:val="clear"/>
        </w:rPr>
        <w:t xml:space="preserve"> For the 2026 plan year, the weighting of objective and subjective goals has changed. The CEO’s short-term incentives will remain entirely driven (100%) by objective financial goals and the weighting of objective financial metrics for all other NEOs will be increased to 80%. </w:t>
      </w:r>
    </w:p>
    <w:p>
      <w:pPr>
        <w:pStyle w:val="TextBody"/>
        <w:bidi w:val="0"/>
        <w:spacing w:before="240" w:after="0"/>
        <w:jc w:val="left"/>
        <w:rPr>
          <w:rFonts w:ascii="ARIAL" w:hAnsi="ARIAL"/>
          <w:sz w:val="18"/>
        </w:rPr>
      </w:pPr>
      <w:r>
        <w:rPr>
          <w:rFonts w:ascii="ARIAL" w:hAnsi="ARIAL"/>
          <w:sz w:val="18"/>
        </w:rPr>
        <w:t xml:space="preserve">At the beginning of each year, the Compensation Committee establishes Company financial goals that apply to all NEOs. After the completion of each year, the Compensation Committee reviews individual and Company performance to determine the extent to which goals were achieved and the actual cash bonuses to be paid to the NEOs according to the formula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88"/>
        <w:gridCol w:w="23"/>
        <w:gridCol w:w="23"/>
        <w:gridCol w:w="60"/>
        <w:gridCol w:w="141"/>
        <w:gridCol w:w="23"/>
        <w:gridCol w:w="23"/>
        <w:gridCol w:w="1018"/>
        <w:gridCol w:w="23"/>
        <w:gridCol w:w="23"/>
        <w:gridCol w:w="60"/>
        <w:gridCol w:w="155"/>
        <w:gridCol w:w="23"/>
        <w:gridCol w:w="23"/>
        <w:gridCol w:w="1544"/>
        <w:gridCol w:w="66"/>
        <w:gridCol w:w="66"/>
        <w:gridCol w:w="172"/>
        <w:gridCol w:w="575"/>
        <w:gridCol w:w="66"/>
        <w:gridCol w:w="66"/>
        <w:gridCol w:w="2519"/>
        <w:gridCol w:w="23"/>
        <w:gridCol w:w="23"/>
        <w:gridCol w:w="60"/>
        <w:gridCol w:w="155"/>
        <w:gridCol w:w="23"/>
        <w:gridCol w:w="23"/>
        <w:gridCol w:w="23"/>
        <w:gridCol w:w="60"/>
        <w:gridCol w:w="1895"/>
        <w:gridCol w:w="40"/>
      </w:tblGrid>
      <w:tr>
        <w:trPr/>
        <w:tc>
          <w:tcPr>
            <w:tcW w:w="118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2522" w:type="dxa"/>
            <w:gridSpan w:val="9"/>
            <w:tcBorders/>
            <w:vAlign w:val="center"/>
          </w:tcPr>
          <w:p>
            <w:pPr>
              <w:pStyle w:val="TableContents"/>
              <w:bidi w:val="0"/>
              <w:spacing w:before="0" w:after="283"/>
              <w:jc w:val="center"/>
              <w:rPr>
                <w:b/>
              </w:rPr>
            </w:pPr>
            <w:r>
              <w:rPr>
                <w:b/>
              </w:rPr>
              <w:t>COMPANY PERFORMANCE</w:t>
            </w:r>
          </w:p>
        </w:tc>
        <w:tc>
          <w:tcPr>
            <w:tcW w:w="23" w:type="dxa"/>
            <w:tcBorders/>
            <w:vAlign w:val="center"/>
          </w:tcPr>
          <w:p>
            <w:pPr>
              <w:pStyle w:val="TableContents"/>
              <w:bidi w:val="0"/>
              <w:spacing w:before="0" w:after="283"/>
              <w:jc w:val="left"/>
              <w:rPr>
                <w:sz w:val="4"/>
                <w:szCs w:val="4"/>
              </w:rPr>
            </w:pPr>
            <w:r>
              <w:rPr>
                <w:sz w:val="4"/>
                <w:szCs w:val="4"/>
              </w:rPr>
            </w:r>
          </w:p>
        </w:tc>
        <w:tc>
          <w:tcPr>
            <w:tcW w:w="261" w:type="dxa"/>
            <w:gridSpan w:val="4"/>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sz w:val="4"/>
                <w:szCs w:val="4"/>
              </w:rPr>
            </w:pPr>
            <w:r>
              <w:rPr>
                <w:sz w:val="4"/>
                <w:szCs w:val="4"/>
              </w:rPr>
            </w:r>
          </w:p>
        </w:tc>
        <w:tc>
          <w:tcPr>
            <w:tcW w:w="3530" w:type="dxa"/>
            <w:gridSpan w:val="7"/>
            <w:tcBorders/>
            <w:vAlign w:val="center"/>
          </w:tcPr>
          <w:p>
            <w:pPr>
              <w:pStyle w:val="TableContents"/>
              <w:bidi w:val="0"/>
              <w:spacing w:before="0" w:after="283"/>
              <w:jc w:val="center"/>
              <w:rPr>
                <w:b/>
              </w:rPr>
            </w:pPr>
            <w:r>
              <w:rPr>
                <w:b/>
              </w:rPr>
              <w:t>INDIVIDUAL PERFORMANCE</w:t>
            </w:r>
          </w:p>
        </w:tc>
        <w:tc>
          <w:tcPr>
            <w:tcW w:w="23" w:type="dxa"/>
            <w:tcBorders/>
            <w:vAlign w:val="center"/>
          </w:tcPr>
          <w:p>
            <w:pPr>
              <w:pStyle w:val="TableContents"/>
              <w:bidi w:val="0"/>
              <w:spacing w:before="0" w:after="283"/>
              <w:jc w:val="left"/>
              <w:rPr>
                <w:sz w:val="4"/>
                <w:szCs w:val="4"/>
              </w:rPr>
            </w:pPr>
            <w:r>
              <w:rPr>
                <w:sz w:val="4"/>
                <w:szCs w:val="4"/>
              </w:rPr>
            </w:r>
          </w:p>
        </w:tc>
        <w:tc>
          <w:tcPr>
            <w:tcW w:w="261" w:type="dxa"/>
            <w:gridSpan w:val="4"/>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018" w:type="dxa"/>
            <w:gridSpan w:val="4"/>
            <w:tcBorders/>
            <w:vAlign w:val="center"/>
          </w:tcPr>
          <w:p>
            <w:pPr>
              <w:pStyle w:val="TableContents"/>
              <w:bidi w:val="0"/>
              <w:spacing w:before="0" w:after="283"/>
              <w:jc w:val="left"/>
              <w:rPr/>
            </w:pPr>
            <w:r>
              <w:rPr/>
              <w:t> </w:t>
            </w:r>
          </w:p>
        </w:tc>
      </w:tr>
      <w:tr>
        <w:trPr/>
        <w:tc>
          <w:tcPr>
            <w:tcW w:w="1188" w:type="dxa"/>
            <w:tcBorders/>
            <w:vAlign w:val="center"/>
          </w:tcPr>
          <w:p>
            <w:pPr>
              <w:pStyle w:val="TableContents"/>
              <w:bidi w:val="0"/>
              <w:spacing w:before="0" w:after="283"/>
              <w:jc w:val="left"/>
              <w:rPr>
                <w:sz w:val="4"/>
                <w:szCs w:val="4"/>
              </w:rPr>
            </w:pPr>
            <w:r>
              <w:rPr>
                <w:sz w:val="4"/>
                <w:szCs w:val="4"/>
              </w:rPr>
            </w:r>
          </w:p>
        </w:tc>
        <w:tc>
          <w:tcPr>
            <w:tcW w:w="270" w:type="dxa"/>
            <w:gridSpan w:val="5"/>
            <w:tcBorders/>
            <w:vAlign w:val="center"/>
          </w:tcPr>
          <w:p>
            <w:pPr>
              <w:pStyle w:val="TableContents"/>
              <w:bidi w:val="0"/>
              <w:spacing w:before="0" w:after="283"/>
              <w:jc w:val="left"/>
              <w:rPr>
                <w:sz w:val="4"/>
                <w:szCs w:val="4"/>
              </w:rPr>
            </w:pPr>
            <w:r>
              <w:rPr>
                <w:sz w:val="4"/>
                <w:szCs w:val="4"/>
              </w:rPr>
            </w:r>
          </w:p>
        </w:tc>
        <w:tc>
          <w:tcPr>
            <w:tcW w:w="1041" w:type="dxa"/>
            <w:gridSpan w:val="2"/>
            <w:tcBorders/>
            <w:vAlign w:val="center"/>
          </w:tcPr>
          <w:p>
            <w:pPr>
              <w:pStyle w:val="TableContents"/>
              <w:bidi w:val="0"/>
              <w:spacing w:before="0" w:after="283"/>
              <w:jc w:val="left"/>
              <w:rPr>
                <w:sz w:val="4"/>
                <w:szCs w:val="4"/>
              </w:rPr>
            </w:pPr>
            <w:r>
              <w:rPr>
                <w:sz w:val="4"/>
                <w:szCs w:val="4"/>
              </w:rPr>
            </w:r>
          </w:p>
        </w:tc>
        <w:tc>
          <w:tcPr>
            <w:tcW w:w="284" w:type="dxa"/>
            <w:gridSpan w:val="5"/>
            <w:tcBorders/>
            <w:vAlign w:val="center"/>
          </w:tcPr>
          <w:p>
            <w:pPr>
              <w:pStyle w:val="TableContents"/>
              <w:bidi w:val="0"/>
              <w:spacing w:before="0" w:after="283"/>
              <w:jc w:val="left"/>
              <w:rPr>
                <w:sz w:val="4"/>
                <w:szCs w:val="4"/>
              </w:rPr>
            </w:pPr>
            <w:r>
              <w:rPr>
                <w:sz w:val="4"/>
                <w:szCs w:val="4"/>
              </w:rPr>
            </w:r>
          </w:p>
        </w:tc>
        <w:tc>
          <w:tcPr>
            <w:tcW w:w="1567" w:type="dxa"/>
            <w:gridSpan w:val="2"/>
            <w:tcBorders/>
            <w:vAlign w:val="center"/>
          </w:tcPr>
          <w:p>
            <w:pPr>
              <w:pStyle w:val="TableContents"/>
              <w:bidi w:val="0"/>
              <w:spacing w:before="0" w:after="283"/>
              <w:jc w:val="left"/>
              <w:rPr>
                <w:sz w:val="4"/>
                <w:szCs w:val="4"/>
              </w:rPr>
            </w:pPr>
            <w:r>
              <w:rPr>
                <w:sz w:val="4"/>
                <w:szCs w:val="4"/>
              </w:rPr>
            </w:r>
          </w:p>
        </w:tc>
        <w:tc>
          <w:tcPr>
            <w:tcW w:w="945" w:type="dxa"/>
            <w:gridSpan w:val="5"/>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284" w:type="dxa"/>
            <w:gridSpan w:val="5"/>
            <w:tcBorders/>
            <w:vAlign w:val="center"/>
          </w:tcPr>
          <w:p>
            <w:pPr>
              <w:pStyle w:val="TableContents"/>
              <w:bidi w:val="0"/>
              <w:spacing w:before="0" w:after="283"/>
              <w:jc w:val="left"/>
              <w:rPr>
                <w:sz w:val="4"/>
                <w:szCs w:val="4"/>
              </w:rPr>
            </w:pPr>
            <w:r>
              <w:rPr>
                <w:sz w:val="4"/>
                <w:szCs w:val="4"/>
              </w:rPr>
            </w:r>
          </w:p>
        </w:tc>
        <w:tc>
          <w:tcPr>
            <w:tcW w:w="2041" w:type="dxa"/>
            <w:gridSpan w:val="5"/>
            <w:tcBorders/>
            <w:vAlign w:val="center"/>
          </w:tcPr>
          <w:p>
            <w:pPr>
              <w:pStyle w:val="TableContents"/>
              <w:bidi w:val="0"/>
              <w:spacing w:before="0" w:after="283"/>
              <w:jc w:val="left"/>
              <w:rPr>
                <w:sz w:val="4"/>
                <w:szCs w:val="4"/>
              </w:rPr>
            </w:pPr>
            <w:r>
              <w:rPr>
                <w:sz w:val="4"/>
                <w:szCs w:val="4"/>
              </w:rPr>
            </w:r>
          </w:p>
        </w:tc>
      </w:tr>
      <w:tr>
        <w:trPr/>
        <w:tc>
          <w:tcPr>
            <w:tcW w:w="1188" w:type="dxa"/>
            <w:tcBorders/>
            <w:vAlign w:val="center"/>
          </w:tcPr>
          <w:p>
            <w:pPr>
              <w:pStyle w:val="TableContents"/>
              <w:bidi w:val="0"/>
              <w:spacing w:before="0" w:after="0"/>
              <w:jc w:val="center"/>
              <w:rPr>
                <w:rFonts w:ascii="ARIAL" w:hAnsi="ARIAL"/>
                <w:sz w:val="20"/>
              </w:rPr>
            </w:pPr>
            <w:r>
              <w:rPr>
                <w:rFonts w:ascii="ARIAL" w:hAnsi="ARIAL"/>
                <w:sz w:val="20"/>
              </w:rPr>
              <w:t>Financial Goal</w:t>
            </w:r>
          </w:p>
          <w:p>
            <w:pPr>
              <w:pStyle w:val="TableContents"/>
              <w:bidi w:val="0"/>
              <w:spacing w:before="0" w:after="20"/>
              <w:jc w:val="center"/>
              <w:rPr>
                <w:rFonts w:ascii="ARIAL" w:hAnsi="ARIAL"/>
                <w:sz w:val="20"/>
              </w:rPr>
            </w:pPr>
            <w:r>
              <w:rPr>
                <w:rFonts w:ascii="ARIAL" w:hAnsi="ARIAL"/>
                <w:sz w:val="20"/>
              </w:rPr>
              <w:t>Achievement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center"/>
              <w:rPr/>
            </w:pPr>
            <w:r>
              <w:rPr/>
              <w:t>x</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center"/>
              <w:rPr/>
            </w:pPr>
            <w:r>
              <w:rPr/>
              <w:t>Weighting</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center"/>
              <w:rPr/>
            </w:pPr>
            <w:r>
              <w:rPr/>
              <w:t>Individual Goal Achievement</w:t>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X</w:t>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0"/>
              <w:jc w:val="center"/>
              <w:rPr>
                <w:rFonts w:ascii="ARIAL" w:hAnsi="ARIAL"/>
                <w:sz w:val="20"/>
              </w:rPr>
            </w:pPr>
            <w:r>
              <w:rPr>
                <w:rFonts w:ascii="ARIAL" w:hAnsi="ARIAL"/>
                <w:sz w:val="20"/>
              </w:rPr>
              <w:t xml:space="preserve">Weighting </w:t>
            </w:r>
          </w:p>
          <w:p>
            <w:pPr>
              <w:pStyle w:val="TableContents"/>
              <w:bidi w:val="0"/>
              <w:spacing w:before="0" w:after="20"/>
              <w:jc w:val="center"/>
              <w:rPr>
                <w:rFonts w:ascii="ARIAL" w:hAnsi="ARIAL"/>
                <w:i/>
                <w:sz w:val="20"/>
              </w:rPr>
            </w:pPr>
            <w:r>
              <w:rPr>
                <w:rFonts w:ascii="ARIAL" w:hAnsi="ARIAL"/>
                <w:i/>
                <w:sz w:val="20"/>
              </w:rPr>
              <w:t>(0% for CEO)</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rPr>
            </w:pPr>
            <w:r>
              <w:rPr>
                <w:b/>
              </w:rPr>
              <w:t>OVERALL</w:t>
              <w:br/>
              <w:t>ACHIEVEMENT</w:t>
            </w:r>
          </w:p>
        </w:tc>
        <w:tc>
          <w:tcPr>
            <w:tcW w:w="40" w:type="dxa"/>
            <w:tcBorders/>
            <w:vAlign w:val="center"/>
          </w:tcPr>
          <w:p>
            <w:pPr>
              <w:pStyle w:val="TableContents"/>
              <w:bidi w:val="0"/>
              <w:spacing w:before="0" w:after="283"/>
              <w:jc w:val="left"/>
              <w:rPr>
                <w:b/>
              </w:rPr>
            </w:pPr>
            <w:r>
              <w:rPr>
                <w:b/>
              </w:rPr>
            </w:r>
          </w:p>
        </w:tc>
      </w:tr>
    </w:tbl>
    <w:p>
      <w:pPr>
        <w:pStyle w:val="TextBody"/>
        <w:bidi w:val="0"/>
        <w:spacing w:before="360" w:after="0"/>
        <w:jc w:val="left"/>
        <w:rPr>
          <w:rFonts w:ascii="ARIAL" w:hAnsi="ARIAL"/>
          <w:b/>
          <w:sz w:val="20"/>
        </w:rPr>
      </w:pPr>
      <w:r>
        <w:rPr>
          <w:rFonts w:ascii="ARIAL" w:hAnsi="ARIAL"/>
          <w:b/>
          <w:sz w:val="20"/>
        </w:rPr>
        <w:t xml:space="preserve">2025 METRICS AND ACHIEVEMENT </w:t>
      </w:r>
    </w:p>
    <w:p>
      <w:pPr>
        <w:pStyle w:val="TextBody"/>
        <w:bidi w:val="0"/>
        <w:spacing w:before="80" w:after="0"/>
        <w:jc w:val="left"/>
        <w:rPr>
          <w:rFonts w:ascii="ARIAL" w:hAnsi="ARIAL"/>
          <w:sz w:val="18"/>
        </w:rPr>
      </w:pPr>
      <w:r>
        <w:rPr>
          <w:rFonts w:ascii="ARIAL" w:hAnsi="ARIAL"/>
          <w:sz w:val="18"/>
        </w:rPr>
        <w:t xml:space="preserve">For 2025, the Compensation Committee selected EBITDA as the Annual Cash Incentive performance metric, as in past years because it believes top-line growth and profitability are critical short-term measures for our success and key to long-term stockholder value creation. The EBITDA goal is intended to reflect the Company’s expected investments and strategic initiatives. The Compensation Committee set the 2025 EBITDA target based upon the Company’s 2025 budget as approved by the Board, and within the EBITDA guidance range of $253 million to $283 million provided by the Company in February 2025. The Compensation Committee set the target EBITDA at $278 million, challenging management to expand the margins of the Company’s commercial and marketplace businesses. This $278 million target was 119% higher than the 2024 actual EBITDA performance of $127 million. The Compensation Committee believed that setting an EBITDA-based performance goal at a $278 million target would incentivize management to further drive stockholder value and that the target goal was appropriately challenging to achieve. </w:t>
      </w:r>
    </w:p>
    <w:p>
      <w:pPr>
        <w:pStyle w:val="TextBody"/>
        <w:bidi w:val="0"/>
        <w:spacing w:before="160" w:after="0"/>
        <w:jc w:val="left"/>
        <w:rPr>
          <w:rFonts w:ascii="ARIAL" w:hAnsi="ARIAL"/>
          <w:sz w:val="18"/>
        </w:rPr>
      </w:pPr>
      <w:r>
        <w:rPr>
          <w:rFonts w:ascii="ARIAL" w:hAnsi="ARIAL"/>
          <w:sz w:val="18"/>
        </w:rPr>
        <w:t xml:space="preserve">The following graphic shows the threshold, target, and maximum EBITDA goals and payout percentages for 2025 performance, as well as the actual EBITDA and payout percentage determined by the Compensation Committee for 2025 performance (dollar amounts in millions). </w:t>
      </w:r>
    </w:p>
    <w:p>
      <w:pPr>
        <w:pStyle w:val="TextBody"/>
        <w:bidi w:val="0"/>
        <w:spacing w:before="160" w:after="0"/>
        <w:jc w:val="left"/>
        <w:rPr>
          <w:rFonts w:ascii="ARIAL" w:hAnsi="ARIAL"/>
          <w:sz w:val="18"/>
        </w:rPr>
      </w:pPr>
      <w:r>
        <w:rPr>
          <w:rFonts w:ascii="ARIAL" w:hAnsi="ARIAL"/>
          <w:sz w:val="18"/>
        </w:rPr>
        <w:t xml:space="preserve">In determining the 2025 payout percentage, the Compensation Committee considered the Company’s overall performance. In addition to the above target achievement of the EBITDA goals under the Plan, the Committee also considered significant strategic actions undertaken during the year that supported the Company’s long-term growth strategy, recognizing that the full impact of these actions may not be immediately reflected in near-term total shareholder return. The Compensation Committee found that management delivered solid financial performance in 2025 despite the Company’s 2025 stock performance which did not reflect these operating results. The stock price reflected broader market dynamics, including stock volatility driven by uncertainty regarding the perceived threat of emerging AI technologies. The Compensation Committee considered both absolute and relative performance, including stock price performance, operational results, and individual contributions, in making executive compensation decisions consistent with the established goals for the 2025 short-term incentives.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485900"/>
            <wp:effectExtent l="0" t="0" r="0" b="0"/>
            <wp:docPr id="330"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05" descr=""/>
                    <pic:cNvPicPr>
                      <a:picLocks noChangeAspect="1" noChangeArrowheads="1"/>
                    </pic:cNvPicPr>
                  </pic:nvPicPr>
                  <pic:blipFill>
                    <a:blip r:embed="rId317"/>
                    <a:stretch>
                      <a:fillRect/>
                    </a:stretch>
                  </pic:blipFill>
                  <pic:spPr bwMode="auto">
                    <a:xfrm>
                      <a:off x="0" y="0"/>
                      <a:ext cx="7810500" cy="148590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ARIAL" w:hAnsi="ARIAL"/>
                <w:i/>
                <w:sz w:val="16"/>
              </w:rPr>
            </w:pPr>
            <w:r>
              <w:rPr>
                <w:rFonts w:ascii="ARIAL" w:hAnsi="ARIAL"/>
                <w:i/>
                <w:sz w:val="16"/>
              </w:rPr>
              <w:t xml:space="preserve">2025 target set 119% above 2024 actual result, which reflects a determination to establish a rigorous goal for our 2025 short-term incentive program. </w:t>
            </w:r>
          </w:p>
        </w:tc>
      </w:tr>
    </w:tbl>
    <w:p>
      <w:pPr>
        <w:pStyle w:val="TextBody"/>
        <w:bidi w:val="0"/>
        <w:spacing w:before="0" w:after="0"/>
        <w:jc w:val="left"/>
        <w:rPr/>
      </w:pPr>
      <w:r>
        <w:rPr/>
        <w:t> </w:t>
      </w:r>
    </w:p>
    <w:p>
      <w:pPr>
        <w:pStyle w:val="TextBody"/>
        <w:pBdr/>
        <w:bidi w:val="0"/>
        <w:spacing w:before="0" w:after="0"/>
        <w:jc w:val="left"/>
        <w:rPr>
          <w:rFonts w:ascii="ARIAL" w:hAnsi="ARIAL"/>
          <w:sz w:val="18"/>
          <w:bdr w:val="single" w:sz="2" w:space="2" w:color="DAEDFA"/>
          <w:shd w:fill="DAEDFA" w:val="clear"/>
        </w:rPr>
      </w:pPr>
      <w:r>
        <w:rPr>
          <w:rFonts w:ascii="ARIAL" w:hAnsi="ARIAL"/>
          <w:b/>
          <w:color w:val="0054BA"/>
          <w:sz w:val="18"/>
          <w:bdr w:val="single" w:sz="2" w:space="2" w:color="DAEDFA"/>
          <w:shd w:fill="DAEDFA" w:val="clear"/>
        </w:rPr>
        <w:t>Note for 2026:</w:t>
      </w:r>
      <w:r>
        <w:rPr>
          <w:rFonts w:ascii="ARIAL" w:hAnsi="ARIAL"/>
          <w:sz w:val="18"/>
          <w:bdr w:val="single" w:sz="2" w:space="2" w:color="DAEDFA"/>
          <w:shd w:fill="DAEDFA" w:val="clear"/>
        </w:rPr>
        <w:t xml:space="preserve"> The Annual Cash Incentive Plan metrics have been redesigned to: </w:t>
      </w:r>
    </w:p>
    <w:p>
      <w:pPr>
        <w:pStyle w:val="TextBody"/>
        <w:bidi w:val="0"/>
        <w:spacing w:before="0" w:after="0"/>
        <w:jc w:val="left"/>
        <w:rPr>
          <w:bdr w:val="single" w:sz="2" w:space="2" w:color="DAEDFA"/>
          <w:shd w:fill="DAEDFA" w:val="clear"/>
        </w:rPr>
      </w:pPr>
      <w:r>
        <w:rPr>
          <w:bdr w:val="single" w:sz="2" w:space="2" w:color="DAEDFA"/>
          <w:shd w:fill="DAEDFA"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enhance goal rigor by establishing symmetrical slopes for performance metrics, and balance the EBITDA metric with an equally weighted Organic Revenue metric. </w:t>
            </w:r>
          </w:p>
        </w:tc>
      </w:tr>
    </w:tbl>
    <w:p>
      <w:pPr>
        <w:pStyle w:val="TextBody"/>
        <w:bidi w:val="0"/>
        <w:spacing w:before="0" w:after="0"/>
        <w:jc w:val="left"/>
        <w:rPr>
          <w:bdr w:val="single" w:sz="2" w:space="2" w:color="DAEDFA"/>
          <w:shd w:fill="DAEDFA" w:val="clear"/>
        </w:rPr>
      </w:pPr>
      <w:r>
        <w:rPr>
          <w:bdr w:val="single" w:sz="2" w:space="2" w:color="DAEDFA"/>
          <w:shd w:fill="DAEDFA"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For all NEOs other than the CEO, the short-term incentive breakdown has changed to 40% Organic Revenue, 40% EBITDA, and 20% Individual Performance. </w:t>
            </w:r>
          </w:p>
        </w:tc>
      </w:tr>
    </w:tbl>
    <w:p>
      <w:pPr>
        <w:pStyle w:val="TextBody"/>
        <w:bidi w:val="0"/>
        <w:spacing w:before="0" w:after="0"/>
        <w:jc w:val="left"/>
        <w:rPr>
          <w:bdr w:val="single" w:sz="2" w:space="2" w:color="DAEDFA"/>
          <w:shd w:fill="DAEDFA" w:val="clear"/>
        </w:rPr>
      </w:pPr>
      <w:r>
        <w:rPr>
          <w:bdr w:val="single" w:sz="2" w:space="2" w:color="DAEDFA"/>
          <w:shd w:fill="DAEDFA" w:val="clea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ARIAL" w:hAnsi="ARIAL"/>
                <w:sz w:val="18"/>
              </w:rPr>
            </w:pPr>
            <w:r>
              <w:rPr>
                <w:rFonts w:ascii="ARIAL" w:hAnsi="ARIAL"/>
                <w:sz w:val="18"/>
              </w:rPr>
              <w:t xml:space="preserve">For the CEO, 50% Organic Revenue and 50% EBITDA.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31"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6" descr=""/>
                          <pic:cNvPicPr>
                            <a:picLocks noChangeAspect="1" noChangeArrowheads="1"/>
                          </pic:cNvPicPr>
                        </pic:nvPicPr>
                        <pic:blipFill>
                          <a:blip r:embed="rId31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Review of 2025 Individual Performance Outcomes </w:t>
      </w:r>
    </w:p>
    <w:p>
      <w:pPr>
        <w:pStyle w:val="TextBody"/>
        <w:bidi w:val="0"/>
        <w:spacing w:before="0" w:after="0"/>
        <w:jc w:val="left"/>
        <w:rPr/>
      </w:pPr>
      <w:r>
        <w:rPr/>
        <w:t> </w:t>
      </w:r>
    </w:p>
    <w:tbl>
      <w:tblPr>
        <w:tblW w:w="5231" w:type="dxa"/>
        <w:jc w:val="left"/>
        <w:tblInd w:w="0" w:type="dxa"/>
        <w:tblLayout w:type="fixed"/>
        <w:tblCellMar>
          <w:top w:w="0" w:type="dxa"/>
          <w:left w:w="0" w:type="dxa"/>
          <w:bottom w:w="0" w:type="dxa"/>
          <w:right w:w="0" w:type="dxa"/>
        </w:tblCellMar>
      </w:tblPr>
      <w:tblGrid>
        <w:gridCol w:w="38"/>
        <w:gridCol w:w="23"/>
        <w:gridCol w:w="960"/>
        <w:gridCol w:w="23"/>
        <w:gridCol w:w="628"/>
        <w:gridCol w:w="628"/>
        <w:gridCol w:w="628"/>
        <w:gridCol w:w="628"/>
        <w:gridCol w:w="628"/>
        <w:gridCol w:w="1047"/>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47" w:type="dxa"/>
            <w:tcBorders/>
          </w:tcPr>
          <w:p>
            <w:pPr>
              <w:pStyle w:val="TableContents"/>
              <w:bidi w:val="0"/>
              <w:spacing w:before="0" w:after="283"/>
              <w:jc w:val="left"/>
              <w:rPr>
                <w:sz w:val="4"/>
                <w:szCs w:val="4"/>
              </w:rPr>
            </w:pPr>
            <w:r>
              <w:rPr>
                <w:sz w:val="4"/>
                <w:szCs w:val="4"/>
              </w:rPr>
            </w:r>
          </w:p>
        </w:tc>
      </w:tr>
      <w:tr>
        <w:trPr/>
        <w:tc>
          <w:tcPr>
            <w:tcW w:w="38" w:type="dxa"/>
            <w:tcBorders/>
            <w:shd w:fill="0054BA" w:val="clear"/>
            <w:vAlign w:val="center"/>
          </w:tcPr>
          <w:p>
            <w:pPr>
              <w:pStyle w:val="TableContents"/>
              <w:bidi w:val="0"/>
              <w:spacing w:before="0" w:after="283"/>
              <w:jc w:val="left"/>
              <w:rPr>
                <w:sz w:val="4"/>
                <w:szCs w:val="4"/>
              </w:rPr>
            </w:pPr>
            <w:r>
              <w:rPr>
                <w:sz w:val="4"/>
                <w:szCs w:val="4"/>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60" w:type="dxa"/>
            <w:tcBorders/>
            <w:shd w:fill="0054BA"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571500" cy="567055"/>
                  <wp:effectExtent l="0" t="0" r="0" b="0"/>
                  <wp:docPr id="332"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7" descr=""/>
                          <pic:cNvPicPr>
                            <a:picLocks noChangeAspect="1" noChangeArrowheads="1"/>
                          </pic:cNvPicPr>
                        </pic:nvPicPr>
                        <pic:blipFill>
                          <a:blip r:embed="rId319"/>
                          <a:stretch>
                            <a:fillRect/>
                          </a:stretch>
                        </pic:blipFill>
                        <pic:spPr bwMode="auto">
                          <a:xfrm>
                            <a:off x="0" y="0"/>
                            <a:ext cx="571500" cy="567055"/>
                          </a:xfrm>
                          <a:prstGeom prst="rect">
                            <a:avLst/>
                          </a:prstGeom>
                        </pic:spPr>
                      </pic:pic>
                    </a:graphicData>
                  </a:graphic>
                </wp:inline>
              </w:drawing>
            </w:r>
            <w:r>
              <w:rPr/>
              <w:t xml:space="preserve">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4187" w:type="dxa"/>
            <w:gridSpan w:val="6"/>
            <w:tcBorders/>
            <w:shd w:fill="0054BA" w:val="clear"/>
            <w:vAlign w:val="center"/>
          </w:tcPr>
          <w:p>
            <w:pPr>
              <w:pStyle w:val="TableContents"/>
              <w:bidi w:val="0"/>
              <w:spacing w:before="0" w:after="0"/>
              <w:jc w:val="left"/>
              <w:rPr>
                <w:rFonts w:ascii="ARIAL" w:hAnsi="ARIAL"/>
                <w:b/>
                <w:color w:val="FFFFFF"/>
                <w:sz w:val="24"/>
              </w:rPr>
            </w:pPr>
            <w:r>
              <w:rPr>
                <w:rFonts w:ascii="ARIAL" w:hAnsi="ARIAL"/>
                <w:b/>
                <w:color w:val="FFFFFF"/>
                <w:sz w:val="24"/>
              </w:rPr>
              <w:t>Andrew C. Florance</w:t>
            </w:r>
          </w:p>
          <w:p>
            <w:pPr>
              <w:pStyle w:val="TableContents"/>
              <w:bidi w:val="0"/>
              <w:spacing w:before="0" w:after="20"/>
              <w:jc w:val="left"/>
              <w:rPr>
                <w:rFonts w:ascii="ARIAL" w:hAnsi="ARIAL"/>
                <w:color w:val="FFFFFF"/>
                <w:sz w:val="20"/>
              </w:rPr>
            </w:pPr>
            <w:r>
              <w:rPr>
                <w:rFonts w:ascii="ARIAL" w:hAnsi="ARIAL"/>
                <w:color w:val="FFFFFF"/>
                <w:sz w:val="20"/>
              </w:rPr>
              <w:t>FOUNDER AND CHIEF EXECUTIVE OFFICER</w:t>
            </w:r>
          </w:p>
        </w:tc>
      </w:tr>
    </w:tbl>
    <w:tbl>
      <w:tblPr>
        <w:tblW w:w="8431" w:type="dxa"/>
        <w:jc w:val="left"/>
        <w:tblInd w:w="0" w:type="dxa"/>
        <w:tblLayout w:type="fixed"/>
        <w:tblCellMar>
          <w:top w:w="0" w:type="dxa"/>
          <w:left w:w="0" w:type="dxa"/>
          <w:bottom w:w="0" w:type="dxa"/>
          <w:right w:w="0" w:type="dxa"/>
        </w:tblCellMar>
      </w:tblPr>
      <w:tblGrid>
        <w:gridCol w:w="38"/>
        <w:gridCol w:w="23"/>
        <w:gridCol w:w="2411"/>
        <w:gridCol w:w="38"/>
        <w:gridCol w:w="2588"/>
        <w:gridCol w:w="38"/>
        <w:gridCol w:w="3120"/>
        <w:gridCol w:w="38"/>
        <w:gridCol w:w="38"/>
        <w:gridCol w:w="38"/>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8309" w:type="dxa"/>
            <w:gridSpan w:val="8"/>
            <w:tcBorders/>
            <w:shd w:fill="DAEDFA" w:val="clear"/>
            <w:vAlign w:val="center"/>
          </w:tcPr>
          <w:p>
            <w:pPr>
              <w:pStyle w:val="TableContents"/>
              <w:bidi w:val="0"/>
              <w:spacing w:before="0" w:after="0"/>
              <w:jc w:val="left"/>
              <w:rPr/>
            </w:pPr>
            <w:r>
              <w:rPr/>
              <w:t> </w:t>
            </w:r>
          </w:p>
          <w:p>
            <w:pPr>
              <w:pStyle w:val="TableContents"/>
              <w:bidi w:val="0"/>
              <w:spacing w:before="0" w:after="20"/>
              <w:jc w:val="left"/>
              <w:rPr/>
            </w:pPr>
            <w:r>
              <w:rPr>
                <w:color w:val="0054BA"/>
              </w:rPr>
              <w:t>•</w:t>
            </w:r>
            <w:r>
              <w:rPr/>
              <w:t>  </w:t>
            </w:r>
            <w:r>
              <w:rPr>
                <w:rFonts w:ascii="ARIAL" w:hAnsi="ARIAL"/>
                <w:sz w:val="18"/>
              </w:rPr>
              <w:t>Mr. Florance’s Short-term Incentive is entirely based upon objective financial goals (100% EBITDA).</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434"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2626"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3158"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76" w:type="dxa"/>
            <w:gridSpan w:val="2"/>
            <w:tcBorders/>
            <w:shd w:fill="DAEDFA" w:val="clear"/>
            <w:vAlign w:val="center"/>
          </w:tcPr>
          <w:p>
            <w:pPr>
              <w:pStyle w:val="TableContents"/>
              <w:bidi w:val="0"/>
              <w:spacing w:before="0" w:after="283"/>
              <w:jc w:val="left"/>
              <w:rPr>
                <w:sz w:val="4"/>
                <w:szCs w:val="4"/>
              </w:rPr>
            </w:pPr>
            <w:r>
              <w:rPr>
                <w:sz w:val="4"/>
                <w:szCs w:val="4"/>
              </w:rPr>
            </w:r>
          </w:p>
        </w:tc>
        <w:tc>
          <w:tcPr>
            <w:tcW w:w="99" w:type="dxa"/>
            <w:gridSpan w:val="3"/>
            <w:tcBorders/>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411"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Corporate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100%</w:t>
            </w:r>
          </w:p>
        </w:tc>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588"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2025 Cash Award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$3,000,000</w:t>
            </w:r>
          </w:p>
        </w:tc>
        <w:tc>
          <w:tcPr>
            <w:tcW w:w="38" w:type="dxa"/>
            <w:tcBorders/>
            <w:shd w:fill="DAEDFA" w:val="clear"/>
            <w:vAlign w:val="center"/>
          </w:tcPr>
          <w:p>
            <w:pPr>
              <w:pStyle w:val="TableContents"/>
              <w:bidi w:val="0"/>
              <w:spacing w:before="0" w:after="283"/>
              <w:jc w:val="left"/>
              <w:rPr>
                <w:sz w:val="4"/>
                <w:szCs w:val="4"/>
              </w:rPr>
            </w:pPr>
            <w:r>
              <w:rPr>
                <w:sz w:val="4"/>
                <w:szCs w:val="4"/>
              </w:rPr>
            </w:r>
          </w:p>
        </w:tc>
        <w:tc>
          <w:tcPr>
            <w:tcW w:w="3120"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Award as % of Salary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300%</w:t>
            </w:r>
          </w:p>
        </w:tc>
        <w:tc>
          <w:tcPr>
            <w:tcW w:w="38" w:type="dxa"/>
            <w:tcBorders/>
            <w:shd w:fill="DAEDFA" w:val="clear"/>
            <w:vAlign w:val="center"/>
          </w:tcPr>
          <w:p>
            <w:pPr>
              <w:pStyle w:val="TableContents"/>
              <w:bidi w:val="0"/>
              <w:spacing w:before="0" w:after="283"/>
              <w:jc w:val="left"/>
              <w:rPr>
                <w:sz w:val="4"/>
                <w:szCs w:val="4"/>
              </w:rPr>
            </w:pPr>
            <w:r>
              <w:rPr>
                <w:sz w:val="4"/>
                <w:szCs w:val="4"/>
              </w:rPr>
            </w:r>
          </w:p>
        </w:tc>
        <w:tc>
          <w:tcPr>
            <w:tcW w:w="38" w:type="dxa"/>
            <w:tcBorders/>
            <w:shd w:fill="DAEDFA" w:val="clear"/>
            <w:vAlign w:val="center"/>
          </w:tcPr>
          <w:p>
            <w:pPr>
              <w:pStyle w:val="TableContents"/>
              <w:bidi w:val="0"/>
              <w:spacing w:before="0" w:after="283"/>
              <w:jc w:val="left"/>
              <w:rPr>
                <w:sz w:val="4"/>
                <w:szCs w:val="4"/>
              </w:rPr>
            </w:pPr>
            <w:r>
              <w:rPr>
                <w:sz w:val="4"/>
                <w:szCs w:val="4"/>
              </w:rPr>
            </w:r>
          </w:p>
        </w:tc>
        <w:tc>
          <w:tcPr>
            <w:tcW w:w="99"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657" w:type="dxa"/>
        <w:jc w:val="left"/>
        <w:tblInd w:w="0" w:type="dxa"/>
        <w:tblLayout w:type="fixed"/>
        <w:tblCellMar>
          <w:top w:w="0" w:type="dxa"/>
          <w:left w:w="0" w:type="dxa"/>
          <w:bottom w:w="0" w:type="dxa"/>
          <w:right w:w="0" w:type="dxa"/>
        </w:tblCellMar>
      </w:tblPr>
      <w:tblGrid>
        <w:gridCol w:w="38"/>
        <w:gridCol w:w="23"/>
        <w:gridCol w:w="959"/>
        <w:gridCol w:w="23"/>
        <w:gridCol w:w="391"/>
        <w:gridCol w:w="391"/>
        <w:gridCol w:w="391"/>
        <w:gridCol w:w="391"/>
        <w:gridCol w:w="391"/>
        <w:gridCol w:w="659"/>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59" w:type="dxa"/>
            <w:tcBorders/>
          </w:tcPr>
          <w:p>
            <w:pPr>
              <w:pStyle w:val="TableContents"/>
              <w:bidi w:val="0"/>
              <w:spacing w:before="0" w:after="283"/>
              <w:jc w:val="left"/>
              <w:rPr>
                <w:sz w:val="4"/>
                <w:szCs w:val="4"/>
              </w:rPr>
            </w:pPr>
            <w:r>
              <w:rPr>
                <w:sz w:val="4"/>
                <w:szCs w:val="4"/>
              </w:rPr>
            </w:r>
          </w:p>
        </w:tc>
      </w:tr>
      <w:tr>
        <w:trPr/>
        <w:tc>
          <w:tcPr>
            <w:tcW w:w="38" w:type="dxa"/>
            <w:tcBorders/>
            <w:shd w:fill="0054BA" w:val="clear"/>
            <w:vAlign w:val="center"/>
          </w:tcPr>
          <w:p>
            <w:pPr>
              <w:pStyle w:val="TableContents"/>
              <w:bidi w:val="0"/>
              <w:spacing w:before="0" w:after="283"/>
              <w:jc w:val="left"/>
              <w:rPr>
                <w:sz w:val="4"/>
                <w:szCs w:val="4"/>
              </w:rPr>
            </w:pPr>
            <w:r>
              <w:rPr>
                <w:sz w:val="4"/>
                <w:szCs w:val="4"/>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59" w:type="dxa"/>
            <w:tcBorders/>
            <w:shd w:fill="0054BA" w:val="cle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570865" cy="571500"/>
                  <wp:effectExtent l="0" t="0" r="0" b="0"/>
                  <wp:docPr id="333"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08" descr=""/>
                          <pic:cNvPicPr>
                            <a:picLocks noChangeAspect="1" noChangeArrowheads="1"/>
                          </pic:cNvPicPr>
                        </pic:nvPicPr>
                        <pic:blipFill>
                          <a:blip r:embed="rId320"/>
                          <a:stretch>
                            <a:fillRect/>
                          </a:stretch>
                        </pic:blipFill>
                        <pic:spPr bwMode="auto">
                          <a:xfrm>
                            <a:off x="0" y="0"/>
                            <a:ext cx="570865" cy="571500"/>
                          </a:xfrm>
                          <a:prstGeom prst="rect">
                            <a:avLst/>
                          </a:prstGeom>
                        </pic:spPr>
                      </pic:pic>
                    </a:graphicData>
                  </a:graphic>
                </wp:inline>
              </w:drawing>
            </w:r>
            <w:r>
              <w:rPr/>
              <w:t xml:space="preserve"> </w:t>
            </w:r>
          </w:p>
          <w:p>
            <w:pPr>
              <w:pStyle w:val="TableContents"/>
              <w:bidi w:val="0"/>
              <w:spacing w:before="0" w:after="20"/>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614" w:type="dxa"/>
            <w:gridSpan w:val="6"/>
            <w:tcBorders/>
            <w:shd w:fill="0054BA" w:val="clear"/>
            <w:vAlign w:val="center"/>
          </w:tcPr>
          <w:p>
            <w:pPr>
              <w:pStyle w:val="TableContents"/>
              <w:bidi w:val="0"/>
              <w:spacing w:before="0" w:after="0"/>
              <w:jc w:val="left"/>
              <w:rPr>
                <w:rFonts w:ascii="ARIAL" w:hAnsi="ARIAL"/>
                <w:b/>
                <w:color w:val="FFFFFF"/>
                <w:sz w:val="24"/>
              </w:rPr>
            </w:pPr>
            <w:r>
              <w:rPr>
                <w:rFonts w:ascii="ARIAL" w:hAnsi="ARIAL"/>
                <w:b/>
                <w:color w:val="FFFFFF"/>
                <w:sz w:val="24"/>
              </w:rPr>
              <w:t>Christian M. Lown</w:t>
            </w:r>
          </w:p>
          <w:p>
            <w:pPr>
              <w:pStyle w:val="TableContents"/>
              <w:bidi w:val="0"/>
              <w:spacing w:before="0" w:after="20"/>
              <w:jc w:val="left"/>
              <w:rPr>
                <w:rFonts w:ascii="ARIAL" w:hAnsi="ARIAL"/>
                <w:color w:val="FFFFFF"/>
                <w:sz w:val="20"/>
              </w:rPr>
            </w:pPr>
            <w:r>
              <w:rPr>
                <w:rFonts w:ascii="ARIAL" w:hAnsi="ARIAL"/>
                <w:color w:val="FFFFFF"/>
                <w:sz w:val="20"/>
              </w:rPr>
              <w:t>CHIEF FINANCIAL OFFICER</w:t>
            </w:r>
          </w:p>
        </w:tc>
      </w:tr>
    </w:tbl>
    <w:tbl>
      <w:tblPr>
        <w:tblW w:w="10205" w:type="dxa"/>
        <w:jc w:val="left"/>
        <w:tblInd w:w="0" w:type="dxa"/>
        <w:tblLayout w:type="fixed"/>
        <w:tblCellMar>
          <w:top w:w="0" w:type="dxa"/>
          <w:left w:w="0" w:type="dxa"/>
          <w:bottom w:w="0" w:type="dxa"/>
          <w:right w:w="0" w:type="dxa"/>
        </w:tblCellMar>
      </w:tblPr>
      <w:tblGrid>
        <w:gridCol w:w="38"/>
        <w:gridCol w:w="23"/>
        <w:gridCol w:w="2927"/>
        <w:gridCol w:w="50"/>
        <w:gridCol w:w="2833"/>
        <w:gridCol w:w="50"/>
        <w:gridCol w:w="4069"/>
        <w:gridCol w:w="50"/>
        <w:gridCol w:w="50"/>
        <w:gridCol w:w="50"/>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50"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0079" w:type="dxa"/>
            <w:gridSpan w:val="8"/>
            <w:tcBorders/>
            <w:shd w:fill="DAEDFA"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18"/>
              </w:rPr>
            </w:pPr>
            <w:r>
              <w:rPr>
                <w:rFonts w:ascii="ARIAL" w:hAnsi="ARIAL"/>
                <w:b/>
                <w:color w:val="0054BA"/>
                <w:sz w:val="18"/>
              </w:rPr>
              <w:t>2025 INDIVIDUAL ACHIEVEMENTS</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2"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0079" w:type="dxa"/>
            <w:gridSpan w:val="8"/>
            <w:tcBorders/>
            <w:shd w:fill="DAEDFA" w:val="clear"/>
            <w:vAlign w:val="center"/>
          </w:tcPr>
          <w:p>
            <w:pPr>
              <w:pStyle w:val="TableContents"/>
              <w:bidi w:val="0"/>
              <w:spacing w:before="0" w:after="0"/>
              <w:jc w:val="left"/>
              <w:rPr/>
            </w:pPr>
            <w:r>
              <w:rPr>
                <w:color w:val="0054BA"/>
              </w:rPr>
              <w:t>•</w:t>
            </w:r>
            <w:r>
              <w:rPr/>
              <w:t>  </w:t>
            </w:r>
            <w:r>
              <w:rPr>
                <w:rFonts w:ascii="ARIAL" w:hAnsi="ARIAL"/>
                <w:sz w:val="18"/>
              </w:rPr>
              <w:t>Strengthened and scaled global finance operations positioning the organization for continued growth and efficiency, including the reduction of finance risk, complexity, and expense by deprecating acquired finance software from acquisitions by 50%.</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Maintained strong financial governance and compliance with a continued commitment to transparency, including 100% on-time filing of all SEC financials for 2025 without any issues or comments from the SEC.</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Supported strategic growth through disciplined execution of multiple significant acquisitions with synergy realization, including the acquisitions of Domain ($1.9B) and Matterport ($1.6B).</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Significantly increased engagement with stockholders.</w:t>
            </w:r>
          </w:p>
          <w:p>
            <w:pPr>
              <w:pStyle w:val="TableContents"/>
              <w:bidi w:val="0"/>
              <w:spacing w:before="0" w:after="20"/>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2"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2883"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4119"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100" w:type="dxa"/>
            <w:gridSpan w:val="2"/>
            <w:tcBorders/>
            <w:shd w:fill="DAEDFA" w:val="clear"/>
            <w:vAlign w:val="center"/>
          </w:tcPr>
          <w:p>
            <w:pPr>
              <w:pStyle w:val="TableContents"/>
              <w:bidi w:val="0"/>
              <w:spacing w:before="0" w:after="283"/>
              <w:jc w:val="left"/>
              <w:rPr>
                <w:sz w:val="4"/>
                <w:szCs w:val="4"/>
              </w:rPr>
            </w:pPr>
            <w:r>
              <w:rPr>
                <w:sz w:val="4"/>
                <w:szCs w:val="4"/>
              </w:rPr>
            </w:r>
          </w:p>
        </w:tc>
        <w:tc>
          <w:tcPr>
            <w:tcW w:w="115" w:type="dxa"/>
            <w:gridSpan w:val="3"/>
            <w:tcBorders/>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927"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Corporate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65%</w:t>
            </w:r>
          </w:p>
        </w:tc>
        <w:tc>
          <w:tcPr>
            <w:tcW w:w="50" w:type="dxa"/>
            <w:tcBorders/>
            <w:shd w:fill="DAEDFA" w:val="clear"/>
            <w:vAlign w:val="center"/>
          </w:tcPr>
          <w:p>
            <w:pPr>
              <w:pStyle w:val="TableContents"/>
              <w:bidi w:val="0"/>
              <w:spacing w:before="0" w:after="283"/>
              <w:jc w:val="left"/>
              <w:rPr>
                <w:sz w:val="4"/>
                <w:szCs w:val="4"/>
              </w:rPr>
            </w:pPr>
            <w:r>
              <w:rPr>
                <w:sz w:val="4"/>
                <w:szCs w:val="4"/>
              </w:rPr>
            </w:r>
          </w:p>
        </w:tc>
        <w:tc>
          <w:tcPr>
            <w:tcW w:w="2833"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Individual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170%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35%</w:t>
            </w:r>
          </w:p>
        </w:tc>
        <w:tc>
          <w:tcPr>
            <w:tcW w:w="50" w:type="dxa"/>
            <w:tcBorders/>
            <w:shd w:fill="DAEDFA" w:val="clear"/>
            <w:vAlign w:val="center"/>
          </w:tcPr>
          <w:p>
            <w:pPr>
              <w:pStyle w:val="TableContents"/>
              <w:bidi w:val="0"/>
              <w:spacing w:before="0" w:after="283"/>
              <w:jc w:val="left"/>
              <w:rPr>
                <w:sz w:val="4"/>
                <w:szCs w:val="4"/>
              </w:rPr>
            </w:pPr>
            <w:r>
              <w:rPr>
                <w:sz w:val="4"/>
                <w:szCs w:val="4"/>
              </w:rPr>
            </w:r>
          </w:p>
        </w:tc>
        <w:tc>
          <w:tcPr>
            <w:tcW w:w="4069"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Overall 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190%</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2025 Cash Award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$1,137,000</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Award as % of Salary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190%</w:t>
            </w:r>
          </w:p>
        </w:tc>
        <w:tc>
          <w:tcPr>
            <w:tcW w:w="50" w:type="dxa"/>
            <w:tcBorders/>
            <w:shd w:fill="DAEDFA" w:val="clear"/>
            <w:vAlign w:val="center"/>
          </w:tcPr>
          <w:p>
            <w:pPr>
              <w:pStyle w:val="TableContents"/>
              <w:bidi w:val="0"/>
              <w:spacing w:before="0" w:after="283"/>
              <w:jc w:val="left"/>
              <w:rPr>
                <w:sz w:val="4"/>
                <w:szCs w:val="4"/>
              </w:rPr>
            </w:pPr>
            <w:r>
              <w:rPr>
                <w:sz w:val="4"/>
                <w:szCs w:val="4"/>
              </w:rPr>
            </w:r>
          </w:p>
        </w:tc>
        <w:tc>
          <w:tcPr>
            <w:tcW w:w="50" w:type="dxa"/>
            <w:tcBorders/>
            <w:shd w:fill="DAEDFA" w:val="clear"/>
            <w:vAlign w:val="center"/>
          </w:tcPr>
          <w:p>
            <w:pPr>
              <w:pStyle w:val="TableContents"/>
              <w:bidi w:val="0"/>
              <w:spacing w:before="0" w:after="283"/>
              <w:jc w:val="left"/>
              <w:rPr>
                <w:sz w:val="4"/>
                <w:szCs w:val="4"/>
              </w:rPr>
            </w:pPr>
            <w:r>
              <w:rPr>
                <w:sz w:val="4"/>
                <w:szCs w:val="4"/>
              </w:rPr>
            </w:r>
          </w:p>
        </w:tc>
        <w:tc>
          <w:tcPr>
            <w:tcW w:w="11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5575"/>
                  <wp:effectExtent l="0" t="0" r="0" b="0"/>
                  <wp:docPr id="334"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09" descr=""/>
                          <pic:cNvPicPr>
                            <a:picLocks noChangeAspect="1" noChangeArrowheads="1"/>
                          </pic:cNvPicPr>
                        </pic:nvPicPr>
                        <pic:blipFill>
                          <a:blip r:embed="rId321"/>
                          <a:stretch>
                            <a:fillRect/>
                          </a:stretch>
                        </pic:blipFill>
                        <pic:spPr bwMode="auto">
                          <a:xfrm>
                            <a:off x="0" y="0"/>
                            <a:ext cx="908050" cy="1555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tbl>
      <w:tblPr>
        <w:tblW w:w="5784" w:type="dxa"/>
        <w:jc w:val="left"/>
        <w:tblInd w:w="0" w:type="dxa"/>
        <w:tblLayout w:type="fixed"/>
        <w:tblCellMar>
          <w:top w:w="0" w:type="dxa"/>
          <w:left w:w="0" w:type="dxa"/>
          <w:bottom w:w="0" w:type="dxa"/>
          <w:right w:w="0" w:type="dxa"/>
        </w:tblCellMar>
      </w:tblPr>
      <w:tblGrid>
        <w:gridCol w:w="38"/>
        <w:gridCol w:w="23"/>
        <w:gridCol w:w="959"/>
        <w:gridCol w:w="23"/>
        <w:gridCol w:w="712"/>
        <w:gridCol w:w="712"/>
        <w:gridCol w:w="712"/>
        <w:gridCol w:w="712"/>
        <w:gridCol w:w="712"/>
        <w:gridCol w:w="1181"/>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81" w:type="dxa"/>
            <w:tcBorders/>
          </w:tcPr>
          <w:p>
            <w:pPr>
              <w:pStyle w:val="TableContents"/>
              <w:bidi w:val="0"/>
              <w:spacing w:before="0" w:after="283"/>
              <w:jc w:val="left"/>
              <w:rPr>
                <w:sz w:val="4"/>
                <w:szCs w:val="4"/>
              </w:rPr>
            </w:pPr>
            <w:r>
              <w:rPr>
                <w:sz w:val="4"/>
                <w:szCs w:val="4"/>
              </w:rPr>
            </w:r>
          </w:p>
        </w:tc>
      </w:tr>
      <w:tr>
        <w:trPr/>
        <w:tc>
          <w:tcPr>
            <w:tcW w:w="38" w:type="dxa"/>
            <w:tcBorders/>
            <w:shd w:fill="0054BA" w:val="clear"/>
            <w:vAlign w:val="center"/>
          </w:tcPr>
          <w:p>
            <w:pPr>
              <w:pStyle w:val="TableContents"/>
              <w:bidi w:val="0"/>
              <w:spacing w:before="0" w:after="283"/>
              <w:jc w:val="left"/>
              <w:rPr>
                <w:sz w:val="4"/>
                <w:szCs w:val="4"/>
              </w:rPr>
            </w:pPr>
            <w:r>
              <w:rPr>
                <w:sz w:val="4"/>
                <w:szCs w:val="4"/>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59" w:type="dxa"/>
            <w:tcBorders/>
            <w:shd w:fill="0054BA" w:val="cle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70865" cy="572770"/>
                  <wp:effectExtent l="0" t="0" r="0" b="0"/>
                  <wp:docPr id="335"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0" descr=""/>
                          <pic:cNvPicPr>
                            <a:picLocks noChangeAspect="1" noChangeArrowheads="1"/>
                          </pic:cNvPicPr>
                        </pic:nvPicPr>
                        <pic:blipFill>
                          <a:blip r:embed="rId322"/>
                          <a:stretch>
                            <a:fillRect/>
                          </a:stretch>
                        </pic:blipFill>
                        <pic:spPr bwMode="auto">
                          <a:xfrm>
                            <a:off x="0" y="0"/>
                            <a:ext cx="570865" cy="572770"/>
                          </a:xfrm>
                          <a:prstGeom prst="rect">
                            <a:avLst/>
                          </a:prstGeom>
                        </pic:spPr>
                      </pic:pic>
                    </a:graphicData>
                  </a:graphic>
                </wp:inline>
              </w:drawing>
            </w:r>
            <w:r>
              <w:rPr/>
              <w:t xml:space="preserve">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4741" w:type="dxa"/>
            <w:gridSpan w:val="6"/>
            <w:tcBorders/>
            <w:shd w:fill="0054BA" w:val="clear"/>
            <w:vAlign w:val="center"/>
          </w:tcPr>
          <w:p>
            <w:pPr>
              <w:pStyle w:val="TableContents"/>
              <w:bidi w:val="0"/>
              <w:spacing w:before="0" w:after="0"/>
              <w:jc w:val="left"/>
              <w:rPr>
                <w:rFonts w:ascii="ARIAL" w:hAnsi="ARIAL"/>
                <w:b/>
                <w:color w:val="FFFFFF"/>
                <w:sz w:val="24"/>
              </w:rPr>
            </w:pPr>
            <w:r>
              <w:rPr>
                <w:rFonts w:ascii="ARIAL" w:hAnsi="ARIAL"/>
                <w:b/>
                <w:color w:val="FFFFFF"/>
                <w:sz w:val="24"/>
              </w:rPr>
              <w:t>Lisa C. Ruggles</w:t>
            </w:r>
          </w:p>
          <w:p>
            <w:pPr>
              <w:pStyle w:val="TableContents"/>
              <w:bidi w:val="0"/>
              <w:spacing w:before="0" w:after="20"/>
              <w:jc w:val="left"/>
              <w:rPr>
                <w:rFonts w:ascii="ARIAL" w:hAnsi="ARIAL"/>
                <w:color w:val="FFFFFF"/>
                <w:sz w:val="20"/>
              </w:rPr>
            </w:pPr>
            <w:r>
              <w:rPr>
                <w:rFonts w:ascii="ARIAL" w:hAnsi="ARIAL"/>
                <w:color w:val="FFFFFF"/>
                <w:sz w:val="20"/>
              </w:rPr>
              <w:t>SENIOR VICE PRESIDENT, GLOBAL OPERATIONS</w:t>
            </w:r>
          </w:p>
        </w:tc>
      </w:tr>
    </w:tbl>
    <w:tbl>
      <w:tblPr>
        <w:tblW w:w="10205" w:type="dxa"/>
        <w:jc w:val="left"/>
        <w:tblInd w:w="0" w:type="dxa"/>
        <w:tblLayout w:type="fixed"/>
        <w:tblCellMar>
          <w:top w:w="0" w:type="dxa"/>
          <w:left w:w="0" w:type="dxa"/>
          <w:bottom w:w="0" w:type="dxa"/>
          <w:right w:w="0" w:type="dxa"/>
        </w:tblCellMar>
      </w:tblPr>
      <w:tblGrid>
        <w:gridCol w:w="38"/>
        <w:gridCol w:w="23"/>
        <w:gridCol w:w="2948"/>
        <w:gridCol w:w="49"/>
        <w:gridCol w:w="2847"/>
        <w:gridCol w:w="49"/>
        <w:gridCol w:w="4037"/>
        <w:gridCol w:w="49"/>
        <w:gridCol w:w="49"/>
        <w:gridCol w:w="49"/>
        <w:gridCol w:w="23"/>
        <w:gridCol w:w="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49"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44" w:type="dxa"/>
            <w:tcBorders/>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0077" w:type="dxa"/>
            <w:gridSpan w:val="8"/>
            <w:tcBorders/>
            <w:shd w:fill="DAEDFA"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18"/>
              </w:rPr>
            </w:pPr>
            <w:r>
              <w:rPr>
                <w:rFonts w:ascii="ARIAL" w:hAnsi="ARIAL"/>
                <w:b/>
                <w:color w:val="0054BA"/>
                <w:sz w:val="18"/>
              </w:rPr>
              <w:t>2025 INDIVIDUAL ACHIEVEMENTS</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4"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0077" w:type="dxa"/>
            <w:gridSpan w:val="8"/>
            <w:tcBorders/>
            <w:shd w:fill="DAEDFA" w:val="clear"/>
            <w:vAlign w:val="center"/>
          </w:tcPr>
          <w:p>
            <w:pPr>
              <w:pStyle w:val="TableContents"/>
              <w:bidi w:val="0"/>
              <w:spacing w:before="0" w:after="0"/>
              <w:jc w:val="left"/>
              <w:rPr/>
            </w:pPr>
            <w:r>
              <w:rPr>
                <w:color w:val="0054BA"/>
              </w:rPr>
              <w:t>•</w:t>
            </w:r>
            <w:r>
              <w:rPr/>
              <w:t>  </w:t>
            </w:r>
            <w:r>
              <w:rPr>
                <w:rFonts w:ascii="ARIAL" w:hAnsi="ARIAL"/>
                <w:sz w:val="18"/>
              </w:rPr>
              <w:t>Materially expanded and improved the breadth, accuracy, and timeliness of property, tenant, leasing, and market data supporting the Company’s major products.</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Significantly increased photography, 3D capture, and advanced visualization output for residential and commercial offerings, improving listing quality, market coverage, and customer engagement.</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Delivered significant innovation through disciplined use of automation and AI.</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Improved efficiency, reduced costs, and supported large-scale international expansion without degradation of product quality.</w:t>
            </w:r>
          </w:p>
          <w:p>
            <w:pPr>
              <w:pStyle w:val="TableContents"/>
              <w:bidi w:val="0"/>
              <w:spacing w:before="0" w:after="20"/>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4"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971"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2896"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4086"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98" w:type="dxa"/>
            <w:gridSpan w:val="2"/>
            <w:tcBorders/>
            <w:shd w:fill="DAEDFA" w:val="clear"/>
            <w:vAlign w:val="center"/>
          </w:tcPr>
          <w:p>
            <w:pPr>
              <w:pStyle w:val="TableContents"/>
              <w:bidi w:val="0"/>
              <w:spacing w:before="0" w:after="283"/>
              <w:jc w:val="left"/>
              <w:rPr>
                <w:sz w:val="4"/>
                <w:szCs w:val="4"/>
              </w:rPr>
            </w:pPr>
            <w:r>
              <w:rPr>
                <w:sz w:val="4"/>
                <w:szCs w:val="4"/>
              </w:rPr>
            </w:r>
          </w:p>
        </w:tc>
        <w:tc>
          <w:tcPr>
            <w:tcW w:w="116" w:type="dxa"/>
            <w:gridSpan w:val="3"/>
            <w:tcBorders/>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948"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Corporate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50%</w:t>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2847"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Individual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170%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50%</w:t>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4037"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Overall 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185%</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2025 Cash Award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$1,045,713</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Award as % of Salary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176%</w:t>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116"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929" w:type="dxa"/>
        <w:jc w:val="left"/>
        <w:tblInd w:w="0" w:type="dxa"/>
        <w:shd w:fill="DAEDFA" w:val="clear"/>
        <w:tblLayout w:type="fixed"/>
        <w:tblCellMar>
          <w:top w:w="0" w:type="dxa"/>
          <w:left w:w="0" w:type="dxa"/>
          <w:bottom w:w="0" w:type="dxa"/>
          <w:right w:w="0" w:type="dxa"/>
        </w:tblCellMar>
      </w:tblPr>
      <w:tblGrid>
        <w:gridCol w:w="38"/>
        <w:gridCol w:w="23"/>
        <w:gridCol w:w="965"/>
        <w:gridCol w:w="23"/>
        <w:gridCol w:w="432"/>
        <w:gridCol w:w="432"/>
        <w:gridCol w:w="432"/>
        <w:gridCol w:w="432"/>
        <w:gridCol w:w="432"/>
        <w:gridCol w:w="720"/>
      </w:tblGrid>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65"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32" w:type="dxa"/>
            <w:tcBorders/>
            <w:shd w:fill="DAEDFA" w:val="clear"/>
            <w:vAlign w:val="center"/>
          </w:tcPr>
          <w:p>
            <w:pPr>
              <w:pStyle w:val="TableContents"/>
              <w:bidi w:val="0"/>
              <w:spacing w:before="0" w:after="283"/>
              <w:jc w:val="left"/>
              <w:rPr>
                <w:sz w:val="4"/>
                <w:szCs w:val="4"/>
              </w:rPr>
            </w:pPr>
            <w:r>
              <w:rPr>
                <w:sz w:val="4"/>
                <w:szCs w:val="4"/>
              </w:rPr>
            </w:r>
          </w:p>
        </w:tc>
        <w:tc>
          <w:tcPr>
            <w:tcW w:w="432" w:type="dxa"/>
            <w:tcBorders/>
            <w:shd w:fill="DAEDFA" w:val="clear"/>
            <w:vAlign w:val="center"/>
          </w:tcPr>
          <w:p>
            <w:pPr>
              <w:pStyle w:val="TableContents"/>
              <w:bidi w:val="0"/>
              <w:spacing w:before="0" w:after="283"/>
              <w:jc w:val="left"/>
              <w:rPr>
                <w:sz w:val="4"/>
                <w:szCs w:val="4"/>
              </w:rPr>
            </w:pPr>
            <w:r>
              <w:rPr>
                <w:sz w:val="4"/>
                <w:szCs w:val="4"/>
              </w:rPr>
            </w:r>
          </w:p>
        </w:tc>
        <w:tc>
          <w:tcPr>
            <w:tcW w:w="432" w:type="dxa"/>
            <w:tcBorders/>
            <w:shd w:fill="DAEDFA" w:val="clear"/>
            <w:vAlign w:val="center"/>
          </w:tcPr>
          <w:p>
            <w:pPr>
              <w:pStyle w:val="TableContents"/>
              <w:bidi w:val="0"/>
              <w:spacing w:before="0" w:after="283"/>
              <w:jc w:val="left"/>
              <w:rPr>
                <w:sz w:val="4"/>
                <w:szCs w:val="4"/>
              </w:rPr>
            </w:pPr>
            <w:r>
              <w:rPr>
                <w:sz w:val="4"/>
                <w:szCs w:val="4"/>
              </w:rPr>
            </w:r>
          </w:p>
        </w:tc>
        <w:tc>
          <w:tcPr>
            <w:tcW w:w="432" w:type="dxa"/>
            <w:tcBorders/>
            <w:shd w:fill="DAEDFA" w:val="clear"/>
            <w:vAlign w:val="center"/>
          </w:tcPr>
          <w:p>
            <w:pPr>
              <w:pStyle w:val="TableContents"/>
              <w:bidi w:val="0"/>
              <w:spacing w:before="0" w:after="283"/>
              <w:jc w:val="left"/>
              <w:rPr>
                <w:sz w:val="4"/>
                <w:szCs w:val="4"/>
              </w:rPr>
            </w:pPr>
            <w:r>
              <w:rPr>
                <w:sz w:val="4"/>
                <w:szCs w:val="4"/>
              </w:rPr>
            </w:r>
          </w:p>
        </w:tc>
        <w:tc>
          <w:tcPr>
            <w:tcW w:w="432" w:type="dxa"/>
            <w:tcBorders/>
            <w:shd w:fill="DAEDFA" w:val="clear"/>
            <w:vAlign w:val="center"/>
          </w:tcPr>
          <w:p>
            <w:pPr>
              <w:pStyle w:val="TableContents"/>
              <w:bidi w:val="0"/>
              <w:spacing w:before="0" w:after="283"/>
              <w:jc w:val="left"/>
              <w:rPr>
                <w:sz w:val="4"/>
                <w:szCs w:val="4"/>
              </w:rPr>
            </w:pPr>
            <w:r>
              <w:rPr>
                <w:sz w:val="4"/>
                <w:szCs w:val="4"/>
              </w:rPr>
            </w:r>
          </w:p>
        </w:tc>
        <w:tc>
          <w:tcPr>
            <w:tcW w:w="720" w:type="dxa"/>
            <w:tcBorders/>
            <w:shd w:fill="DAEDFA" w:val="clear"/>
          </w:tcPr>
          <w:p>
            <w:pPr>
              <w:pStyle w:val="TableContents"/>
              <w:bidi w:val="0"/>
              <w:spacing w:before="0" w:after="283"/>
              <w:jc w:val="left"/>
              <w:rPr>
                <w:sz w:val="4"/>
                <w:szCs w:val="4"/>
              </w:rPr>
            </w:pPr>
            <w:r>
              <w:rPr>
                <w:sz w:val="4"/>
                <w:szCs w:val="4"/>
              </w:rPr>
            </w:r>
          </w:p>
        </w:tc>
      </w:tr>
      <w:tr>
        <w:trPr/>
        <w:tc>
          <w:tcPr>
            <w:tcW w:w="38" w:type="dxa"/>
            <w:tcBorders/>
            <w:shd w:fill="0054BA" w:val="clear"/>
            <w:vAlign w:val="center"/>
          </w:tcPr>
          <w:p>
            <w:pPr>
              <w:pStyle w:val="TableContents"/>
              <w:bidi w:val="0"/>
              <w:spacing w:before="0" w:after="283"/>
              <w:jc w:val="left"/>
              <w:rPr>
                <w:sz w:val="4"/>
                <w:szCs w:val="4"/>
              </w:rPr>
            </w:pPr>
            <w:r>
              <w:rPr>
                <w:sz w:val="4"/>
                <w:szCs w:val="4"/>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65" w:type="dxa"/>
            <w:tcBorders/>
            <w:shd w:fill="0054BA" w:val="cle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74675" cy="574040"/>
                  <wp:effectExtent l="0" t="0" r="0" b="0"/>
                  <wp:docPr id="336"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11" descr=""/>
                          <pic:cNvPicPr>
                            <a:picLocks noChangeAspect="1" noChangeArrowheads="1"/>
                          </pic:cNvPicPr>
                        </pic:nvPicPr>
                        <pic:blipFill>
                          <a:blip r:embed="rId323"/>
                          <a:stretch>
                            <a:fillRect/>
                          </a:stretch>
                        </pic:blipFill>
                        <pic:spPr bwMode="auto">
                          <a:xfrm>
                            <a:off x="0" y="0"/>
                            <a:ext cx="574675" cy="574040"/>
                          </a:xfrm>
                          <a:prstGeom prst="rect">
                            <a:avLst/>
                          </a:prstGeom>
                        </pic:spPr>
                      </pic:pic>
                    </a:graphicData>
                  </a:graphic>
                </wp:inline>
              </w:drawing>
            </w:r>
            <w:r>
              <w:rPr/>
              <w:t xml:space="preserve">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880" w:type="dxa"/>
            <w:gridSpan w:val="6"/>
            <w:tcBorders/>
            <w:shd w:fill="0054BA" w:val="clear"/>
            <w:vAlign w:val="center"/>
          </w:tcPr>
          <w:p>
            <w:pPr>
              <w:pStyle w:val="TableContents"/>
              <w:bidi w:val="0"/>
              <w:spacing w:before="0" w:after="0"/>
              <w:jc w:val="left"/>
              <w:rPr>
                <w:rFonts w:ascii="ARIAL" w:hAnsi="ARIAL"/>
                <w:b/>
                <w:color w:val="FFFFFF"/>
                <w:sz w:val="24"/>
              </w:rPr>
            </w:pPr>
            <w:r>
              <w:rPr>
                <w:rFonts w:ascii="ARIAL" w:hAnsi="ARIAL"/>
                <w:b/>
                <w:color w:val="FFFFFF"/>
                <w:sz w:val="24"/>
              </w:rPr>
              <w:t>Frederick G. Saint</w:t>
            </w:r>
          </w:p>
          <w:p>
            <w:pPr>
              <w:pStyle w:val="TableContents"/>
              <w:bidi w:val="0"/>
              <w:spacing w:before="0" w:after="20"/>
              <w:jc w:val="left"/>
              <w:rPr>
                <w:rFonts w:ascii="ARIAL" w:hAnsi="ARIAL"/>
                <w:color w:val="FFFFFF"/>
                <w:sz w:val="20"/>
              </w:rPr>
            </w:pPr>
            <w:r>
              <w:rPr>
                <w:rFonts w:ascii="ARIAL" w:hAnsi="ARIAL"/>
                <w:color w:val="FFFFFF"/>
                <w:sz w:val="20"/>
              </w:rPr>
              <w:t>PRESIDENT, MARKETPLACES</w:t>
            </w:r>
          </w:p>
        </w:tc>
      </w:tr>
    </w:tbl>
    <w:tbl>
      <w:tblPr>
        <w:tblW w:w="10205" w:type="dxa"/>
        <w:jc w:val="left"/>
        <w:tblInd w:w="0" w:type="dxa"/>
        <w:shd w:fill="DAEDFA" w:val="clear"/>
        <w:tblLayout w:type="fixed"/>
        <w:tblCellMar>
          <w:top w:w="0" w:type="dxa"/>
          <w:left w:w="0" w:type="dxa"/>
          <w:bottom w:w="0" w:type="dxa"/>
          <w:right w:w="0" w:type="dxa"/>
        </w:tblCellMar>
      </w:tblPr>
      <w:tblGrid>
        <w:gridCol w:w="38"/>
        <w:gridCol w:w="23"/>
        <w:gridCol w:w="2968"/>
        <w:gridCol w:w="49"/>
        <w:gridCol w:w="2861"/>
        <w:gridCol w:w="49"/>
        <w:gridCol w:w="4006"/>
        <w:gridCol w:w="49"/>
        <w:gridCol w:w="49"/>
        <w:gridCol w:w="49"/>
        <w:gridCol w:w="23"/>
        <w:gridCol w:w="41"/>
      </w:tblGrid>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968" w:type="dxa"/>
            <w:tcBorders/>
            <w:shd w:fill="DAEDFA" w:val="clear"/>
            <w:vAlign w:val="center"/>
          </w:tcPr>
          <w:p>
            <w:pPr>
              <w:pStyle w:val="TableContents"/>
              <w:bidi w:val="0"/>
              <w:spacing w:before="0" w:after="283"/>
              <w:jc w:val="left"/>
              <w:rPr>
                <w:sz w:val="4"/>
                <w:szCs w:val="4"/>
              </w:rPr>
            </w:pPr>
            <w:r>
              <w:rPr>
                <w:sz w:val="4"/>
                <w:szCs w:val="4"/>
              </w:rPr>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2861" w:type="dxa"/>
            <w:tcBorders/>
            <w:shd w:fill="DAEDFA" w:val="clear"/>
            <w:vAlign w:val="center"/>
          </w:tcPr>
          <w:p>
            <w:pPr>
              <w:pStyle w:val="TableContents"/>
              <w:bidi w:val="0"/>
              <w:spacing w:before="0" w:after="283"/>
              <w:jc w:val="left"/>
              <w:rPr>
                <w:sz w:val="4"/>
                <w:szCs w:val="4"/>
              </w:rPr>
            </w:pPr>
            <w:r>
              <w:rPr>
                <w:sz w:val="4"/>
                <w:szCs w:val="4"/>
              </w:rPr>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4006" w:type="dxa"/>
            <w:tcBorders/>
            <w:shd w:fill="DAEDFA" w:val="clear"/>
            <w:vAlign w:val="center"/>
          </w:tcPr>
          <w:p>
            <w:pPr>
              <w:pStyle w:val="TableContents"/>
              <w:bidi w:val="0"/>
              <w:spacing w:before="0" w:after="283"/>
              <w:jc w:val="left"/>
              <w:rPr>
                <w:sz w:val="4"/>
                <w:szCs w:val="4"/>
              </w:rPr>
            </w:pPr>
            <w:r>
              <w:rPr>
                <w:sz w:val="4"/>
                <w:szCs w:val="4"/>
              </w:rPr>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49" w:type="dxa"/>
            <w:tcBorders/>
            <w:shd w:fill="DAEDFA" w:val="clear"/>
          </w:tcPr>
          <w:p>
            <w:pPr>
              <w:pStyle w:val="TableContents"/>
              <w:bidi w:val="0"/>
              <w:spacing w:before="0" w:after="283"/>
              <w:jc w:val="left"/>
              <w:rPr>
                <w:sz w:val="4"/>
                <w:szCs w:val="4"/>
              </w:rPr>
            </w:pPr>
            <w:r>
              <w:rPr>
                <w:sz w:val="4"/>
                <w:szCs w:val="4"/>
              </w:rPr>
            </w:r>
          </w:p>
        </w:tc>
        <w:tc>
          <w:tcPr>
            <w:tcW w:w="23" w:type="dxa"/>
            <w:tcBorders/>
            <w:shd w:fill="DAEDFA" w:val="clear"/>
          </w:tcPr>
          <w:p>
            <w:pPr>
              <w:pStyle w:val="TableContents"/>
              <w:bidi w:val="0"/>
              <w:spacing w:before="0" w:after="283"/>
              <w:jc w:val="left"/>
              <w:rPr>
                <w:sz w:val="4"/>
                <w:szCs w:val="4"/>
              </w:rPr>
            </w:pPr>
            <w:r>
              <w:rPr>
                <w:sz w:val="4"/>
                <w:szCs w:val="4"/>
              </w:rPr>
            </w:r>
          </w:p>
        </w:tc>
        <w:tc>
          <w:tcPr>
            <w:tcW w:w="41" w:type="dxa"/>
            <w:tcBorders/>
            <w:shd w:fill="DAEDFA" w:val="clea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0080" w:type="dxa"/>
            <w:gridSpan w:val="8"/>
            <w:tcBorders/>
            <w:shd w:fill="DAEDFA"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b/>
                <w:color w:val="0054BA"/>
                <w:sz w:val="18"/>
              </w:rPr>
            </w:pPr>
            <w:r>
              <w:rPr>
                <w:rFonts w:ascii="ARIAL" w:hAnsi="ARIAL"/>
                <w:b/>
                <w:color w:val="0054BA"/>
                <w:sz w:val="18"/>
              </w:rPr>
              <w:t>2025 INDIVIDUAL ACHIEVEMENTS</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1"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0080" w:type="dxa"/>
            <w:gridSpan w:val="8"/>
            <w:tcBorders/>
            <w:shd w:fill="DAEDFA" w:val="clear"/>
            <w:vAlign w:val="center"/>
          </w:tcPr>
          <w:p>
            <w:pPr>
              <w:pStyle w:val="TableContents"/>
              <w:bidi w:val="0"/>
              <w:spacing w:before="0" w:after="0"/>
              <w:jc w:val="left"/>
              <w:rPr/>
            </w:pPr>
            <w:r>
              <w:rPr>
                <w:color w:val="0054BA"/>
              </w:rPr>
              <w:t>•</w:t>
            </w:r>
            <w:r>
              <w:rPr/>
              <w:t>  </w:t>
            </w:r>
            <w:r>
              <w:rPr>
                <w:rFonts w:ascii="ARIAL" w:hAnsi="ARIAL"/>
                <w:sz w:val="18"/>
              </w:rPr>
              <w:t>Delivered double-digit revenue growth and expanded earnings by $100M, with disciplined cost management and improved operating leverage.</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Increased both gross (4%) and net (9%) sales productivity per representative year-over-year, while expanding the sales organization by 25% year-over-year.</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Enhanced client engagement, significantly increasing in-person field engagement, and achieved strong customer satisfaction scores with sales NPS increased to 93.</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Advanced growth initiatives in priority market segments, supporting long-term revenue and marketplace growth.</w:t>
            </w:r>
          </w:p>
          <w:p>
            <w:pPr>
              <w:pStyle w:val="TableContents"/>
              <w:bidi w:val="0"/>
              <w:spacing w:before="0" w:after="20"/>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1"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991"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2910"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4055"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98" w:type="dxa"/>
            <w:gridSpan w:val="2"/>
            <w:tcBorders/>
            <w:shd w:fill="DAEDFA" w:val="clear"/>
            <w:vAlign w:val="center"/>
          </w:tcPr>
          <w:p>
            <w:pPr>
              <w:pStyle w:val="TableContents"/>
              <w:bidi w:val="0"/>
              <w:spacing w:before="0" w:after="283"/>
              <w:jc w:val="left"/>
              <w:rPr>
                <w:sz w:val="4"/>
                <w:szCs w:val="4"/>
              </w:rPr>
            </w:pPr>
            <w:r>
              <w:rPr>
                <w:sz w:val="4"/>
                <w:szCs w:val="4"/>
              </w:rPr>
            </w:r>
          </w:p>
        </w:tc>
        <w:tc>
          <w:tcPr>
            <w:tcW w:w="113" w:type="dxa"/>
            <w:gridSpan w:val="3"/>
            <w:tcBorders/>
            <w:shd w:fill="DAEDFA" w:val="clea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2968"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Corporate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60%</w:t>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2861"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Individual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40%</w:t>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4006"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Overall 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2025 Cash Award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$1,190,000</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Award as % of Salary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200%</w:t>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49" w:type="dxa"/>
            <w:tcBorders/>
            <w:shd w:fill="DAEDFA" w:val="clear"/>
            <w:vAlign w:val="center"/>
          </w:tcPr>
          <w:p>
            <w:pPr>
              <w:pStyle w:val="TableContents"/>
              <w:bidi w:val="0"/>
              <w:spacing w:before="0" w:after="283"/>
              <w:jc w:val="left"/>
              <w:rPr>
                <w:sz w:val="4"/>
                <w:szCs w:val="4"/>
              </w:rPr>
            </w:pPr>
            <w:r>
              <w:rPr>
                <w:sz w:val="4"/>
                <w:szCs w:val="4"/>
              </w:rPr>
            </w:r>
          </w:p>
        </w:tc>
        <w:tc>
          <w:tcPr>
            <w:tcW w:w="113" w:type="dxa"/>
            <w:gridSpan w:val="3"/>
            <w:tcBorders/>
            <w:shd w:fill="DAEDFA"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37"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2" descr=""/>
                          <pic:cNvPicPr>
                            <a:picLocks noChangeAspect="1" noChangeArrowheads="1"/>
                          </pic:cNvPicPr>
                        </pic:nvPicPr>
                        <pic:blipFill>
                          <a:blip r:embed="rId32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59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tbl>
      <w:tblPr>
        <w:tblW w:w="3988" w:type="dxa"/>
        <w:jc w:val="left"/>
        <w:tblInd w:w="0" w:type="dxa"/>
        <w:tblLayout w:type="fixed"/>
        <w:tblCellMar>
          <w:top w:w="0" w:type="dxa"/>
          <w:left w:w="0" w:type="dxa"/>
          <w:bottom w:w="0" w:type="dxa"/>
          <w:right w:w="0" w:type="dxa"/>
        </w:tblCellMar>
      </w:tblPr>
      <w:tblGrid>
        <w:gridCol w:w="38"/>
        <w:gridCol w:w="23"/>
        <w:gridCol w:w="961"/>
        <w:gridCol w:w="23"/>
        <w:gridCol w:w="442"/>
        <w:gridCol w:w="442"/>
        <w:gridCol w:w="442"/>
        <w:gridCol w:w="442"/>
        <w:gridCol w:w="442"/>
        <w:gridCol w:w="733"/>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33" w:type="dxa"/>
            <w:tcBorders/>
          </w:tcPr>
          <w:p>
            <w:pPr>
              <w:pStyle w:val="TableContents"/>
              <w:bidi w:val="0"/>
              <w:spacing w:before="0" w:after="283"/>
              <w:jc w:val="left"/>
              <w:rPr>
                <w:sz w:val="4"/>
                <w:szCs w:val="4"/>
              </w:rPr>
            </w:pPr>
            <w:r>
              <w:rPr>
                <w:sz w:val="4"/>
                <w:szCs w:val="4"/>
              </w:rPr>
            </w:r>
          </w:p>
        </w:tc>
      </w:tr>
      <w:tr>
        <w:trPr/>
        <w:tc>
          <w:tcPr>
            <w:tcW w:w="38" w:type="dxa"/>
            <w:tcBorders/>
            <w:shd w:fill="0054BA" w:val="clear"/>
            <w:vAlign w:val="center"/>
          </w:tcPr>
          <w:p>
            <w:pPr>
              <w:pStyle w:val="TableContents"/>
              <w:bidi w:val="0"/>
              <w:spacing w:before="0" w:after="283"/>
              <w:jc w:val="left"/>
              <w:rPr>
                <w:sz w:val="4"/>
                <w:szCs w:val="4"/>
              </w:rPr>
            </w:pPr>
            <w:r>
              <w:rPr>
                <w:sz w:val="4"/>
                <w:szCs w:val="4"/>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61" w:type="dxa"/>
            <w:tcBorders/>
            <w:shd w:fill="0054BA" w:val="cle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72135" cy="567690"/>
                  <wp:effectExtent l="0" t="0" r="0" b="0"/>
                  <wp:docPr id="338"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13" descr=""/>
                          <pic:cNvPicPr>
                            <a:picLocks noChangeAspect="1" noChangeArrowheads="1"/>
                          </pic:cNvPicPr>
                        </pic:nvPicPr>
                        <pic:blipFill>
                          <a:blip r:embed="rId325"/>
                          <a:stretch>
                            <a:fillRect/>
                          </a:stretch>
                        </pic:blipFill>
                        <pic:spPr bwMode="auto">
                          <a:xfrm>
                            <a:off x="0" y="0"/>
                            <a:ext cx="572135" cy="567690"/>
                          </a:xfrm>
                          <a:prstGeom prst="rect">
                            <a:avLst/>
                          </a:prstGeom>
                        </pic:spPr>
                      </pic:pic>
                    </a:graphicData>
                  </a:graphic>
                </wp:inline>
              </w:drawing>
            </w:r>
            <w:r>
              <w:rPr/>
              <w:t xml:space="preserve">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943" w:type="dxa"/>
            <w:gridSpan w:val="6"/>
            <w:tcBorders/>
            <w:shd w:fill="0054BA" w:val="clear"/>
            <w:vAlign w:val="center"/>
          </w:tcPr>
          <w:p>
            <w:pPr>
              <w:pStyle w:val="TableContents"/>
              <w:bidi w:val="0"/>
              <w:spacing w:before="0" w:after="0"/>
              <w:jc w:val="left"/>
              <w:rPr>
                <w:rFonts w:ascii="ARIAL" w:hAnsi="ARIAL"/>
                <w:b/>
                <w:color w:val="FFFFFF"/>
                <w:sz w:val="24"/>
              </w:rPr>
            </w:pPr>
            <w:r>
              <w:rPr>
                <w:rFonts w:ascii="ARIAL" w:hAnsi="ARIAL"/>
                <w:b/>
                <w:color w:val="FFFFFF"/>
                <w:sz w:val="24"/>
              </w:rPr>
              <w:t>Frank A. Simuro</w:t>
            </w:r>
          </w:p>
          <w:p>
            <w:pPr>
              <w:pStyle w:val="TableContents"/>
              <w:bidi w:val="0"/>
              <w:spacing w:before="0" w:after="20"/>
              <w:jc w:val="left"/>
              <w:rPr>
                <w:rFonts w:ascii="ARIAL" w:hAnsi="ARIAL"/>
                <w:color w:val="FFFFFF"/>
                <w:sz w:val="20"/>
              </w:rPr>
            </w:pPr>
            <w:r>
              <w:rPr>
                <w:rFonts w:ascii="ARIAL" w:hAnsi="ARIAL"/>
                <w:color w:val="FFFFFF"/>
                <w:sz w:val="20"/>
              </w:rPr>
              <w:t>CHIEF TECHNOLOGY OFFICER</w:t>
            </w:r>
          </w:p>
        </w:tc>
      </w:tr>
    </w:tbl>
    <w:tbl>
      <w:tblPr>
        <w:tblW w:w="10205" w:type="dxa"/>
        <w:jc w:val="left"/>
        <w:tblInd w:w="0" w:type="dxa"/>
        <w:tblLayout w:type="fixed"/>
        <w:tblCellMar>
          <w:top w:w="0" w:type="dxa"/>
          <w:left w:w="0" w:type="dxa"/>
          <w:bottom w:w="0" w:type="dxa"/>
          <w:right w:w="0" w:type="dxa"/>
        </w:tblCellMar>
      </w:tblPr>
      <w:tblGrid>
        <w:gridCol w:w="38"/>
        <w:gridCol w:w="23"/>
        <w:gridCol w:w="3011"/>
        <w:gridCol w:w="48"/>
        <w:gridCol w:w="2889"/>
        <w:gridCol w:w="48"/>
        <w:gridCol w:w="3941"/>
        <w:gridCol w:w="48"/>
        <w:gridCol w:w="48"/>
        <w:gridCol w:w="48"/>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48"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40" w:type="dxa"/>
            <w:tcBorders/>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0081" w:type="dxa"/>
            <w:gridSpan w:val="8"/>
            <w:tcBorders/>
            <w:shd w:fill="DAEDFA"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54BA"/>
                <w:sz w:val="18"/>
              </w:rPr>
            </w:pPr>
            <w:r>
              <w:rPr>
                <w:rFonts w:ascii="ARIAL" w:hAnsi="ARIAL"/>
                <w:b/>
                <w:color w:val="0054BA"/>
                <w:sz w:val="18"/>
              </w:rPr>
              <w:t>2025 INDIVIDUAL ACHIEVEMENTS</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10081" w:type="dxa"/>
            <w:gridSpan w:val="8"/>
            <w:tcBorders/>
            <w:shd w:fill="DAEDFA" w:val="clear"/>
            <w:vAlign w:val="center"/>
          </w:tcPr>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Materially advanced AI-enabled data capabilities to improve accuracy and scalability achieving over 98% accuracy on lease data.</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Advanced monetization initiatives across residential and commercial platforms, laying groundwork for future revenue growth.</w:t>
            </w:r>
          </w:p>
          <w:p>
            <w:pPr>
              <w:pStyle w:val="TableContents"/>
              <w:bidi w:val="0"/>
              <w:spacing w:before="0" w:after="0"/>
              <w:jc w:val="left"/>
              <w:rPr/>
            </w:pPr>
            <w:r>
              <w:rPr/>
              <w:t> </w:t>
            </w:r>
          </w:p>
          <w:p>
            <w:pPr>
              <w:pStyle w:val="TableContents"/>
              <w:bidi w:val="0"/>
              <w:spacing w:before="0" w:after="0"/>
              <w:jc w:val="left"/>
              <w:rPr/>
            </w:pPr>
            <w:r>
              <w:rPr>
                <w:color w:val="0054BA"/>
              </w:rPr>
              <w:t>•</w:t>
            </w:r>
            <w:r>
              <w:rPr/>
              <w:t>  </w:t>
            </w:r>
            <w:r>
              <w:rPr>
                <w:rFonts w:ascii="ARIAL" w:hAnsi="ARIAL"/>
                <w:sz w:val="18"/>
              </w:rPr>
              <w:t>Increased operating margin through disciplined workforce review.</w:t>
            </w:r>
          </w:p>
          <w:p>
            <w:pPr>
              <w:pStyle w:val="TableContents"/>
              <w:bidi w:val="0"/>
              <w:spacing w:before="0" w:after="20"/>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3034"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2937"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3989" w:type="dxa"/>
            <w:gridSpan w:val="2"/>
            <w:tcBorders>
              <w:top w:val="single" w:sz="8" w:space="0" w:color="0054BA"/>
            </w:tcBorders>
            <w:shd w:fill="DAEDFA" w:val="clear"/>
            <w:tcMar>
              <w:top w:w="28" w:type="dxa"/>
            </w:tcMar>
            <w:vAlign w:val="center"/>
          </w:tcPr>
          <w:p>
            <w:pPr>
              <w:pStyle w:val="TableContents"/>
              <w:bidi w:val="0"/>
              <w:spacing w:before="0" w:after="283"/>
              <w:jc w:val="left"/>
              <w:rPr/>
            </w:pPr>
            <w:r>
              <w:rPr/>
              <w:t> </w:t>
            </w:r>
          </w:p>
        </w:tc>
        <w:tc>
          <w:tcPr>
            <w:tcW w:w="96" w:type="dxa"/>
            <w:gridSpan w:val="2"/>
            <w:tcBorders/>
            <w:shd w:fill="DAEDFA" w:val="clear"/>
            <w:vAlign w:val="center"/>
          </w:tcPr>
          <w:p>
            <w:pPr>
              <w:pStyle w:val="TableContents"/>
              <w:bidi w:val="0"/>
              <w:spacing w:before="0" w:after="283"/>
              <w:jc w:val="left"/>
              <w:rPr>
                <w:sz w:val="4"/>
                <w:szCs w:val="4"/>
              </w:rPr>
            </w:pPr>
            <w:r>
              <w:rPr>
                <w:sz w:val="4"/>
                <w:szCs w:val="4"/>
              </w:rPr>
            </w:r>
          </w:p>
        </w:tc>
        <w:tc>
          <w:tcPr>
            <w:tcW w:w="111" w:type="dxa"/>
            <w:gridSpan w:val="3"/>
            <w:tcBorders/>
          </w:tcPr>
          <w:p>
            <w:pPr>
              <w:pStyle w:val="TableContents"/>
              <w:bidi w:val="0"/>
              <w:spacing w:before="0" w:after="283"/>
              <w:jc w:val="left"/>
              <w:rPr>
                <w:sz w:val="4"/>
                <w:szCs w:val="4"/>
              </w:rPr>
            </w:pPr>
            <w:r>
              <w:rPr>
                <w:sz w:val="4"/>
                <w:szCs w:val="4"/>
              </w:rPr>
            </w:r>
          </w:p>
        </w:tc>
      </w:tr>
      <w:tr>
        <w:trPr/>
        <w:tc>
          <w:tcPr>
            <w:tcW w:w="38"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3011"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Corporate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50%</w:t>
            </w:r>
          </w:p>
        </w:tc>
        <w:tc>
          <w:tcPr>
            <w:tcW w:w="48" w:type="dxa"/>
            <w:tcBorders/>
            <w:shd w:fill="DAEDFA" w:val="clear"/>
            <w:vAlign w:val="center"/>
          </w:tcPr>
          <w:p>
            <w:pPr>
              <w:pStyle w:val="TableContents"/>
              <w:bidi w:val="0"/>
              <w:spacing w:before="0" w:after="283"/>
              <w:jc w:val="left"/>
              <w:rPr>
                <w:sz w:val="4"/>
                <w:szCs w:val="4"/>
              </w:rPr>
            </w:pPr>
            <w:r>
              <w:rPr>
                <w:sz w:val="4"/>
                <w:szCs w:val="4"/>
              </w:rPr>
            </w:r>
          </w:p>
        </w:tc>
        <w:tc>
          <w:tcPr>
            <w:tcW w:w="2889"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Individual Goals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Weighting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50%</w:t>
            </w:r>
          </w:p>
        </w:tc>
        <w:tc>
          <w:tcPr>
            <w:tcW w:w="48" w:type="dxa"/>
            <w:tcBorders/>
            <w:shd w:fill="DAEDFA" w:val="clear"/>
            <w:vAlign w:val="center"/>
          </w:tcPr>
          <w:p>
            <w:pPr>
              <w:pStyle w:val="TableContents"/>
              <w:bidi w:val="0"/>
              <w:spacing w:before="0" w:after="283"/>
              <w:jc w:val="left"/>
              <w:rPr>
                <w:sz w:val="4"/>
                <w:szCs w:val="4"/>
              </w:rPr>
            </w:pPr>
            <w:r>
              <w:rPr>
                <w:sz w:val="4"/>
                <w:szCs w:val="4"/>
              </w:rPr>
            </w:r>
          </w:p>
        </w:tc>
        <w:tc>
          <w:tcPr>
            <w:tcW w:w="3941" w:type="dxa"/>
            <w:tcBorders/>
            <w:shd w:fill="DAEDFA" w:val="clear"/>
            <w:vAlign w:val="center"/>
          </w:tcPr>
          <w:p>
            <w:pPr>
              <w:pStyle w:val="TableContents"/>
              <w:bidi w:val="0"/>
              <w:spacing w:before="0" w:after="0"/>
              <w:jc w:val="left"/>
              <w:rPr>
                <w:rFonts w:ascii="ARIAL" w:hAnsi="ARIAL"/>
                <w:b/>
                <w:color w:val="0054BA"/>
                <w:sz w:val="18"/>
              </w:rPr>
            </w:pPr>
            <w:r>
              <w:rPr>
                <w:rFonts w:ascii="ARIAL" w:hAnsi="ARIAL"/>
                <w:b/>
                <w:color w:val="0054BA"/>
                <w:sz w:val="18"/>
              </w:rPr>
              <w:t>Overall Achievement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200%</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2025 Cash Award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$1,300,000</w:t>
            </w:r>
          </w:p>
          <w:p>
            <w:pPr>
              <w:pStyle w:val="TableContents"/>
              <w:bidi w:val="0"/>
              <w:spacing w:before="0" w:after="0"/>
              <w:jc w:val="left"/>
              <w:rPr/>
            </w:pPr>
            <w:r>
              <w:rPr/>
              <w:t> </w:t>
            </w:r>
          </w:p>
          <w:p>
            <w:pPr>
              <w:pStyle w:val="TableContents"/>
              <w:bidi w:val="0"/>
              <w:spacing w:before="0" w:after="0"/>
              <w:jc w:val="left"/>
              <w:rPr>
                <w:rFonts w:ascii="ARIAL" w:hAnsi="ARIAL"/>
                <w:b/>
                <w:color w:val="0054BA"/>
                <w:sz w:val="18"/>
              </w:rPr>
            </w:pPr>
            <w:r>
              <w:rPr>
                <w:rFonts w:ascii="ARIAL" w:hAnsi="ARIAL"/>
                <w:b/>
                <w:color w:val="0054BA"/>
                <w:sz w:val="18"/>
              </w:rPr>
              <w:t>Award as % of Salary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200%</w:t>
            </w:r>
          </w:p>
        </w:tc>
        <w:tc>
          <w:tcPr>
            <w:tcW w:w="48" w:type="dxa"/>
            <w:tcBorders/>
            <w:shd w:fill="DAEDFA" w:val="clear"/>
            <w:vAlign w:val="center"/>
          </w:tcPr>
          <w:p>
            <w:pPr>
              <w:pStyle w:val="TableContents"/>
              <w:bidi w:val="0"/>
              <w:spacing w:before="0" w:after="283"/>
              <w:jc w:val="left"/>
              <w:rPr>
                <w:sz w:val="4"/>
                <w:szCs w:val="4"/>
              </w:rPr>
            </w:pPr>
            <w:r>
              <w:rPr>
                <w:sz w:val="4"/>
                <w:szCs w:val="4"/>
              </w:rPr>
            </w:r>
          </w:p>
        </w:tc>
        <w:tc>
          <w:tcPr>
            <w:tcW w:w="48" w:type="dxa"/>
            <w:tcBorders/>
            <w:shd w:fill="DAEDFA" w:val="clear"/>
            <w:vAlign w:val="center"/>
          </w:tcPr>
          <w:p>
            <w:pPr>
              <w:pStyle w:val="TableContents"/>
              <w:bidi w:val="0"/>
              <w:spacing w:before="0" w:after="283"/>
              <w:jc w:val="left"/>
              <w:rPr>
                <w:sz w:val="4"/>
                <w:szCs w:val="4"/>
              </w:rPr>
            </w:pPr>
            <w:r>
              <w:rPr>
                <w:sz w:val="4"/>
                <w:szCs w:val="4"/>
              </w:rPr>
            </w:r>
          </w:p>
        </w:tc>
        <w:tc>
          <w:tcPr>
            <w:tcW w:w="111"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39"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4" descr=""/>
                          <pic:cNvPicPr>
                            <a:picLocks noChangeAspect="1" noChangeArrowheads="1"/>
                          </pic:cNvPicPr>
                        </pic:nvPicPr>
                        <pic:blipFill>
                          <a:blip r:embed="rId32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36" w:name="toc903159_28"/>
      <w:bookmarkStart w:id="37" w:name="tx903159_109"/>
      <w:bookmarkEnd w:id="36"/>
      <w:bookmarkEnd w:id="37"/>
      <w:r>
        <w:rPr>
          <w:rFonts w:ascii="ARIAL" w:hAnsi="ARIAL"/>
          <w:b/>
          <w:sz w:val="24"/>
        </w:rPr>
        <w:t xml:space="preserve">Equity Incentive Compensation </w:t>
      </w:r>
    </w:p>
    <w:p>
      <w:pPr>
        <w:pStyle w:val="TextBody"/>
        <w:bidi w:val="0"/>
        <w:spacing w:before="80" w:after="0"/>
        <w:jc w:val="left"/>
        <w:rPr>
          <w:rFonts w:ascii="ARIAL" w:hAnsi="ARIAL"/>
          <w:sz w:val="18"/>
        </w:rPr>
      </w:pPr>
      <w:r>
        <w:rPr>
          <w:rFonts w:ascii="ARIAL" w:hAnsi="ARIAL"/>
          <w:sz w:val="18"/>
        </w:rPr>
        <w:t xml:space="preserve">The Compensation Committee structures executive equity incentives to align with long-term stockholder value creation and to support executive retention. The Compensation Committee believes that equity-based compensation and meaningful stock ownership encourage executives to maintain a sustained ownership interest in the Company’s long-term success. In setting target equity incentive levels, the Compensation Committee considers each executive’s individual responsibilities and performance, prior target levels, total compensation, internal pay equity considerations, and benchmarking data. </w:t>
      </w:r>
    </w:p>
    <w:p>
      <w:pPr>
        <w:pStyle w:val="TextBody"/>
        <w:bidi w:val="0"/>
        <w:spacing w:before="160" w:after="0"/>
        <w:jc w:val="left"/>
        <w:rPr>
          <w:rFonts w:ascii="ARIAL" w:hAnsi="ARIAL"/>
          <w:sz w:val="18"/>
        </w:rPr>
      </w:pPr>
      <w:r>
        <w:rPr>
          <w:rFonts w:ascii="ARIAL" w:hAnsi="ARIAL"/>
          <w:sz w:val="18"/>
        </w:rPr>
        <w:t xml:space="preserve">The Compensation Committee generally makes annual grants of equity awards as part of the executive compensation program. In 2025, the Compensation Committee conducted its annual review of NEO equity awards and as a result determined that Mr. Florance, Ms. Ruggles, and Mr. Saints’ awards should be increased year-over-year to levels that the Committee felt brought both their long-incentive grant and their total target compensation in better alignment with external benchmarks.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1"/>
        <w:gridCol w:w="23"/>
        <w:gridCol w:w="37"/>
        <w:gridCol w:w="96"/>
        <w:gridCol w:w="1769"/>
        <w:gridCol w:w="98"/>
        <w:gridCol w:w="23"/>
        <w:gridCol w:w="37"/>
        <w:gridCol w:w="97"/>
        <w:gridCol w:w="1796"/>
        <w:gridCol w:w="100"/>
        <w:gridCol w:w="23"/>
        <w:gridCol w:w="41"/>
        <w:gridCol w:w="108"/>
        <w:gridCol w:w="1995"/>
        <w:gridCol w:w="111"/>
        <w:gridCol w:w="23"/>
        <w:gridCol w:w="35"/>
        <w:gridCol w:w="92"/>
        <w:gridCol w:w="1900"/>
        <w:gridCol w:w="120"/>
      </w:tblGrid>
      <w:tr>
        <w:trPr/>
        <w:tc>
          <w:tcPr>
            <w:tcW w:w="168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0054BA" w:val="clear"/>
            <w:vAlign w:val="center"/>
          </w:tcPr>
          <w:p>
            <w:pPr>
              <w:pStyle w:val="TableContents"/>
              <w:bidi w:val="0"/>
              <w:spacing w:before="0" w:after="283"/>
              <w:jc w:val="left"/>
              <w:rPr>
                <w:sz w:val="4"/>
                <w:szCs w:val="4"/>
              </w:rPr>
            </w:pPr>
            <w:r>
              <w:rPr>
                <w:sz w:val="4"/>
                <w:szCs w:val="4"/>
              </w:rPr>
            </w:r>
          </w:p>
        </w:tc>
        <w:tc>
          <w:tcPr>
            <w:tcW w:w="2023" w:type="dxa"/>
            <w:gridSpan w:val="5"/>
            <w:tcBorders/>
            <w:shd w:fill="0054BA" w:val="clear"/>
            <w:vAlign w:val="center"/>
          </w:tcPr>
          <w:p>
            <w:pPr>
              <w:pStyle w:val="TableContents"/>
              <w:bidi w:val="0"/>
              <w:spacing w:before="0" w:after="283"/>
              <w:jc w:val="left"/>
              <w:rPr>
                <w:sz w:val="4"/>
                <w:szCs w:val="4"/>
              </w:rPr>
            </w:pPr>
            <w:r>
              <w:rPr>
                <w:sz w:val="4"/>
                <w:szCs w:val="4"/>
              </w:rPr>
            </w:r>
          </w:p>
        </w:tc>
        <w:tc>
          <w:tcPr>
            <w:tcW w:w="2053" w:type="dxa"/>
            <w:gridSpan w:val="5"/>
            <w:tcBorders/>
            <w:shd w:fill="0054BA" w:val="clear"/>
            <w:vAlign w:val="center"/>
          </w:tcPr>
          <w:p>
            <w:pPr>
              <w:pStyle w:val="TableContents"/>
              <w:bidi w:val="0"/>
              <w:spacing w:before="0" w:after="283"/>
              <w:jc w:val="left"/>
              <w:rPr>
                <w:sz w:val="4"/>
                <w:szCs w:val="4"/>
              </w:rPr>
            </w:pPr>
            <w:r>
              <w:rPr>
                <w:sz w:val="4"/>
                <w:szCs w:val="4"/>
              </w:rPr>
            </w:r>
          </w:p>
        </w:tc>
        <w:tc>
          <w:tcPr>
            <w:tcW w:w="2278" w:type="dxa"/>
            <w:gridSpan w:val="5"/>
            <w:tcBorders/>
            <w:shd w:fill="0054BA" w:val="clear"/>
            <w:vAlign w:val="center"/>
          </w:tcPr>
          <w:p>
            <w:pPr>
              <w:pStyle w:val="TableContents"/>
              <w:bidi w:val="0"/>
              <w:spacing w:before="0" w:after="283"/>
              <w:jc w:val="left"/>
              <w:rPr>
                <w:sz w:val="4"/>
                <w:szCs w:val="4"/>
              </w:rPr>
            </w:pPr>
            <w:r>
              <w:rPr>
                <w:sz w:val="4"/>
                <w:szCs w:val="4"/>
              </w:rPr>
            </w:r>
          </w:p>
        </w:tc>
        <w:tc>
          <w:tcPr>
            <w:tcW w:w="2170"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6" w:space="0" w:color="0054BA"/>
            </w:tcBorders>
            <w:shd w:fill="0054BA" w:val="clear"/>
            <w:tcMar>
              <w:bottom w:w="4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NEOs</w:t>
            </w:r>
          </w:p>
        </w:tc>
        <w:tc>
          <w:tcPr>
            <w:tcW w:w="23" w:type="dxa"/>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0054BA"/>
            </w:tcBorders>
            <w:shd w:fill="0054BA" w:val="clear"/>
            <w:tcMar>
              <w:bottom w:w="40" w:type="dxa"/>
            </w:tcMar>
            <w:vAlign w:val="center"/>
          </w:tcPr>
          <w:p>
            <w:pPr>
              <w:pStyle w:val="TableContents"/>
              <w:bidi w:val="0"/>
              <w:spacing w:before="0" w:after="283"/>
              <w:jc w:val="center"/>
              <w:rPr>
                <w:b/>
                <w:color w:val="FFFFFF"/>
              </w:rPr>
            </w:pPr>
            <w:r>
              <w:rPr>
                <w:b/>
                <w:color w:val="FFFFFF"/>
              </w:rPr>
              <w:t>STOCK OPTIONS</w:t>
            </w:r>
          </w:p>
        </w:tc>
        <w:tc>
          <w:tcPr>
            <w:tcW w:w="23" w:type="dxa"/>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2030" w:type="dxa"/>
            <w:gridSpan w:val="4"/>
            <w:tcBorders>
              <w:bottom w:val="single" w:sz="6" w:space="0" w:color="0054BA"/>
            </w:tcBorders>
            <w:shd w:fill="0054BA" w:val="clear"/>
            <w:tcMar>
              <w:bottom w:w="40" w:type="dxa"/>
            </w:tcMar>
            <w:vAlign w:val="center"/>
          </w:tcPr>
          <w:p>
            <w:pPr>
              <w:pStyle w:val="TableContents"/>
              <w:bidi w:val="0"/>
              <w:spacing w:before="0" w:after="283"/>
              <w:jc w:val="center"/>
              <w:rPr>
                <w:b/>
                <w:color w:val="FFFFFF"/>
              </w:rPr>
            </w:pPr>
            <w:r>
              <w:rPr>
                <w:b/>
                <w:color w:val="FFFFFF"/>
              </w:rPr>
              <w:t>PERFORMANCE-</w:t>
              <w:br/>
              <w:t>BASED RSAS</w:t>
              <w:br/>
              <w:t>(TARGET)</w:t>
            </w:r>
          </w:p>
        </w:tc>
        <w:tc>
          <w:tcPr>
            <w:tcW w:w="23" w:type="dxa"/>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2255" w:type="dxa"/>
            <w:gridSpan w:val="4"/>
            <w:tcBorders>
              <w:bottom w:val="single" w:sz="6" w:space="0" w:color="0054BA"/>
            </w:tcBorders>
            <w:shd w:fill="0054BA" w:val="clear"/>
            <w:tcMar>
              <w:bottom w:w="40" w:type="dxa"/>
            </w:tcMar>
            <w:vAlign w:val="center"/>
          </w:tcPr>
          <w:p>
            <w:pPr>
              <w:pStyle w:val="TableContents"/>
              <w:bidi w:val="0"/>
              <w:spacing w:before="0" w:after="283"/>
              <w:jc w:val="center"/>
              <w:rPr>
                <w:b/>
                <w:color w:val="FFFFFF"/>
              </w:rPr>
            </w:pPr>
            <w:r>
              <w:rPr>
                <w:b/>
                <w:color w:val="FFFFFF"/>
              </w:rPr>
              <w:t>PERFORMANCE</w:t>
              <w:br/>
              <w:t> STOCK AWARDS </w:t>
              <w:br/>
              <w:t>(TARGET)</w:t>
            </w:r>
          </w:p>
        </w:tc>
        <w:tc>
          <w:tcPr>
            <w:tcW w:w="23" w:type="dxa"/>
            <w:tcBorders>
              <w:bottom w:val="single" w:sz="6" w:space="0" w:color="0054BA"/>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2147" w:type="dxa"/>
            <w:gridSpan w:val="4"/>
            <w:tcBorders>
              <w:bottom w:val="single" w:sz="6" w:space="0" w:color="0054BA"/>
            </w:tcBorders>
            <w:shd w:fill="0054BA" w:val="clear"/>
            <w:tcMar>
              <w:bottom w:w="40" w:type="dxa"/>
            </w:tcMar>
            <w:vAlign w:val="center"/>
          </w:tcPr>
          <w:p>
            <w:pPr>
              <w:pStyle w:val="TableContents"/>
              <w:bidi w:val="0"/>
              <w:spacing w:before="0" w:after="283"/>
              <w:jc w:val="center"/>
              <w:rPr>
                <w:color w:val="FFFFFF"/>
              </w:rPr>
            </w:pPr>
            <w:r>
              <w:rPr>
                <w:color w:val="FFFFFF"/>
              </w:rPr>
              <w:t> </w:t>
            </w:r>
            <w:r>
              <w:rPr>
                <w:b/>
                <w:color w:val="FFFFFF"/>
              </w:rPr>
              <w:t>TOTAL TARGET </w:t>
              <w:br/>
              <w:t>AWARD</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2023"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278" w:type="dxa"/>
            <w:gridSpan w:val="5"/>
            <w:tcBorders/>
            <w:vAlign w:val="center"/>
          </w:tcPr>
          <w:p>
            <w:pPr>
              <w:pStyle w:val="TableContents"/>
              <w:bidi w:val="0"/>
              <w:spacing w:before="0" w:after="283"/>
              <w:jc w:val="left"/>
              <w:rPr>
                <w:sz w:val="4"/>
                <w:szCs w:val="4"/>
              </w:rPr>
            </w:pPr>
            <w:r>
              <w:rPr>
                <w:sz w:val="4"/>
                <w:szCs w:val="4"/>
              </w:rPr>
            </w:r>
          </w:p>
        </w:tc>
        <w:tc>
          <w:tcPr>
            <w:tcW w:w="2170"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Andrew C. Florance</w:t>
            </w:r>
          </w:p>
          <w:p>
            <w:pPr>
              <w:pStyle w:val="TableContents"/>
              <w:bidi w:val="0"/>
              <w:spacing w:before="0" w:after="20"/>
              <w:jc w:val="left"/>
              <w:rPr>
                <w:rFonts w:ascii="ARIAL" w:hAnsi="ARIAL"/>
                <w:sz w:val="16"/>
              </w:rPr>
            </w:pPr>
            <w:r>
              <w:rPr>
                <w:rFonts w:ascii="ARIAL" w:hAnsi="ARIAL"/>
                <w:sz w:val="16"/>
              </w:rPr>
              <w:t>Founder &amp; Chief 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69" w:type="dxa"/>
            <w:tcBorders>
              <w:bottom w:val="single" w:sz="6" w:space="0" w:color="000000"/>
            </w:tcBorders>
            <w:tcMar>
              <w:bottom w:w="100" w:type="dxa"/>
            </w:tcMar>
            <w:vAlign w:val="center"/>
          </w:tcPr>
          <w:p>
            <w:pPr>
              <w:pStyle w:val="TableContents"/>
              <w:bidi w:val="0"/>
              <w:spacing w:before="0" w:after="283"/>
              <w:jc w:val="center"/>
              <w:rPr/>
            </w:pPr>
            <w:r>
              <w:rPr/>
              <w:t>$2,850,000</w:t>
            </w:r>
          </w:p>
        </w:tc>
        <w:tc>
          <w:tcPr>
            <w:tcW w:w="9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$8,550,000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00" w:type="dxa"/>
            </w:tcMar>
            <w:vAlign w:val="center"/>
          </w:tcPr>
          <w:p>
            <w:pPr>
              <w:pStyle w:val="TableContents"/>
              <w:bidi w:val="0"/>
              <w:spacing w:before="0" w:after="283"/>
              <w:jc w:val="left"/>
              <w:rPr/>
            </w:pPr>
            <w:r>
              <w:rPr/>
              <w:t> </w:t>
            </w:r>
          </w:p>
        </w:tc>
        <w:tc>
          <w:tcPr>
            <w:tcW w:w="1995" w:type="dxa"/>
            <w:tcBorders>
              <w:bottom w:val="single" w:sz="6" w:space="0" w:color="000000"/>
            </w:tcBorders>
            <w:tcMar>
              <w:bottom w:w="100" w:type="dxa"/>
            </w:tcMar>
            <w:vAlign w:val="center"/>
          </w:tcPr>
          <w:p>
            <w:pPr>
              <w:pStyle w:val="TableContents"/>
              <w:bidi w:val="0"/>
              <w:spacing w:before="0" w:after="283"/>
              <w:jc w:val="center"/>
              <w:rPr/>
            </w:pPr>
            <w:r>
              <w:rPr/>
              <w:t>$7,600,000</w:t>
            </w:r>
          </w:p>
        </w:tc>
        <w:tc>
          <w:tcPr>
            <w:tcW w:w="11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900"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$19,000,000*</w:t>
            </w:r>
          </w:p>
        </w:tc>
        <w:tc>
          <w:tcPr>
            <w:tcW w:w="12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2023"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278" w:type="dxa"/>
            <w:gridSpan w:val="5"/>
            <w:tcBorders/>
            <w:vAlign w:val="center"/>
          </w:tcPr>
          <w:p>
            <w:pPr>
              <w:pStyle w:val="TableContents"/>
              <w:bidi w:val="0"/>
              <w:spacing w:before="0" w:after="283"/>
              <w:jc w:val="left"/>
              <w:rPr>
                <w:sz w:val="4"/>
                <w:szCs w:val="4"/>
              </w:rPr>
            </w:pPr>
            <w:r>
              <w:rPr>
                <w:sz w:val="4"/>
                <w:szCs w:val="4"/>
              </w:rPr>
            </w:r>
          </w:p>
        </w:tc>
        <w:tc>
          <w:tcPr>
            <w:tcW w:w="2170"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Christian M. Lown</w:t>
            </w:r>
          </w:p>
          <w:p>
            <w:pPr>
              <w:pStyle w:val="TableContents"/>
              <w:bidi w:val="0"/>
              <w:spacing w:before="0" w:after="20"/>
              <w:jc w:val="left"/>
              <w:rPr>
                <w:rFonts w:ascii="ARIAL" w:hAnsi="ARIAL"/>
                <w:sz w:val="16"/>
              </w:rPr>
            </w:pPr>
            <w:r>
              <w:rPr>
                <w:rFonts w:ascii="ARIAL" w:hAnsi="ARIAL"/>
                <w:sz w:val="16"/>
              </w:rPr>
              <w:t>Chief Financial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69" w:type="dxa"/>
            <w:tcBorders>
              <w:bottom w:val="single" w:sz="6" w:space="0" w:color="000000"/>
            </w:tcBorders>
            <w:tcMar>
              <w:bottom w:w="100" w:type="dxa"/>
            </w:tcMar>
            <w:vAlign w:val="center"/>
          </w:tcPr>
          <w:p>
            <w:pPr>
              <w:pStyle w:val="TableContents"/>
              <w:bidi w:val="0"/>
              <w:spacing w:before="0" w:after="283"/>
              <w:jc w:val="center"/>
              <w:rPr/>
            </w:pPr>
            <w:r>
              <w:rPr/>
              <w:t>$615,000</w:t>
            </w:r>
          </w:p>
        </w:tc>
        <w:tc>
          <w:tcPr>
            <w:tcW w:w="9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$1,845,000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00" w:type="dxa"/>
            </w:tcMar>
            <w:vAlign w:val="center"/>
          </w:tcPr>
          <w:p>
            <w:pPr>
              <w:pStyle w:val="TableContents"/>
              <w:bidi w:val="0"/>
              <w:spacing w:before="0" w:after="283"/>
              <w:jc w:val="left"/>
              <w:rPr/>
            </w:pPr>
            <w:r>
              <w:rPr/>
              <w:t> </w:t>
            </w:r>
          </w:p>
        </w:tc>
        <w:tc>
          <w:tcPr>
            <w:tcW w:w="1995" w:type="dxa"/>
            <w:tcBorders>
              <w:bottom w:val="single" w:sz="6" w:space="0" w:color="000000"/>
            </w:tcBorders>
            <w:tcMar>
              <w:bottom w:w="100" w:type="dxa"/>
            </w:tcMar>
            <w:vAlign w:val="center"/>
          </w:tcPr>
          <w:p>
            <w:pPr>
              <w:pStyle w:val="TableContents"/>
              <w:bidi w:val="0"/>
              <w:spacing w:before="0" w:after="283"/>
              <w:jc w:val="center"/>
              <w:rPr/>
            </w:pPr>
            <w:r>
              <w:rPr/>
              <w:t>$1,640,000</w:t>
            </w:r>
          </w:p>
        </w:tc>
        <w:tc>
          <w:tcPr>
            <w:tcW w:w="11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900"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$4,100,000</w:t>
            </w:r>
          </w:p>
        </w:tc>
        <w:tc>
          <w:tcPr>
            <w:tcW w:w="12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2023"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278" w:type="dxa"/>
            <w:gridSpan w:val="5"/>
            <w:tcBorders/>
            <w:vAlign w:val="center"/>
          </w:tcPr>
          <w:p>
            <w:pPr>
              <w:pStyle w:val="TableContents"/>
              <w:bidi w:val="0"/>
              <w:spacing w:before="0" w:after="283"/>
              <w:jc w:val="left"/>
              <w:rPr>
                <w:sz w:val="4"/>
                <w:szCs w:val="4"/>
              </w:rPr>
            </w:pPr>
            <w:r>
              <w:rPr>
                <w:sz w:val="4"/>
                <w:szCs w:val="4"/>
              </w:rPr>
            </w:r>
          </w:p>
        </w:tc>
        <w:tc>
          <w:tcPr>
            <w:tcW w:w="2170"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Lisa C. Ruggles</w:t>
            </w:r>
          </w:p>
          <w:p>
            <w:pPr>
              <w:pStyle w:val="TableContents"/>
              <w:bidi w:val="0"/>
              <w:spacing w:before="0" w:after="20"/>
              <w:jc w:val="left"/>
              <w:rPr>
                <w:rFonts w:ascii="ARIAL" w:hAnsi="ARIAL"/>
                <w:sz w:val="16"/>
              </w:rPr>
            </w:pPr>
            <w:r>
              <w:rPr>
                <w:rFonts w:ascii="ARIAL" w:hAnsi="ARIAL"/>
                <w:sz w:val="16"/>
              </w:rP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69" w:type="dxa"/>
            <w:tcBorders>
              <w:bottom w:val="single" w:sz="6" w:space="0" w:color="000000"/>
            </w:tcBorders>
            <w:tcMar>
              <w:bottom w:w="100" w:type="dxa"/>
            </w:tcMar>
            <w:vAlign w:val="center"/>
          </w:tcPr>
          <w:p>
            <w:pPr>
              <w:pStyle w:val="TableContents"/>
              <w:bidi w:val="0"/>
              <w:spacing w:before="0" w:after="283"/>
              <w:jc w:val="center"/>
              <w:rPr/>
            </w:pPr>
            <w:r>
              <w:rPr/>
              <w:t>$412,500</w:t>
            </w:r>
          </w:p>
        </w:tc>
        <w:tc>
          <w:tcPr>
            <w:tcW w:w="9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$1,237,500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00" w:type="dxa"/>
            </w:tcMar>
            <w:vAlign w:val="center"/>
          </w:tcPr>
          <w:p>
            <w:pPr>
              <w:pStyle w:val="TableContents"/>
              <w:bidi w:val="0"/>
              <w:spacing w:before="0" w:after="283"/>
              <w:jc w:val="left"/>
              <w:rPr/>
            </w:pPr>
            <w:r>
              <w:rPr/>
              <w:t> </w:t>
            </w:r>
          </w:p>
        </w:tc>
        <w:tc>
          <w:tcPr>
            <w:tcW w:w="1995" w:type="dxa"/>
            <w:tcBorders>
              <w:bottom w:val="single" w:sz="6" w:space="0" w:color="000000"/>
            </w:tcBorders>
            <w:tcMar>
              <w:bottom w:w="100" w:type="dxa"/>
            </w:tcMar>
            <w:vAlign w:val="center"/>
          </w:tcPr>
          <w:p>
            <w:pPr>
              <w:pStyle w:val="TableContents"/>
              <w:bidi w:val="0"/>
              <w:spacing w:before="0" w:after="283"/>
              <w:jc w:val="center"/>
              <w:rPr/>
            </w:pPr>
            <w:r>
              <w:rPr/>
              <w:t>$1,100,000</w:t>
            </w:r>
          </w:p>
        </w:tc>
        <w:tc>
          <w:tcPr>
            <w:tcW w:w="11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900"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$2,750,000</w:t>
            </w:r>
          </w:p>
        </w:tc>
        <w:tc>
          <w:tcPr>
            <w:tcW w:w="12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2023"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278" w:type="dxa"/>
            <w:gridSpan w:val="5"/>
            <w:tcBorders/>
            <w:vAlign w:val="center"/>
          </w:tcPr>
          <w:p>
            <w:pPr>
              <w:pStyle w:val="TableContents"/>
              <w:bidi w:val="0"/>
              <w:spacing w:before="0" w:after="283"/>
              <w:jc w:val="left"/>
              <w:rPr>
                <w:sz w:val="4"/>
                <w:szCs w:val="4"/>
              </w:rPr>
            </w:pPr>
            <w:r>
              <w:rPr>
                <w:sz w:val="4"/>
                <w:szCs w:val="4"/>
              </w:rPr>
            </w:r>
          </w:p>
        </w:tc>
        <w:tc>
          <w:tcPr>
            <w:tcW w:w="2170"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Frederick G. Saint</w:t>
            </w:r>
          </w:p>
          <w:p>
            <w:pPr>
              <w:pStyle w:val="TableContents"/>
              <w:bidi w:val="0"/>
              <w:spacing w:before="0" w:after="20"/>
              <w:jc w:val="left"/>
              <w:rPr>
                <w:rFonts w:ascii="ARIAL" w:hAnsi="ARIAL"/>
                <w:sz w:val="16"/>
              </w:rPr>
            </w:pPr>
            <w:r>
              <w:rPr>
                <w:rFonts w:ascii="ARIAL" w:hAnsi="ARIAL"/>
                <w:sz w:val="16"/>
              </w:rP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69" w:type="dxa"/>
            <w:tcBorders>
              <w:bottom w:val="single" w:sz="6" w:space="0" w:color="000000"/>
            </w:tcBorders>
            <w:tcMar>
              <w:bottom w:w="100" w:type="dxa"/>
            </w:tcMar>
            <w:vAlign w:val="center"/>
          </w:tcPr>
          <w:p>
            <w:pPr>
              <w:pStyle w:val="TableContents"/>
              <w:bidi w:val="0"/>
              <w:spacing w:before="0" w:after="283"/>
              <w:jc w:val="center"/>
              <w:rPr/>
            </w:pPr>
            <w:r>
              <w:rPr/>
              <w:t>$615,000</w:t>
            </w:r>
          </w:p>
        </w:tc>
        <w:tc>
          <w:tcPr>
            <w:tcW w:w="9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$1,845,000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00" w:type="dxa"/>
            </w:tcMar>
            <w:vAlign w:val="center"/>
          </w:tcPr>
          <w:p>
            <w:pPr>
              <w:pStyle w:val="TableContents"/>
              <w:bidi w:val="0"/>
              <w:spacing w:before="0" w:after="283"/>
              <w:jc w:val="left"/>
              <w:rPr/>
            </w:pPr>
            <w:r>
              <w:rPr/>
              <w:t> </w:t>
            </w:r>
          </w:p>
        </w:tc>
        <w:tc>
          <w:tcPr>
            <w:tcW w:w="1995" w:type="dxa"/>
            <w:tcBorders>
              <w:bottom w:val="single" w:sz="6" w:space="0" w:color="000000"/>
            </w:tcBorders>
            <w:tcMar>
              <w:bottom w:w="100" w:type="dxa"/>
            </w:tcMar>
            <w:vAlign w:val="center"/>
          </w:tcPr>
          <w:p>
            <w:pPr>
              <w:pStyle w:val="TableContents"/>
              <w:bidi w:val="0"/>
              <w:spacing w:before="0" w:after="283"/>
              <w:jc w:val="center"/>
              <w:rPr/>
            </w:pPr>
            <w:r>
              <w:rPr/>
              <w:t>$1,640,000</w:t>
            </w:r>
          </w:p>
        </w:tc>
        <w:tc>
          <w:tcPr>
            <w:tcW w:w="11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900"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$4,100,000</w:t>
            </w:r>
          </w:p>
        </w:tc>
        <w:tc>
          <w:tcPr>
            <w:tcW w:w="12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2023"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278" w:type="dxa"/>
            <w:gridSpan w:val="5"/>
            <w:tcBorders/>
            <w:vAlign w:val="center"/>
          </w:tcPr>
          <w:p>
            <w:pPr>
              <w:pStyle w:val="TableContents"/>
              <w:bidi w:val="0"/>
              <w:spacing w:before="0" w:after="283"/>
              <w:jc w:val="left"/>
              <w:rPr>
                <w:sz w:val="4"/>
                <w:szCs w:val="4"/>
              </w:rPr>
            </w:pPr>
            <w:r>
              <w:rPr>
                <w:sz w:val="4"/>
                <w:szCs w:val="4"/>
              </w:rPr>
            </w:r>
          </w:p>
        </w:tc>
        <w:tc>
          <w:tcPr>
            <w:tcW w:w="2170" w:type="dxa"/>
            <w:gridSpan w:val="5"/>
            <w:tcBorders/>
            <w:shd w:fill="DAEDFA"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Frank A. Simuro</w:t>
            </w:r>
          </w:p>
          <w:p>
            <w:pPr>
              <w:pStyle w:val="TableContents"/>
              <w:bidi w:val="0"/>
              <w:spacing w:before="0" w:after="20"/>
              <w:jc w:val="left"/>
              <w:rPr>
                <w:rFonts w:ascii="ARIAL" w:hAnsi="ARIAL"/>
                <w:sz w:val="16"/>
              </w:rPr>
            </w:pPr>
            <w:r>
              <w:rPr>
                <w:rFonts w:ascii="ARIAL" w:hAnsi="ARIAL"/>
                <w:sz w:val="16"/>
              </w:rP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69" w:type="dxa"/>
            <w:tcBorders>
              <w:bottom w:val="single" w:sz="6" w:space="0" w:color="000000"/>
            </w:tcBorders>
            <w:tcMar>
              <w:bottom w:w="100" w:type="dxa"/>
            </w:tcMar>
            <w:vAlign w:val="center"/>
          </w:tcPr>
          <w:p>
            <w:pPr>
              <w:pStyle w:val="TableContents"/>
              <w:bidi w:val="0"/>
              <w:spacing w:before="0" w:after="283"/>
              <w:jc w:val="center"/>
              <w:rPr/>
            </w:pPr>
            <w:r>
              <w:rPr/>
              <w:t>$825,000</w:t>
            </w:r>
          </w:p>
        </w:tc>
        <w:tc>
          <w:tcPr>
            <w:tcW w:w="9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$2,475,000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00" w:type="dxa"/>
            </w:tcMar>
            <w:vAlign w:val="center"/>
          </w:tcPr>
          <w:p>
            <w:pPr>
              <w:pStyle w:val="TableContents"/>
              <w:bidi w:val="0"/>
              <w:spacing w:before="0" w:after="283"/>
              <w:jc w:val="left"/>
              <w:rPr/>
            </w:pPr>
            <w:r>
              <w:rPr/>
              <w:t> </w:t>
            </w:r>
          </w:p>
        </w:tc>
        <w:tc>
          <w:tcPr>
            <w:tcW w:w="1995" w:type="dxa"/>
            <w:tcBorders>
              <w:bottom w:val="single" w:sz="6" w:space="0" w:color="000000"/>
            </w:tcBorders>
            <w:tcMar>
              <w:bottom w:w="100" w:type="dxa"/>
            </w:tcMar>
            <w:vAlign w:val="center"/>
          </w:tcPr>
          <w:p>
            <w:pPr>
              <w:pStyle w:val="TableContents"/>
              <w:bidi w:val="0"/>
              <w:spacing w:before="0" w:after="283"/>
              <w:jc w:val="center"/>
              <w:rPr/>
            </w:pPr>
            <w:r>
              <w:rPr/>
              <w:t>$2,200,000</w:t>
            </w:r>
          </w:p>
        </w:tc>
        <w:tc>
          <w:tcPr>
            <w:tcW w:w="11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shd w:fill="DAEDFA" w:val="clear"/>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c>
          <w:tcPr>
            <w:tcW w:w="1900" w:type="dxa"/>
            <w:tcBorders>
              <w:bottom w:val="single" w:sz="6" w:space="0" w:color="000000"/>
            </w:tcBorders>
            <w:shd w:fill="DAEDFA" w:val="clear"/>
            <w:tcMar>
              <w:bottom w:w="100" w:type="dxa"/>
            </w:tcMar>
            <w:vAlign w:val="center"/>
          </w:tcPr>
          <w:p>
            <w:pPr>
              <w:pStyle w:val="TableContents"/>
              <w:bidi w:val="0"/>
              <w:spacing w:before="0" w:after="283"/>
              <w:jc w:val="center"/>
              <w:rPr>
                <w:b/>
              </w:rPr>
            </w:pPr>
            <w:r>
              <w:rPr>
                <w:b/>
              </w:rPr>
              <w:t>$5,500,000</w:t>
            </w:r>
          </w:p>
        </w:tc>
        <w:tc>
          <w:tcPr>
            <w:tcW w:w="120" w:type="dxa"/>
            <w:tcBorders>
              <w:bottom w:val="single" w:sz="6" w:space="0" w:color="000000"/>
            </w:tcBorders>
            <w:shd w:fill="DAEDFA" w:val="clear"/>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ARIAL" w:hAnsi="ARIAL"/>
                <w:i/>
                <w:sz w:val="16"/>
              </w:rPr>
            </w:pPr>
            <w:r>
              <w:rPr>
                <w:rFonts w:ascii="ARIAL" w:hAnsi="ARIAL"/>
                <w:i/>
                <w:sz w:val="16"/>
              </w:rPr>
              <w:t xml:space="preserve">In March of 2025, Mr. Florance also received RSUs in connection with the deferral of his 2024 annual cash bonus under the Management Stock Purchase Plan (MSPP). The value of the RSUs is reported under Stock Awards in the Summary Compensation Table, but is not considered part of his target Long-Term Incentives for 2025. For additional information regarding the MSPP, see the “Deferred Compensation” discussion. </w:t>
            </w:r>
          </w:p>
        </w:tc>
      </w:tr>
    </w:tbl>
    <w:p>
      <w:pPr>
        <w:pStyle w:val="TextBody"/>
        <w:bidi w:val="0"/>
        <w:spacing w:before="360" w:after="0"/>
        <w:jc w:val="left"/>
        <w:rPr>
          <w:rFonts w:ascii="ARIAL" w:hAnsi="ARIAL"/>
          <w:b/>
          <w:color w:val="0054BA"/>
          <w:sz w:val="22"/>
        </w:rPr>
      </w:pPr>
      <w:r>
        <w:rPr>
          <w:rFonts w:ascii="ARIAL" w:hAnsi="ARIAL"/>
          <w:b/>
          <w:color w:val="0054BA"/>
          <w:sz w:val="22"/>
        </w:rPr>
        <w:t xml:space="preserve">2025 Equity Incentive Compensation Vehicles </w:t>
      </w:r>
    </w:p>
    <w:p>
      <w:pPr>
        <w:pStyle w:val="TextBody"/>
        <w:bidi w:val="0"/>
        <w:spacing w:before="80" w:after="0"/>
        <w:jc w:val="left"/>
        <w:rPr>
          <w:rFonts w:ascii="ARIAL" w:hAnsi="ARIAL"/>
          <w:b/>
          <w:sz w:val="20"/>
        </w:rPr>
      </w:pPr>
      <w:r>
        <w:rPr>
          <w:rFonts w:ascii="ARIAL" w:hAnsi="ARIAL"/>
          <w:b/>
          <w:sz w:val="20"/>
        </w:rPr>
        <w:t xml:space="preserve">2025 STOCK OPTIONS (15% OF AWARD VALUE): </w:t>
      </w:r>
    </w:p>
    <w:p>
      <w:pPr>
        <w:pStyle w:val="TextBody"/>
        <w:bidi w:val="0"/>
        <w:spacing w:before="80" w:after="0"/>
        <w:jc w:val="left"/>
        <w:rPr>
          <w:rFonts w:ascii="ARIAL" w:hAnsi="ARIAL"/>
          <w:sz w:val="18"/>
        </w:rPr>
      </w:pPr>
      <w:r>
        <w:rPr>
          <w:rFonts w:ascii="ARIAL" w:hAnsi="ARIAL"/>
          <w:b/>
          <w:color w:val="0054BA"/>
          <w:sz w:val="18"/>
        </w:rPr>
        <w:t>Purpose:</w:t>
      </w:r>
      <w:r>
        <w:rPr>
          <w:rFonts w:ascii="ARIAL" w:hAnsi="ARIAL"/>
          <w:sz w:val="18"/>
        </w:rPr>
        <w:t xml:space="preserve"> Executives realize value only if the stockholders realize value following the grant date (i.e., the price of the Company’s common stock has increased from the grant date to the time the option is exercised). </w:t>
      </w:r>
    </w:p>
    <w:p>
      <w:pPr>
        <w:pStyle w:val="TextBody"/>
        <w:bidi w:val="0"/>
        <w:spacing w:before="160" w:after="0"/>
        <w:jc w:val="left"/>
        <w:rPr>
          <w:rFonts w:ascii="ARIAL" w:hAnsi="ARIAL"/>
          <w:sz w:val="18"/>
        </w:rPr>
      </w:pPr>
      <w:r>
        <w:rPr>
          <w:rFonts w:ascii="ARIAL" w:hAnsi="ARIAL"/>
          <w:sz w:val="18"/>
        </w:rPr>
        <w:t xml:space="preserve">The exercise price for each option is equal to the closing price of the Company’s common stock on the date of grant, which was the date of approval by the Compensation Committee. Options vest in roughly equal annual installments over three years and have an exercise term of up to 10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4"/>
        <w:gridCol w:w="23"/>
        <w:gridCol w:w="71"/>
        <w:gridCol w:w="187"/>
        <w:gridCol w:w="3459"/>
        <w:gridCol w:w="190"/>
        <w:gridCol w:w="23"/>
        <w:gridCol w:w="117"/>
        <w:gridCol w:w="305"/>
        <w:gridCol w:w="4087"/>
        <w:gridCol w:w="389"/>
      </w:tblGrid>
      <w:tr>
        <w:trPr/>
        <w:tc>
          <w:tcPr>
            <w:tcW w:w="13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45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354" w:type="dxa"/>
            <w:tcBorders/>
            <w:shd w:fill="0054BA" w:val="clear"/>
            <w:vAlign w:val="center"/>
          </w:tcPr>
          <w:p>
            <w:pPr>
              <w:pStyle w:val="TableContents"/>
              <w:bidi w:val="0"/>
              <w:spacing w:before="0" w:after="283"/>
              <w:jc w:val="left"/>
              <w:rPr>
                <w:sz w:val="4"/>
                <w:szCs w:val="4"/>
              </w:rPr>
            </w:pPr>
            <w:r>
              <w:rPr>
                <w:sz w:val="4"/>
                <w:szCs w:val="4"/>
              </w:rPr>
            </w:r>
          </w:p>
        </w:tc>
        <w:tc>
          <w:tcPr>
            <w:tcW w:w="3930" w:type="dxa"/>
            <w:gridSpan w:val="5"/>
            <w:tcBorders/>
            <w:shd w:fill="0054BA" w:val="clear"/>
            <w:vAlign w:val="center"/>
          </w:tcPr>
          <w:p>
            <w:pPr>
              <w:pStyle w:val="TableContents"/>
              <w:bidi w:val="0"/>
              <w:spacing w:before="0" w:after="283"/>
              <w:jc w:val="left"/>
              <w:rPr>
                <w:sz w:val="4"/>
                <w:szCs w:val="4"/>
              </w:rPr>
            </w:pPr>
            <w:r>
              <w:rPr>
                <w:sz w:val="4"/>
                <w:szCs w:val="4"/>
              </w:rPr>
            </w:r>
          </w:p>
        </w:tc>
        <w:tc>
          <w:tcPr>
            <w:tcW w:w="4921"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354"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NEOs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3907" w:type="dxa"/>
            <w:gridSpan w:val="4"/>
            <w:tcBorders/>
            <w:shd w:fill="0054BA" w:val="clear"/>
            <w:vAlign w:val="center"/>
          </w:tcPr>
          <w:p>
            <w:pPr>
              <w:pStyle w:val="TableContents"/>
              <w:bidi w:val="0"/>
              <w:spacing w:before="0" w:after="283"/>
              <w:jc w:val="center"/>
              <w:rPr>
                <w:b/>
                <w:color w:val="FFFFFF"/>
              </w:rPr>
            </w:pPr>
            <w:r>
              <w:rPr>
                <w:b/>
                <w:color w:val="FFFFFF"/>
              </w:rPr>
              <w:t>STOCK OPTION AWARD VALUE(1)</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4898" w:type="dxa"/>
            <w:gridSpan w:val="4"/>
            <w:tcBorders/>
            <w:shd w:fill="0054BA" w:val="clear"/>
            <w:vAlign w:val="center"/>
          </w:tcPr>
          <w:p>
            <w:pPr>
              <w:pStyle w:val="TableContents"/>
              <w:bidi w:val="0"/>
              <w:spacing w:before="0" w:after="283"/>
              <w:jc w:val="center"/>
              <w:rPr>
                <w:color w:val="FFFFFF"/>
              </w:rPr>
            </w:pPr>
            <w:r>
              <w:rPr>
                <w:color w:val="FFFFFF"/>
              </w:rPr>
              <w:t> </w:t>
            </w:r>
            <w:r>
              <w:rPr>
                <w:b/>
                <w:color w:val="FFFFFF"/>
              </w:rPr>
              <w:t>SHARES UNDERLYING OPTION AWARD(2) </w:t>
            </w:r>
          </w:p>
        </w:tc>
      </w:tr>
      <w:tr>
        <w:trPr/>
        <w:tc>
          <w:tcPr>
            <w:tcW w:w="1354" w:type="dxa"/>
            <w:tcBorders/>
            <w:vAlign w:val="center"/>
          </w:tcPr>
          <w:p>
            <w:pPr>
              <w:pStyle w:val="TableContents"/>
              <w:bidi w:val="0"/>
              <w:spacing w:before="0" w:after="283"/>
              <w:jc w:val="left"/>
              <w:rPr>
                <w:sz w:val="4"/>
                <w:szCs w:val="4"/>
              </w:rPr>
            </w:pPr>
            <w:r>
              <w:rPr>
                <w:sz w:val="4"/>
                <w:szCs w:val="4"/>
              </w:rPr>
            </w:r>
          </w:p>
        </w:tc>
        <w:tc>
          <w:tcPr>
            <w:tcW w:w="3930" w:type="dxa"/>
            <w:gridSpan w:val="5"/>
            <w:tcBorders/>
            <w:vAlign w:val="center"/>
          </w:tcPr>
          <w:p>
            <w:pPr>
              <w:pStyle w:val="TableContents"/>
              <w:bidi w:val="0"/>
              <w:spacing w:before="0" w:after="283"/>
              <w:jc w:val="left"/>
              <w:rPr>
                <w:sz w:val="4"/>
                <w:szCs w:val="4"/>
              </w:rPr>
            </w:pPr>
            <w:r>
              <w:rPr>
                <w:sz w:val="4"/>
                <w:szCs w:val="4"/>
              </w:rPr>
            </w:r>
          </w:p>
        </w:tc>
        <w:tc>
          <w:tcPr>
            <w:tcW w:w="4921" w:type="dxa"/>
            <w:gridSpan w:val="5"/>
            <w:tcBorders/>
            <w:vAlign w:val="center"/>
          </w:tcPr>
          <w:p>
            <w:pPr>
              <w:pStyle w:val="TableContents"/>
              <w:bidi w:val="0"/>
              <w:spacing w:before="0" w:after="283"/>
              <w:jc w:val="left"/>
              <w:rPr>
                <w:sz w:val="4"/>
                <w:szCs w:val="4"/>
              </w:rPr>
            </w:pPr>
            <w:r>
              <w:rPr>
                <w:sz w:val="4"/>
                <w:szCs w:val="4"/>
              </w:rPr>
            </w:r>
          </w:p>
        </w:tc>
      </w:tr>
      <w:tr>
        <w:trPr/>
        <w:tc>
          <w:tcPr>
            <w:tcW w:w="1354"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Andrew C. Florance </w:t>
            </w:r>
            <w:r>
              <w:rPr>
                <w:rFonts w:ascii="ARIAL" w:hAnsi="ARIAL"/>
                <w:sz w:val="16"/>
              </w:rPr>
              <w:br/>
              <w:t>Founder &amp; Chief 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7" w:type="dxa"/>
            <w:tcBorders>
              <w:bottom w:val="single" w:sz="6" w:space="0" w:color="000000"/>
            </w:tcBorders>
            <w:tcMar>
              <w:bottom w:w="100" w:type="dxa"/>
            </w:tcMar>
            <w:vAlign w:val="center"/>
          </w:tcPr>
          <w:p>
            <w:pPr>
              <w:pStyle w:val="TableContents"/>
              <w:bidi w:val="0"/>
              <w:spacing w:before="0" w:after="283"/>
              <w:jc w:val="left"/>
              <w:rPr/>
            </w:pPr>
            <w:r>
              <w:rPr/>
              <w:t> </w:t>
            </w:r>
          </w:p>
        </w:tc>
        <w:tc>
          <w:tcPr>
            <w:tcW w:w="3459" w:type="dxa"/>
            <w:tcBorders>
              <w:bottom w:val="single" w:sz="6" w:space="0" w:color="000000"/>
            </w:tcBorders>
            <w:tcMar>
              <w:bottom w:w="100" w:type="dxa"/>
            </w:tcMar>
            <w:vAlign w:val="center"/>
          </w:tcPr>
          <w:p>
            <w:pPr>
              <w:pStyle w:val="TableContents"/>
              <w:bidi w:val="0"/>
              <w:spacing w:before="0" w:after="283"/>
              <w:jc w:val="center"/>
              <w:rPr/>
            </w:pPr>
            <w:r>
              <w:rPr/>
              <w:t>$2,850,000</w:t>
            </w:r>
          </w:p>
        </w:tc>
        <w:tc>
          <w:tcPr>
            <w:tcW w:w="1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5" w:type="dxa"/>
            <w:tcBorders>
              <w:bottom w:val="single" w:sz="6" w:space="0" w:color="000000"/>
            </w:tcBorders>
            <w:tcMar>
              <w:bottom w:w="100" w:type="dxa"/>
            </w:tcMar>
            <w:vAlign w:val="center"/>
          </w:tcPr>
          <w:p>
            <w:pPr>
              <w:pStyle w:val="TableContents"/>
              <w:bidi w:val="0"/>
              <w:spacing w:before="0" w:after="283"/>
              <w:jc w:val="left"/>
              <w:rPr/>
            </w:pPr>
            <w:r>
              <w:rPr/>
              <w:t> </w:t>
            </w:r>
          </w:p>
        </w:tc>
        <w:tc>
          <w:tcPr>
            <w:tcW w:w="4087" w:type="dxa"/>
            <w:tcBorders>
              <w:bottom w:val="single" w:sz="6" w:space="0" w:color="000000"/>
            </w:tcBorders>
            <w:tcMar>
              <w:bottom w:w="100" w:type="dxa"/>
            </w:tcMar>
            <w:vAlign w:val="center"/>
          </w:tcPr>
          <w:p>
            <w:pPr>
              <w:pStyle w:val="TableContents"/>
              <w:bidi w:val="0"/>
              <w:spacing w:before="0" w:after="283"/>
              <w:jc w:val="center"/>
              <w:rPr/>
            </w:pPr>
            <w:r>
              <w:rPr/>
              <w:t>114,000</w:t>
            </w:r>
          </w:p>
        </w:tc>
        <w:tc>
          <w:tcPr>
            <w:tcW w:w="38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54" w:type="dxa"/>
            <w:tcBorders/>
            <w:vAlign w:val="center"/>
          </w:tcPr>
          <w:p>
            <w:pPr>
              <w:pStyle w:val="TableContents"/>
              <w:bidi w:val="0"/>
              <w:spacing w:before="0" w:after="283"/>
              <w:jc w:val="left"/>
              <w:rPr>
                <w:sz w:val="4"/>
                <w:szCs w:val="4"/>
              </w:rPr>
            </w:pPr>
            <w:r>
              <w:rPr>
                <w:sz w:val="4"/>
                <w:szCs w:val="4"/>
              </w:rPr>
            </w:r>
          </w:p>
        </w:tc>
        <w:tc>
          <w:tcPr>
            <w:tcW w:w="3930" w:type="dxa"/>
            <w:gridSpan w:val="5"/>
            <w:tcBorders/>
            <w:vAlign w:val="center"/>
          </w:tcPr>
          <w:p>
            <w:pPr>
              <w:pStyle w:val="TableContents"/>
              <w:bidi w:val="0"/>
              <w:spacing w:before="0" w:after="283"/>
              <w:jc w:val="left"/>
              <w:rPr>
                <w:sz w:val="4"/>
                <w:szCs w:val="4"/>
              </w:rPr>
            </w:pPr>
            <w:r>
              <w:rPr>
                <w:sz w:val="4"/>
                <w:szCs w:val="4"/>
              </w:rPr>
            </w:r>
          </w:p>
        </w:tc>
        <w:tc>
          <w:tcPr>
            <w:tcW w:w="4921" w:type="dxa"/>
            <w:gridSpan w:val="5"/>
            <w:tcBorders/>
            <w:vAlign w:val="center"/>
          </w:tcPr>
          <w:p>
            <w:pPr>
              <w:pStyle w:val="TableContents"/>
              <w:bidi w:val="0"/>
              <w:spacing w:before="0" w:after="283"/>
              <w:jc w:val="left"/>
              <w:rPr>
                <w:sz w:val="4"/>
                <w:szCs w:val="4"/>
              </w:rPr>
            </w:pPr>
            <w:r>
              <w:rPr>
                <w:sz w:val="4"/>
                <w:szCs w:val="4"/>
              </w:rPr>
            </w:r>
          </w:p>
        </w:tc>
      </w:tr>
      <w:tr>
        <w:trPr/>
        <w:tc>
          <w:tcPr>
            <w:tcW w:w="1354"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Christian M. Lown </w:t>
            </w:r>
            <w:r>
              <w:rPr>
                <w:rFonts w:ascii="ARIAL" w:hAnsi="ARIAL"/>
                <w:sz w:val="16"/>
              </w:rPr>
              <w:br/>
              <w:t>Chief Financial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7" w:type="dxa"/>
            <w:tcBorders>
              <w:bottom w:val="single" w:sz="6" w:space="0" w:color="000000"/>
            </w:tcBorders>
            <w:tcMar>
              <w:bottom w:w="100" w:type="dxa"/>
            </w:tcMar>
            <w:vAlign w:val="center"/>
          </w:tcPr>
          <w:p>
            <w:pPr>
              <w:pStyle w:val="TableContents"/>
              <w:bidi w:val="0"/>
              <w:spacing w:before="0" w:after="283"/>
              <w:jc w:val="left"/>
              <w:rPr/>
            </w:pPr>
            <w:r>
              <w:rPr/>
              <w:t> </w:t>
            </w:r>
          </w:p>
        </w:tc>
        <w:tc>
          <w:tcPr>
            <w:tcW w:w="3459" w:type="dxa"/>
            <w:tcBorders>
              <w:bottom w:val="single" w:sz="6" w:space="0" w:color="000000"/>
            </w:tcBorders>
            <w:tcMar>
              <w:bottom w:w="100" w:type="dxa"/>
            </w:tcMar>
            <w:vAlign w:val="center"/>
          </w:tcPr>
          <w:p>
            <w:pPr>
              <w:pStyle w:val="TableContents"/>
              <w:bidi w:val="0"/>
              <w:spacing w:before="0" w:after="283"/>
              <w:jc w:val="center"/>
              <w:rPr/>
            </w:pPr>
            <w:r>
              <w:rPr/>
              <w:t>$615,000</w:t>
            </w:r>
          </w:p>
        </w:tc>
        <w:tc>
          <w:tcPr>
            <w:tcW w:w="1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5" w:type="dxa"/>
            <w:tcBorders>
              <w:bottom w:val="single" w:sz="6" w:space="0" w:color="000000"/>
            </w:tcBorders>
            <w:tcMar>
              <w:bottom w:w="100" w:type="dxa"/>
            </w:tcMar>
            <w:vAlign w:val="center"/>
          </w:tcPr>
          <w:p>
            <w:pPr>
              <w:pStyle w:val="TableContents"/>
              <w:bidi w:val="0"/>
              <w:spacing w:before="0" w:after="283"/>
              <w:jc w:val="left"/>
              <w:rPr/>
            </w:pPr>
            <w:r>
              <w:rPr/>
              <w:t> </w:t>
            </w:r>
          </w:p>
        </w:tc>
        <w:tc>
          <w:tcPr>
            <w:tcW w:w="4087" w:type="dxa"/>
            <w:tcBorders>
              <w:bottom w:val="single" w:sz="6" w:space="0" w:color="000000"/>
            </w:tcBorders>
            <w:tcMar>
              <w:bottom w:w="100" w:type="dxa"/>
            </w:tcMar>
            <w:vAlign w:val="center"/>
          </w:tcPr>
          <w:p>
            <w:pPr>
              <w:pStyle w:val="TableContents"/>
              <w:bidi w:val="0"/>
              <w:spacing w:before="0" w:after="283"/>
              <w:jc w:val="center"/>
              <w:rPr/>
            </w:pPr>
            <w:r>
              <w:rPr/>
              <w:t>24,600</w:t>
            </w:r>
          </w:p>
        </w:tc>
        <w:tc>
          <w:tcPr>
            <w:tcW w:w="38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54" w:type="dxa"/>
            <w:tcBorders/>
            <w:vAlign w:val="center"/>
          </w:tcPr>
          <w:p>
            <w:pPr>
              <w:pStyle w:val="TableContents"/>
              <w:bidi w:val="0"/>
              <w:spacing w:before="0" w:after="283"/>
              <w:jc w:val="left"/>
              <w:rPr>
                <w:sz w:val="4"/>
                <w:szCs w:val="4"/>
              </w:rPr>
            </w:pPr>
            <w:r>
              <w:rPr>
                <w:sz w:val="4"/>
                <w:szCs w:val="4"/>
              </w:rPr>
            </w:r>
          </w:p>
        </w:tc>
        <w:tc>
          <w:tcPr>
            <w:tcW w:w="3930" w:type="dxa"/>
            <w:gridSpan w:val="5"/>
            <w:tcBorders/>
            <w:vAlign w:val="center"/>
          </w:tcPr>
          <w:p>
            <w:pPr>
              <w:pStyle w:val="TableContents"/>
              <w:bidi w:val="0"/>
              <w:spacing w:before="0" w:after="283"/>
              <w:jc w:val="left"/>
              <w:rPr>
                <w:sz w:val="4"/>
                <w:szCs w:val="4"/>
              </w:rPr>
            </w:pPr>
            <w:r>
              <w:rPr>
                <w:sz w:val="4"/>
                <w:szCs w:val="4"/>
              </w:rPr>
            </w:r>
          </w:p>
        </w:tc>
        <w:tc>
          <w:tcPr>
            <w:tcW w:w="4921" w:type="dxa"/>
            <w:gridSpan w:val="5"/>
            <w:tcBorders/>
            <w:vAlign w:val="center"/>
          </w:tcPr>
          <w:p>
            <w:pPr>
              <w:pStyle w:val="TableContents"/>
              <w:bidi w:val="0"/>
              <w:spacing w:before="0" w:after="283"/>
              <w:jc w:val="left"/>
              <w:rPr>
                <w:sz w:val="4"/>
                <w:szCs w:val="4"/>
              </w:rPr>
            </w:pPr>
            <w:r>
              <w:rPr>
                <w:sz w:val="4"/>
                <w:szCs w:val="4"/>
              </w:rPr>
            </w:r>
          </w:p>
        </w:tc>
      </w:tr>
      <w:tr>
        <w:trPr/>
        <w:tc>
          <w:tcPr>
            <w:tcW w:w="1354"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Lisa C. Ruggles </w:t>
            </w:r>
            <w:r>
              <w:rPr>
                <w:rFonts w:ascii="ARIAL" w:hAnsi="ARIAL"/>
                <w:sz w:val="16"/>
              </w:rPr>
              <w:b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7" w:type="dxa"/>
            <w:tcBorders>
              <w:bottom w:val="single" w:sz="6" w:space="0" w:color="000000"/>
            </w:tcBorders>
            <w:tcMar>
              <w:bottom w:w="100" w:type="dxa"/>
            </w:tcMar>
            <w:vAlign w:val="center"/>
          </w:tcPr>
          <w:p>
            <w:pPr>
              <w:pStyle w:val="TableContents"/>
              <w:bidi w:val="0"/>
              <w:spacing w:before="0" w:after="283"/>
              <w:jc w:val="left"/>
              <w:rPr/>
            </w:pPr>
            <w:r>
              <w:rPr/>
              <w:t> </w:t>
            </w:r>
          </w:p>
        </w:tc>
        <w:tc>
          <w:tcPr>
            <w:tcW w:w="3459" w:type="dxa"/>
            <w:tcBorders>
              <w:bottom w:val="single" w:sz="6" w:space="0" w:color="000000"/>
            </w:tcBorders>
            <w:tcMar>
              <w:bottom w:w="100" w:type="dxa"/>
            </w:tcMar>
            <w:vAlign w:val="center"/>
          </w:tcPr>
          <w:p>
            <w:pPr>
              <w:pStyle w:val="TableContents"/>
              <w:bidi w:val="0"/>
              <w:spacing w:before="0" w:after="283"/>
              <w:jc w:val="center"/>
              <w:rPr/>
            </w:pPr>
            <w:r>
              <w:rPr/>
              <w:t>$412,500</w:t>
            </w:r>
          </w:p>
        </w:tc>
        <w:tc>
          <w:tcPr>
            <w:tcW w:w="1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5" w:type="dxa"/>
            <w:tcBorders>
              <w:bottom w:val="single" w:sz="6" w:space="0" w:color="000000"/>
            </w:tcBorders>
            <w:tcMar>
              <w:bottom w:w="100" w:type="dxa"/>
            </w:tcMar>
            <w:vAlign w:val="center"/>
          </w:tcPr>
          <w:p>
            <w:pPr>
              <w:pStyle w:val="TableContents"/>
              <w:bidi w:val="0"/>
              <w:spacing w:before="0" w:after="283"/>
              <w:jc w:val="left"/>
              <w:rPr/>
            </w:pPr>
            <w:r>
              <w:rPr/>
              <w:t> </w:t>
            </w:r>
          </w:p>
        </w:tc>
        <w:tc>
          <w:tcPr>
            <w:tcW w:w="4087" w:type="dxa"/>
            <w:tcBorders>
              <w:bottom w:val="single" w:sz="6" w:space="0" w:color="000000"/>
            </w:tcBorders>
            <w:tcMar>
              <w:bottom w:w="100" w:type="dxa"/>
            </w:tcMar>
            <w:vAlign w:val="center"/>
          </w:tcPr>
          <w:p>
            <w:pPr>
              <w:pStyle w:val="TableContents"/>
              <w:bidi w:val="0"/>
              <w:spacing w:before="0" w:after="283"/>
              <w:jc w:val="center"/>
              <w:rPr/>
            </w:pPr>
            <w:r>
              <w:rPr/>
              <w:t>16,500</w:t>
            </w:r>
          </w:p>
        </w:tc>
        <w:tc>
          <w:tcPr>
            <w:tcW w:w="38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54" w:type="dxa"/>
            <w:tcBorders/>
            <w:vAlign w:val="center"/>
          </w:tcPr>
          <w:p>
            <w:pPr>
              <w:pStyle w:val="TableContents"/>
              <w:bidi w:val="0"/>
              <w:spacing w:before="0" w:after="283"/>
              <w:jc w:val="left"/>
              <w:rPr>
                <w:sz w:val="4"/>
                <w:szCs w:val="4"/>
              </w:rPr>
            </w:pPr>
            <w:r>
              <w:rPr>
                <w:sz w:val="4"/>
                <w:szCs w:val="4"/>
              </w:rPr>
            </w:r>
          </w:p>
        </w:tc>
        <w:tc>
          <w:tcPr>
            <w:tcW w:w="3930" w:type="dxa"/>
            <w:gridSpan w:val="5"/>
            <w:tcBorders/>
            <w:vAlign w:val="center"/>
          </w:tcPr>
          <w:p>
            <w:pPr>
              <w:pStyle w:val="TableContents"/>
              <w:bidi w:val="0"/>
              <w:spacing w:before="0" w:after="283"/>
              <w:jc w:val="left"/>
              <w:rPr>
                <w:sz w:val="4"/>
                <w:szCs w:val="4"/>
              </w:rPr>
            </w:pPr>
            <w:r>
              <w:rPr>
                <w:sz w:val="4"/>
                <w:szCs w:val="4"/>
              </w:rPr>
            </w:r>
          </w:p>
        </w:tc>
        <w:tc>
          <w:tcPr>
            <w:tcW w:w="4921" w:type="dxa"/>
            <w:gridSpan w:val="5"/>
            <w:tcBorders/>
            <w:vAlign w:val="center"/>
          </w:tcPr>
          <w:p>
            <w:pPr>
              <w:pStyle w:val="TableContents"/>
              <w:bidi w:val="0"/>
              <w:spacing w:before="0" w:after="283"/>
              <w:jc w:val="left"/>
              <w:rPr>
                <w:sz w:val="4"/>
                <w:szCs w:val="4"/>
              </w:rPr>
            </w:pPr>
            <w:r>
              <w:rPr>
                <w:sz w:val="4"/>
                <w:szCs w:val="4"/>
              </w:rPr>
            </w:r>
          </w:p>
        </w:tc>
      </w:tr>
      <w:tr>
        <w:trPr/>
        <w:tc>
          <w:tcPr>
            <w:tcW w:w="1354"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Frederick G. Saint </w:t>
            </w:r>
            <w:r>
              <w:rPr>
                <w:rFonts w:ascii="ARIAL" w:hAnsi="ARIAL"/>
                <w:sz w:val="16"/>
              </w:rPr>
              <w:b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7" w:type="dxa"/>
            <w:tcBorders>
              <w:bottom w:val="single" w:sz="6" w:space="0" w:color="000000"/>
            </w:tcBorders>
            <w:tcMar>
              <w:bottom w:w="100" w:type="dxa"/>
            </w:tcMar>
            <w:vAlign w:val="center"/>
          </w:tcPr>
          <w:p>
            <w:pPr>
              <w:pStyle w:val="TableContents"/>
              <w:bidi w:val="0"/>
              <w:spacing w:before="0" w:after="283"/>
              <w:jc w:val="left"/>
              <w:rPr/>
            </w:pPr>
            <w:r>
              <w:rPr/>
              <w:t> </w:t>
            </w:r>
          </w:p>
        </w:tc>
        <w:tc>
          <w:tcPr>
            <w:tcW w:w="3459" w:type="dxa"/>
            <w:tcBorders>
              <w:bottom w:val="single" w:sz="6" w:space="0" w:color="000000"/>
            </w:tcBorders>
            <w:tcMar>
              <w:bottom w:w="100" w:type="dxa"/>
            </w:tcMar>
            <w:vAlign w:val="center"/>
          </w:tcPr>
          <w:p>
            <w:pPr>
              <w:pStyle w:val="TableContents"/>
              <w:bidi w:val="0"/>
              <w:spacing w:before="0" w:after="283"/>
              <w:jc w:val="center"/>
              <w:rPr/>
            </w:pPr>
            <w:r>
              <w:rPr/>
              <w:t>$615,000</w:t>
            </w:r>
          </w:p>
        </w:tc>
        <w:tc>
          <w:tcPr>
            <w:tcW w:w="1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5" w:type="dxa"/>
            <w:tcBorders>
              <w:bottom w:val="single" w:sz="6" w:space="0" w:color="000000"/>
            </w:tcBorders>
            <w:tcMar>
              <w:bottom w:w="100" w:type="dxa"/>
            </w:tcMar>
            <w:vAlign w:val="center"/>
          </w:tcPr>
          <w:p>
            <w:pPr>
              <w:pStyle w:val="TableContents"/>
              <w:bidi w:val="0"/>
              <w:spacing w:before="0" w:after="283"/>
              <w:jc w:val="left"/>
              <w:rPr/>
            </w:pPr>
            <w:r>
              <w:rPr/>
              <w:t> </w:t>
            </w:r>
          </w:p>
        </w:tc>
        <w:tc>
          <w:tcPr>
            <w:tcW w:w="4087" w:type="dxa"/>
            <w:tcBorders>
              <w:bottom w:val="single" w:sz="6" w:space="0" w:color="000000"/>
            </w:tcBorders>
            <w:tcMar>
              <w:bottom w:w="100" w:type="dxa"/>
            </w:tcMar>
            <w:vAlign w:val="center"/>
          </w:tcPr>
          <w:p>
            <w:pPr>
              <w:pStyle w:val="TableContents"/>
              <w:bidi w:val="0"/>
              <w:spacing w:before="0" w:after="283"/>
              <w:jc w:val="center"/>
              <w:rPr/>
            </w:pPr>
            <w:r>
              <w:rPr/>
              <w:t>24,600</w:t>
            </w:r>
          </w:p>
        </w:tc>
        <w:tc>
          <w:tcPr>
            <w:tcW w:w="38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54" w:type="dxa"/>
            <w:tcBorders/>
            <w:vAlign w:val="center"/>
          </w:tcPr>
          <w:p>
            <w:pPr>
              <w:pStyle w:val="TableContents"/>
              <w:bidi w:val="0"/>
              <w:spacing w:before="0" w:after="283"/>
              <w:jc w:val="left"/>
              <w:rPr>
                <w:sz w:val="4"/>
                <w:szCs w:val="4"/>
              </w:rPr>
            </w:pPr>
            <w:r>
              <w:rPr>
                <w:sz w:val="4"/>
                <w:szCs w:val="4"/>
              </w:rPr>
            </w:r>
          </w:p>
        </w:tc>
        <w:tc>
          <w:tcPr>
            <w:tcW w:w="3930" w:type="dxa"/>
            <w:gridSpan w:val="5"/>
            <w:tcBorders/>
            <w:vAlign w:val="center"/>
          </w:tcPr>
          <w:p>
            <w:pPr>
              <w:pStyle w:val="TableContents"/>
              <w:bidi w:val="0"/>
              <w:spacing w:before="0" w:after="283"/>
              <w:jc w:val="left"/>
              <w:rPr>
                <w:sz w:val="4"/>
                <w:szCs w:val="4"/>
              </w:rPr>
            </w:pPr>
            <w:r>
              <w:rPr>
                <w:sz w:val="4"/>
                <w:szCs w:val="4"/>
              </w:rPr>
            </w:r>
          </w:p>
        </w:tc>
        <w:tc>
          <w:tcPr>
            <w:tcW w:w="4921" w:type="dxa"/>
            <w:gridSpan w:val="5"/>
            <w:tcBorders/>
            <w:vAlign w:val="center"/>
          </w:tcPr>
          <w:p>
            <w:pPr>
              <w:pStyle w:val="TableContents"/>
              <w:bidi w:val="0"/>
              <w:spacing w:before="0" w:after="283"/>
              <w:jc w:val="left"/>
              <w:rPr>
                <w:sz w:val="4"/>
                <w:szCs w:val="4"/>
              </w:rPr>
            </w:pPr>
            <w:r>
              <w:rPr>
                <w:sz w:val="4"/>
                <w:szCs w:val="4"/>
              </w:rPr>
            </w:r>
          </w:p>
        </w:tc>
      </w:tr>
      <w:tr>
        <w:trPr/>
        <w:tc>
          <w:tcPr>
            <w:tcW w:w="1354"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color w:val="0054BA"/>
                <w:sz w:val="16"/>
              </w:rPr>
              <w:t xml:space="preserve">Frank A. Simuro </w:t>
            </w:r>
            <w:r>
              <w:rPr>
                <w:rFonts w:ascii="ARIAL" w:hAnsi="ARIAL"/>
                <w:sz w:val="16"/>
              </w:rPr>
              <w:b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7" w:type="dxa"/>
            <w:tcBorders>
              <w:bottom w:val="single" w:sz="6" w:space="0" w:color="000000"/>
            </w:tcBorders>
            <w:tcMar>
              <w:bottom w:w="100" w:type="dxa"/>
            </w:tcMar>
            <w:vAlign w:val="center"/>
          </w:tcPr>
          <w:p>
            <w:pPr>
              <w:pStyle w:val="TableContents"/>
              <w:bidi w:val="0"/>
              <w:spacing w:before="0" w:after="283"/>
              <w:jc w:val="left"/>
              <w:rPr/>
            </w:pPr>
            <w:r>
              <w:rPr/>
              <w:t> </w:t>
            </w:r>
          </w:p>
        </w:tc>
        <w:tc>
          <w:tcPr>
            <w:tcW w:w="3459" w:type="dxa"/>
            <w:tcBorders>
              <w:bottom w:val="single" w:sz="6" w:space="0" w:color="000000"/>
            </w:tcBorders>
            <w:tcMar>
              <w:bottom w:w="100" w:type="dxa"/>
            </w:tcMar>
            <w:vAlign w:val="center"/>
          </w:tcPr>
          <w:p>
            <w:pPr>
              <w:pStyle w:val="TableContents"/>
              <w:bidi w:val="0"/>
              <w:spacing w:before="0" w:after="283"/>
              <w:jc w:val="center"/>
              <w:rPr/>
            </w:pPr>
            <w:r>
              <w:rPr/>
              <w:t>$825,000</w:t>
            </w:r>
          </w:p>
        </w:tc>
        <w:tc>
          <w:tcPr>
            <w:tcW w:w="1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5" w:type="dxa"/>
            <w:tcBorders>
              <w:bottom w:val="single" w:sz="6" w:space="0" w:color="000000"/>
            </w:tcBorders>
            <w:tcMar>
              <w:bottom w:w="100" w:type="dxa"/>
            </w:tcMar>
            <w:vAlign w:val="center"/>
          </w:tcPr>
          <w:p>
            <w:pPr>
              <w:pStyle w:val="TableContents"/>
              <w:bidi w:val="0"/>
              <w:spacing w:before="0" w:after="283"/>
              <w:jc w:val="left"/>
              <w:rPr/>
            </w:pPr>
            <w:r>
              <w:rPr/>
              <w:t> </w:t>
            </w:r>
          </w:p>
        </w:tc>
        <w:tc>
          <w:tcPr>
            <w:tcW w:w="4087" w:type="dxa"/>
            <w:tcBorders>
              <w:bottom w:val="single" w:sz="6" w:space="0" w:color="000000"/>
            </w:tcBorders>
            <w:tcMar>
              <w:bottom w:w="100" w:type="dxa"/>
            </w:tcMar>
            <w:vAlign w:val="center"/>
          </w:tcPr>
          <w:p>
            <w:pPr>
              <w:pStyle w:val="TableContents"/>
              <w:bidi w:val="0"/>
              <w:spacing w:before="0" w:after="283"/>
              <w:jc w:val="center"/>
              <w:rPr/>
            </w:pPr>
            <w:r>
              <w:rPr/>
              <w:t>33,000</w:t>
            </w:r>
          </w:p>
        </w:tc>
        <w:tc>
          <w:tcPr>
            <w:tcW w:w="389"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i/>
              </w:rPr>
            </w:pPr>
            <w:r>
              <w:rPr>
                <w:i/>
              </w:rPr>
              <w:t>(1) </w:t>
            </w:r>
          </w:p>
        </w:tc>
        <w:tc>
          <w:tcPr>
            <w:tcW w:w="9903" w:type="dxa"/>
            <w:tcBorders/>
            <w:vAlign w:val="center"/>
          </w:tcPr>
          <w:p>
            <w:pPr>
              <w:pStyle w:val="TableContents"/>
              <w:bidi w:val="0"/>
              <w:spacing w:before="0" w:after="0"/>
              <w:jc w:val="left"/>
              <w:rPr>
                <w:rFonts w:ascii="ARIAL" w:hAnsi="ARIAL"/>
                <w:i/>
                <w:sz w:val="16"/>
              </w:rPr>
            </w:pPr>
            <w:r>
              <w:rPr>
                <w:rFonts w:ascii="ARIAL" w:hAnsi="ARIAL"/>
                <w:i/>
                <w:sz w:val="16"/>
              </w:rPr>
              <w:t xml:space="preserve">The amounts reported in this table under “Option Award Values” differ from the grant date fair values for these awards reported in the “2025 Summary Compensation Table” and the “Grants of Plan-Based Awards” table in this Proxy Statement.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i/>
              </w:rPr>
            </w:pPr>
            <w:r>
              <w:rPr>
                <w:i/>
              </w:rPr>
              <w:t>(2) </w:t>
            </w:r>
          </w:p>
        </w:tc>
        <w:tc>
          <w:tcPr>
            <w:tcW w:w="9904" w:type="dxa"/>
            <w:tcBorders/>
            <w:vAlign w:val="center"/>
          </w:tcPr>
          <w:p>
            <w:pPr>
              <w:pStyle w:val="TableContents"/>
              <w:bidi w:val="0"/>
              <w:spacing w:before="0" w:after="0"/>
              <w:jc w:val="left"/>
              <w:rPr>
                <w:rFonts w:ascii="ARIAL" w:hAnsi="ARIAL"/>
                <w:i/>
                <w:sz w:val="16"/>
              </w:rPr>
            </w:pPr>
            <w:r>
              <w:rPr>
                <w:rFonts w:ascii="ARIAL" w:hAnsi="ARIAL"/>
                <w:i/>
                <w:sz w:val="16"/>
              </w:rPr>
              <w:t xml:space="preserve">The number of shares subject to the options granted is determined by dividing the option award value by our compensation consultant’s assessed value per option calculated using the Black-Scholes model, rounded up to the nearest 100 shares. </w:t>
            </w:r>
          </w:p>
        </w:tc>
      </w:tr>
    </w:tbl>
    <w:p>
      <w:pPr>
        <w:pStyle w:val="TextBody"/>
        <w:bidi w:val="0"/>
        <w:spacing w:before="0" w:after="0"/>
        <w:jc w:val="left"/>
        <w:rPr/>
      </w:pPr>
      <w:r>
        <w:rPr/>
        <w:t> </w:t>
      </w:r>
    </w:p>
    <w:p>
      <w:pPr>
        <w:pStyle w:val="TextBody"/>
        <w:pBdr/>
        <w:bidi w:val="0"/>
        <w:spacing w:before="0" w:after="0"/>
        <w:jc w:val="left"/>
        <w:rPr>
          <w:rFonts w:ascii="ARIAL" w:hAnsi="ARIAL"/>
          <w:sz w:val="18"/>
          <w:bdr w:val="single" w:sz="2" w:space="2" w:color="DAEDFA"/>
          <w:shd w:fill="DAEDFA" w:val="clear"/>
        </w:rPr>
      </w:pPr>
      <w:r>
        <w:rPr>
          <w:rFonts w:ascii="ARIAL" w:hAnsi="ARIAL"/>
          <w:b/>
          <w:color w:val="0054BA"/>
          <w:sz w:val="18"/>
          <w:bdr w:val="single" w:sz="2" w:space="2" w:color="DAEDFA"/>
          <w:shd w:fill="DAEDFA" w:val="clear"/>
        </w:rPr>
        <w:t xml:space="preserve">Note for 2026: </w:t>
      </w:r>
      <w:r>
        <w:rPr>
          <w:rFonts w:ascii="ARIAL" w:hAnsi="ARIAL"/>
          <w:sz w:val="18"/>
          <w:bdr w:val="single" w:sz="2" w:space="2" w:color="DAEDFA"/>
          <w:shd w:fill="DAEDFA" w:val="clear"/>
        </w:rPr>
        <w:t xml:space="preserve">Stock Options have been eliminated as an equity award vehicle beginning with the 2026 grant. </w:t>
      </w:r>
    </w:p>
    <w:p>
      <w:pPr>
        <w:pStyle w:val="TextBody"/>
        <w:bidi w:val="0"/>
        <w:spacing w:before="0" w:after="0"/>
        <w:jc w:val="left"/>
        <w:rPr/>
      </w:pPr>
      <w:r>
        <w:rPr/>
        <w:t>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40"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5" descr=""/>
                          <pic:cNvPicPr>
                            <a:picLocks noChangeAspect="1" noChangeArrowheads="1"/>
                          </pic:cNvPicPr>
                        </pic:nvPicPr>
                        <pic:blipFill>
                          <a:blip r:embed="rId32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2025 PERFORMANCE-BASED RSAS (45% OF AWARD VALUE): </w:t>
      </w:r>
    </w:p>
    <w:p>
      <w:pPr>
        <w:pStyle w:val="TextBody"/>
        <w:bidi w:val="0"/>
        <w:spacing w:before="80" w:after="0"/>
        <w:jc w:val="left"/>
        <w:rPr>
          <w:rFonts w:ascii="ARIAL" w:hAnsi="ARIAL"/>
          <w:sz w:val="18"/>
        </w:rPr>
      </w:pPr>
      <w:r>
        <w:rPr>
          <w:rFonts w:ascii="ARIAL" w:hAnsi="ARIAL"/>
          <w:b/>
          <w:color w:val="0054BA"/>
          <w:sz w:val="18"/>
        </w:rPr>
        <w:t>Purpose:</w:t>
      </w:r>
      <w:r>
        <w:rPr>
          <w:rFonts w:ascii="ARIAL" w:hAnsi="ARIAL"/>
          <w:sz w:val="18"/>
        </w:rPr>
        <w:t xml:space="preserve"> Number of shares granted is determined based on the achievement of the prior year’s net income goal. Following grant, the shares are subject to time-based vesting, maintaining retention value. </w:t>
      </w:r>
    </w:p>
    <w:p>
      <w:pPr>
        <w:pStyle w:val="TextBody"/>
        <w:bidi w:val="0"/>
        <w:spacing w:before="160" w:after="0"/>
        <w:jc w:val="left"/>
        <w:rPr>
          <w:rFonts w:ascii="ARIAL" w:hAnsi="ARIAL"/>
          <w:sz w:val="18"/>
        </w:rPr>
      </w:pPr>
      <w:r>
        <w:rPr>
          <w:rFonts w:ascii="ARIAL" w:hAnsi="ARIAL"/>
          <w:b/>
          <w:color w:val="0054BA"/>
          <w:sz w:val="18"/>
        </w:rPr>
        <w:t xml:space="preserve">Performance metric: </w:t>
      </w:r>
      <w:r>
        <w:rPr>
          <w:rFonts w:ascii="ARIAL" w:hAnsi="ARIAL"/>
          <w:sz w:val="18"/>
        </w:rPr>
        <w:t xml:space="preserve">In February 2024, the Compensation Committee established a net income goal of $133.5 million for the purposes of determining the size of the 2025 performance-based RSAs. For the 2024 performance period, the Board challenged management to expand margins for the Company’s commercial and marketplace businesses by two percentage points while simultaneously investing in excess of $850 million in the Company’s residential brands (Homes.com and OntheMarket). As a result, the Compensation Committee determined that setting the Net Income target at $133.5 million, which was less than the prior year actual Net Income, was appropriate and challenging in light of the commercial and marketplace margin expansion target. </w:t>
      </w:r>
    </w:p>
    <w:p>
      <w:pPr>
        <w:pStyle w:val="TextBody"/>
        <w:bidi w:val="0"/>
        <w:spacing w:before="160" w:after="0"/>
        <w:jc w:val="left"/>
        <w:rPr>
          <w:rFonts w:ascii="ARIAL" w:hAnsi="ARIAL"/>
          <w:sz w:val="18"/>
        </w:rPr>
      </w:pPr>
      <w:r>
        <w:rPr>
          <w:rFonts w:ascii="ARIAL" w:hAnsi="ARIAL"/>
          <w:b/>
          <w:color w:val="0054BA"/>
          <w:sz w:val="18"/>
        </w:rPr>
        <w:t>Results:</w:t>
      </w:r>
      <w:r>
        <w:rPr>
          <w:rFonts w:ascii="ARIAL" w:hAnsi="ARIAL"/>
          <w:sz w:val="18"/>
        </w:rPr>
        <w:t xml:space="preserve"> As a result of the investments made in the business and the performance of our management team, the Company achieved stronger than expected Net New Bookings, which together with management’s focus on operational efficiency, sales force growth, and other management initiatives, including efficiency improvements due to AI implementation across the business, internal restructuring, and continued integration of our acquired businesses, implemented during the year, resulted in stronger than forecasted earnings results. As a result, the performance-based RSAs were granted at 200% of target value. The table below sets out target and granted shares for each NEO. These restricted shares vest in three equal annual installments, subject to continued service.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485900"/>
            <wp:effectExtent l="0" t="0" r="0" b="0"/>
            <wp:docPr id="341"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16" descr=""/>
                    <pic:cNvPicPr>
                      <a:picLocks noChangeAspect="1" noChangeArrowheads="1"/>
                    </pic:cNvPicPr>
                  </pic:nvPicPr>
                  <pic:blipFill>
                    <a:blip r:embed="rId328"/>
                    <a:stretch>
                      <a:fillRect/>
                    </a:stretch>
                  </pic:blipFill>
                  <pic:spPr bwMode="auto">
                    <a:xfrm>
                      <a:off x="0" y="0"/>
                      <a:ext cx="7810500" cy="148590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29"/>
        <w:gridCol w:w="23"/>
        <w:gridCol w:w="37"/>
        <w:gridCol w:w="97"/>
        <w:gridCol w:w="1796"/>
        <w:gridCol w:w="100"/>
        <w:gridCol w:w="23"/>
        <w:gridCol w:w="94"/>
        <w:gridCol w:w="246"/>
        <w:gridCol w:w="1562"/>
        <w:gridCol w:w="248"/>
        <w:gridCol w:w="23"/>
        <w:gridCol w:w="32"/>
        <w:gridCol w:w="86"/>
        <w:gridCol w:w="1749"/>
        <w:gridCol w:w="88"/>
        <w:gridCol w:w="23"/>
        <w:gridCol w:w="58"/>
        <w:gridCol w:w="152"/>
        <w:gridCol w:w="2043"/>
        <w:gridCol w:w="196"/>
      </w:tblGrid>
      <w:tr>
        <w:trPr/>
        <w:tc>
          <w:tcPr>
            <w:tcW w:w="15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29" w:type="dxa"/>
            <w:tcBorders/>
            <w:shd w:fill="0054BA" w:val="clear"/>
            <w:vAlign w:val="center"/>
          </w:tcPr>
          <w:p>
            <w:pPr>
              <w:pStyle w:val="TableContents"/>
              <w:bidi w:val="0"/>
              <w:spacing w:before="0" w:after="283"/>
              <w:jc w:val="left"/>
              <w:rPr>
                <w:sz w:val="4"/>
                <w:szCs w:val="4"/>
              </w:rPr>
            </w:pPr>
            <w:r>
              <w:rPr>
                <w:sz w:val="4"/>
                <w:szCs w:val="4"/>
              </w:rPr>
            </w:r>
          </w:p>
        </w:tc>
        <w:tc>
          <w:tcPr>
            <w:tcW w:w="2053" w:type="dxa"/>
            <w:gridSpan w:val="5"/>
            <w:tcBorders/>
            <w:shd w:fill="0054BA" w:val="clear"/>
            <w:vAlign w:val="center"/>
          </w:tcPr>
          <w:p>
            <w:pPr>
              <w:pStyle w:val="TableContents"/>
              <w:bidi w:val="0"/>
              <w:spacing w:before="0" w:after="283"/>
              <w:jc w:val="left"/>
              <w:rPr>
                <w:sz w:val="4"/>
                <w:szCs w:val="4"/>
              </w:rPr>
            </w:pPr>
            <w:r>
              <w:rPr>
                <w:sz w:val="4"/>
                <w:szCs w:val="4"/>
              </w:rPr>
            </w:r>
          </w:p>
        </w:tc>
        <w:tc>
          <w:tcPr>
            <w:tcW w:w="2173" w:type="dxa"/>
            <w:gridSpan w:val="5"/>
            <w:tcBorders/>
            <w:shd w:fill="0054BA" w:val="clear"/>
            <w:vAlign w:val="center"/>
          </w:tcPr>
          <w:p>
            <w:pPr>
              <w:pStyle w:val="TableContents"/>
              <w:bidi w:val="0"/>
              <w:spacing w:before="0" w:after="283"/>
              <w:jc w:val="left"/>
              <w:rPr>
                <w:sz w:val="4"/>
                <w:szCs w:val="4"/>
              </w:rPr>
            </w:pPr>
            <w:r>
              <w:rPr>
                <w:sz w:val="4"/>
                <w:szCs w:val="4"/>
              </w:rPr>
            </w:r>
          </w:p>
        </w:tc>
        <w:tc>
          <w:tcPr>
            <w:tcW w:w="1978" w:type="dxa"/>
            <w:gridSpan w:val="5"/>
            <w:tcBorders/>
            <w:shd w:fill="0054BA" w:val="clear"/>
            <w:vAlign w:val="center"/>
          </w:tcPr>
          <w:p>
            <w:pPr>
              <w:pStyle w:val="TableContents"/>
              <w:bidi w:val="0"/>
              <w:spacing w:before="0" w:after="283"/>
              <w:jc w:val="left"/>
              <w:rPr>
                <w:sz w:val="4"/>
                <w:szCs w:val="4"/>
              </w:rPr>
            </w:pPr>
            <w:r>
              <w:rPr>
                <w:sz w:val="4"/>
                <w:szCs w:val="4"/>
              </w:rPr>
            </w:r>
          </w:p>
        </w:tc>
        <w:tc>
          <w:tcPr>
            <w:tcW w:w="2472"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529"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NEOs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030" w:type="dxa"/>
            <w:gridSpan w:val="4"/>
            <w:tcBorders/>
            <w:shd w:fill="0054BA" w:val="clear"/>
            <w:vAlign w:val="center"/>
          </w:tcPr>
          <w:p>
            <w:pPr>
              <w:pStyle w:val="TableContents"/>
              <w:bidi w:val="0"/>
              <w:spacing w:before="0" w:after="283"/>
              <w:jc w:val="center"/>
              <w:rPr>
                <w:b/>
                <w:color w:val="FFFFFF"/>
              </w:rPr>
            </w:pPr>
            <w:r>
              <w:rPr>
                <w:b/>
                <w:color w:val="FFFFFF"/>
              </w:rPr>
              <w:t>PERFORMANCE-</w:t>
              <w:br/>
              <w:t>BASED RSAS</w:t>
              <w:br/>
              <w:t>(TARGET)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150" w:type="dxa"/>
            <w:gridSpan w:val="4"/>
            <w:tcBorders/>
            <w:shd w:fill="0054BA" w:val="clear"/>
            <w:vAlign w:val="center"/>
          </w:tcPr>
          <w:p>
            <w:pPr>
              <w:pStyle w:val="TableContents"/>
              <w:bidi w:val="0"/>
              <w:spacing w:before="0" w:after="283"/>
              <w:jc w:val="center"/>
              <w:rPr>
                <w:b/>
                <w:color w:val="FFFFFF"/>
              </w:rPr>
            </w:pPr>
            <w:r>
              <w:rPr>
                <w:b/>
                <w:color w:val="FFFFFF"/>
              </w:rPr>
              <w:t>2024 NET INCOME</w:t>
              <w:br/>
              <w:t>ACHIEVEMENT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955" w:type="dxa"/>
            <w:gridSpan w:val="4"/>
            <w:tcBorders/>
            <w:shd w:fill="0054BA" w:val="clear"/>
            <w:vAlign w:val="center"/>
          </w:tcPr>
          <w:p>
            <w:pPr>
              <w:pStyle w:val="TableContents"/>
              <w:bidi w:val="0"/>
              <w:spacing w:before="0" w:after="283"/>
              <w:jc w:val="center"/>
              <w:rPr>
                <w:b/>
                <w:color w:val="FFFFFF"/>
              </w:rPr>
            </w:pPr>
            <w:r>
              <w:rPr>
                <w:b/>
                <w:color w:val="FFFFFF"/>
              </w:rPr>
              <w:t>PERFORMANCE</w:t>
              <w:br/>
              <w:t>BASED RSAS</w:t>
              <w:br/>
              <w:t>GRANTED</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449" w:type="dxa"/>
            <w:gridSpan w:val="4"/>
            <w:tcBorders/>
            <w:shd w:fill="0054BA" w:val="clear"/>
            <w:vAlign w:val="center"/>
          </w:tcPr>
          <w:p>
            <w:pPr>
              <w:pStyle w:val="TableContents"/>
              <w:bidi w:val="0"/>
              <w:spacing w:before="0" w:after="283"/>
              <w:jc w:val="center"/>
              <w:rPr>
                <w:b/>
                <w:color w:val="FFFFFF"/>
              </w:rPr>
            </w:pPr>
            <w:r>
              <w:rPr>
                <w:b/>
                <w:color w:val="FFFFFF"/>
              </w:rPr>
              <w:t>NUMBER OF</w:t>
              <w:br/>
              <w:t> SHARES GRANTED </w:t>
            </w:r>
          </w:p>
        </w:tc>
      </w:tr>
      <w:tr>
        <w:trPr/>
        <w:tc>
          <w:tcPr>
            <w:tcW w:w="1529" w:type="dxa"/>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c>
          <w:tcPr>
            <w:tcW w:w="2472" w:type="dxa"/>
            <w:gridSpan w:val="5"/>
            <w:tcBorders/>
            <w:vAlign w:val="center"/>
          </w:tcPr>
          <w:p>
            <w:pPr>
              <w:pStyle w:val="TableContents"/>
              <w:bidi w:val="0"/>
              <w:spacing w:before="0" w:after="283"/>
              <w:jc w:val="left"/>
              <w:rPr>
                <w:sz w:val="4"/>
                <w:szCs w:val="4"/>
              </w:rPr>
            </w:pPr>
            <w:r>
              <w:rPr>
                <w:sz w:val="4"/>
                <w:szCs w:val="4"/>
              </w:rPr>
            </w:r>
          </w:p>
        </w:tc>
      </w:tr>
      <w:tr>
        <w:trPr/>
        <w:tc>
          <w:tcPr>
            <w:tcW w:w="152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Andrew C. Florance </w:t>
            </w:r>
          </w:p>
          <w:p>
            <w:pPr>
              <w:pStyle w:val="TableContents"/>
              <w:bidi w:val="0"/>
              <w:spacing w:before="0" w:after="20"/>
              <w:jc w:val="left"/>
              <w:rPr>
                <w:rFonts w:ascii="ARIAL" w:hAnsi="ARIAL"/>
                <w:sz w:val="16"/>
              </w:rPr>
            </w:pPr>
            <w:r>
              <w:rPr>
                <w:rFonts w:ascii="ARIAL" w:hAnsi="ARIAL"/>
                <w:sz w:val="16"/>
              </w:rPr>
              <w:t>Founder &amp; Chief 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$8,550,000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6" w:type="dxa"/>
            <w:tcBorders>
              <w:bottom w:val="single" w:sz="6" w:space="0" w:color="000000"/>
            </w:tcBorders>
            <w:tcMar>
              <w:bottom w:w="100" w:type="dxa"/>
            </w:tcMar>
            <w:vAlign w:val="center"/>
          </w:tcPr>
          <w:p>
            <w:pPr>
              <w:pStyle w:val="TableContents"/>
              <w:bidi w:val="0"/>
              <w:spacing w:before="0" w:after="283"/>
              <w:jc w:val="left"/>
              <w:rPr/>
            </w:pPr>
            <w:r>
              <w:rPr/>
              <w:t> </w:t>
            </w:r>
          </w:p>
        </w:tc>
        <w:tc>
          <w:tcPr>
            <w:tcW w:w="1562" w:type="dxa"/>
            <w:tcBorders>
              <w:bottom w:val="single" w:sz="6" w:space="0" w:color="000000"/>
            </w:tcBorders>
            <w:tcMar>
              <w:bottom w:w="100" w:type="dxa"/>
            </w:tcMar>
            <w:vAlign w:val="center"/>
          </w:tcPr>
          <w:p>
            <w:pPr>
              <w:pStyle w:val="TableContents"/>
              <w:bidi w:val="0"/>
              <w:spacing w:before="0" w:after="283"/>
              <w:jc w:val="center"/>
              <w:rPr/>
            </w:pPr>
            <w:r>
              <w:rPr/>
              <w:t>200%</w:t>
            </w:r>
          </w:p>
        </w:tc>
        <w:tc>
          <w:tcPr>
            <w:tcW w:w="24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49" w:type="dxa"/>
            <w:tcBorders>
              <w:bottom w:val="single" w:sz="6" w:space="0" w:color="000000"/>
            </w:tcBorders>
            <w:tcMar>
              <w:bottom w:w="100" w:type="dxa"/>
            </w:tcMar>
            <w:vAlign w:val="center"/>
          </w:tcPr>
          <w:p>
            <w:pPr>
              <w:pStyle w:val="TableContents"/>
              <w:bidi w:val="0"/>
              <w:spacing w:before="0" w:after="283"/>
              <w:jc w:val="center"/>
              <w:rPr/>
            </w:pPr>
            <w:r>
              <w:rPr/>
              <w:t>$17,100,000</w:t>
            </w:r>
          </w:p>
        </w:tc>
        <w:tc>
          <w:tcPr>
            <w:tcW w:w="8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43" w:type="dxa"/>
            <w:tcBorders>
              <w:bottom w:val="single" w:sz="6" w:space="0" w:color="000000"/>
            </w:tcBorders>
            <w:tcMar>
              <w:bottom w:w="100" w:type="dxa"/>
            </w:tcMar>
            <w:vAlign w:val="center"/>
          </w:tcPr>
          <w:p>
            <w:pPr>
              <w:pStyle w:val="TableContents"/>
              <w:bidi w:val="0"/>
              <w:spacing w:before="0" w:after="283"/>
              <w:jc w:val="center"/>
              <w:rPr/>
            </w:pPr>
            <w:r>
              <w:rPr/>
              <w:t>218,400</w:t>
            </w:r>
          </w:p>
        </w:tc>
        <w:tc>
          <w:tcPr>
            <w:tcW w:w="19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29" w:type="dxa"/>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c>
          <w:tcPr>
            <w:tcW w:w="2472" w:type="dxa"/>
            <w:gridSpan w:val="5"/>
            <w:tcBorders/>
            <w:vAlign w:val="center"/>
          </w:tcPr>
          <w:p>
            <w:pPr>
              <w:pStyle w:val="TableContents"/>
              <w:bidi w:val="0"/>
              <w:spacing w:before="0" w:after="283"/>
              <w:jc w:val="left"/>
              <w:rPr>
                <w:sz w:val="4"/>
                <w:szCs w:val="4"/>
              </w:rPr>
            </w:pPr>
            <w:r>
              <w:rPr>
                <w:sz w:val="4"/>
                <w:szCs w:val="4"/>
              </w:rPr>
            </w:r>
          </w:p>
        </w:tc>
      </w:tr>
      <w:tr>
        <w:trPr/>
        <w:tc>
          <w:tcPr>
            <w:tcW w:w="152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Christian M. Lown </w:t>
            </w:r>
          </w:p>
          <w:p>
            <w:pPr>
              <w:pStyle w:val="TableContents"/>
              <w:bidi w:val="0"/>
              <w:spacing w:before="0" w:after="20"/>
              <w:jc w:val="left"/>
              <w:rPr>
                <w:rFonts w:ascii="ARIAL" w:hAnsi="ARIAL"/>
                <w:sz w:val="16"/>
              </w:rPr>
            </w:pPr>
            <w:r>
              <w:rPr>
                <w:rFonts w:ascii="ARIAL" w:hAnsi="ARIAL"/>
                <w:sz w:val="16"/>
              </w:rPr>
              <w:t>Chief Financial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$1,845,000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6" w:type="dxa"/>
            <w:tcBorders>
              <w:bottom w:val="single" w:sz="6" w:space="0" w:color="000000"/>
            </w:tcBorders>
            <w:tcMar>
              <w:bottom w:w="100" w:type="dxa"/>
            </w:tcMar>
            <w:vAlign w:val="center"/>
          </w:tcPr>
          <w:p>
            <w:pPr>
              <w:pStyle w:val="TableContents"/>
              <w:bidi w:val="0"/>
              <w:spacing w:before="0" w:after="283"/>
              <w:jc w:val="left"/>
              <w:rPr/>
            </w:pPr>
            <w:r>
              <w:rPr/>
              <w:t> </w:t>
            </w:r>
          </w:p>
        </w:tc>
        <w:tc>
          <w:tcPr>
            <w:tcW w:w="1562" w:type="dxa"/>
            <w:tcBorders>
              <w:bottom w:val="single" w:sz="6" w:space="0" w:color="000000"/>
            </w:tcBorders>
            <w:tcMar>
              <w:bottom w:w="100" w:type="dxa"/>
            </w:tcMar>
            <w:vAlign w:val="center"/>
          </w:tcPr>
          <w:p>
            <w:pPr>
              <w:pStyle w:val="TableContents"/>
              <w:bidi w:val="0"/>
              <w:spacing w:before="0" w:after="283"/>
              <w:jc w:val="center"/>
              <w:rPr/>
            </w:pPr>
            <w:r>
              <w:rPr/>
              <w:t>200%</w:t>
            </w:r>
          </w:p>
        </w:tc>
        <w:tc>
          <w:tcPr>
            <w:tcW w:w="24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49" w:type="dxa"/>
            <w:tcBorders>
              <w:bottom w:val="single" w:sz="6" w:space="0" w:color="000000"/>
            </w:tcBorders>
            <w:tcMar>
              <w:bottom w:w="100" w:type="dxa"/>
            </w:tcMar>
            <w:vAlign w:val="center"/>
          </w:tcPr>
          <w:p>
            <w:pPr>
              <w:pStyle w:val="TableContents"/>
              <w:bidi w:val="0"/>
              <w:spacing w:before="0" w:after="283"/>
              <w:jc w:val="center"/>
              <w:rPr/>
            </w:pPr>
            <w:r>
              <w:rPr/>
              <w:t>$3,690,000</w:t>
            </w:r>
          </w:p>
        </w:tc>
        <w:tc>
          <w:tcPr>
            <w:tcW w:w="8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43" w:type="dxa"/>
            <w:tcBorders>
              <w:bottom w:val="single" w:sz="6" w:space="0" w:color="000000"/>
            </w:tcBorders>
            <w:tcMar>
              <w:bottom w:w="100" w:type="dxa"/>
            </w:tcMar>
            <w:vAlign w:val="center"/>
          </w:tcPr>
          <w:p>
            <w:pPr>
              <w:pStyle w:val="TableContents"/>
              <w:bidi w:val="0"/>
              <w:spacing w:before="0" w:after="283"/>
              <w:jc w:val="center"/>
              <w:rPr/>
            </w:pPr>
            <w:r>
              <w:rPr/>
              <w:t>47,200</w:t>
            </w:r>
          </w:p>
        </w:tc>
        <w:tc>
          <w:tcPr>
            <w:tcW w:w="19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29" w:type="dxa"/>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c>
          <w:tcPr>
            <w:tcW w:w="2472" w:type="dxa"/>
            <w:gridSpan w:val="5"/>
            <w:tcBorders/>
            <w:vAlign w:val="center"/>
          </w:tcPr>
          <w:p>
            <w:pPr>
              <w:pStyle w:val="TableContents"/>
              <w:bidi w:val="0"/>
              <w:spacing w:before="0" w:after="283"/>
              <w:jc w:val="left"/>
              <w:rPr>
                <w:sz w:val="4"/>
                <w:szCs w:val="4"/>
              </w:rPr>
            </w:pPr>
            <w:r>
              <w:rPr>
                <w:sz w:val="4"/>
                <w:szCs w:val="4"/>
              </w:rPr>
            </w:r>
          </w:p>
        </w:tc>
      </w:tr>
      <w:tr>
        <w:trPr/>
        <w:tc>
          <w:tcPr>
            <w:tcW w:w="152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Lisa C. Ruggles </w:t>
            </w:r>
          </w:p>
          <w:p>
            <w:pPr>
              <w:pStyle w:val="TableContents"/>
              <w:bidi w:val="0"/>
              <w:spacing w:before="0" w:after="20"/>
              <w:jc w:val="left"/>
              <w:rPr>
                <w:rFonts w:ascii="ARIAL" w:hAnsi="ARIAL"/>
                <w:sz w:val="16"/>
              </w:rPr>
            </w:pPr>
            <w:r>
              <w:rPr>
                <w:rFonts w:ascii="ARIAL" w:hAnsi="ARIAL"/>
                <w:sz w:val="16"/>
              </w:rP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$1,237,500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6" w:type="dxa"/>
            <w:tcBorders>
              <w:bottom w:val="single" w:sz="6" w:space="0" w:color="000000"/>
            </w:tcBorders>
            <w:tcMar>
              <w:bottom w:w="100" w:type="dxa"/>
            </w:tcMar>
            <w:vAlign w:val="center"/>
          </w:tcPr>
          <w:p>
            <w:pPr>
              <w:pStyle w:val="TableContents"/>
              <w:bidi w:val="0"/>
              <w:spacing w:before="0" w:after="283"/>
              <w:jc w:val="left"/>
              <w:rPr/>
            </w:pPr>
            <w:r>
              <w:rPr/>
              <w:t> </w:t>
            </w:r>
          </w:p>
        </w:tc>
        <w:tc>
          <w:tcPr>
            <w:tcW w:w="1562" w:type="dxa"/>
            <w:tcBorders>
              <w:bottom w:val="single" w:sz="6" w:space="0" w:color="000000"/>
            </w:tcBorders>
            <w:tcMar>
              <w:bottom w:w="100" w:type="dxa"/>
            </w:tcMar>
            <w:vAlign w:val="center"/>
          </w:tcPr>
          <w:p>
            <w:pPr>
              <w:pStyle w:val="TableContents"/>
              <w:bidi w:val="0"/>
              <w:spacing w:before="0" w:after="283"/>
              <w:jc w:val="center"/>
              <w:rPr/>
            </w:pPr>
            <w:r>
              <w:rPr/>
              <w:t>200%</w:t>
            </w:r>
          </w:p>
        </w:tc>
        <w:tc>
          <w:tcPr>
            <w:tcW w:w="24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49" w:type="dxa"/>
            <w:tcBorders>
              <w:bottom w:val="single" w:sz="6" w:space="0" w:color="000000"/>
            </w:tcBorders>
            <w:tcMar>
              <w:bottom w:w="100" w:type="dxa"/>
            </w:tcMar>
            <w:vAlign w:val="center"/>
          </w:tcPr>
          <w:p>
            <w:pPr>
              <w:pStyle w:val="TableContents"/>
              <w:bidi w:val="0"/>
              <w:spacing w:before="0" w:after="283"/>
              <w:jc w:val="center"/>
              <w:rPr/>
            </w:pPr>
            <w:r>
              <w:rPr/>
              <w:t>$2,475,000</w:t>
            </w:r>
          </w:p>
        </w:tc>
        <w:tc>
          <w:tcPr>
            <w:tcW w:w="8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43" w:type="dxa"/>
            <w:tcBorders>
              <w:bottom w:val="single" w:sz="6" w:space="0" w:color="000000"/>
            </w:tcBorders>
            <w:tcMar>
              <w:bottom w:w="100" w:type="dxa"/>
            </w:tcMar>
            <w:vAlign w:val="center"/>
          </w:tcPr>
          <w:p>
            <w:pPr>
              <w:pStyle w:val="TableContents"/>
              <w:bidi w:val="0"/>
              <w:spacing w:before="0" w:after="283"/>
              <w:jc w:val="center"/>
              <w:rPr/>
            </w:pPr>
            <w:r>
              <w:rPr/>
              <w:t>31,600</w:t>
            </w:r>
          </w:p>
        </w:tc>
        <w:tc>
          <w:tcPr>
            <w:tcW w:w="19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29" w:type="dxa"/>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c>
          <w:tcPr>
            <w:tcW w:w="2472" w:type="dxa"/>
            <w:gridSpan w:val="5"/>
            <w:tcBorders/>
            <w:vAlign w:val="center"/>
          </w:tcPr>
          <w:p>
            <w:pPr>
              <w:pStyle w:val="TableContents"/>
              <w:bidi w:val="0"/>
              <w:spacing w:before="0" w:after="283"/>
              <w:jc w:val="left"/>
              <w:rPr>
                <w:sz w:val="4"/>
                <w:szCs w:val="4"/>
              </w:rPr>
            </w:pPr>
            <w:r>
              <w:rPr>
                <w:sz w:val="4"/>
                <w:szCs w:val="4"/>
              </w:rPr>
            </w:r>
          </w:p>
        </w:tc>
      </w:tr>
      <w:tr>
        <w:trPr/>
        <w:tc>
          <w:tcPr>
            <w:tcW w:w="152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Frederick G. Saint </w:t>
            </w:r>
          </w:p>
          <w:p>
            <w:pPr>
              <w:pStyle w:val="TableContents"/>
              <w:bidi w:val="0"/>
              <w:spacing w:before="0" w:after="20"/>
              <w:jc w:val="left"/>
              <w:rPr>
                <w:rFonts w:ascii="ARIAL" w:hAnsi="ARIAL"/>
                <w:sz w:val="16"/>
              </w:rPr>
            </w:pPr>
            <w:r>
              <w:rPr>
                <w:rFonts w:ascii="ARIAL" w:hAnsi="ARIAL"/>
                <w:sz w:val="16"/>
              </w:rP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$1,845,000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6" w:type="dxa"/>
            <w:tcBorders>
              <w:bottom w:val="single" w:sz="6" w:space="0" w:color="000000"/>
            </w:tcBorders>
            <w:tcMar>
              <w:bottom w:w="100" w:type="dxa"/>
            </w:tcMar>
            <w:vAlign w:val="center"/>
          </w:tcPr>
          <w:p>
            <w:pPr>
              <w:pStyle w:val="TableContents"/>
              <w:bidi w:val="0"/>
              <w:spacing w:before="0" w:after="283"/>
              <w:jc w:val="left"/>
              <w:rPr/>
            </w:pPr>
            <w:r>
              <w:rPr/>
              <w:t> </w:t>
            </w:r>
          </w:p>
        </w:tc>
        <w:tc>
          <w:tcPr>
            <w:tcW w:w="1562" w:type="dxa"/>
            <w:tcBorders>
              <w:bottom w:val="single" w:sz="6" w:space="0" w:color="000000"/>
            </w:tcBorders>
            <w:tcMar>
              <w:bottom w:w="100" w:type="dxa"/>
            </w:tcMar>
            <w:vAlign w:val="center"/>
          </w:tcPr>
          <w:p>
            <w:pPr>
              <w:pStyle w:val="TableContents"/>
              <w:bidi w:val="0"/>
              <w:spacing w:before="0" w:after="283"/>
              <w:jc w:val="center"/>
              <w:rPr/>
            </w:pPr>
            <w:r>
              <w:rPr/>
              <w:t>200%</w:t>
            </w:r>
          </w:p>
        </w:tc>
        <w:tc>
          <w:tcPr>
            <w:tcW w:w="24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49" w:type="dxa"/>
            <w:tcBorders>
              <w:bottom w:val="single" w:sz="6" w:space="0" w:color="000000"/>
            </w:tcBorders>
            <w:tcMar>
              <w:bottom w:w="100" w:type="dxa"/>
            </w:tcMar>
            <w:vAlign w:val="center"/>
          </w:tcPr>
          <w:p>
            <w:pPr>
              <w:pStyle w:val="TableContents"/>
              <w:bidi w:val="0"/>
              <w:spacing w:before="0" w:after="283"/>
              <w:jc w:val="center"/>
              <w:rPr/>
            </w:pPr>
            <w:r>
              <w:rPr/>
              <w:t>$3,690,000</w:t>
            </w:r>
          </w:p>
        </w:tc>
        <w:tc>
          <w:tcPr>
            <w:tcW w:w="8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43" w:type="dxa"/>
            <w:tcBorders>
              <w:bottom w:val="single" w:sz="6" w:space="0" w:color="000000"/>
            </w:tcBorders>
            <w:tcMar>
              <w:bottom w:w="100" w:type="dxa"/>
            </w:tcMar>
            <w:vAlign w:val="center"/>
          </w:tcPr>
          <w:p>
            <w:pPr>
              <w:pStyle w:val="TableContents"/>
              <w:bidi w:val="0"/>
              <w:spacing w:before="0" w:after="283"/>
              <w:jc w:val="center"/>
              <w:rPr/>
            </w:pPr>
            <w:r>
              <w:rPr/>
              <w:t>47,200</w:t>
            </w:r>
          </w:p>
        </w:tc>
        <w:tc>
          <w:tcPr>
            <w:tcW w:w="19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29" w:type="dxa"/>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c>
          <w:tcPr>
            <w:tcW w:w="2472" w:type="dxa"/>
            <w:gridSpan w:val="5"/>
            <w:tcBorders/>
            <w:vAlign w:val="center"/>
          </w:tcPr>
          <w:p>
            <w:pPr>
              <w:pStyle w:val="TableContents"/>
              <w:bidi w:val="0"/>
              <w:spacing w:before="0" w:after="283"/>
              <w:jc w:val="left"/>
              <w:rPr>
                <w:sz w:val="4"/>
                <w:szCs w:val="4"/>
              </w:rPr>
            </w:pPr>
            <w:r>
              <w:rPr>
                <w:sz w:val="4"/>
                <w:szCs w:val="4"/>
              </w:rPr>
            </w:r>
          </w:p>
        </w:tc>
      </w:tr>
      <w:tr>
        <w:trPr/>
        <w:tc>
          <w:tcPr>
            <w:tcW w:w="1529"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Frank A. Simuro </w:t>
            </w:r>
          </w:p>
          <w:p>
            <w:pPr>
              <w:pStyle w:val="TableContents"/>
              <w:bidi w:val="0"/>
              <w:spacing w:before="0" w:after="20"/>
              <w:jc w:val="left"/>
              <w:rPr>
                <w:rFonts w:ascii="ARIAL" w:hAnsi="ARIAL"/>
                <w:sz w:val="16"/>
              </w:rPr>
            </w:pPr>
            <w:r>
              <w:rPr>
                <w:rFonts w:ascii="ARIAL" w:hAnsi="ARIAL"/>
                <w:sz w:val="16"/>
              </w:rP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$2,475,000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6" w:type="dxa"/>
            <w:tcBorders>
              <w:bottom w:val="single" w:sz="6" w:space="0" w:color="000000"/>
            </w:tcBorders>
            <w:tcMar>
              <w:bottom w:w="100" w:type="dxa"/>
            </w:tcMar>
            <w:vAlign w:val="center"/>
          </w:tcPr>
          <w:p>
            <w:pPr>
              <w:pStyle w:val="TableContents"/>
              <w:bidi w:val="0"/>
              <w:spacing w:before="0" w:after="283"/>
              <w:jc w:val="left"/>
              <w:rPr/>
            </w:pPr>
            <w:r>
              <w:rPr/>
              <w:t> </w:t>
            </w:r>
          </w:p>
        </w:tc>
        <w:tc>
          <w:tcPr>
            <w:tcW w:w="1562" w:type="dxa"/>
            <w:tcBorders>
              <w:bottom w:val="single" w:sz="6" w:space="0" w:color="000000"/>
            </w:tcBorders>
            <w:tcMar>
              <w:bottom w:w="100" w:type="dxa"/>
            </w:tcMar>
            <w:vAlign w:val="center"/>
          </w:tcPr>
          <w:p>
            <w:pPr>
              <w:pStyle w:val="TableContents"/>
              <w:bidi w:val="0"/>
              <w:spacing w:before="0" w:after="283"/>
              <w:jc w:val="center"/>
              <w:rPr/>
            </w:pPr>
            <w:r>
              <w:rPr/>
              <w:t>200%</w:t>
            </w:r>
          </w:p>
        </w:tc>
        <w:tc>
          <w:tcPr>
            <w:tcW w:w="24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49" w:type="dxa"/>
            <w:tcBorders>
              <w:bottom w:val="single" w:sz="6" w:space="0" w:color="000000"/>
            </w:tcBorders>
            <w:tcMar>
              <w:bottom w:w="100" w:type="dxa"/>
            </w:tcMar>
            <w:vAlign w:val="center"/>
          </w:tcPr>
          <w:p>
            <w:pPr>
              <w:pStyle w:val="TableContents"/>
              <w:bidi w:val="0"/>
              <w:spacing w:before="0" w:after="283"/>
              <w:jc w:val="center"/>
              <w:rPr/>
            </w:pPr>
            <w:r>
              <w:rPr/>
              <w:t>$4,950,000</w:t>
            </w:r>
          </w:p>
        </w:tc>
        <w:tc>
          <w:tcPr>
            <w:tcW w:w="8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c>
          <w:tcPr>
            <w:tcW w:w="2043" w:type="dxa"/>
            <w:tcBorders>
              <w:bottom w:val="single" w:sz="6" w:space="0" w:color="000000"/>
            </w:tcBorders>
            <w:tcMar>
              <w:bottom w:w="100" w:type="dxa"/>
            </w:tcMar>
            <w:vAlign w:val="center"/>
          </w:tcPr>
          <w:p>
            <w:pPr>
              <w:pStyle w:val="TableContents"/>
              <w:bidi w:val="0"/>
              <w:spacing w:before="0" w:after="283"/>
              <w:jc w:val="center"/>
              <w:rPr/>
            </w:pPr>
            <w:r>
              <w:rPr/>
              <w:t>63,200</w:t>
            </w:r>
          </w:p>
        </w:tc>
        <w:tc>
          <w:tcPr>
            <w:tcW w:w="196"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idi w:val="0"/>
        <w:spacing w:before="0" w:after="0"/>
        <w:jc w:val="left"/>
        <w:rPr>
          <w:rFonts w:ascii="ARIAL" w:hAnsi="ARIAL"/>
          <w:sz w:val="18"/>
          <w:bdr w:val="single" w:sz="2" w:space="2" w:color="DAEDFA"/>
          <w:shd w:fill="DAEDFA" w:val="clear"/>
        </w:rPr>
      </w:pPr>
      <w:r>
        <w:rPr>
          <w:rFonts w:ascii="ARIAL" w:hAnsi="ARIAL"/>
          <w:b/>
          <w:color w:val="0054BA"/>
          <w:sz w:val="18"/>
          <w:bdr w:val="single" w:sz="2" w:space="2" w:color="DAEDFA"/>
          <w:shd w:fill="DAEDFA" w:val="clear"/>
        </w:rPr>
        <w:t>Note for 2026</w:t>
      </w:r>
      <w:r>
        <w:rPr>
          <w:rFonts w:ascii="ARIAL" w:hAnsi="ARIAL"/>
          <w:sz w:val="18"/>
          <w:bdr w:val="single" w:sz="2" w:space="2" w:color="DAEDFA"/>
          <w:shd w:fill="DAEDFA" w:val="clear"/>
        </w:rPr>
        <w:t xml:space="preserve">: Informed by stockholder feedback to increase goal rigor and long-term goal performance, for 2026, the Compensation Committee updated the equity incentive plan design, including by eliminating performance-based RSAs in favor of time-based RSUs (which will be a smaller proportion of the total equity award). </w:t>
      </w:r>
    </w:p>
    <w:p>
      <w:pPr>
        <w:pStyle w:val="TextBody"/>
        <w:bidi w:val="0"/>
        <w:spacing w:before="120" w:after="0"/>
        <w:jc w:val="left"/>
        <w:rPr>
          <w:rFonts w:ascii="ARIAL" w:hAnsi="ARIAL"/>
          <w:sz w:val="18"/>
        </w:rPr>
      </w:pPr>
      <w:r>
        <w:rPr>
          <w:rFonts w:ascii="ARIAL" w:hAnsi="ARIAL"/>
          <w:sz w:val="18"/>
        </w:rPr>
        <w:t xml:space="preserve">Prior to the update, the Compensation Committee had already set a 2025 net income goal for the purposes of the 2026 performance-based RSAs. Although the performance-based RSAs were not granted in 2026, the Compensation Committee reviewed net income performance against the target that had been set and determined that, had there been a 2026 performance-based RSA, it would have been granted at 96.25% of target.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42"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17" descr=""/>
                          <pic:cNvPicPr>
                            <a:picLocks noChangeAspect="1" noChangeArrowheads="1"/>
                          </pic:cNvPicPr>
                        </pic:nvPicPr>
                        <pic:blipFill>
                          <a:blip r:embed="rId32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Compensation Committee felt it was important that the NEOs be accountable for performance against the 2025 net income target and not inadvertently benefit from the change in structure. To achieve this, the Compensation Committee adjusted down the 2026 equity incentive plan target award for each NEO by the same amount that would have been forfeited due to below target performance had the performance-based RSA been continued.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485900"/>
            <wp:effectExtent l="0" t="0" r="0" b="0"/>
            <wp:docPr id="343"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18" descr=""/>
                    <pic:cNvPicPr>
                      <a:picLocks noChangeAspect="1" noChangeArrowheads="1"/>
                    </pic:cNvPicPr>
                  </pic:nvPicPr>
                  <pic:blipFill>
                    <a:blip r:embed="rId330"/>
                    <a:stretch>
                      <a:fillRect/>
                    </a:stretch>
                  </pic:blipFill>
                  <pic:spPr bwMode="auto">
                    <a:xfrm>
                      <a:off x="0" y="0"/>
                      <a:ext cx="7810500" cy="148590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ARIAL" w:hAnsi="ARIAL"/>
                <w:i/>
                <w:sz w:val="16"/>
              </w:rPr>
            </w:pPr>
            <w:r>
              <w:rPr>
                <w:rFonts w:ascii="ARIAL" w:hAnsi="ARIAL"/>
                <w:i/>
                <w:sz w:val="16"/>
              </w:rPr>
              <w:t xml:space="preserve">2025 target set 58% above 2024 actual result, which reflects a determination to establish a rigorous goal for our long-term incentive program. </w:t>
            </w:r>
          </w:p>
        </w:tc>
      </w:tr>
    </w:tbl>
    <w:p>
      <w:pPr>
        <w:pStyle w:val="TextBody"/>
        <w:bidi w:val="0"/>
        <w:spacing w:before="360" w:after="0"/>
        <w:jc w:val="left"/>
        <w:rPr>
          <w:rFonts w:ascii="ARIAL" w:hAnsi="ARIAL"/>
          <w:b/>
          <w:sz w:val="20"/>
        </w:rPr>
      </w:pPr>
      <w:r>
        <w:rPr>
          <w:rFonts w:ascii="ARIAL" w:hAnsi="ARIAL"/>
          <w:b/>
          <w:sz w:val="20"/>
        </w:rPr>
        <w:t xml:space="preserve">2025-2027 PERFORMANCE STOCK AWARD (40%): (“THREE-YEAR PERFORMANCE STOCK AWARD”) </w:t>
      </w:r>
    </w:p>
    <w:p>
      <w:pPr>
        <w:pStyle w:val="TextBody"/>
        <w:bidi w:val="0"/>
        <w:spacing w:before="80" w:after="0"/>
        <w:jc w:val="left"/>
        <w:rPr>
          <w:rFonts w:ascii="ARIAL" w:hAnsi="ARIAL"/>
          <w:sz w:val="18"/>
        </w:rPr>
      </w:pPr>
      <w:r>
        <w:rPr>
          <w:rFonts w:ascii="ARIAL" w:hAnsi="ARIAL"/>
          <w:b/>
          <w:color w:val="0054BA"/>
          <w:sz w:val="18"/>
        </w:rPr>
        <w:t>Purpose</w:t>
      </w:r>
      <w:r>
        <w:rPr>
          <w:rFonts w:ascii="ARIAL" w:hAnsi="ARIAL"/>
          <w:sz w:val="18"/>
        </w:rPr>
        <w:t xml:space="preserve">: Shares vest based on achievement of a three-year revenue goal that encourages executives to achieve sustained growth, encourages executives’ focus on longer-term financial goals, and further links executives’ interests with those of our stockholders. </w:t>
      </w:r>
    </w:p>
    <w:p>
      <w:pPr>
        <w:pStyle w:val="TextBody"/>
        <w:bidi w:val="0"/>
        <w:spacing w:before="160" w:after="0"/>
        <w:jc w:val="left"/>
        <w:rPr>
          <w:rFonts w:ascii="ARIAL" w:hAnsi="ARIAL"/>
          <w:sz w:val="18"/>
        </w:rPr>
      </w:pPr>
      <w:r>
        <w:rPr>
          <w:rFonts w:ascii="ARIAL" w:hAnsi="ARIAL"/>
          <w:sz w:val="18"/>
        </w:rPr>
        <w:t xml:space="preserve">In February 2025, the Compensation Committee established goals for the 2025-2027 performance period for Three-Year Performance Stock Awards granted to NEOs. For this period, performance will again be based on the Company’s three-year revenue goal, adjusted by a TSR modifier as presented in the table below. The revenue target represents an increase from 2024-2025 performance period target and is designed to be challenging and to support the Company’s long-term growth strategy. </w:t>
      </w:r>
    </w:p>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1325"/>
        <w:gridCol w:w="60"/>
        <w:gridCol w:w="1400"/>
        <w:gridCol w:w="60"/>
        <w:gridCol w:w="1190"/>
        <w:gridCol w:w="60"/>
        <w:gridCol w:w="260"/>
        <w:gridCol w:w="60"/>
        <w:gridCol w:w="1535"/>
        <w:gridCol w:w="60"/>
        <w:gridCol w:w="995"/>
        <w:gridCol w:w="60"/>
        <w:gridCol w:w="290"/>
        <w:gridCol w:w="60"/>
        <w:gridCol w:w="1490"/>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4035" w:type="dxa"/>
            <w:gridSpan w:val="5"/>
            <w:tcBorders/>
            <w:shd w:fill="DAEDFA"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650" w:type="dxa"/>
            <w:gridSpan w:val="4"/>
            <w:tcBorders/>
            <w:shd w:fill="DAEDFA" w:val="clear"/>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4035" w:type="dxa"/>
            <w:gridSpan w:val="5"/>
            <w:tcBorders/>
            <w:shd w:fill="DAEDFA" w:val="clear"/>
            <w:vAlign w:val="center"/>
          </w:tcPr>
          <w:p>
            <w:pPr>
              <w:pStyle w:val="TableContents"/>
              <w:bidi w:val="0"/>
              <w:spacing w:before="0" w:after="0"/>
              <w:jc w:val="center"/>
              <w:rPr>
                <w:rFonts w:ascii="ARIAL" w:hAnsi="ARIAL"/>
                <w:b/>
                <w:sz w:val="18"/>
              </w:rPr>
            </w:pPr>
            <w:r>
              <w:rPr>
                <w:rFonts w:ascii="ARIAL" w:hAnsi="ARIAL"/>
                <w:b/>
                <w:sz w:val="18"/>
              </w:rPr>
              <w:t>Performance Against</w:t>
            </w:r>
          </w:p>
          <w:p>
            <w:pPr>
              <w:pStyle w:val="TableContents"/>
              <w:bidi w:val="0"/>
              <w:spacing w:before="0" w:after="20"/>
              <w:jc w:val="center"/>
              <w:rPr>
                <w:rFonts w:ascii="ARIAL" w:hAnsi="ARIAL"/>
                <w:b/>
                <w:sz w:val="18"/>
              </w:rPr>
            </w:pPr>
            <w:r>
              <w:rPr>
                <w:rFonts w:ascii="ARIAL" w:hAnsi="ARIAL"/>
                <w:b/>
                <w:sz w:val="18"/>
              </w:rPr>
              <w:t>Three-year Revenue Goal</w:t>
            </w:r>
          </w:p>
        </w:tc>
        <w:tc>
          <w:tcPr>
            <w:tcW w:w="60" w:type="dxa"/>
            <w:vMerge w:val="restart"/>
            <w:tcBorders/>
            <w:vAlign w:val="center"/>
          </w:tcPr>
          <w:p>
            <w:pPr>
              <w:pStyle w:val="TableContents"/>
              <w:bidi w:val="0"/>
              <w:spacing w:before="0" w:after="283"/>
              <w:jc w:val="left"/>
              <w:rPr/>
            </w:pPr>
            <w:r>
              <w:rPr/>
              <w:t> </w:t>
            </w:r>
          </w:p>
        </w:tc>
        <w:tc>
          <w:tcPr>
            <w:tcW w:w="260" w:type="dxa"/>
            <w:vMerge w:val="restart"/>
            <w:tcBorders/>
            <w:vAlign w:val="center"/>
          </w:tcPr>
          <w:p>
            <w:pPr>
              <w:pStyle w:val="TableContents"/>
              <w:bidi w:val="0"/>
              <w:spacing w:before="0" w:after="283"/>
              <w:jc w:val="center"/>
              <w:rPr>
                <w:b/>
                <w:color w:val="0054BA"/>
                <w:sz w:val="48"/>
              </w:rPr>
            </w:pPr>
            <w:r>
              <w:rPr>
                <w:b/>
                <w:color w:val="0054BA"/>
                <w:sz w:val="48"/>
              </w:rPr>
              <w:t>x</w:t>
            </w:r>
          </w:p>
        </w:tc>
        <w:tc>
          <w:tcPr>
            <w:tcW w:w="60" w:type="dxa"/>
            <w:tcBorders/>
            <w:shd w:fill="DAEDFA" w:val="clear"/>
            <w:vAlign w:val="center"/>
          </w:tcPr>
          <w:p>
            <w:pPr>
              <w:pStyle w:val="TableContents"/>
              <w:bidi w:val="0"/>
              <w:spacing w:before="0" w:after="283"/>
              <w:jc w:val="left"/>
              <w:rPr/>
            </w:pPr>
            <w:r>
              <w:rPr/>
              <w:t> </w:t>
            </w:r>
          </w:p>
        </w:tc>
        <w:tc>
          <w:tcPr>
            <w:tcW w:w="2590" w:type="dxa"/>
            <w:gridSpan w:val="3"/>
            <w:tcBorders/>
            <w:shd w:fill="DAEDFA" w:val="clear"/>
            <w:vAlign w:val="center"/>
          </w:tcPr>
          <w:p>
            <w:pPr>
              <w:pStyle w:val="TableContents"/>
              <w:bidi w:val="0"/>
              <w:spacing w:before="0" w:after="0"/>
              <w:jc w:val="center"/>
              <w:rPr>
                <w:rFonts w:ascii="ARIAL" w:hAnsi="ARIAL"/>
                <w:b/>
                <w:sz w:val="18"/>
              </w:rPr>
            </w:pPr>
            <w:r>
              <w:rPr>
                <w:rFonts w:ascii="ARIAL" w:hAnsi="ARIAL"/>
                <w:b/>
                <w:sz w:val="18"/>
              </w:rPr>
              <w:t>Three-year TSR performance</w:t>
            </w:r>
          </w:p>
          <w:p>
            <w:pPr>
              <w:pStyle w:val="TableContents"/>
              <w:bidi w:val="0"/>
              <w:spacing w:before="0" w:after="20"/>
              <w:jc w:val="center"/>
              <w:rPr>
                <w:rFonts w:ascii="ARIAL" w:hAnsi="ARIAL"/>
                <w:b/>
                <w:sz w:val="18"/>
              </w:rPr>
            </w:pPr>
            <w:r>
              <w:rPr>
                <w:rFonts w:ascii="ARIAL" w:hAnsi="ARIAL"/>
                <w:b/>
                <w:sz w:val="18"/>
              </w:rPr>
              <w:t>relative to S&amp;P 500</w:t>
            </w:r>
          </w:p>
        </w:tc>
        <w:tc>
          <w:tcPr>
            <w:tcW w:w="60" w:type="dxa"/>
            <w:vMerge w:val="restart"/>
            <w:tcBorders/>
            <w:vAlign w:val="center"/>
          </w:tcPr>
          <w:p>
            <w:pPr>
              <w:pStyle w:val="TableContents"/>
              <w:bidi w:val="0"/>
              <w:spacing w:before="0" w:after="283"/>
              <w:jc w:val="left"/>
              <w:rPr/>
            </w:pPr>
            <w:r>
              <w:rPr/>
              <w:t> </w:t>
            </w:r>
          </w:p>
        </w:tc>
        <w:tc>
          <w:tcPr>
            <w:tcW w:w="290" w:type="dxa"/>
            <w:vMerge w:val="restart"/>
            <w:tcBorders/>
            <w:vAlign w:val="center"/>
          </w:tcPr>
          <w:p>
            <w:pPr>
              <w:pStyle w:val="TableContents"/>
              <w:bidi w:val="0"/>
              <w:spacing w:before="0" w:after="283"/>
              <w:jc w:val="center"/>
              <w:rPr>
                <w:b/>
                <w:color w:val="0054BA"/>
                <w:sz w:val="48"/>
              </w:rPr>
            </w:pPr>
            <w:r>
              <w:rPr>
                <w:b/>
                <w:color w:val="0054BA"/>
                <w:sz w:val="48"/>
              </w:rPr>
              <w:t>=</w:t>
            </w:r>
          </w:p>
        </w:tc>
        <w:tc>
          <w:tcPr>
            <w:tcW w:w="60" w:type="dxa"/>
            <w:vMerge w:val="restart"/>
            <w:tcBorders/>
            <w:shd w:fill="DAEDFA" w:val="clear"/>
            <w:vAlign w:val="center"/>
          </w:tcPr>
          <w:p>
            <w:pPr>
              <w:pStyle w:val="TableContents"/>
              <w:bidi w:val="0"/>
              <w:spacing w:before="0" w:after="283"/>
              <w:jc w:val="left"/>
              <w:rPr/>
            </w:pPr>
            <w:r>
              <w:rPr/>
              <w:t> </w:t>
            </w:r>
          </w:p>
        </w:tc>
        <w:tc>
          <w:tcPr>
            <w:tcW w:w="1490" w:type="dxa"/>
            <w:vMerge w:val="restart"/>
            <w:tcBorders/>
            <w:shd w:fill="DAEDFA" w:val="clear"/>
            <w:vAlign w:val="center"/>
          </w:tcPr>
          <w:p>
            <w:pPr>
              <w:pStyle w:val="TableContents"/>
              <w:bidi w:val="0"/>
              <w:spacing w:before="0" w:after="0"/>
              <w:jc w:val="center"/>
              <w:rPr>
                <w:rFonts w:ascii="ARIAL" w:hAnsi="ARIAL"/>
                <w:b/>
                <w:sz w:val="18"/>
              </w:rPr>
            </w:pPr>
            <w:r>
              <w:rPr>
                <w:rFonts w:ascii="ARIAL" w:hAnsi="ARIAL"/>
                <w:b/>
                <w:sz w:val="18"/>
              </w:rPr>
              <w:t>Resulting Payout</w:t>
            </w:r>
          </w:p>
          <w:p>
            <w:pPr>
              <w:pStyle w:val="TableContents"/>
              <w:bidi w:val="0"/>
              <w:spacing w:before="0" w:after="0"/>
              <w:jc w:val="left"/>
              <w:rPr/>
            </w:pPr>
            <w:r>
              <w:rPr/>
              <w:t> </w:t>
            </w:r>
          </w:p>
          <w:p>
            <w:pPr>
              <w:pStyle w:val="TableContents"/>
              <w:bidi w:val="0"/>
              <w:spacing w:before="0" w:after="20"/>
              <w:jc w:val="center"/>
              <w:rPr>
                <w:rFonts w:ascii="ARIAL" w:hAnsi="ARIAL"/>
                <w:b/>
                <w:sz w:val="24"/>
              </w:rPr>
            </w:pPr>
            <w:r>
              <w:rPr>
                <w:rFonts w:ascii="ARIAL" w:hAnsi="ARIAL"/>
                <w:b/>
                <w:sz w:val="24"/>
              </w:rPr>
              <w:t>0%-240%</w:t>
            </w:r>
          </w:p>
        </w:tc>
      </w:tr>
      <w:tr>
        <w:trPr/>
        <w:tc>
          <w:tcPr>
            <w:tcW w:w="4035" w:type="dxa"/>
            <w:gridSpan w:val="5"/>
            <w:tcBorders/>
            <w:shd w:fill="DAEDFA" w:val="clear"/>
            <w:vAlign w:val="center"/>
          </w:tcPr>
          <w:p>
            <w:pPr>
              <w:pStyle w:val="TableContents"/>
              <w:bidi w:val="0"/>
              <w:spacing w:before="0" w:after="283"/>
              <w:jc w:val="center"/>
              <w:rPr>
                <w:b/>
                <w:sz w:val="24"/>
              </w:rPr>
            </w:pPr>
            <w:r>
              <w:rPr>
                <w:b/>
                <w:sz w:val="24"/>
              </w:rPr>
              <w:t>0%-200%</w:t>
            </w:r>
          </w:p>
        </w:tc>
        <w:tc>
          <w:tcPr>
            <w:tcW w:w="60" w:type="dxa"/>
            <w:vMerge w:val="continue"/>
            <w:tcBorders/>
            <w:vAlign w:val="center"/>
          </w:tcPr>
          <w:p>
            <w:pPr>
              <w:pStyle w:val="Normal"/>
              <w:bidi w:val="0"/>
              <w:jc w:val="left"/>
              <w:rPr/>
            </w:pPr>
            <w:r>
              <w:rPr/>
            </w:r>
          </w:p>
        </w:tc>
        <w:tc>
          <w:tcPr>
            <w:tcW w:w="260" w:type="dxa"/>
            <w:vMerge w:val="continue"/>
            <w:tcBorders/>
            <w:vAlign w:val="center"/>
          </w:tcPr>
          <w:p>
            <w:pPr>
              <w:pStyle w:val="Normal"/>
              <w:bidi w:val="0"/>
              <w:jc w:val="left"/>
              <w:rPr/>
            </w:pPr>
            <w:r>
              <w:rPr/>
            </w:r>
          </w:p>
        </w:tc>
        <w:tc>
          <w:tcPr>
            <w:tcW w:w="60" w:type="dxa"/>
            <w:tcBorders/>
            <w:shd w:fill="DAEDFA" w:val="clear"/>
            <w:vAlign w:val="center"/>
          </w:tcPr>
          <w:p>
            <w:pPr>
              <w:pStyle w:val="TableContents"/>
              <w:bidi w:val="0"/>
              <w:spacing w:before="0" w:after="283"/>
              <w:jc w:val="left"/>
              <w:rPr/>
            </w:pPr>
            <w:r>
              <w:rPr/>
              <w:t> </w:t>
            </w:r>
          </w:p>
        </w:tc>
        <w:tc>
          <w:tcPr>
            <w:tcW w:w="2590" w:type="dxa"/>
            <w:gridSpan w:val="3"/>
            <w:tcBorders/>
            <w:shd w:fill="DAEDFA" w:val="clear"/>
            <w:vAlign w:val="center"/>
          </w:tcPr>
          <w:p>
            <w:pPr>
              <w:pStyle w:val="TableContents"/>
              <w:bidi w:val="0"/>
              <w:spacing w:before="0" w:after="283"/>
              <w:jc w:val="center"/>
              <w:rPr>
                <w:b/>
                <w:sz w:val="24"/>
              </w:rPr>
            </w:pPr>
            <w:r>
              <w:rPr>
                <w:b/>
                <w:sz w:val="24"/>
              </w:rPr>
              <w:t>80%-120%</w:t>
            </w:r>
          </w:p>
        </w:tc>
        <w:tc>
          <w:tcPr>
            <w:tcW w:w="60" w:type="dxa"/>
            <w:vMerge w:val="continue"/>
            <w:tcBorders/>
            <w:vAlign w:val="center"/>
          </w:tcPr>
          <w:p>
            <w:pPr>
              <w:pStyle w:val="Normal"/>
              <w:bidi w:val="0"/>
              <w:jc w:val="left"/>
              <w:rPr/>
            </w:pPr>
            <w:r>
              <w:rPr/>
            </w:r>
          </w:p>
        </w:tc>
        <w:tc>
          <w:tcPr>
            <w:tcW w:w="290" w:type="dxa"/>
            <w:vMerge w:val="continue"/>
            <w:tcBorders/>
            <w:vAlign w:val="center"/>
          </w:tcPr>
          <w:p>
            <w:pPr>
              <w:pStyle w:val="Normal"/>
              <w:bidi w:val="0"/>
              <w:jc w:val="left"/>
              <w:rPr/>
            </w:pPr>
            <w:r>
              <w:rPr/>
            </w:r>
          </w:p>
        </w:tc>
        <w:tc>
          <w:tcPr>
            <w:tcW w:w="60" w:type="dxa"/>
            <w:vMerge w:val="continue"/>
            <w:tcBorders/>
            <w:shd w:fill="DAEDFA" w:val="clear"/>
            <w:vAlign w:val="center"/>
          </w:tcPr>
          <w:p>
            <w:pPr>
              <w:pStyle w:val="Normal"/>
              <w:bidi w:val="0"/>
              <w:jc w:val="left"/>
              <w:rPr/>
            </w:pPr>
            <w:r>
              <w:rPr/>
            </w:r>
          </w:p>
        </w:tc>
        <w:tc>
          <w:tcPr>
            <w:tcW w:w="1490" w:type="dxa"/>
            <w:vMerge w:val="continue"/>
            <w:tcBorders/>
            <w:shd w:fill="DAEDFA" w:val="clear"/>
            <w:vAlign w:val="center"/>
          </w:tcPr>
          <w:p>
            <w:pPr>
              <w:pStyle w:val="Normal"/>
              <w:bidi w:val="0"/>
              <w:jc w:val="left"/>
              <w:rPr/>
            </w:pPr>
            <w:r>
              <w:rPr/>
            </w:r>
          </w:p>
        </w:tc>
      </w:tr>
      <w:tr>
        <w:trPr/>
        <w:tc>
          <w:tcPr>
            <w:tcW w:w="1325" w:type="dxa"/>
            <w:tcBorders/>
            <w:shd w:fill="0054BA" w:val="clear"/>
            <w:vAlign w:val="center"/>
          </w:tcPr>
          <w:p>
            <w:pPr>
              <w:pStyle w:val="TableContents"/>
              <w:bidi w:val="0"/>
              <w:spacing w:before="0" w:after="283"/>
              <w:jc w:val="left"/>
              <w:rPr>
                <w:sz w:val="4"/>
                <w:szCs w:val="4"/>
              </w:rPr>
            </w:pPr>
            <w:r>
              <w:rPr>
                <w:sz w:val="4"/>
                <w:szCs w:val="4"/>
              </w:rPr>
            </w:r>
          </w:p>
        </w:tc>
        <w:tc>
          <w:tcPr>
            <w:tcW w:w="1460" w:type="dxa"/>
            <w:gridSpan w:val="2"/>
            <w:tcBorders/>
            <w:shd w:fill="0054BA" w:val="clear"/>
            <w:vAlign w:val="center"/>
          </w:tcPr>
          <w:p>
            <w:pPr>
              <w:pStyle w:val="TableContents"/>
              <w:bidi w:val="0"/>
              <w:spacing w:before="0" w:after="283"/>
              <w:jc w:val="left"/>
              <w:rPr>
                <w:sz w:val="4"/>
                <w:szCs w:val="4"/>
              </w:rPr>
            </w:pPr>
            <w:r>
              <w:rPr>
                <w:sz w:val="4"/>
                <w:szCs w:val="4"/>
              </w:rPr>
            </w:r>
          </w:p>
        </w:tc>
        <w:tc>
          <w:tcPr>
            <w:tcW w:w="1250" w:type="dxa"/>
            <w:gridSpan w:val="2"/>
            <w:tcBorders/>
            <w:shd w:fill="0054BA"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shd w:fill="0054BA" w:val="clear"/>
            <w:vAlign w:val="center"/>
          </w:tcPr>
          <w:p>
            <w:pPr>
              <w:pStyle w:val="TableContents"/>
              <w:bidi w:val="0"/>
              <w:spacing w:before="0" w:after="283"/>
              <w:jc w:val="left"/>
              <w:rPr>
                <w:sz w:val="4"/>
                <w:szCs w:val="4"/>
              </w:rPr>
            </w:pPr>
            <w:r>
              <w:rPr>
                <w:sz w:val="4"/>
                <w:szCs w:val="4"/>
              </w:rPr>
            </w:r>
          </w:p>
        </w:tc>
        <w:tc>
          <w:tcPr>
            <w:tcW w:w="1055" w:type="dxa"/>
            <w:gridSpan w:val="2"/>
            <w:tcBorders/>
            <w:shd w:fill="0054BA" w:val="clear"/>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1325" w:type="dxa"/>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PERFORMANCE</w:t>
            </w:r>
          </w:p>
        </w:tc>
        <w:tc>
          <w:tcPr>
            <w:tcW w:w="60" w:type="dxa"/>
            <w:tcBorders/>
            <w:shd w:fill="0054BA" w:val="clear"/>
            <w:vAlign w:val="center"/>
          </w:tcPr>
          <w:p>
            <w:pPr>
              <w:pStyle w:val="TableContents"/>
              <w:bidi w:val="0"/>
              <w:spacing w:before="0" w:after="283"/>
              <w:jc w:val="left"/>
              <w:rPr/>
            </w:pPr>
            <w:r>
              <w:rPr/>
              <w:t> </w:t>
            </w:r>
          </w:p>
        </w:tc>
        <w:tc>
          <w:tcPr>
            <w:tcW w:w="1400" w:type="dxa"/>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3-YEAR</w:t>
              <w:br/>
              <w:t>AGGREGATE</w:t>
              <w:br/>
              <w:t>REVENUE</w:t>
            </w:r>
          </w:p>
          <w:p>
            <w:pPr>
              <w:pStyle w:val="TableContents"/>
              <w:bidi w:val="0"/>
              <w:spacing w:before="0" w:after="20"/>
              <w:jc w:val="center"/>
              <w:rPr>
                <w:rFonts w:ascii="ARIAL" w:hAnsi="ARIAL"/>
                <w:b/>
                <w:color w:val="FFFFFF"/>
                <w:sz w:val="16"/>
              </w:rPr>
            </w:pPr>
            <w:r>
              <w:rPr>
                <w:rFonts w:ascii="ARIAL" w:hAnsi="ARIAL"/>
                <w:b/>
                <w:color w:val="FFFFFF"/>
                <w:sz w:val="16"/>
              </w:rPr>
              <w:t>(IN THOUSANDS)</w:t>
            </w:r>
          </w:p>
        </w:tc>
        <w:tc>
          <w:tcPr>
            <w:tcW w:w="60" w:type="dxa"/>
            <w:tcBorders/>
            <w:shd w:fill="0054BA" w:val="clear"/>
            <w:vAlign w:val="center"/>
          </w:tcPr>
          <w:p>
            <w:pPr>
              <w:pStyle w:val="TableContents"/>
              <w:bidi w:val="0"/>
              <w:spacing w:before="0" w:after="283"/>
              <w:jc w:val="left"/>
              <w:rPr/>
            </w:pPr>
            <w:r>
              <w:rPr/>
              <w:t> </w:t>
            </w:r>
          </w:p>
        </w:tc>
        <w:tc>
          <w:tcPr>
            <w:tcW w:w="1190" w:type="dxa"/>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 OF TARGET</w:t>
              <w:br/>
              <w:t>SHARES</w:t>
            </w:r>
          </w:p>
          <w:p>
            <w:pPr>
              <w:pStyle w:val="TableContents"/>
              <w:bidi w:val="0"/>
              <w:spacing w:before="0" w:after="20"/>
              <w:jc w:val="center"/>
              <w:rPr>
                <w:rFonts w:ascii="ARIAL" w:hAnsi="ARIAL"/>
                <w:b/>
                <w:color w:val="FFFFFF"/>
                <w:sz w:val="16"/>
              </w:rPr>
            </w:pPr>
            <w:r>
              <w:rPr>
                <w:rFonts w:ascii="ARIAL" w:hAnsi="ARIAL"/>
                <w:b/>
                <w:color w:val="FFFFFF"/>
                <w:sz w:val="16"/>
              </w:rPr>
              <w:t>EARNED</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 </w:t>
            </w:r>
          </w:p>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1535" w:type="dxa"/>
            <w:tcBorders/>
            <w:shd w:fill="0054BA" w:val="clear"/>
            <w:vAlign w:val="center"/>
          </w:tcPr>
          <w:p>
            <w:pPr>
              <w:pStyle w:val="TableContents"/>
              <w:bidi w:val="0"/>
              <w:spacing w:before="0" w:after="283"/>
              <w:jc w:val="center"/>
              <w:rPr>
                <w:color w:val="FFFFFF"/>
              </w:rPr>
            </w:pPr>
            <w:r>
              <w:rPr>
                <w:color w:val="FFFFFF"/>
              </w:rPr>
              <w:t> </w:t>
            </w:r>
            <w:r>
              <w:rPr>
                <w:b/>
                <w:color w:val="FFFFFF"/>
                <w:sz w:val="16"/>
              </w:rPr>
              <w:t>PERFORMANCE </w:t>
            </w:r>
          </w:p>
        </w:tc>
        <w:tc>
          <w:tcPr>
            <w:tcW w:w="60" w:type="dxa"/>
            <w:tcBorders/>
            <w:shd w:fill="0054BA" w:val="clear"/>
            <w:vAlign w:val="center"/>
          </w:tcPr>
          <w:p>
            <w:pPr>
              <w:pStyle w:val="TableContents"/>
              <w:bidi w:val="0"/>
              <w:spacing w:before="0" w:after="283"/>
              <w:jc w:val="left"/>
              <w:rPr/>
            </w:pPr>
            <w:r>
              <w:rPr/>
              <w:t> </w:t>
            </w:r>
          </w:p>
        </w:tc>
        <w:tc>
          <w:tcPr>
            <w:tcW w:w="995" w:type="dxa"/>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MODIFIER</w:t>
            </w:r>
          </w:p>
          <w:p>
            <w:pPr>
              <w:pStyle w:val="TableContents"/>
              <w:bidi w:val="0"/>
              <w:spacing w:before="0" w:after="0"/>
              <w:jc w:val="center"/>
              <w:rPr>
                <w:rFonts w:ascii="ARIAL" w:hAnsi="ARIAL"/>
                <w:b/>
                <w:color w:val="FFFFFF"/>
                <w:sz w:val="16"/>
              </w:rPr>
            </w:pPr>
            <w:r>
              <w:rPr>
                <w:rFonts w:ascii="ARIAL" w:hAnsi="ARIAL"/>
                <w:b/>
                <w:color w:val="FFFFFF"/>
                <w:sz w:val="16"/>
              </w:rPr>
              <w:t>TO TARGET</w:t>
            </w:r>
          </w:p>
          <w:p>
            <w:pPr>
              <w:pStyle w:val="TableContents"/>
              <w:bidi w:val="0"/>
              <w:spacing w:before="0" w:after="20"/>
              <w:jc w:val="center"/>
              <w:rPr>
                <w:rFonts w:ascii="ARIAL" w:hAnsi="ARIAL"/>
                <w:b/>
                <w:color w:val="FFFFFF"/>
                <w:sz w:val="16"/>
              </w:rPr>
            </w:pPr>
            <w:r>
              <w:rPr>
                <w:rFonts w:ascii="ARIAL" w:hAnsi="ARIAL"/>
                <w:b/>
                <w:color w:val="FFFFFF"/>
                <w:sz w:val="16"/>
              </w:rPr>
              <w:t>SHARES</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 </w:t>
            </w:r>
          </w:p>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1490" w:type="dxa"/>
            <w:tcBorders/>
            <w:shd w:fill="0054BA" w:val="clear"/>
            <w:vAlign w:val="center"/>
          </w:tcPr>
          <w:p>
            <w:pPr>
              <w:pStyle w:val="TableContents"/>
              <w:bidi w:val="0"/>
              <w:spacing w:before="0" w:after="283"/>
              <w:jc w:val="center"/>
              <w:rPr>
                <w:color w:val="FFFFFF"/>
                <w:sz w:val="16"/>
              </w:rPr>
            </w:pPr>
            <w:r>
              <w:rPr>
                <w:color w:val="FFFFFF"/>
                <w:sz w:val="16"/>
              </w:rPr>
              <w:t>0%</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center"/>
              <w:rPr>
                <w:rFonts w:ascii="ARIAL" w:hAnsi="ARIAL"/>
                <w:sz w:val="16"/>
              </w:rPr>
            </w:pPr>
            <w:r>
              <w:rPr>
                <w:rFonts w:ascii="ARIAL" w:hAnsi="ARIAL"/>
                <w:sz w:val="16"/>
              </w:rPr>
              <w:t>&lt;95% of target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sz w:val="16"/>
              </w:rPr>
            </w:pPr>
            <w:r>
              <w:rPr>
                <w:sz w:val="16"/>
              </w:rPr>
              <w:t>&lt;$9,176</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sz w:val="16"/>
              </w:rPr>
            </w:pPr>
            <w:r>
              <w:rPr>
                <w:sz w:val="16"/>
              </w:rPr>
              <w:t>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283"/>
              <w:jc w:val="left"/>
              <w:rPr/>
            </w:pPr>
            <w:r>
              <w:rPr/>
              <w:t> </w:t>
            </w:r>
          </w:p>
        </w:tc>
        <w:tc>
          <w:tcPr>
            <w:tcW w:w="1535" w:type="dxa"/>
            <w:vMerge w:val="restart"/>
            <w:tcBorders/>
            <w:vAlign w:val="center"/>
          </w:tcPr>
          <w:p>
            <w:pPr>
              <w:pStyle w:val="TableContents"/>
              <w:bidi w:val="0"/>
              <w:spacing w:before="0" w:after="0"/>
              <w:jc w:val="center"/>
              <w:rPr>
                <w:rFonts w:ascii="ARIAL" w:hAnsi="ARIAL"/>
                <w:sz w:val="16"/>
              </w:rPr>
            </w:pPr>
            <w:r>
              <w:rPr>
                <w:rFonts w:ascii="ARIAL" w:hAnsi="ARIAL"/>
                <w:sz w:val="16"/>
              </w:rPr>
              <w:t>&lt;=25th percentile</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50th percentile</w:t>
            </w:r>
          </w:p>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&gt;=75th percentile</w:t>
            </w:r>
          </w:p>
        </w:tc>
        <w:tc>
          <w:tcPr>
            <w:tcW w:w="60" w:type="dxa"/>
            <w:vMerge w:val="restart"/>
            <w:tcBorders/>
            <w:vAlign w:val="center"/>
          </w:tcPr>
          <w:p>
            <w:pPr>
              <w:pStyle w:val="TableContents"/>
              <w:bidi w:val="0"/>
              <w:spacing w:before="0" w:after="283"/>
              <w:jc w:val="left"/>
              <w:rPr/>
            </w:pPr>
            <w:r>
              <w:rPr/>
              <w:t> </w:t>
            </w:r>
          </w:p>
        </w:tc>
        <w:tc>
          <w:tcPr>
            <w:tcW w:w="995" w:type="dxa"/>
            <w:vMerge w:val="restart"/>
            <w:tcBorders/>
            <w:vAlign w:val="center"/>
          </w:tcPr>
          <w:p>
            <w:pPr>
              <w:pStyle w:val="TableContents"/>
              <w:bidi w:val="0"/>
              <w:spacing w:before="0" w:after="0"/>
              <w:jc w:val="center"/>
              <w:rPr>
                <w:rFonts w:ascii="ARIAL" w:hAnsi="ARIAL"/>
                <w:sz w:val="16"/>
              </w:rPr>
            </w:pPr>
            <w:r>
              <w:rPr>
                <w:rFonts w:ascii="ARIAL" w:hAnsi="ARIAL"/>
                <w:sz w:val="16"/>
              </w:rPr>
              <w:t>80%</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100%</w:t>
            </w:r>
          </w:p>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120%</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vMerge w:val="restart"/>
            <w:tcBorders/>
            <w:shd w:fill="0054BA" w:val="clear"/>
            <w:vAlign w:val="center"/>
          </w:tcPr>
          <w:p>
            <w:pPr>
              <w:pStyle w:val="TableContents"/>
              <w:bidi w:val="0"/>
              <w:spacing w:before="0" w:after="283"/>
              <w:jc w:val="left"/>
              <w:rPr/>
            </w:pPr>
            <w:r>
              <w:rPr/>
              <w:t> </w:t>
            </w:r>
          </w:p>
        </w:tc>
        <w:tc>
          <w:tcPr>
            <w:tcW w:w="1490" w:type="dxa"/>
            <w:vMerge w:val="restart"/>
            <w:tcBorders/>
            <w:shd w:fill="0054BA" w:val="clear"/>
            <w:vAlign w:val="center"/>
          </w:tcPr>
          <w:p>
            <w:pPr>
              <w:pStyle w:val="TableContents"/>
              <w:bidi w:val="0"/>
              <w:spacing w:before="0" w:after="20"/>
              <w:jc w:val="center"/>
              <w:rPr/>
            </w:pPr>
            <w:r>
              <w:rPr/>
              <w:drawing>
                <wp:inline distT="0" distB="0" distL="0" distR="0">
                  <wp:extent cx="188595" cy="622300"/>
                  <wp:effectExtent l="0" t="0" r="0" b="0"/>
                  <wp:docPr id="344"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19" descr=""/>
                          <pic:cNvPicPr>
                            <a:picLocks noChangeAspect="1" noChangeArrowheads="1"/>
                          </pic:cNvPicPr>
                        </pic:nvPicPr>
                        <pic:blipFill>
                          <a:blip r:embed="rId331"/>
                          <a:stretch>
                            <a:fillRect/>
                          </a:stretch>
                        </pic:blipFill>
                        <pic:spPr bwMode="auto">
                          <a:xfrm>
                            <a:off x="0" y="0"/>
                            <a:ext cx="188595" cy="622300"/>
                          </a:xfrm>
                          <a:prstGeom prst="rect">
                            <a:avLst/>
                          </a:prstGeom>
                        </pic:spPr>
                      </pic:pic>
                    </a:graphicData>
                  </a:graphic>
                </wp:inline>
              </w:drawing>
            </w:r>
            <w:r>
              <w:rPr/>
              <w:t xml:space="preserve"> </w:t>
            </w:r>
          </w:p>
        </w:tc>
      </w:tr>
      <w:tr>
        <w:trPr/>
        <w:tc>
          <w:tcPr>
            <w:tcW w:w="1325" w:type="dxa"/>
            <w:tcBorders/>
            <w:vAlign w:val="center"/>
          </w:tcPr>
          <w:p>
            <w:pPr>
              <w:pStyle w:val="TableContents"/>
              <w:bidi w:val="0"/>
              <w:spacing w:before="0" w:after="0"/>
              <w:jc w:val="center"/>
              <w:rPr>
                <w:rFonts w:ascii="ARIAL" w:hAnsi="ARIAL"/>
                <w:sz w:val="16"/>
              </w:rPr>
            </w:pPr>
            <w:r>
              <w:rPr>
                <w:rFonts w:ascii="ARIAL" w:hAnsi="ARIAL"/>
                <w:sz w:val="16"/>
              </w:rPr>
              <w:t>95% (threshold)</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sz w:val="16"/>
              </w:rPr>
            </w:pPr>
            <w:r>
              <w:rPr>
                <w:sz w:val="16"/>
              </w:rPr>
              <w:t>$9,176</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sz w:val="16"/>
              </w:rPr>
            </w:pPr>
            <w:r>
              <w:rPr>
                <w:sz w:val="16"/>
              </w:rPr>
              <w:t>50%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 </w:t>
            </w:r>
          </w:p>
        </w:tc>
        <w:tc>
          <w:tcPr>
            <w:tcW w:w="60" w:type="dxa"/>
            <w:vMerge w:val="continue"/>
            <w:tcBorders/>
            <w:vAlign w:val="center"/>
          </w:tcPr>
          <w:p>
            <w:pPr>
              <w:pStyle w:val="Normal"/>
              <w:bidi w:val="0"/>
              <w:jc w:val="left"/>
              <w:rPr/>
            </w:pPr>
            <w:r>
              <w:rPr/>
            </w:r>
          </w:p>
        </w:tc>
        <w:tc>
          <w:tcPr>
            <w:tcW w:w="153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0054BA" w:val="clear"/>
            <w:vAlign w:val="center"/>
          </w:tcPr>
          <w:p>
            <w:pPr>
              <w:pStyle w:val="Normal"/>
              <w:bidi w:val="0"/>
              <w:jc w:val="left"/>
              <w:rPr/>
            </w:pPr>
            <w:r>
              <w:rPr/>
            </w:r>
          </w:p>
        </w:tc>
        <w:tc>
          <w:tcPr>
            <w:tcW w:w="1490" w:type="dxa"/>
            <w:vMerge w:val="continue"/>
            <w:tcBorders/>
            <w:shd w:fill="0054BA" w:val="clear"/>
            <w:vAlign w:val="center"/>
          </w:tcPr>
          <w:p>
            <w:pPr>
              <w:pStyle w:val="Normal"/>
              <w:bidi w:val="0"/>
              <w:jc w:val="left"/>
              <w:rPr/>
            </w:pPr>
            <w:r>
              <w:rPr/>
            </w:r>
          </w:p>
        </w:tc>
      </w:tr>
      <w:tr>
        <w:trPr/>
        <w:tc>
          <w:tcPr>
            <w:tcW w:w="1325" w:type="dxa"/>
            <w:tcBorders/>
            <w:vAlign w:val="center"/>
          </w:tcPr>
          <w:p>
            <w:pPr>
              <w:pStyle w:val="TableContents"/>
              <w:bidi w:val="0"/>
              <w:spacing w:before="0" w:after="0"/>
              <w:jc w:val="center"/>
              <w:rPr>
                <w:rFonts w:ascii="ARIAL" w:hAnsi="ARIAL"/>
                <w:sz w:val="16"/>
              </w:rPr>
            </w:pPr>
            <w:r>
              <w:rPr>
                <w:rFonts w:ascii="ARIAL" w:hAnsi="ARIAL"/>
                <w:sz w:val="16"/>
              </w:rPr>
              <w:t>100% (target)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sz w:val="16"/>
              </w:rPr>
            </w:pPr>
            <w:r>
              <w:rPr>
                <w:sz w:val="16"/>
              </w:rPr>
              <w:t>$9,659</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sz w:val="16"/>
              </w:rPr>
            </w:pPr>
            <w:r>
              <w:rPr>
                <w:sz w:val="16"/>
              </w:rPr>
              <w:t>100%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 </w:t>
            </w:r>
          </w:p>
        </w:tc>
        <w:tc>
          <w:tcPr>
            <w:tcW w:w="60" w:type="dxa"/>
            <w:vMerge w:val="continue"/>
            <w:tcBorders/>
            <w:vAlign w:val="center"/>
          </w:tcPr>
          <w:p>
            <w:pPr>
              <w:pStyle w:val="Normal"/>
              <w:bidi w:val="0"/>
              <w:jc w:val="left"/>
              <w:rPr/>
            </w:pPr>
            <w:r>
              <w:rPr/>
            </w:r>
          </w:p>
        </w:tc>
        <w:tc>
          <w:tcPr>
            <w:tcW w:w="153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vMerge w:val="restart"/>
            <w:tcBorders/>
            <w:shd w:fill="0054BA" w:val="clear"/>
            <w:vAlign w:val="center"/>
          </w:tcPr>
          <w:p>
            <w:pPr>
              <w:pStyle w:val="TableContents"/>
              <w:bidi w:val="0"/>
              <w:spacing w:before="0" w:after="283"/>
              <w:jc w:val="left"/>
              <w:rPr/>
            </w:pPr>
            <w:r>
              <w:rPr/>
              <w:t> </w:t>
            </w:r>
          </w:p>
        </w:tc>
        <w:tc>
          <w:tcPr>
            <w:tcW w:w="1490" w:type="dxa"/>
            <w:vMerge w:val="restart"/>
            <w:tcBorders/>
            <w:shd w:fill="0054BA"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6"/>
              </w:rPr>
            </w:pPr>
            <w:r>
              <w:rPr>
                <w:rFonts w:ascii="ARIAL" w:hAnsi="ARIAL"/>
                <w:color w:val="FFFFFF"/>
                <w:sz w:val="16"/>
              </w:rPr>
              <w:t>240%</w:t>
            </w:r>
          </w:p>
          <w:p>
            <w:pPr>
              <w:pStyle w:val="TableContents"/>
              <w:bidi w:val="0"/>
              <w:spacing w:before="0" w:after="20"/>
              <w:jc w:val="left"/>
              <w:rPr/>
            </w:pPr>
            <w:r>
              <w:rPr/>
              <w:t> </w:t>
            </w:r>
          </w:p>
        </w:tc>
      </w:tr>
      <w:tr>
        <w:trPr/>
        <w:tc>
          <w:tcPr>
            <w:tcW w:w="1325" w:type="dxa"/>
            <w:tcBorders/>
            <w:vAlign w:val="center"/>
          </w:tcPr>
          <w:p>
            <w:pPr>
              <w:pStyle w:val="TableContents"/>
              <w:bidi w:val="0"/>
              <w:spacing w:before="0" w:after="0"/>
              <w:jc w:val="center"/>
              <w:rPr>
                <w:rFonts w:ascii="ARIAL" w:hAnsi="ARIAL"/>
                <w:sz w:val="16"/>
              </w:rPr>
            </w:pPr>
            <w:r>
              <w:rPr>
                <w:rFonts w:ascii="ARIAL" w:hAnsi="ARIAL"/>
                <w:sz w:val="16"/>
              </w:rPr>
              <w:t>102%</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sz w:val="16"/>
              </w:rPr>
            </w:pPr>
            <w:r>
              <w:rPr>
                <w:sz w:val="16"/>
              </w:rPr>
              <w:t>$9,852</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sz w:val="16"/>
              </w:rPr>
            </w:pPr>
            <w:r>
              <w:rPr>
                <w:sz w:val="16"/>
              </w:rPr>
              <w:t>200%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53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0054BA" w:val="clear"/>
            <w:vAlign w:val="center"/>
          </w:tcPr>
          <w:p>
            <w:pPr>
              <w:pStyle w:val="Normal"/>
              <w:bidi w:val="0"/>
              <w:jc w:val="left"/>
              <w:rPr/>
            </w:pPr>
            <w:r>
              <w:rPr/>
            </w:r>
          </w:p>
        </w:tc>
        <w:tc>
          <w:tcPr>
            <w:tcW w:w="1490" w:type="dxa"/>
            <w:vMerge w:val="continue"/>
            <w:tcBorders/>
            <w:shd w:fill="0054BA" w:val="clear"/>
            <w:vAlign w:val="center"/>
          </w:tcPr>
          <w:p>
            <w:pPr>
              <w:pStyle w:val="Normal"/>
              <w:bidi w:val="0"/>
              <w:jc w:val="left"/>
              <w:rPr/>
            </w:pPr>
            <w:r>
              <w:rPr/>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45"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20" descr=""/>
                          <pic:cNvPicPr>
                            <a:picLocks noChangeAspect="1" noChangeArrowheads="1"/>
                          </pic:cNvPicPr>
                        </pic:nvPicPr>
                        <pic:blipFill>
                          <a:blip r:embed="rId33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number of target shares covered by all performance-based stock awards was based on the closing stock price on the date of grant. At the end of the performance period, the Compensation Committee will evaluate actual performance against the targets set at the beginning of the performance period and determine payouts using the formulas set out above. In the event of an acquisition that occurs during a three-year performance period, ‘Revenue’ does not include the revenue contribution for the year of the acquisition; however, the Compensation Committee adjusts the targets for the remaining years in the performance period to reflect the estimated revenue contribution from the acquisition in order to incentivize continued business growth. </w:t>
      </w:r>
    </w:p>
    <w:p>
      <w:pPr>
        <w:pStyle w:val="TextBody"/>
        <w:bidi w:val="0"/>
        <w:spacing w:before="0" w:after="0"/>
        <w:jc w:val="left"/>
        <w:rPr/>
      </w:pPr>
      <w:r>
        <w:rPr/>
        <w:t> </w:t>
      </w:r>
    </w:p>
    <w:tbl>
      <w:tblPr>
        <w:tblW w:w="10017" w:type="dxa"/>
        <w:jc w:val="left"/>
        <w:tblInd w:w="0" w:type="dxa"/>
        <w:tblLayout w:type="fixed"/>
        <w:tblCellMar>
          <w:top w:w="0" w:type="dxa"/>
          <w:left w:w="0" w:type="dxa"/>
          <w:bottom w:w="0" w:type="dxa"/>
          <w:right w:w="0" w:type="dxa"/>
        </w:tblCellMar>
      </w:tblPr>
      <w:tblGrid>
        <w:gridCol w:w="2525"/>
        <w:gridCol w:w="23"/>
        <w:gridCol w:w="94"/>
        <w:gridCol w:w="245"/>
        <w:gridCol w:w="4517"/>
        <w:gridCol w:w="247"/>
        <w:gridCol w:w="23"/>
        <w:gridCol w:w="63"/>
        <w:gridCol w:w="167"/>
        <w:gridCol w:w="1902"/>
        <w:gridCol w:w="211"/>
      </w:tblGrid>
      <w:tr>
        <w:trPr/>
        <w:tc>
          <w:tcPr>
            <w:tcW w:w="25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0054BA" w:val="clear"/>
            <w:vAlign w:val="center"/>
          </w:tcPr>
          <w:p>
            <w:pPr>
              <w:pStyle w:val="TableContents"/>
              <w:bidi w:val="0"/>
              <w:spacing w:before="0" w:after="283"/>
              <w:jc w:val="left"/>
              <w:rPr>
                <w:sz w:val="4"/>
                <w:szCs w:val="4"/>
              </w:rPr>
            </w:pPr>
            <w:r>
              <w:rPr>
                <w:sz w:val="4"/>
                <w:szCs w:val="4"/>
              </w:rPr>
            </w:r>
          </w:p>
        </w:tc>
        <w:tc>
          <w:tcPr>
            <w:tcW w:w="5126" w:type="dxa"/>
            <w:gridSpan w:val="5"/>
            <w:tcBorders/>
            <w:shd w:fill="0054BA" w:val="clear"/>
            <w:vAlign w:val="center"/>
          </w:tcPr>
          <w:p>
            <w:pPr>
              <w:pStyle w:val="TableContents"/>
              <w:bidi w:val="0"/>
              <w:spacing w:before="0" w:after="283"/>
              <w:jc w:val="left"/>
              <w:rPr>
                <w:sz w:val="4"/>
                <w:szCs w:val="4"/>
              </w:rPr>
            </w:pPr>
            <w:r>
              <w:rPr>
                <w:sz w:val="4"/>
                <w:szCs w:val="4"/>
              </w:rPr>
            </w:r>
          </w:p>
        </w:tc>
        <w:tc>
          <w:tcPr>
            <w:tcW w:w="2366"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2525" w:type="dxa"/>
            <w:tcBorders/>
            <w:shd w:fill="0054BA"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16"/>
              </w:rPr>
            </w:pPr>
            <w:r>
              <w:rPr>
                <w:rFonts w:ascii="ARIAL" w:hAnsi="ARIAL"/>
                <w:b/>
                <w:color w:val="FFFFFF"/>
                <w:sz w:val="16"/>
              </w:rPr>
              <w:t>NEOs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5103" w:type="dxa"/>
            <w:gridSpan w:val="4"/>
            <w:tcBorders/>
            <w:shd w:fill="0054BA" w:val="clear"/>
            <w:vAlign w:val="center"/>
          </w:tcPr>
          <w:p>
            <w:pPr>
              <w:pStyle w:val="TableContents"/>
              <w:bidi w:val="0"/>
              <w:spacing w:before="0" w:after="283"/>
              <w:jc w:val="center"/>
              <w:rPr>
                <w:b/>
                <w:color w:val="FFFFFF"/>
              </w:rPr>
            </w:pPr>
            <w:r>
              <w:rPr>
                <w:b/>
                <w:color w:val="FFFFFF"/>
              </w:rPr>
              <w:t>2025-2027 PERFORMANCE STOCK AWARDS</w:t>
              <w:br/>
              <w:t>(TARGET AMOUNT)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343" w:type="dxa"/>
            <w:gridSpan w:val="4"/>
            <w:tcBorders/>
            <w:shd w:fill="0054BA" w:val="clear"/>
            <w:vAlign w:val="center"/>
          </w:tcPr>
          <w:p>
            <w:pPr>
              <w:pStyle w:val="TableContents"/>
              <w:bidi w:val="0"/>
              <w:spacing w:before="0" w:after="283"/>
              <w:jc w:val="center"/>
              <w:rPr>
                <w:color w:val="FFFFFF"/>
              </w:rPr>
            </w:pPr>
            <w:r>
              <w:rPr>
                <w:color w:val="FFFFFF"/>
              </w:rPr>
              <w:t> </w:t>
            </w:r>
            <w:r>
              <w:rPr>
                <w:b/>
                <w:color w:val="FFFFFF"/>
              </w:rPr>
              <w:t>TARGET SHARES 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5126" w:type="dxa"/>
            <w:gridSpan w:val="5"/>
            <w:tcBorders/>
            <w:vAlign w:val="center"/>
          </w:tcPr>
          <w:p>
            <w:pPr>
              <w:pStyle w:val="TableContents"/>
              <w:bidi w:val="0"/>
              <w:spacing w:before="0" w:after="283"/>
              <w:jc w:val="left"/>
              <w:rPr>
                <w:sz w:val="4"/>
                <w:szCs w:val="4"/>
              </w:rPr>
            </w:pPr>
            <w:r>
              <w:rPr>
                <w:sz w:val="4"/>
                <w:szCs w:val="4"/>
              </w:rPr>
            </w:r>
          </w:p>
        </w:tc>
        <w:tc>
          <w:tcPr>
            <w:tcW w:w="2366" w:type="dxa"/>
            <w:gridSpan w:val="5"/>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Andrew C. Florance</w:t>
            </w:r>
          </w:p>
          <w:p>
            <w:pPr>
              <w:pStyle w:val="TableContents"/>
              <w:bidi w:val="0"/>
              <w:spacing w:before="0" w:after="20"/>
              <w:jc w:val="left"/>
              <w:rPr>
                <w:rFonts w:ascii="ARIAL" w:hAnsi="ARIAL"/>
                <w:sz w:val="16"/>
              </w:rPr>
            </w:pPr>
            <w:r>
              <w:rPr>
                <w:rFonts w:ascii="ARIAL" w:hAnsi="ARIAL"/>
                <w:sz w:val="16"/>
              </w:rPr>
              <w:t>Founder &amp; Chief 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000000"/>
            </w:tcBorders>
            <w:tcMar>
              <w:bottom w:w="100" w:type="dxa"/>
            </w:tcMar>
            <w:vAlign w:val="center"/>
          </w:tcPr>
          <w:p>
            <w:pPr>
              <w:pStyle w:val="TableContents"/>
              <w:bidi w:val="0"/>
              <w:spacing w:before="0" w:after="283"/>
              <w:jc w:val="left"/>
              <w:rPr/>
            </w:pPr>
            <w:r>
              <w:rPr/>
              <w:t> </w:t>
            </w:r>
          </w:p>
        </w:tc>
        <w:tc>
          <w:tcPr>
            <w:tcW w:w="4517" w:type="dxa"/>
            <w:tcBorders>
              <w:bottom w:val="single" w:sz="6" w:space="0" w:color="000000"/>
            </w:tcBorders>
            <w:tcMar>
              <w:bottom w:w="100" w:type="dxa"/>
            </w:tcMar>
            <w:vAlign w:val="center"/>
          </w:tcPr>
          <w:p>
            <w:pPr>
              <w:pStyle w:val="TableContents"/>
              <w:bidi w:val="0"/>
              <w:spacing w:before="0" w:after="283"/>
              <w:jc w:val="center"/>
              <w:rPr/>
            </w:pPr>
            <w:r>
              <w:rPr/>
              <w:t>$7,600,000</w:t>
            </w:r>
          </w:p>
        </w:tc>
        <w:tc>
          <w:tcPr>
            <w:tcW w:w="24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1902" w:type="dxa"/>
            <w:tcBorders>
              <w:bottom w:val="single" w:sz="6" w:space="0" w:color="000000"/>
            </w:tcBorders>
            <w:tcMar>
              <w:bottom w:w="100" w:type="dxa"/>
            </w:tcMar>
            <w:vAlign w:val="center"/>
          </w:tcPr>
          <w:p>
            <w:pPr>
              <w:pStyle w:val="TableContents"/>
              <w:bidi w:val="0"/>
              <w:spacing w:before="0" w:after="283"/>
              <w:jc w:val="center"/>
              <w:rPr/>
            </w:pPr>
            <w:r>
              <w:rPr/>
              <w:t>97,100</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5126" w:type="dxa"/>
            <w:gridSpan w:val="5"/>
            <w:tcBorders/>
            <w:vAlign w:val="center"/>
          </w:tcPr>
          <w:p>
            <w:pPr>
              <w:pStyle w:val="TableContents"/>
              <w:bidi w:val="0"/>
              <w:spacing w:before="0" w:after="283"/>
              <w:jc w:val="left"/>
              <w:rPr>
                <w:sz w:val="4"/>
                <w:szCs w:val="4"/>
              </w:rPr>
            </w:pPr>
            <w:r>
              <w:rPr>
                <w:sz w:val="4"/>
                <w:szCs w:val="4"/>
              </w:rPr>
            </w:r>
          </w:p>
        </w:tc>
        <w:tc>
          <w:tcPr>
            <w:tcW w:w="2366" w:type="dxa"/>
            <w:gridSpan w:val="5"/>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Christian M. Lown </w:t>
            </w:r>
          </w:p>
          <w:p>
            <w:pPr>
              <w:pStyle w:val="TableContents"/>
              <w:bidi w:val="0"/>
              <w:spacing w:before="0" w:after="20"/>
              <w:jc w:val="left"/>
              <w:rPr>
                <w:rFonts w:ascii="ARIAL" w:hAnsi="ARIAL"/>
                <w:sz w:val="16"/>
              </w:rPr>
            </w:pPr>
            <w:r>
              <w:rPr>
                <w:rFonts w:ascii="ARIAL" w:hAnsi="ARIAL"/>
                <w:sz w:val="16"/>
              </w:rPr>
              <w:t>Chief Financial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000000"/>
            </w:tcBorders>
            <w:tcMar>
              <w:bottom w:w="100" w:type="dxa"/>
            </w:tcMar>
            <w:vAlign w:val="center"/>
          </w:tcPr>
          <w:p>
            <w:pPr>
              <w:pStyle w:val="TableContents"/>
              <w:bidi w:val="0"/>
              <w:spacing w:before="0" w:after="283"/>
              <w:jc w:val="left"/>
              <w:rPr/>
            </w:pPr>
            <w:r>
              <w:rPr/>
              <w:t> </w:t>
            </w:r>
          </w:p>
        </w:tc>
        <w:tc>
          <w:tcPr>
            <w:tcW w:w="4517" w:type="dxa"/>
            <w:tcBorders>
              <w:bottom w:val="single" w:sz="6" w:space="0" w:color="000000"/>
            </w:tcBorders>
            <w:tcMar>
              <w:bottom w:w="100" w:type="dxa"/>
            </w:tcMar>
            <w:vAlign w:val="center"/>
          </w:tcPr>
          <w:p>
            <w:pPr>
              <w:pStyle w:val="TableContents"/>
              <w:bidi w:val="0"/>
              <w:spacing w:before="0" w:after="283"/>
              <w:jc w:val="center"/>
              <w:rPr/>
            </w:pPr>
            <w:r>
              <w:rPr/>
              <w:t>$1,640,000</w:t>
            </w:r>
          </w:p>
        </w:tc>
        <w:tc>
          <w:tcPr>
            <w:tcW w:w="24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1902" w:type="dxa"/>
            <w:tcBorders>
              <w:bottom w:val="single" w:sz="6" w:space="0" w:color="000000"/>
            </w:tcBorders>
            <w:tcMar>
              <w:bottom w:w="100" w:type="dxa"/>
            </w:tcMar>
            <w:vAlign w:val="center"/>
          </w:tcPr>
          <w:p>
            <w:pPr>
              <w:pStyle w:val="TableContents"/>
              <w:bidi w:val="0"/>
              <w:spacing w:before="0" w:after="283"/>
              <w:jc w:val="center"/>
              <w:rPr/>
            </w:pPr>
            <w:r>
              <w:rPr/>
              <w:t>21,000</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5126" w:type="dxa"/>
            <w:gridSpan w:val="5"/>
            <w:tcBorders/>
            <w:vAlign w:val="center"/>
          </w:tcPr>
          <w:p>
            <w:pPr>
              <w:pStyle w:val="TableContents"/>
              <w:bidi w:val="0"/>
              <w:spacing w:before="0" w:after="283"/>
              <w:jc w:val="left"/>
              <w:rPr>
                <w:sz w:val="4"/>
                <w:szCs w:val="4"/>
              </w:rPr>
            </w:pPr>
            <w:r>
              <w:rPr>
                <w:sz w:val="4"/>
                <w:szCs w:val="4"/>
              </w:rPr>
            </w:r>
          </w:p>
        </w:tc>
        <w:tc>
          <w:tcPr>
            <w:tcW w:w="2366" w:type="dxa"/>
            <w:gridSpan w:val="5"/>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Lisa C. Ruggles </w:t>
            </w:r>
          </w:p>
          <w:p>
            <w:pPr>
              <w:pStyle w:val="TableContents"/>
              <w:bidi w:val="0"/>
              <w:spacing w:before="0" w:after="20"/>
              <w:jc w:val="left"/>
              <w:rPr>
                <w:rFonts w:ascii="ARIAL" w:hAnsi="ARIAL"/>
                <w:sz w:val="16"/>
              </w:rPr>
            </w:pPr>
            <w:r>
              <w:rPr>
                <w:rFonts w:ascii="ARIAL" w:hAnsi="ARIAL"/>
                <w:sz w:val="16"/>
              </w:rP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000000"/>
            </w:tcBorders>
            <w:tcMar>
              <w:bottom w:w="100" w:type="dxa"/>
            </w:tcMar>
            <w:vAlign w:val="center"/>
          </w:tcPr>
          <w:p>
            <w:pPr>
              <w:pStyle w:val="TableContents"/>
              <w:bidi w:val="0"/>
              <w:spacing w:before="0" w:after="283"/>
              <w:jc w:val="left"/>
              <w:rPr/>
            </w:pPr>
            <w:r>
              <w:rPr/>
              <w:t> </w:t>
            </w:r>
          </w:p>
        </w:tc>
        <w:tc>
          <w:tcPr>
            <w:tcW w:w="4517" w:type="dxa"/>
            <w:tcBorders>
              <w:bottom w:val="single" w:sz="6" w:space="0" w:color="000000"/>
            </w:tcBorders>
            <w:tcMar>
              <w:bottom w:w="100" w:type="dxa"/>
            </w:tcMar>
            <w:vAlign w:val="center"/>
          </w:tcPr>
          <w:p>
            <w:pPr>
              <w:pStyle w:val="TableContents"/>
              <w:bidi w:val="0"/>
              <w:spacing w:before="0" w:after="283"/>
              <w:jc w:val="center"/>
              <w:rPr/>
            </w:pPr>
            <w:r>
              <w:rPr/>
              <w:t>$1,100,000</w:t>
            </w:r>
          </w:p>
        </w:tc>
        <w:tc>
          <w:tcPr>
            <w:tcW w:w="24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1902" w:type="dxa"/>
            <w:tcBorders>
              <w:bottom w:val="single" w:sz="6" w:space="0" w:color="000000"/>
            </w:tcBorders>
            <w:tcMar>
              <w:bottom w:w="100" w:type="dxa"/>
            </w:tcMar>
            <w:vAlign w:val="center"/>
          </w:tcPr>
          <w:p>
            <w:pPr>
              <w:pStyle w:val="TableContents"/>
              <w:bidi w:val="0"/>
              <w:spacing w:before="0" w:after="283"/>
              <w:jc w:val="center"/>
              <w:rPr/>
            </w:pPr>
            <w:r>
              <w:rPr/>
              <w:t>14,100</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5126" w:type="dxa"/>
            <w:gridSpan w:val="5"/>
            <w:tcBorders/>
            <w:vAlign w:val="center"/>
          </w:tcPr>
          <w:p>
            <w:pPr>
              <w:pStyle w:val="TableContents"/>
              <w:bidi w:val="0"/>
              <w:spacing w:before="0" w:after="283"/>
              <w:jc w:val="left"/>
              <w:rPr>
                <w:sz w:val="4"/>
                <w:szCs w:val="4"/>
              </w:rPr>
            </w:pPr>
            <w:r>
              <w:rPr>
                <w:sz w:val="4"/>
                <w:szCs w:val="4"/>
              </w:rPr>
            </w:r>
          </w:p>
        </w:tc>
        <w:tc>
          <w:tcPr>
            <w:tcW w:w="2366" w:type="dxa"/>
            <w:gridSpan w:val="5"/>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Frederick G. Saint </w:t>
            </w:r>
          </w:p>
          <w:p>
            <w:pPr>
              <w:pStyle w:val="TableContents"/>
              <w:bidi w:val="0"/>
              <w:spacing w:before="0" w:after="20"/>
              <w:jc w:val="left"/>
              <w:rPr>
                <w:rFonts w:ascii="ARIAL" w:hAnsi="ARIAL"/>
                <w:sz w:val="16"/>
              </w:rPr>
            </w:pPr>
            <w:r>
              <w:rPr>
                <w:rFonts w:ascii="ARIAL" w:hAnsi="ARIAL"/>
                <w:sz w:val="16"/>
              </w:rP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000000"/>
            </w:tcBorders>
            <w:tcMar>
              <w:bottom w:w="100" w:type="dxa"/>
            </w:tcMar>
            <w:vAlign w:val="center"/>
          </w:tcPr>
          <w:p>
            <w:pPr>
              <w:pStyle w:val="TableContents"/>
              <w:bidi w:val="0"/>
              <w:spacing w:before="0" w:after="283"/>
              <w:jc w:val="left"/>
              <w:rPr/>
            </w:pPr>
            <w:r>
              <w:rPr/>
              <w:t> </w:t>
            </w:r>
          </w:p>
        </w:tc>
        <w:tc>
          <w:tcPr>
            <w:tcW w:w="4517" w:type="dxa"/>
            <w:tcBorders>
              <w:bottom w:val="single" w:sz="6" w:space="0" w:color="000000"/>
            </w:tcBorders>
            <w:tcMar>
              <w:bottom w:w="100" w:type="dxa"/>
            </w:tcMar>
            <w:vAlign w:val="center"/>
          </w:tcPr>
          <w:p>
            <w:pPr>
              <w:pStyle w:val="TableContents"/>
              <w:bidi w:val="0"/>
              <w:spacing w:before="0" w:after="283"/>
              <w:jc w:val="center"/>
              <w:rPr/>
            </w:pPr>
            <w:r>
              <w:rPr/>
              <w:t>$1,640,000</w:t>
            </w:r>
          </w:p>
        </w:tc>
        <w:tc>
          <w:tcPr>
            <w:tcW w:w="24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1902" w:type="dxa"/>
            <w:tcBorders>
              <w:bottom w:val="single" w:sz="6" w:space="0" w:color="000000"/>
            </w:tcBorders>
            <w:tcMar>
              <w:bottom w:w="100" w:type="dxa"/>
            </w:tcMar>
            <w:vAlign w:val="center"/>
          </w:tcPr>
          <w:p>
            <w:pPr>
              <w:pStyle w:val="TableContents"/>
              <w:bidi w:val="0"/>
              <w:spacing w:before="0" w:after="283"/>
              <w:jc w:val="center"/>
              <w:rPr/>
            </w:pPr>
            <w:r>
              <w:rPr/>
              <w:t>21,000</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5126" w:type="dxa"/>
            <w:gridSpan w:val="5"/>
            <w:tcBorders/>
            <w:vAlign w:val="center"/>
          </w:tcPr>
          <w:p>
            <w:pPr>
              <w:pStyle w:val="TableContents"/>
              <w:bidi w:val="0"/>
              <w:spacing w:before="0" w:after="283"/>
              <w:jc w:val="left"/>
              <w:rPr>
                <w:sz w:val="4"/>
                <w:szCs w:val="4"/>
              </w:rPr>
            </w:pPr>
            <w:r>
              <w:rPr>
                <w:sz w:val="4"/>
                <w:szCs w:val="4"/>
              </w:rPr>
            </w:r>
          </w:p>
        </w:tc>
        <w:tc>
          <w:tcPr>
            <w:tcW w:w="2366" w:type="dxa"/>
            <w:gridSpan w:val="5"/>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Frank A. Simuro </w:t>
            </w:r>
          </w:p>
          <w:p>
            <w:pPr>
              <w:pStyle w:val="TableContents"/>
              <w:bidi w:val="0"/>
              <w:spacing w:before="0" w:after="20"/>
              <w:jc w:val="left"/>
              <w:rPr>
                <w:rFonts w:ascii="ARIAL" w:hAnsi="ARIAL"/>
                <w:sz w:val="16"/>
              </w:rPr>
            </w:pPr>
            <w:r>
              <w:rPr>
                <w:rFonts w:ascii="ARIAL" w:hAnsi="ARIAL"/>
                <w:sz w:val="16"/>
              </w:rP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000000"/>
            </w:tcBorders>
            <w:tcMar>
              <w:bottom w:w="100" w:type="dxa"/>
            </w:tcMar>
            <w:vAlign w:val="center"/>
          </w:tcPr>
          <w:p>
            <w:pPr>
              <w:pStyle w:val="TableContents"/>
              <w:bidi w:val="0"/>
              <w:spacing w:before="0" w:after="283"/>
              <w:jc w:val="left"/>
              <w:rPr/>
            </w:pPr>
            <w:r>
              <w:rPr/>
              <w:t> </w:t>
            </w:r>
          </w:p>
        </w:tc>
        <w:tc>
          <w:tcPr>
            <w:tcW w:w="4517" w:type="dxa"/>
            <w:tcBorders>
              <w:bottom w:val="single" w:sz="6" w:space="0" w:color="000000"/>
            </w:tcBorders>
            <w:tcMar>
              <w:bottom w:w="100" w:type="dxa"/>
            </w:tcMar>
            <w:vAlign w:val="center"/>
          </w:tcPr>
          <w:p>
            <w:pPr>
              <w:pStyle w:val="TableContents"/>
              <w:bidi w:val="0"/>
              <w:spacing w:before="0" w:after="283"/>
              <w:jc w:val="center"/>
              <w:rPr/>
            </w:pPr>
            <w:r>
              <w:rPr/>
              <w:t>$2,200,000</w:t>
            </w:r>
          </w:p>
        </w:tc>
        <w:tc>
          <w:tcPr>
            <w:tcW w:w="24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1902" w:type="dxa"/>
            <w:tcBorders>
              <w:bottom w:val="single" w:sz="6" w:space="0" w:color="000000"/>
            </w:tcBorders>
            <w:tcMar>
              <w:bottom w:w="100" w:type="dxa"/>
            </w:tcMar>
            <w:vAlign w:val="center"/>
          </w:tcPr>
          <w:p>
            <w:pPr>
              <w:pStyle w:val="TableContents"/>
              <w:bidi w:val="0"/>
              <w:spacing w:before="0" w:after="283"/>
              <w:jc w:val="center"/>
              <w:rPr/>
            </w:pPr>
            <w:r>
              <w:rPr/>
              <w:t>28,100</w:t>
            </w:r>
          </w:p>
        </w:tc>
        <w:tc>
          <w:tcPr>
            <w:tcW w:w="211"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idi w:val="0"/>
        <w:spacing w:before="0" w:after="0"/>
        <w:jc w:val="left"/>
        <w:rPr>
          <w:rFonts w:ascii="ARIAL" w:hAnsi="ARIAL"/>
          <w:sz w:val="18"/>
          <w:bdr w:val="single" w:sz="2" w:space="2" w:color="DAEDFA"/>
          <w:shd w:fill="DAEDFA" w:val="clear"/>
        </w:rPr>
      </w:pPr>
      <w:r>
        <w:rPr>
          <w:rFonts w:ascii="ARIAL" w:hAnsi="ARIAL"/>
          <w:b/>
          <w:color w:val="0054BA"/>
          <w:sz w:val="18"/>
          <w:bdr w:val="single" w:sz="2" w:space="2" w:color="DAEDFA"/>
          <w:shd w:fill="DAEDFA" w:val="clear"/>
        </w:rPr>
        <w:t>Note for 2026:</w:t>
      </w:r>
      <w:r>
        <w:rPr>
          <w:rFonts w:ascii="ARIAL" w:hAnsi="ARIAL"/>
          <w:sz w:val="18"/>
          <w:bdr w:val="single" w:sz="2" w:space="2" w:color="DAEDFA"/>
          <w:shd w:fill="DAEDFA" w:val="clear"/>
        </w:rPr>
        <w:t xml:space="preserve"> Informed by stockholder feedback, the Compensation Committee updated the equity incentive plan design, increasing the emphasis on PSUs, and improving market alignment. Stockholders also shared their preference for enhanced rigor in goal setting and updated performance metrics, including a mix of per share and heavier weighted TSR with symmetrical ranges consistent with current market practices. In response, the Compensation Committee approved the updates detailed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1165"/>
        <w:gridCol w:w="120"/>
        <w:gridCol w:w="2195"/>
        <w:gridCol w:w="120"/>
        <w:gridCol w:w="23"/>
        <w:gridCol w:w="60"/>
        <w:gridCol w:w="735"/>
        <w:gridCol w:w="120"/>
        <w:gridCol w:w="23"/>
        <w:gridCol w:w="60"/>
        <w:gridCol w:w="2890"/>
        <w:gridCol w:w="154"/>
        <w:gridCol w:w="2282"/>
        <w:gridCol w:w="120"/>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83" w:type="dxa"/>
            <w:gridSpan w:val="6"/>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5386" w:type="dxa"/>
            <w:gridSpan w:val="4"/>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3623" w:type="dxa"/>
            <w:gridSpan w:val="5"/>
            <w:tcBorders/>
            <w:shd w:fill="E5E5E5" w:val="clear"/>
            <w:vAlign w:val="center"/>
          </w:tcPr>
          <w:p>
            <w:pPr>
              <w:pStyle w:val="TableContents"/>
              <w:bidi w:val="0"/>
              <w:spacing w:before="0" w:after="283"/>
              <w:jc w:val="center"/>
              <w:rPr>
                <w:b/>
                <w:sz w:val="22"/>
              </w:rPr>
            </w:pPr>
            <w:r>
              <w:rPr>
                <w:b/>
                <w:sz w:val="22"/>
              </w:rPr>
              <w:t>2025 DESIGN</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drawing>
                <wp:inline distT="0" distB="0" distL="0" distR="0">
                  <wp:extent cx="457200" cy="147955"/>
                  <wp:effectExtent l="0" t="0" r="0" b="0"/>
                  <wp:docPr id="346"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21" descr=""/>
                          <pic:cNvPicPr>
                            <a:picLocks noChangeAspect="1" noChangeArrowheads="1"/>
                          </pic:cNvPicPr>
                        </pic:nvPicPr>
                        <pic:blipFill>
                          <a:blip r:embed="rId333"/>
                          <a:stretch>
                            <a:fillRect/>
                          </a:stretch>
                        </pic:blipFill>
                        <pic:spPr bwMode="auto">
                          <a:xfrm>
                            <a:off x="0" y="0"/>
                            <a:ext cx="457200" cy="147955"/>
                          </a:xfrm>
                          <a:prstGeom prst="rect">
                            <a:avLst/>
                          </a:prstGeom>
                        </pic:spPr>
                      </pic:pic>
                    </a:graphicData>
                  </a:graphic>
                </wp:inline>
              </w:drawing>
            </w:r>
            <w:r>
              <w:rPr/>
              <w:t xml:space="preserve"> </w:t>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5326" w:type="dxa"/>
            <w:gridSpan w:val="3"/>
            <w:tcBorders/>
            <w:shd w:fill="DAEDFA" w:val="clear"/>
            <w:vAlign w:val="center"/>
          </w:tcPr>
          <w:p>
            <w:pPr>
              <w:pStyle w:val="TableContents"/>
              <w:bidi w:val="0"/>
              <w:spacing w:before="0" w:after="283"/>
              <w:jc w:val="center"/>
              <w:rPr>
                <w:b/>
                <w:sz w:val="22"/>
              </w:rPr>
            </w:pPr>
            <w:r>
              <w:rPr>
                <w:b/>
                <w:sz w:val="22"/>
              </w:rPr>
              <w:t>UPDATED DESIGN</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3683" w:type="dxa"/>
            <w:gridSpan w:val="6"/>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5386" w:type="dxa"/>
            <w:gridSpan w:val="4"/>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3623" w:type="dxa"/>
            <w:gridSpan w:val="5"/>
            <w:tcBorders/>
            <w:shd w:fill="E5E5E5" w:val="clear"/>
            <w:vAlign w:val="center"/>
          </w:tcPr>
          <w:p>
            <w:pPr>
              <w:pStyle w:val="TableContents"/>
              <w:bidi w:val="0"/>
              <w:spacing w:before="0" w:after="283"/>
              <w:jc w:val="center"/>
              <w:rPr/>
            </w:pPr>
            <w:r>
              <w:rPr/>
              <w:t>Weighting: 40%</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5326" w:type="dxa"/>
            <w:gridSpan w:val="3"/>
            <w:tcBorders/>
            <w:shd w:fill="DAEDFA" w:val="clear"/>
            <w:vAlign w:val="center"/>
          </w:tcPr>
          <w:p>
            <w:pPr>
              <w:pStyle w:val="TableContents"/>
              <w:bidi w:val="0"/>
              <w:spacing w:before="0" w:after="283"/>
              <w:jc w:val="center"/>
              <w:rPr/>
            </w:pPr>
            <w:r>
              <w:rPr/>
              <w:t>Weighting: 80% (CEO) | 60% (other NEOs)</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3540" w:type="dxa"/>
            <w:gridSpan w:val="4"/>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5386" w:type="dxa"/>
            <w:gridSpan w:val="4"/>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3480" w:type="dxa"/>
            <w:gridSpan w:val="3"/>
            <w:tcBorders>
              <w:bottom w:val="single" w:sz="6" w:space="0" w:color="000000"/>
            </w:tcBorders>
            <w:shd w:fill="E5E5E5" w:val="clear"/>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2025-2027 Revenue Metric (100%)</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5326" w:type="dxa"/>
            <w:gridSpan w:val="3"/>
            <w:tcBorders>
              <w:bottom w:val="single" w:sz="6" w:space="0" w:color="000000"/>
            </w:tcBorders>
            <w:shd w:fill="DAEDFA" w:val="clear"/>
            <w:tcMar>
              <w:bottom w:w="100" w:type="dxa"/>
            </w:tcMar>
            <w:vAlign w:val="center"/>
          </w:tcPr>
          <w:p>
            <w:pPr>
              <w:pStyle w:val="TableContents"/>
              <w:bidi w:val="0"/>
              <w:spacing w:before="0" w:after="283"/>
              <w:jc w:val="left"/>
              <w:rPr>
                <w:b/>
                <w:color w:val="0054BA"/>
              </w:rPr>
            </w:pPr>
            <w:r>
              <w:rPr>
                <w:b/>
                <w:color w:val="0054BA"/>
              </w:rPr>
              <w:t>Three-year Adjusted EPS Metric (75%)</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165" w:type="dxa"/>
            <w:tcBorders>
              <w:bottom w:val="single" w:sz="6" w:space="0" w:color="000000"/>
            </w:tcBorders>
            <w:shd w:fill="E5E5E5" w:val="clear"/>
            <w:tcMar>
              <w:bottom w:w="100" w:type="dxa"/>
            </w:tcMar>
            <w:vAlign w:val="center"/>
          </w:tcPr>
          <w:p>
            <w:pPr>
              <w:pStyle w:val="TableContents"/>
              <w:bidi w:val="0"/>
              <w:spacing w:before="0" w:after="0"/>
              <w:jc w:val="left"/>
              <w:rPr>
                <w:rFonts w:ascii="ARIAL" w:hAnsi="ARIAL"/>
                <w:sz w:val="18"/>
              </w:rPr>
            </w:pPr>
            <w:r>
              <w:rPr>
                <w:rFonts w:ascii="ARIAL" w:hAnsi="ARIAL"/>
                <w:sz w:val="18"/>
              </w:rPr>
              <w:t>Threshold (50% payout)</w:t>
            </w:r>
          </w:p>
        </w:tc>
        <w:tc>
          <w:tcPr>
            <w:tcW w:w="12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shd w:fill="E5E5E5" w:val="clear"/>
            <w:tcMar>
              <w:bottom w:w="100" w:type="dxa"/>
            </w:tcMar>
            <w:vAlign w:val="center"/>
          </w:tcPr>
          <w:p>
            <w:pPr>
              <w:pStyle w:val="TableContents"/>
              <w:bidi w:val="0"/>
              <w:spacing w:before="0" w:after="283"/>
              <w:jc w:val="left"/>
              <w:rPr/>
            </w:pPr>
            <w:r>
              <w:rPr/>
              <w:t>80% of Target</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890" w:type="dxa"/>
            <w:tcBorders>
              <w:bottom w:val="single" w:sz="6" w:space="0" w:color="000000"/>
            </w:tcBorders>
            <w:shd w:fill="DAEDFA" w:val="clear"/>
            <w:tcMar>
              <w:bottom w:w="100" w:type="dxa"/>
            </w:tcMar>
            <w:vAlign w:val="center"/>
          </w:tcPr>
          <w:p>
            <w:pPr>
              <w:pStyle w:val="TableContents"/>
              <w:bidi w:val="0"/>
              <w:spacing w:before="0" w:after="283"/>
              <w:jc w:val="left"/>
              <w:rPr/>
            </w:pPr>
            <w:r>
              <w:rPr/>
              <w:t>Threshold (50% payout)</w:t>
            </w:r>
          </w:p>
        </w:tc>
        <w:tc>
          <w:tcPr>
            <w:tcW w:w="154"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282" w:type="dxa"/>
            <w:tcBorders>
              <w:bottom w:val="single" w:sz="6" w:space="0" w:color="000000"/>
            </w:tcBorders>
            <w:shd w:fill="DAEDFA" w:val="clear"/>
            <w:tcMar>
              <w:bottom w:w="100" w:type="dxa"/>
            </w:tcMar>
            <w:vAlign w:val="center"/>
          </w:tcPr>
          <w:p>
            <w:pPr>
              <w:pStyle w:val="TableContents"/>
              <w:bidi w:val="0"/>
              <w:spacing w:before="0" w:after="283"/>
              <w:jc w:val="left"/>
              <w:rPr/>
            </w:pPr>
            <w:r>
              <w:rPr/>
              <w:t>90% of Target</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165" w:type="dxa"/>
            <w:tcBorders>
              <w:bottom w:val="single" w:sz="6" w:space="0" w:color="000000"/>
            </w:tcBorders>
            <w:shd w:fill="E5E5E5" w:val="clear"/>
            <w:tcMar>
              <w:bottom w:w="100" w:type="dxa"/>
            </w:tcMar>
            <w:vAlign w:val="center"/>
          </w:tcPr>
          <w:p>
            <w:pPr>
              <w:pStyle w:val="TableContents"/>
              <w:bidi w:val="0"/>
              <w:spacing w:before="0" w:after="0"/>
              <w:jc w:val="left"/>
              <w:rPr>
                <w:rFonts w:ascii="ARIAL" w:hAnsi="ARIAL"/>
                <w:sz w:val="18"/>
              </w:rPr>
            </w:pPr>
            <w:r>
              <w:rPr>
                <w:rFonts w:ascii="ARIAL" w:hAnsi="ARIAL"/>
                <w:sz w:val="18"/>
              </w:rPr>
              <w:t>Target (100% payout)</w:t>
            </w:r>
          </w:p>
        </w:tc>
        <w:tc>
          <w:tcPr>
            <w:tcW w:w="12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shd w:fill="E5E5E5" w:val="clear"/>
            <w:tcMar>
              <w:bottom w:w="100" w:type="dxa"/>
            </w:tcMar>
            <w:vAlign w:val="center"/>
          </w:tcPr>
          <w:p>
            <w:pPr>
              <w:pStyle w:val="TableContents"/>
              <w:bidi w:val="0"/>
              <w:spacing w:before="0" w:after="283"/>
              <w:jc w:val="left"/>
              <w:rPr/>
            </w:pPr>
            <w:r>
              <w:rPr/>
              <w:t>100% of Revenue goal</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890" w:type="dxa"/>
            <w:tcBorders>
              <w:bottom w:val="single" w:sz="6" w:space="0" w:color="000000"/>
            </w:tcBorders>
            <w:shd w:fill="DAEDFA" w:val="clear"/>
            <w:tcMar>
              <w:bottom w:w="100" w:type="dxa"/>
            </w:tcMar>
            <w:vAlign w:val="center"/>
          </w:tcPr>
          <w:p>
            <w:pPr>
              <w:pStyle w:val="TableContents"/>
              <w:bidi w:val="0"/>
              <w:spacing w:before="0" w:after="283"/>
              <w:jc w:val="left"/>
              <w:rPr/>
            </w:pPr>
            <w:r>
              <w:rPr/>
              <w:t>Target (100% payout)</w:t>
            </w:r>
          </w:p>
        </w:tc>
        <w:tc>
          <w:tcPr>
            <w:tcW w:w="154"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282" w:type="dxa"/>
            <w:tcBorders>
              <w:bottom w:val="single" w:sz="6" w:space="0" w:color="000000"/>
            </w:tcBorders>
            <w:shd w:fill="DAEDFA" w:val="clear"/>
            <w:tcMar>
              <w:bottom w:w="100" w:type="dxa"/>
            </w:tcMar>
            <w:vAlign w:val="center"/>
          </w:tcPr>
          <w:p>
            <w:pPr>
              <w:pStyle w:val="TableContents"/>
              <w:bidi w:val="0"/>
              <w:spacing w:before="0" w:after="283"/>
              <w:jc w:val="left"/>
              <w:rPr/>
            </w:pPr>
            <w:r>
              <w:rPr/>
              <w:t>100% of EPS goal</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165" w:type="dxa"/>
            <w:tcBorders>
              <w:bottom w:val="single" w:sz="6" w:space="0" w:color="000000"/>
            </w:tcBorders>
            <w:shd w:fill="E5E5E5" w:val="clear"/>
            <w:tcMar>
              <w:bottom w:w="100" w:type="dxa"/>
            </w:tcMar>
            <w:vAlign w:val="center"/>
          </w:tcPr>
          <w:p>
            <w:pPr>
              <w:pStyle w:val="TableContents"/>
              <w:bidi w:val="0"/>
              <w:spacing w:before="0" w:after="0"/>
              <w:jc w:val="left"/>
              <w:rPr>
                <w:rFonts w:ascii="ARIAL" w:hAnsi="ARIAL"/>
                <w:sz w:val="18"/>
              </w:rPr>
            </w:pPr>
            <w:r>
              <w:rPr>
                <w:rFonts w:ascii="ARIAL" w:hAnsi="ARIAL"/>
                <w:sz w:val="18"/>
              </w:rPr>
              <w:t>Max (200% payout)</w:t>
            </w:r>
          </w:p>
        </w:tc>
        <w:tc>
          <w:tcPr>
            <w:tcW w:w="12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shd w:fill="E5E5E5" w:val="clear"/>
            <w:tcMar>
              <w:bottom w:w="100" w:type="dxa"/>
            </w:tcMar>
            <w:vAlign w:val="center"/>
          </w:tcPr>
          <w:p>
            <w:pPr>
              <w:pStyle w:val="TableContents"/>
              <w:bidi w:val="0"/>
              <w:spacing w:before="0" w:after="283"/>
              <w:jc w:val="left"/>
              <w:rPr/>
            </w:pPr>
            <w:r>
              <w:rPr/>
              <w:t>102% of Target</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890" w:type="dxa"/>
            <w:tcBorders>
              <w:bottom w:val="single" w:sz="6" w:space="0" w:color="000000"/>
            </w:tcBorders>
            <w:shd w:fill="DAEDFA" w:val="clear"/>
            <w:tcMar>
              <w:bottom w:w="100" w:type="dxa"/>
            </w:tcMar>
            <w:vAlign w:val="center"/>
          </w:tcPr>
          <w:p>
            <w:pPr>
              <w:pStyle w:val="TableContents"/>
              <w:bidi w:val="0"/>
              <w:spacing w:before="0" w:after="283"/>
              <w:jc w:val="left"/>
              <w:rPr/>
            </w:pPr>
            <w:r>
              <w:rPr/>
              <w:t>Max (200% payout)</w:t>
            </w:r>
          </w:p>
        </w:tc>
        <w:tc>
          <w:tcPr>
            <w:tcW w:w="154"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282" w:type="dxa"/>
            <w:tcBorders>
              <w:bottom w:val="single" w:sz="6" w:space="0" w:color="000000"/>
            </w:tcBorders>
            <w:shd w:fill="DAEDFA" w:val="clear"/>
            <w:tcMar>
              <w:bottom w:w="100" w:type="dxa"/>
            </w:tcMar>
            <w:vAlign w:val="center"/>
          </w:tcPr>
          <w:p>
            <w:pPr>
              <w:pStyle w:val="TableContents"/>
              <w:bidi w:val="0"/>
              <w:spacing w:before="0" w:after="283"/>
              <w:jc w:val="left"/>
              <w:rPr/>
            </w:pPr>
            <w:r>
              <w:rPr/>
              <w:t>110% of Target</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6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890" w:type="dxa"/>
            <w:tcBorders>
              <w:bottom w:val="single" w:sz="6" w:space="0" w:color="000000"/>
            </w:tcBorders>
            <w:shd w:fill="DAEDFA" w:val="clear"/>
            <w:tcMar>
              <w:bottom w:w="100" w:type="dxa"/>
            </w:tcMar>
            <w:vAlign w:val="center"/>
          </w:tcPr>
          <w:p>
            <w:pPr>
              <w:pStyle w:val="TableContents"/>
              <w:bidi w:val="0"/>
              <w:spacing w:before="0" w:after="283"/>
              <w:jc w:val="left"/>
              <w:rPr/>
            </w:pPr>
            <w:r>
              <w:rPr/>
              <w:t>Super Stretch (250% payout)(1)</w:t>
            </w:r>
          </w:p>
        </w:tc>
        <w:tc>
          <w:tcPr>
            <w:tcW w:w="154"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282" w:type="dxa"/>
            <w:tcBorders>
              <w:bottom w:val="single" w:sz="6" w:space="0" w:color="000000"/>
            </w:tcBorders>
            <w:shd w:fill="DAEDFA"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115% of Target</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3540" w:type="dxa"/>
            <w:gridSpan w:val="4"/>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5386" w:type="dxa"/>
            <w:gridSpan w:val="4"/>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3480" w:type="dxa"/>
            <w:gridSpan w:val="3"/>
            <w:tcBorders>
              <w:bottom w:val="single" w:sz="6" w:space="0" w:color="000000"/>
            </w:tcBorders>
            <w:shd w:fill="E5E5E5" w:val="clear"/>
            <w:tcMar>
              <w:bottom w:w="100" w:type="dxa"/>
            </w:tcMar>
            <w:vAlign w:val="center"/>
          </w:tcPr>
          <w:p>
            <w:pPr>
              <w:pStyle w:val="TableContents"/>
              <w:bidi w:val="0"/>
              <w:spacing w:before="0" w:after="0"/>
              <w:jc w:val="left"/>
              <w:rPr>
                <w:rFonts w:ascii="ARIAL" w:hAnsi="ARIAL"/>
                <w:b/>
                <w:color w:val="0054BA"/>
                <w:sz w:val="18"/>
              </w:rPr>
            </w:pPr>
            <w:r>
              <w:rPr>
                <w:rFonts w:ascii="ARIAL" w:hAnsi="ARIAL"/>
                <w:b/>
                <w:color w:val="0054BA"/>
                <w:sz w:val="18"/>
              </w:rPr>
              <w:t>Relative TSR Modifier</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5326" w:type="dxa"/>
            <w:gridSpan w:val="3"/>
            <w:tcBorders>
              <w:bottom w:val="single" w:sz="6" w:space="0" w:color="000000"/>
            </w:tcBorders>
            <w:shd w:fill="DAEDFA" w:val="clear"/>
            <w:tcMar>
              <w:bottom w:w="100" w:type="dxa"/>
            </w:tcMar>
            <w:vAlign w:val="center"/>
          </w:tcPr>
          <w:p>
            <w:pPr>
              <w:pStyle w:val="TableContents"/>
              <w:bidi w:val="0"/>
              <w:spacing w:before="0" w:after="283"/>
              <w:jc w:val="left"/>
              <w:rPr>
                <w:b/>
                <w:color w:val="0054BA"/>
              </w:rPr>
            </w:pPr>
            <w:r>
              <w:rPr>
                <w:b/>
                <w:color w:val="0054BA"/>
              </w:rPr>
              <w:t>Relative TSR Metric (25%)</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165" w:type="dxa"/>
            <w:tcBorders>
              <w:bottom w:val="single" w:sz="6" w:space="0" w:color="000000"/>
            </w:tcBorders>
            <w:shd w:fill="E5E5E5" w:val="clear"/>
            <w:tcMar>
              <w:bottom w:w="100" w:type="dxa"/>
            </w:tcMar>
            <w:vAlign w:val="center"/>
          </w:tcPr>
          <w:p>
            <w:pPr>
              <w:pStyle w:val="TableContents"/>
              <w:bidi w:val="0"/>
              <w:spacing w:before="0" w:after="0"/>
              <w:jc w:val="left"/>
              <w:rPr>
                <w:rFonts w:ascii="ARIAL" w:hAnsi="ARIAL"/>
                <w:sz w:val="18"/>
              </w:rPr>
            </w:pPr>
            <w:r>
              <w:rPr>
                <w:rFonts w:ascii="ARIAL" w:hAnsi="ARIAL"/>
                <w:sz w:val="18"/>
              </w:rPr>
              <w:t>Threshold (80% modifier)</w:t>
            </w:r>
          </w:p>
        </w:tc>
        <w:tc>
          <w:tcPr>
            <w:tcW w:w="12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shd w:fill="E5E5E5" w:val="clear"/>
            <w:tcMar>
              <w:bottom w:w="100" w:type="dxa"/>
            </w:tcMar>
            <w:vAlign w:val="center"/>
          </w:tcPr>
          <w:p>
            <w:pPr>
              <w:pStyle w:val="TableContents"/>
              <w:bidi w:val="0"/>
              <w:spacing w:before="0" w:after="283"/>
              <w:jc w:val="left"/>
              <w:rPr/>
            </w:pPr>
            <w:r>
              <w:rPr/>
              <w:t>25th percentile</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890" w:type="dxa"/>
            <w:tcBorders>
              <w:bottom w:val="single" w:sz="6" w:space="0" w:color="000000"/>
            </w:tcBorders>
            <w:shd w:fill="DAEDFA" w:val="clear"/>
            <w:tcMar>
              <w:bottom w:w="100" w:type="dxa"/>
            </w:tcMar>
            <w:vAlign w:val="center"/>
          </w:tcPr>
          <w:p>
            <w:pPr>
              <w:pStyle w:val="TableContents"/>
              <w:bidi w:val="0"/>
              <w:spacing w:before="0" w:after="283"/>
              <w:jc w:val="left"/>
              <w:rPr/>
            </w:pPr>
            <w:r>
              <w:rPr/>
              <w:t>Threshold (50% payout)</w:t>
            </w:r>
          </w:p>
        </w:tc>
        <w:tc>
          <w:tcPr>
            <w:tcW w:w="154"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282" w:type="dxa"/>
            <w:tcBorders>
              <w:bottom w:val="single" w:sz="6" w:space="0" w:color="000000"/>
            </w:tcBorders>
            <w:shd w:fill="DAEDFA" w:val="clear"/>
            <w:tcMar>
              <w:bottom w:w="100" w:type="dxa"/>
            </w:tcMar>
            <w:vAlign w:val="center"/>
          </w:tcPr>
          <w:p>
            <w:pPr>
              <w:pStyle w:val="TableContents"/>
              <w:bidi w:val="0"/>
              <w:spacing w:before="0" w:after="283"/>
              <w:jc w:val="left"/>
              <w:rPr/>
            </w:pPr>
            <w:r>
              <w:rPr/>
              <w:t>30th percentile</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165" w:type="dxa"/>
            <w:tcBorders>
              <w:bottom w:val="single" w:sz="6" w:space="0" w:color="000000"/>
            </w:tcBorders>
            <w:shd w:fill="E5E5E5" w:val="clear"/>
            <w:tcMar>
              <w:bottom w:w="100" w:type="dxa"/>
            </w:tcMar>
            <w:vAlign w:val="center"/>
          </w:tcPr>
          <w:p>
            <w:pPr>
              <w:pStyle w:val="TableContents"/>
              <w:bidi w:val="0"/>
              <w:spacing w:before="0" w:after="0"/>
              <w:jc w:val="left"/>
              <w:rPr>
                <w:rFonts w:ascii="ARIAL" w:hAnsi="ARIAL"/>
                <w:sz w:val="18"/>
              </w:rPr>
            </w:pPr>
            <w:r>
              <w:rPr>
                <w:rFonts w:ascii="ARIAL" w:hAnsi="ARIAL"/>
                <w:sz w:val="18"/>
              </w:rPr>
              <w:t>Target (100% modifier)</w:t>
            </w:r>
          </w:p>
        </w:tc>
        <w:tc>
          <w:tcPr>
            <w:tcW w:w="12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shd w:fill="E5E5E5" w:val="clear"/>
            <w:tcMar>
              <w:bottom w:w="100" w:type="dxa"/>
            </w:tcMar>
            <w:vAlign w:val="center"/>
          </w:tcPr>
          <w:p>
            <w:pPr>
              <w:pStyle w:val="TableContents"/>
              <w:bidi w:val="0"/>
              <w:spacing w:before="0" w:after="283"/>
              <w:jc w:val="left"/>
              <w:rPr/>
            </w:pPr>
            <w:r>
              <w:rPr/>
              <w:t>50th percentile</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890" w:type="dxa"/>
            <w:tcBorders>
              <w:bottom w:val="single" w:sz="6" w:space="0" w:color="000000"/>
            </w:tcBorders>
            <w:shd w:fill="DAEDFA" w:val="clear"/>
            <w:tcMar>
              <w:bottom w:w="100" w:type="dxa"/>
            </w:tcMar>
            <w:vAlign w:val="center"/>
          </w:tcPr>
          <w:p>
            <w:pPr>
              <w:pStyle w:val="TableContents"/>
              <w:bidi w:val="0"/>
              <w:spacing w:before="0" w:after="283"/>
              <w:jc w:val="left"/>
              <w:rPr/>
            </w:pPr>
            <w:r>
              <w:rPr/>
              <w:t>Target (100% payout)</w:t>
            </w:r>
          </w:p>
        </w:tc>
        <w:tc>
          <w:tcPr>
            <w:tcW w:w="154"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282" w:type="dxa"/>
            <w:tcBorders>
              <w:bottom w:val="single" w:sz="6" w:space="0" w:color="000000"/>
            </w:tcBorders>
            <w:shd w:fill="DAEDFA" w:val="clear"/>
            <w:tcMar>
              <w:bottom w:w="100" w:type="dxa"/>
            </w:tcMar>
            <w:vAlign w:val="center"/>
          </w:tcPr>
          <w:p>
            <w:pPr>
              <w:pStyle w:val="TableContents"/>
              <w:bidi w:val="0"/>
              <w:spacing w:before="0" w:after="283"/>
              <w:jc w:val="left"/>
              <w:rPr/>
            </w:pPr>
            <w:r>
              <w:rPr/>
              <w:t>55th percentile</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165" w:type="dxa"/>
            <w:tcBorders>
              <w:bottom w:val="single" w:sz="6" w:space="0" w:color="000000"/>
            </w:tcBorders>
            <w:shd w:fill="E5E5E5" w:val="clear"/>
            <w:tcMar>
              <w:bottom w:w="100" w:type="dxa"/>
            </w:tcMar>
            <w:vAlign w:val="center"/>
          </w:tcPr>
          <w:p>
            <w:pPr>
              <w:pStyle w:val="TableContents"/>
              <w:bidi w:val="0"/>
              <w:spacing w:before="0" w:after="0"/>
              <w:jc w:val="left"/>
              <w:rPr>
                <w:rFonts w:ascii="ARIAL" w:hAnsi="ARIAL"/>
                <w:sz w:val="18"/>
              </w:rPr>
            </w:pPr>
            <w:r>
              <w:rPr>
                <w:rFonts w:ascii="ARIAL" w:hAnsi="ARIAL"/>
                <w:sz w:val="18"/>
              </w:rPr>
              <w:t>Max (120% modifier)</w:t>
            </w:r>
          </w:p>
        </w:tc>
        <w:tc>
          <w:tcPr>
            <w:tcW w:w="12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shd w:fill="E5E5E5" w:val="clear"/>
            <w:tcMar>
              <w:bottom w:w="100" w:type="dxa"/>
            </w:tcMar>
            <w:vAlign w:val="center"/>
          </w:tcPr>
          <w:p>
            <w:pPr>
              <w:pStyle w:val="TableContents"/>
              <w:bidi w:val="0"/>
              <w:spacing w:before="0" w:after="283"/>
              <w:jc w:val="left"/>
              <w:rPr/>
            </w:pPr>
            <w:r>
              <w:rPr/>
              <w:t>75th percentile</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890" w:type="dxa"/>
            <w:tcBorders>
              <w:bottom w:val="single" w:sz="6" w:space="0" w:color="000000"/>
            </w:tcBorders>
            <w:shd w:fill="DAEDFA" w:val="clear"/>
            <w:tcMar>
              <w:bottom w:w="100" w:type="dxa"/>
            </w:tcMar>
            <w:vAlign w:val="center"/>
          </w:tcPr>
          <w:p>
            <w:pPr>
              <w:pStyle w:val="TableContents"/>
              <w:bidi w:val="0"/>
              <w:spacing w:before="0" w:after="283"/>
              <w:jc w:val="left"/>
              <w:rPr/>
            </w:pPr>
            <w:r>
              <w:rPr/>
              <w:t>Max (200% payout)(2)</w:t>
            </w:r>
          </w:p>
        </w:tc>
        <w:tc>
          <w:tcPr>
            <w:tcW w:w="154"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282" w:type="dxa"/>
            <w:tcBorders>
              <w:bottom w:val="single" w:sz="6" w:space="0" w:color="000000"/>
            </w:tcBorders>
            <w:shd w:fill="DAEDFA" w:val="clear"/>
            <w:tcMar>
              <w:bottom w:w="100" w:type="dxa"/>
            </w:tcMar>
            <w:vAlign w:val="center"/>
          </w:tcPr>
          <w:p>
            <w:pPr>
              <w:pStyle w:val="TableContents"/>
              <w:bidi w:val="0"/>
              <w:spacing w:before="0" w:after="283"/>
              <w:jc w:val="left"/>
              <w:rPr/>
            </w:pPr>
            <w:r>
              <w:rPr/>
              <w:t>80th percentile</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6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890" w:type="dxa"/>
            <w:tcBorders>
              <w:bottom w:val="single" w:sz="6" w:space="0" w:color="000000"/>
            </w:tcBorders>
            <w:shd w:fill="DAEDFA" w:val="clear"/>
            <w:tcMar>
              <w:bottom w:w="100" w:type="dxa"/>
            </w:tcMar>
            <w:vAlign w:val="center"/>
          </w:tcPr>
          <w:p>
            <w:pPr>
              <w:pStyle w:val="TableContents"/>
              <w:bidi w:val="0"/>
              <w:spacing w:before="0" w:after="283"/>
              <w:jc w:val="left"/>
              <w:rPr/>
            </w:pPr>
            <w:r>
              <w:rPr/>
              <w:t>Super Stretch (250% payout)(1),(2)</w:t>
            </w:r>
          </w:p>
        </w:tc>
        <w:tc>
          <w:tcPr>
            <w:tcW w:w="154" w:type="dxa"/>
            <w:tcBorders>
              <w:bottom w:val="single" w:sz="6" w:space="0" w:color="000000"/>
            </w:tcBorders>
            <w:shd w:fill="DAEDFA" w:val="clear"/>
            <w:tcMar>
              <w:bottom w:w="28" w:type="dxa"/>
            </w:tcMar>
            <w:vAlign w:val="center"/>
          </w:tcPr>
          <w:p>
            <w:pPr>
              <w:pStyle w:val="TableContents"/>
              <w:bidi w:val="0"/>
              <w:spacing w:before="0" w:after="283"/>
              <w:jc w:val="left"/>
              <w:rPr/>
            </w:pPr>
            <w:r>
              <w:rPr/>
              <w:t>  </w:t>
            </w:r>
          </w:p>
        </w:tc>
        <w:tc>
          <w:tcPr>
            <w:tcW w:w="2282" w:type="dxa"/>
            <w:tcBorders>
              <w:bottom w:val="single" w:sz="6" w:space="0" w:color="000000"/>
            </w:tcBorders>
            <w:shd w:fill="DAEDFA"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90th percentile</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5386" w:type="dxa"/>
            <w:gridSpan w:val="4"/>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6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5326" w:type="dxa"/>
            <w:gridSpan w:val="3"/>
            <w:tcBorders/>
            <w:shd w:fill="DAEDFA" w:val="clear"/>
            <w:vAlign w:val="center"/>
          </w:tcPr>
          <w:p>
            <w:pPr>
              <w:pStyle w:val="TableContents"/>
              <w:bidi w:val="0"/>
              <w:spacing w:before="0" w:after="0"/>
              <w:jc w:val="left"/>
              <w:rPr/>
            </w:pPr>
            <w:r>
              <w:rPr/>
              <w:t> </w:t>
            </w:r>
          </w:p>
          <w:p>
            <w:pPr>
              <w:pStyle w:val="TableContents"/>
              <w:bidi w:val="0"/>
              <w:spacing w:before="0" w:after="0"/>
              <w:jc w:val="left"/>
              <w:rPr>
                <w:rFonts w:ascii="ARIAL" w:hAnsi="ARIAL"/>
                <w:i/>
                <w:sz w:val="16"/>
              </w:rPr>
            </w:pPr>
            <w:r>
              <w:rPr>
                <w:rFonts w:ascii="ARIAL" w:hAnsi="ARIAL"/>
                <w:i/>
                <w:sz w:val="16"/>
              </w:rPr>
              <w:t>(1)  Payout above 200% achievable only if “Super Stretch” target is reached. (There is no interpolation for performance between Max and Super Stretch)</w:t>
            </w:r>
          </w:p>
          <w:p>
            <w:pPr>
              <w:pStyle w:val="TableContents"/>
              <w:bidi w:val="0"/>
              <w:spacing w:before="0" w:after="20"/>
              <w:jc w:val="left"/>
              <w:rPr>
                <w:rFonts w:ascii="ARIAL" w:hAnsi="ARIAL"/>
                <w:i/>
                <w:sz w:val="16"/>
              </w:rPr>
            </w:pPr>
            <w:r>
              <w:rPr>
                <w:rFonts w:ascii="ARIAL" w:hAnsi="ARIAL"/>
                <w:i/>
                <w:sz w:val="16"/>
              </w:rPr>
              <w:t xml:space="preserve">(2)  TSR payout is </w:t>
            </w:r>
            <w:r>
              <w:rPr>
                <w:rFonts w:ascii="ARIAL" w:hAnsi="ARIAL"/>
                <w:i/>
                <w:sz w:val="16"/>
                <w:u w:val="single"/>
              </w:rPr>
              <w:t>capped at 100%</w:t>
            </w:r>
            <w:r>
              <w:rPr>
                <w:rFonts w:ascii="ARIAL" w:hAnsi="ARIAL"/>
                <w:i/>
                <w:sz w:val="16"/>
              </w:rPr>
              <w:t xml:space="preserve"> if absolute TSR for the period is negative</w:t>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25" w:type="dxa"/>
            <w:gridSpan w:val="2"/>
            <w:tcBorders/>
            <w:shd w:fill="E5E5E5" w:val="clear"/>
            <w:vAlign w:val="center"/>
          </w:tcPr>
          <w:p>
            <w:pPr>
              <w:pStyle w:val="TableContents"/>
              <w:bidi w:val="0"/>
              <w:spacing w:before="0" w:after="283"/>
              <w:jc w:val="left"/>
              <w:rPr>
                <w:sz w:val="4"/>
                <w:szCs w:val="4"/>
              </w:rPr>
            </w:pPr>
            <w:r>
              <w:rPr>
                <w:sz w:val="4"/>
                <w:szCs w:val="4"/>
              </w:rPr>
            </w:r>
          </w:p>
        </w:tc>
        <w:tc>
          <w:tcPr>
            <w:tcW w:w="2315" w:type="dxa"/>
            <w:gridSpan w:val="2"/>
            <w:tcBorders/>
            <w:shd w:fill="E5E5E5" w:val="clear"/>
            <w:vAlign w:val="center"/>
          </w:tcPr>
          <w:p>
            <w:pPr>
              <w:pStyle w:val="TableContents"/>
              <w:bidi w:val="0"/>
              <w:spacing w:before="0" w:after="283"/>
              <w:jc w:val="left"/>
              <w:rPr>
                <w:sz w:val="4"/>
                <w:szCs w:val="4"/>
              </w:rPr>
            </w:pPr>
            <w:r>
              <w:rPr>
                <w:sz w:val="4"/>
                <w:szCs w:val="4"/>
              </w:rPr>
            </w:r>
          </w:p>
        </w:tc>
        <w:tc>
          <w:tcPr>
            <w:tcW w:w="143" w:type="dxa"/>
            <w:gridSpan w:val="2"/>
            <w:tcBorders/>
            <w:shd w:fill="E5E5E5" w:val="clear"/>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shd w:fill="DAEDFA" w:val="clear"/>
            <w:vAlign w:val="center"/>
          </w:tcPr>
          <w:p>
            <w:pPr>
              <w:pStyle w:val="TableContents"/>
              <w:bidi w:val="0"/>
              <w:spacing w:before="0" w:after="283"/>
              <w:jc w:val="left"/>
              <w:rPr>
                <w:sz w:val="4"/>
                <w:szCs w:val="4"/>
              </w:rPr>
            </w:pPr>
            <w:r>
              <w:rPr>
                <w:sz w:val="4"/>
                <w:szCs w:val="4"/>
              </w:rPr>
            </w:r>
          </w:p>
        </w:tc>
        <w:tc>
          <w:tcPr>
            <w:tcW w:w="2950" w:type="dxa"/>
            <w:gridSpan w:val="2"/>
            <w:tcBorders/>
            <w:shd w:fill="DAEDFA" w:val="clear"/>
            <w:vAlign w:val="center"/>
          </w:tcPr>
          <w:p>
            <w:pPr>
              <w:pStyle w:val="TableContents"/>
              <w:bidi w:val="0"/>
              <w:spacing w:before="0" w:after="283"/>
              <w:jc w:val="left"/>
              <w:rPr>
                <w:sz w:val="4"/>
                <w:szCs w:val="4"/>
              </w:rPr>
            </w:pPr>
            <w:r>
              <w:rPr>
                <w:sz w:val="4"/>
                <w:szCs w:val="4"/>
              </w:rPr>
            </w:r>
          </w:p>
        </w:tc>
        <w:tc>
          <w:tcPr>
            <w:tcW w:w="2436" w:type="dxa"/>
            <w:gridSpan w:val="2"/>
            <w:tcBorders/>
            <w:shd w:fill="DAEDFA" w:val="clear"/>
            <w:vAlign w:val="center"/>
          </w:tcPr>
          <w:p>
            <w:pPr>
              <w:pStyle w:val="TableContents"/>
              <w:bidi w:val="0"/>
              <w:spacing w:before="0" w:after="283"/>
              <w:jc w:val="left"/>
              <w:rPr>
                <w:sz w:val="4"/>
                <w:szCs w:val="4"/>
              </w:rPr>
            </w:pPr>
            <w:r>
              <w:rPr>
                <w:sz w:val="4"/>
                <w:szCs w:val="4"/>
              </w:rPr>
            </w:r>
          </w:p>
        </w:tc>
        <w:tc>
          <w:tcPr>
            <w:tcW w:w="160"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38"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6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60" w:type="dxa"/>
            <w:tcBorders/>
            <w:shd w:fill="DAEDFA" w:val="clear"/>
            <w:vAlign w:val="center"/>
          </w:tcPr>
          <w:p>
            <w:pPr>
              <w:pStyle w:val="TableContents"/>
              <w:bidi w:val="0"/>
              <w:spacing w:before="0" w:after="283"/>
              <w:jc w:val="left"/>
              <w:rPr/>
            </w:pPr>
            <w:r>
              <w:rPr/>
              <w:t> </w:t>
            </w:r>
          </w:p>
        </w:tc>
        <w:tc>
          <w:tcPr>
            <w:tcW w:w="2890" w:type="dxa"/>
            <w:tcBorders/>
            <w:shd w:fill="DAEDFA" w:val="clear"/>
            <w:vAlign w:val="center"/>
          </w:tcPr>
          <w:p>
            <w:pPr>
              <w:pStyle w:val="TableContents"/>
              <w:bidi w:val="0"/>
              <w:spacing w:before="0" w:after="283"/>
              <w:jc w:val="left"/>
              <w:rPr>
                <w:sz w:val="4"/>
                <w:szCs w:val="4"/>
              </w:rPr>
            </w:pPr>
            <w:r>
              <w:rPr>
                <w:sz w:val="4"/>
                <w:szCs w:val="4"/>
              </w:rPr>
            </w:r>
          </w:p>
        </w:tc>
        <w:tc>
          <w:tcPr>
            <w:tcW w:w="154" w:type="dxa"/>
            <w:tcBorders/>
            <w:shd w:fill="DAEDFA" w:val="clear"/>
            <w:vAlign w:val="center"/>
          </w:tcPr>
          <w:p>
            <w:pPr>
              <w:pStyle w:val="TableContents"/>
              <w:bidi w:val="0"/>
              <w:spacing w:before="0" w:after="283"/>
              <w:jc w:val="left"/>
              <w:rPr/>
            </w:pPr>
            <w:r>
              <w:rPr/>
              <w:t>  </w:t>
            </w:r>
          </w:p>
        </w:tc>
        <w:tc>
          <w:tcPr>
            <w:tcW w:w="2282" w:type="dxa"/>
            <w:tcBorders/>
            <w:shd w:fill="DAEDFA" w:val="clear"/>
            <w:vAlign w:val="center"/>
          </w:tcPr>
          <w:p>
            <w:pPr>
              <w:pStyle w:val="TableContents"/>
              <w:bidi w:val="0"/>
              <w:spacing w:before="0" w:after="283"/>
              <w:jc w:val="left"/>
              <w:rPr>
                <w:sz w:val="4"/>
                <w:szCs w:val="4"/>
              </w:rPr>
            </w:pPr>
            <w:r>
              <w:rPr>
                <w:sz w:val="4"/>
                <w:szCs w:val="4"/>
              </w:rPr>
            </w:r>
          </w:p>
        </w:tc>
        <w:tc>
          <w:tcPr>
            <w:tcW w:w="120" w:type="dxa"/>
            <w:tcBorders/>
            <w:shd w:fill="DAEDFA" w:val="clear"/>
            <w:vAlign w:val="center"/>
          </w:tcPr>
          <w:p>
            <w:pPr>
              <w:pStyle w:val="TableContents"/>
              <w:bidi w:val="0"/>
              <w:spacing w:before="0" w:after="283"/>
              <w:jc w:val="left"/>
              <w:rPr/>
            </w:pPr>
            <w:r>
              <w:rPr/>
              <w:t>  </w:t>
            </w:r>
          </w:p>
        </w:tc>
        <w:tc>
          <w:tcPr>
            <w:tcW w:w="40" w:type="dxa"/>
            <w:tcBorders/>
            <w:shd w:fill="DAEDFA"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sz w:val="20"/>
        </w:rPr>
      </w:pPr>
      <w:r>
        <w:rPr>
          <w:rFonts w:ascii="ARIAL" w:hAnsi="ARIAL"/>
          <w:b/>
          <w:sz w:val="20"/>
        </w:rPr>
        <w:t xml:space="preserve">SETTLEMENT OF PRIOR THREE-YEAR PERFORMANCE STOCK AWARDS </w:t>
      </w:r>
    </w:p>
    <w:p>
      <w:pPr>
        <w:pStyle w:val="TextBody"/>
        <w:bidi w:val="0"/>
        <w:spacing w:before="80" w:after="0"/>
        <w:jc w:val="left"/>
        <w:rPr>
          <w:rFonts w:ascii="ARIAL" w:hAnsi="ARIAL"/>
          <w:sz w:val="18"/>
        </w:rPr>
      </w:pPr>
      <w:r>
        <w:rPr>
          <w:rFonts w:ascii="ARIAL" w:hAnsi="ARIAL"/>
          <w:sz w:val="18"/>
        </w:rPr>
        <w:t xml:space="preserve">In prior years, the Company disclosed the settlement of Three-Year Performance Stock Awards based on the year in which payouts were approved and made. At the beginning of this year, the Company is aligning its disclosure with more standard practice by reporting the 3-Year Performance Stock Awards based on the completion of the applicable performance period. As a result, this year’s disclosure includes both the 2023–2025 performance stock awards for which the performance period concluded in 2025 and the 2022–2024 performance-based stock awards approved for payout in 2025.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47"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22" descr=""/>
                          <pic:cNvPicPr>
                            <a:picLocks noChangeAspect="1" noChangeArrowheads="1"/>
                          </pic:cNvPicPr>
                        </pic:nvPicPr>
                        <pic:blipFill>
                          <a:blip r:embed="rId33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20" w:after="0"/>
        <w:jc w:val="left"/>
        <w:rPr>
          <w:rFonts w:ascii="ARIAL" w:hAnsi="ARIAL"/>
          <w:b/>
          <w:color w:val="0054BA"/>
          <w:sz w:val="18"/>
        </w:rPr>
      </w:pPr>
      <w:r>
        <w:rPr>
          <w:rFonts w:ascii="ARIAL" w:hAnsi="ARIAL"/>
          <w:b/>
          <w:color w:val="0054BA"/>
          <w:sz w:val="18"/>
        </w:rPr>
        <w:t xml:space="preserve">Settlement of 2023-2025 Performance Stock Awards </w:t>
      </w:r>
    </w:p>
    <w:p>
      <w:pPr>
        <w:pStyle w:val="TextBody"/>
        <w:bidi w:val="0"/>
        <w:spacing w:before="80" w:after="0"/>
        <w:jc w:val="left"/>
        <w:rPr>
          <w:rFonts w:ascii="ARIAL" w:hAnsi="ARIAL"/>
          <w:sz w:val="18"/>
        </w:rPr>
      </w:pPr>
      <w:r>
        <w:rPr>
          <w:rFonts w:ascii="ARIAL" w:hAnsi="ARIAL"/>
          <w:sz w:val="18"/>
        </w:rPr>
        <w:t xml:space="preserve">In February 2023, the Compensation Committee granted target Three-Year Performance Stock Awards to the NEOs as part of their total annual incentive compensation. The payout of these Three-Year Performance Stock Awards was determined following the end of the performance period (January 1, 2023 – December 31, 2025). At the time of the grant, the Compensation Committee set a three-year aggregate revenue target for 2023-2025 of $8,296 million and in February 2026 the Compensation Committee evaluated the Company’s performance against that target. During the period, the Company’s aggregate revenue was $8,185 million, which was 98.7% of target. The Company does not include the revenue contribution of an acquired company for the year of the acquisition; however, for acquisitions completed within the three-year period, the Compensation Committee adjusts the remaining years in the performance period to reflect the estimated revenue contribution from the acquisition. The Company’s TSR over the period was -5.5%, which was the 18th percentile of the S&amp;P 500. As a result, the Compensation Committee determined the achievement of the 2023-2025 performance stock awards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381500"/>
            <wp:effectExtent l="0" t="0" r="0" b="0"/>
            <wp:docPr id="348"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23" descr=""/>
                    <pic:cNvPicPr>
                      <a:picLocks noChangeAspect="1" noChangeArrowheads="1"/>
                    </pic:cNvPicPr>
                  </pic:nvPicPr>
                  <pic:blipFill>
                    <a:blip r:embed="rId335"/>
                    <a:stretch>
                      <a:fillRect/>
                    </a:stretch>
                  </pic:blipFill>
                  <pic:spPr bwMode="auto">
                    <a:xfrm>
                      <a:off x="0" y="0"/>
                      <a:ext cx="7810500" cy="438150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1"/>
        <w:gridCol w:w="23"/>
        <w:gridCol w:w="83"/>
        <w:gridCol w:w="217"/>
        <w:gridCol w:w="2470"/>
        <w:gridCol w:w="220"/>
        <w:gridCol w:w="23"/>
        <w:gridCol w:w="68"/>
        <w:gridCol w:w="179"/>
        <w:gridCol w:w="1316"/>
        <w:gridCol w:w="182"/>
        <w:gridCol w:w="23"/>
        <w:gridCol w:w="85"/>
        <w:gridCol w:w="222"/>
        <w:gridCol w:w="2523"/>
        <w:gridCol w:w="280"/>
      </w:tblGrid>
      <w:tr>
        <w:trPr/>
        <w:tc>
          <w:tcPr>
            <w:tcW w:w="229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291" w:type="dxa"/>
            <w:tcBorders/>
            <w:shd w:fill="0054BA" w:val="clear"/>
            <w:vAlign w:val="center"/>
          </w:tcPr>
          <w:p>
            <w:pPr>
              <w:pStyle w:val="TableContents"/>
              <w:bidi w:val="0"/>
              <w:spacing w:before="0" w:after="283"/>
              <w:jc w:val="left"/>
              <w:rPr>
                <w:sz w:val="4"/>
                <w:szCs w:val="4"/>
              </w:rPr>
            </w:pPr>
            <w:r>
              <w:rPr>
                <w:sz w:val="4"/>
                <w:szCs w:val="4"/>
              </w:rPr>
            </w:r>
          </w:p>
        </w:tc>
        <w:tc>
          <w:tcPr>
            <w:tcW w:w="3013" w:type="dxa"/>
            <w:gridSpan w:val="5"/>
            <w:tcBorders/>
            <w:shd w:fill="0054BA" w:val="clear"/>
            <w:vAlign w:val="center"/>
          </w:tcPr>
          <w:p>
            <w:pPr>
              <w:pStyle w:val="TableContents"/>
              <w:bidi w:val="0"/>
              <w:spacing w:before="0" w:after="283"/>
              <w:jc w:val="left"/>
              <w:rPr>
                <w:sz w:val="4"/>
                <w:szCs w:val="4"/>
              </w:rPr>
            </w:pPr>
            <w:r>
              <w:rPr>
                <w:sz w:val="4"/>
                <w:szCs w:val="4"/>
              </w:rPr>
            </w:r>
          </w:p>
        </w:tc>
        <w:tc>
          <w:tcPr>
            <w:tcW w:w="1768" w:type="dxa"/>
            <w:gridSpan w:val="5"/>
            <w:tcBorders/>
            <w:shd w:fill="0054BA" w:val="clear"/>
            <w:vAlign w:val="center"/>
          </w:tcPr>
          <w:p>
            <w:pPr>
              <w:pStyle w:val="TableContents"/>
              <w:bidi w:val="0"/>
              <w:spacing w:before="0" w:after="283"/>
              <w:jc w:val="left"/>
              <w:rPr>
                <w:sz w:val="4"/>
                <w:szCs w:val="4"/>
              </w:rPr>
            </w:pPr>
            <w:r>
              <w:rPr>
                <w:sz w:val="4"/>
                <w:szCs w:val="4"/>
              </w:rPr>
            </w:r>
          </w:p>
        </w:tc>
        <w:tc>
          <w:tcPr>
            <w:tcW w:w="3133"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2291"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NEOs*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990" w:type="dxa"/>
            <w:gridSpan w:val="4"/>
            <w:tcBorders/>
            <w:shd w:fill="0054BA" w:val="clear"/>
            <w:vAlign w:val="center"/>
          </w:tcPr>
          <w:p>
            <w:pPr>
              <w:pStyle w:val="TableContents"/>
              <w:bidi w:val="0"/>
              <w:spacing w:before="0" w:after="283"/>
              <w:jc w:val="center"/>
              <w:rPr>
                <w:b/>
                <w:color w:val="FFFFFF"/>
              </w:rPr>
            </w:pPr>
            <w:r>
              <w:rPr>
                <w:b/>
                <w:color w:val="FFFFFF"/>
              </w:rPr>
              <w:t>PERFORMANCE SHARES</w:t>
              <w:br/>
              <w:t>(TARGET)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745" w:type="dxa"/>
            <w:gridSpan w:val="4"/>
            <w:tcBorders/>
            <w:shd w:fill="0054BA" w:val="clear"/>
            <w:vAlign w:val="center"/>
          </w:tcPr>
          <w:p>
            <w:pPr>
              <w:pStyle w:val="TableContents"/>
              <w:bidi w:val="0"/>
              <w:spacing w:before="0" w:after="283"/>
              <w:jc w:val="center"/>
              <w:rPr>
                <w:b/>
                <w:color w:val="FFFFFF"/>
              </w:rPr>
            </w:pPr>
            <w:r>
              <w:rPr>
                <w:b/>
                <w:color w:val="FFFFFF"/>
              </w:rPr>
              <w:t>% OF TARGET</w:t>
              <w:br/>
              <w:t>SHARES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3110" w:type="dxa"/>
            <w:gridSpan w:val="4"/>
            <w:tcBorders/>
            <w:shd w:fill="0054BA" w:val="clear"/>
            <w:vAlign w:val="center"/>
          </w:tcPr>
          <w:p>
            <w:pPr>
              <w:pStyle w:val="TableContents"/>
              <w:bidi w:val="0"/>
              <w:spacing w:before="0" w:after="283"/>
              <w:jc w:val="center"/>
              <w:rPr>
                <w:b/>
                <w:color w:val="FFFFFF"/>
              </w:rPr>
            </w:pPr>
            <w:r>
              <w:rPr>
                <w:b/>
                <w:color w:val="FFFFFF"/>
              </w:rPr>
              <w:t># OF SHARES OF</w:t>
              <w:br/>
              <w:t> PERFORMANCE STOCK </w:t>
              <w:br/>
              <w:t>VESTED</w:t>
            </w:r>
          </w:p>
        </w:tc>
      </w:tr>
      <w:tr>
        <w:trPr/>
        <w:tc>
          <w:tcPr>
            <w:tcW w:w="2291" w:type="dxa"/>
            <w:tcBorders/>
            <w:vAlign w:val="center"/>
          </w:tcPr>
          <w:p>
            <w:pPr>
              <w:pStyle w:val="TableContents"/>
              <w:bidi w:val="0"/>
              <w:spacing w:before="0" w:after="283"/>
              <w:jc w:val="left"/>
              <w:rPr>
                <w:sz w:val="4"/>
                <w:szCs w:val="4"/>
              </w:rPr>
            </w:pPr>
            <w:r>
              <w:rPr>
                <w:sz w:val="4"/>
                <w:szCs w:val="4"/>
              </w:rPr>
            </w:r>
          </w:p>
        </w:tc>
        <w:tc>
          <w:tcPr>
            <w:tcW w:w="3013" w:type="dxa"/>
            <w:gridSpan w:val="5"/>
            <w:tcBorders/>
            <w:vAlign w:val="center"/>
          </w:tcPr>
          <w:p>
            <w:pPr>
              <w:pStyle w:val="TableContents"/>
              <w:bidi w:val="0"/>
              <w:spacing w:before="0" w:after="283"/>
              <w:jc w:val="left"/>
              <w:rPr>
                <w:sz w:val="4"/>
                <w:szCs w:val="4"/>
              </w:rPr>
            </w:pPr>
            <w:r>
              <w:rPr>
                <w:sz w:val="4"/>
                <w:szCs w:val="4"/>
              </w:rPr>
            </w:r>
          </w:p>
        </w:tc>
        <w:tc>
          <w:tcPr>
            <w:tcW w:w="1768" w:type="dxa"/>
            <w:gridSpan w:val="5"/>
            <w:tcBorders/>
            <w:vAlign w:val="center"/>
          </w:tcPr>
          <w:p>
            <w:pPr>
              <w:pStyle w:val="TableContents"/>
              <w:bidi w:val="0"/>
              <w:spacing w:before="0" w:after="283"/>
              <w:jc w:val="left"/>
              <w:rPr>
                <w:sz w:val="4"/>
                <w:szCs w:val="4"/>
              </w:rPr>
            </w:pPr>
            <w:r>
              <w:rPr>
                <w:sz w:val="4"/>
                <w:szCs w:val="4"/>
              </w:rPr>
            </w:r>
          </w:p>
        </w:tc>
        <w:tc>
          <w:tcPr>
            <w:tcW w:w="3133" w:type="dxa"/>
            <w:gridSpan w:val="5"/>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Andrew C. Florance </w:t>
            </w:r>
          </w:p>
          <w:p>
            <w:pPr>
              <w:pStyle w:val="TableContents"/>
              <w:bidi w:val="0"/>
              <w:spacing w:before="0" w:after="20"/>
              <w:jc w:val="left"/>
              <w:rPr>
                <w:rFonts w:ascii="ARIAL" w:hAnsi="ARIAL"/>
                <w:sz w:val="16"/>
              </w:rPr>
            </w:pPr>
            <w:r>
              <w:rPr>
                <w:rFonts w:ascii="ARIAL" w:hAnsi="ARIAL"/>
                <w:sz w:val="16"/>
              </w:rPr>
              <w:t>Founder &amp; Chief 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470" w:type="dxa"/>
            <w:tcBorders>
              <w:bottom w:val="single" w:sz="6" w:space="0" w:color="000000"/>
            </w:tcBorders>
            <w:tcMar>
              <w:bottom w:w="100" w:type="dxa"/>
            </w:tcMar>
            <w:vAlign w:val="center"/>
          </w:tcPr>
          <w:p>
            <w:pPr>
              <w:pStyle w:val="TableContents"/>
              <w:bidi w:val="0"/>
              <w:spacing w:before="0" w:after="283"/>
              <w:jc w:val="center"/>
              <w:rPr/>
            </w:pPr>
            <w:r>
              <w:rPr/>
              <w:t>61,500</w:t>
            </w:r>
          </w:p>
        </w:tc>
        <w:tc>
          <w:tcPr>
            <w:tcW w:w="22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6" w:type="dxa"/>
            <w:tcBorders>
              <w:bottom w:val="single" w:sz="6" w:space="0" w:color="000000"/>
            </w:tcBorders>
            <w:tcMar>
              <w:bottom w:w="100" w:type="dxa"/>
            </w:tcMar>
            <w:vAlign w:val="center"/>
          </w:tcPr>
          <w:p>
            <w:pPr>
              <w:pStyle w:val="TableContents"/>
              <w:bidi w:val="0"/>
              <w:spacing w:before="0" w:after="283"/>
              <w:jc w:val="center"/>
              <w:rPr/>
            </w:pPr>
            <w:r>
              <w:rPr/>
              <w:t>69.3%</w:t>
            </w:r>
          </w:p>
        </w:tc>
        <w:tc>
          <w:tcPr>
            <w:tcW w:w="1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000000"/>
            </w:tcBorders>
            <w:tcMar>
              <w:bottom w:w="100" w:type="dxa"/>
            </w:tcMar>
            <w:vAlign w:val="center"/>
          </w:tcPr>
          <w:p>
            <w:pPr>
              <w:pStyle w:val="TableContents"/>
              <w:bidi w:val="0"/>
              <w:spacing w:before="0" w:after="283"/>
              <w:jc w:val="left"/>
              <w:rPr/>
            </w:pPr>
            <w:r>
              <w:rPr/>
              <w:t> </w:t>
            </w:r>
          </w:p>
        </w:tc>
        <w:tc>
          <w:tcPr>
            <w:tcW w:w="2523" w:type="dxa"/>
            <w:tcBorders>
              <w:bottom w:val="single" w:sz="6" w:space="0" w:color="000000"/>
            </w:tcBorders>
            <w:tcMar>
              <w:bottom w:w="100" w:type="dxa"/>
            </w:tcMar>
            <w:vAlign w:val="center"/>
          </w:tcPr>
          <w:p>
            <w:pPr>
              <w:pStyle w:val="TableContents"/>
              <w:bidi w:val="0"/>
              <w:spacing w:before="0" w:after="283"/>
              <w:jc w:val="center"/>
              <w:rPr/>
            </w:pPr>
            <w:r>
              <w:rPr/>
              <w:t>42,617</w:t>
            </w:r>
          </w:p>
        </w:tc>
        <w:tc>
          <w:tcPr>
            <w:tcW w:w="28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sz w:val="4"/>
                <w:szCs w:val="4"/>
              </w:rPr>
            </w:pPr>
            <w:r>
              <w:rPr>
                <w:sz w:val="4"/>
                <w:szCs w:val="4"/>
              </w:rPr>
            </w:r>
          </w:p>
        </w:tc>
        <w:tc>
          <w:tcPr>
            <w:tcW w:w="3013" w:type="dxa"/>
            <w:gridSpan w:val="5"/>
            <w:tcBorders/>
            <w:vAlign w:val="center"/>
          </w:tcPr>
          <w:p>
            <w:pPr>
              <w:pStyle w:val="TableContents"/>
              <w:bidi w:val="0"/>
              <w:spacing w:before="0" w:after="283"/>
              <w:jc w:val="left"/>
              <w:rPr>
                <w:sz w:val="4"/>
                <w:szCs w:val="4"/>
              </w:rPr>
            </w:pPr>
            <w:r>
              <w:rPr>
                <w:sz w:val="4"/>
                <w:szCs w:val="4"/>
              </w:rPr>
            </w:r>
          </w:p>
        </w:tc>
        <w:tc>
          <w:tcPr>
            <w:tcW w:w="1768" w:type="dxa"/>
            <w:gridSpan w:val="5"/>
            <w:tcBorders/>
            <w:vAlign w:val="center"/>
          </w:tcPr>
          <w:p>
            <w:pPr>
              <w:pStyle w:val="TableContents"/>
              <w:bidi w:val="0"/>
              <w:spacing w:before="0" w:after="283"/>
              <w:jc w:val="left"/>
              <w:rPr>
                <w:sz w:val="4"/>
                <w:szCs w:val="4"/>
              </w:rPr>
            </w:pPr>
            <w:r>
              <w:rPr>
                <w:sz w:val="4"/>
                <w:szCs w:val="4"/>
              </w:rPr>
            </w:r>
          </w:p>
        </w:tc>
        <w:tc>
          <w:tcPr>
            <w:tcW w:w="3133" w:type="dxa"/>
            <w:gridSpan w:val="5"/>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Lisa C. Ruggles </w:t>
            </w:r>
          </w:p>
          <w:p>
            <w:pPr>
              <w:pStyle w:val="TableContents"/>
              <w:bidi w:val="0"/>
              <w:spacing w:before="0" w:after="20"/>
              <w:jc w:val="left"/>
              <w:rPr>
                <w:rFonts w:ascii="ARIAL" w:hAnsi="ARIAL"/>
                <w:sz w:val="16"/>
              </w:rPr>
            </w:pPr>
            <w:r>
              <w:rPr>
                <w:rFonts w:ascii="ARIAL" w:hAnsi="ARIAL"/>
                <w:sz w:val="16"/>
              </w:rP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470" w:type="dxa"/>
            <w:tcBorders>
              <w:bottom w:val="single" w:sz="6" w:space="0" w:color="000000"/>
            </w:tcBorders>
            <w:tcMar>
              <w:bottom w:w="100" w:type="dxa"/>
            </w:tcMar>
            <w:vAlign w:val="center"/>
          </w:tcPr>
          <w:p>
            <w:pPr>
              <w:pStyle w:val="TableContents"/>
              <w:bidi w:val="0"/>
              <w:spacing w:before="0" w:after="283"/>
              <w:jc w:val="center"/>
              <w:rPr/>
            </w:pPr>
            <w:r>
              <w:rPr/>
              <w:t>10,300</w:t>
            </w:r>
          </w:p>
        </w:tc>
        <w:tc>
          <w:tcPr>
            <w:tcW w:w="22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6" w:type="dxa"/>
            <w:tcBorders>
              <w:bottom w:val="single" w:sz="6" w:space="0" w:color="000000"/>
            </w:tcBorders>
            <w:tcMar>
              <w:bottom w:w="100" w:type="dxa"/>
            </w:tcMar>
            <w:vAlign w:val="center"/>
          </w:tcPr>
          <w:p>
            <w:pPr>
              <w:pStyle w:val="TableContents"/>
              <w:bidi w:val="0"/>
              <w:spacing w:before="0" w:after="283"/>
              <w:jc w:val="center"/>
              <w:rPr/>
            </w:pPr>
            <w:r>
              <w:rPr/>
              <w:t>69.3%</w:t>
            </w:r>
          </w:p>
        </w:tc>
        <w:tc>
          <w:tcPr>
            <w:tcW w:w="1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000000"/>
            </w:tcBorders>
            <w:tcMar>
              <w:bottom w:w="100" w:type="dxa"/>
            </w:tcMar>
            <w:vAlign w:val="center"/>
          </w:tcPr>
          <w:p>
            <w:pPr>
              <w:pStyle w:val="TableContents"/>
              <w:bidi w:val="0"/>
              <w:spacing w:before="0" w:after="283"/>
              <w:jc w:val="left"/>
              <w:rPr/>
            </w:pPr>
            <w:r>
              <w:rPr/>
              <w:t> </w:t>
            </w:r>
          </w:p>
        </w:tc>
        <w:tc>
          <w:tcPr>
            <w:tcW w:w="2523" w:type="dxa"/>
            <w:tcBorders>
              <w:bottom w:val="single" w:sz="6" w:space="0" w:color="000000"/>
            </w:tcBorders>
            <w:tcMar>
              <w:bottom w:w="100" w:type="dxa"/>
            </w:tcMar>
            <w:vAlign w:val="center"/>
          </w:tcPr>
          <w:p>
            <w:pPr>
              <w:pStyle w:val="TableContents"/>
              <w:bidi w:val="0"/>
              <w:spacing w:before="0" w:after="283"/>
              <w:jc w:val="center"/>
              <w:rPr/>
            </w:pPr>
            <w:r>
              <w:rPr/>
              <w:t>7,137</w:t>
            </w:r>
          </w:p>
        </w:tc>
        <w:tc>
          <w:tcPr>
            <w:tcW w:w="28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sz w:val="4"/>
                <w:szCs w:val="4"/>
              </w:rPr>
            </w:pPr>
            <w:r>
              <w:rPr>
                <w:sz w:val="4"/>
                <w:szCs w:val="4"/>
              </w:rPr>
            </w:r>
          </w:p>
        </w:tc>
        <w:tc>
          <w:tcPr>
            <w:tcW w:w="3013" w:type="dxa"/>
            <w:gridSpan w:val="5"/>
            <w:tcBorders/>
            <w:vAlign w:val="center"/>
          </w:tcPr>
          <w:p>
            <w:pPr>
              <w:pStyle w:val="TableContents"/>
              <w:bidi w:val="0"/>
              <w:spacing w:before="0" w:after="283"/>
              <w:jc w:val="left"/>
              <w:rPr>
                <w:sz w:val="4"/>
                <w:szCs w:val="4"/>
              </w:rPr>
            </w:pPr>
            <w:r>
              <w:rPr>
                <w:sz w:val="4"/>
                <w:szCs w:val="4"/>
              </w:rPr>
            </w:r>
          </w:p>
        </w:tc>
        <w:tc>
          <w:tcPr>
            <w:tcW w:w="1768" w:type="dxa"/>
            <w:gridSpan w:val="5"/>
            <w:tcBorders/>
            <w:vAlign w:val="center"/>
          </w:tcPr>
          <w:p>
            <w:pPr>
              <w:pStyle w:val="TableContents"/>
              <w:bidi w:val="0"/>
              <w:spacing w:before="0" w:after="283"/>
              <w:jc w:val="left"/>
              <w:rPr>
                <w:sz w:val="4"/>
                <w:szCs w:val="4"/>
              </w:rPr>
            </w:pPr>
            <w:r>
              <w:rPr>
                <w:sz w:val="4"/>
                <w:szCs w:val="4"/>
              </w:rPr>
            </w:r>
          </w:p>
        </w:tc>
        <w:tc>
          <w:tcPr>
            <w:tcW w:w="3133" w:type="dxa"/>
            <w:gridSpan w:val="5"/>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Frederick G. Saint </w:t>
            </w:r>
          </w:p>
          <w:p>
            <w:pPr>
              <w:pStyle w:val="TableContents"/>
              <w:bidi w:val="0"/>
              <w:spacing w:before="0" w:after="20"/>
              <w:jc w:val="left"/>
              <w:rPr>
                <w:rFonts w:ascii="ARIAL" w:hAnsi="ARIAL"/>
                <w:sz w:val="16"/>
              </w:rPr>
            </w:pPr>
            <w:r>
              <w:rPr>
                <w:rFonts w:ascii="ARIAL" w:hAnsi="ARIAL"/>
                <w:sz w:val="16"/>
              </w:rP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470" w:type="dxa"/>
            <w:tcBorders>
              <w:bottom w:val="single" w:sz="6" w:space="0" w:color="000000"/>
            </w:tcBorders>
            <w:tcMar>
              <w:bottom w:w="100" w:type="dxa"/>
            </w:tcMar>
            <w:vAlign w:val="center"/>
          </w:tcPr>
          <w:p>
            <w:pPr>
              <w:pStyle w:val="TableContents"/>
              <w:bidi w:val="0"/>
              <w:spacing w:before="0" w:after="283"/>
              <w:jc w:val="center"/>
              <w:rPr/>
            </w:pPr>
            <w:r>
              <w:rPr/>
              <w:t>10,300</w:t>
            </w:r>
          </w:p>
        </w:tc>
        <w:tc>
          <w:tcPr>
            <w:tcW w:w="22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6" w:type="dxa"/>
            <w:tcBorders>
              <w:bottom w:val="single" w:sz="6" w:space="0" w:color="000000"/>
            </w:tcBorders>
            <w:tcMar>
              <w:bottom w:w="100" w:type="dxa"/>
            </w:tcMar>
            <w:vAlign w:val="center"/>
          </w:tcPr>
          <w:p>
            <w:pPr>
              <w:pStyle w:val="TableContents"/>
              <w:bidi w:val="0"/>
              <w:spacing w:before="0" w:after="283"/>
              <w:jc w:val="center"/>
              <w:rPr/>
            </w:pPr>
            <w:r>
              <w:rPr/>
              <w:t>69.3%</w:t>
            </w:r>
          </w:p>
        </w:tc>
        <w:tc>
          <w:tcPr>
            <w:tcW w:w="1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000000"/>
            </w:tcBorders>
            <w:tcMar>
              <w:bottom w:w="100" w:type="dxa"/>
            </w:tcMar>
            <w:vAlign w:val="center"/>
          </w:tcPr>
          <w:p>
            <w:pPr>
              <w:pStyle w:val="TableContents"/>
              <w:bidi w:val="0"/>
              <w:spacing w:before="0" w:after="283"/>
              <w:jc w:val="left"/>
              <w:rPr/>
            </w:pPr>
            <w:r>
              <w:rPr/>
              <w:t> </w:t>
            </w:r>
          </w:p>
        </w:tc>
        <w:tc>
          <w:tcPr>
            <w:tcW w:w="2523" w:type="dxa"/>
            <w:tcBorders>
              <w:bottom w:val="single" w:sz="6" w:space="0" w:color="000000"/>
            </w:tcBorders>
            <w:tcMar>
              <w:bottom w:w="100" w:type="dxa"/>
            </w:tcMar>
            <w:vAlign w:val="center"/>
          </w:tcPr>
          <w:p>
            <w:pPr>
              <w:pStyle w:val="TableContents"/>
              <w:bidi w:val="0"/>
              <w:spacing w:before="0" w:after="283"/>
              <w:jc w:val="center"/>
              <w:rPr/>
            </w:pPr>
            <w:r>
              <w:rPr/>
              <w:t>7,137</w:t>
            </w:r>
          </w:p>
        </w:tc>
        <w:tc>
          <w:tcPr>
            <w:tcW w:w="28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sz w:val="4"/>
                <w:szCs w:val="4"/>
              </w:rPr>
            </w:pPr>
            <w:r>
              <w:rPr>
                <w:sz w:val="4"/>
                <w:szCs w:val="4"/>
              </w:rPr>
            </w:r>
          </w:p>
        </w:tc>
        <w:tc>
          <w:tcPr>
            <w:tcW w:w="3013" w:type="dxa"/>
            <w:gridSpan w:val="5"/>
            <w:tcBorders/>
            <w:vAlign w:val="center"/>
          </w:tcPr>
          <w:p>
            <w:pPr>
              <w:pStyle w:val="TableContents"/>
              <w:bidi w:val="0"/>
              <w:spacing w:before="0" w:after="283"/>
              <w:jc w:val="left"/>
              <w:rPr>
                <w:sz w:val="4"/>
                <w:szCs w:val="4"/>
              </w:rPr>
            </w:pPr>
            <w:r>
              <w:rPr>
                <w:sz w:val="4"/>
                <w:szCs w:val="4"/>
              </w:rPr>
            </w:r>
          </w:p>
        </w:tc>
        <w:tc>
          <w:tcPr>
            <w:tcW w:w="1768" w:type="dxa"/>
            <w:gridSpan w:val="5"/>
            <w:tcBorders/>
            <w:vAlign w:val="center"/>
          </w:tcPr>
          <w:p>
            <w:pPr>
              <w:pStyle w:val="TableContents"/>
              <w:bidi w:val="0"/>
              <w:spacing w:before="0" w:after="283"/>
              <w:jc w:val="left"/>
              <w:rPr>
                <w:sz w:val="4"/>
                <w:szCs w:val="4"/>
              </w:rPr>
            </w:pPr>
            <w:r>
              <w:rPr>
                <w:sz w:val="4"/>
                <w:szCs w:val="4"/>
              </w:rPr>
            </w:r>
          </w:p>
        </w:tc>
        <w:tc>
          <w:tcPr>
            <w:tcW w:w="3133" w:type="dxa"/>
            <w:gridSpan w:val="5"/>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Frank A. Simuro </w:t>
            </w:r>
          </w:p>
          <w:p>
            <w:pPr>
              <w:pStyle w:val="TableContents"/>
              <w:bidi w:val="0"/>
              <w:spacing w:before="0" w:after="20"/>
              <w:jc w:val="left"/>
              <w:rPr>
                <w:rFonts w:ascii="ARIAL" w:hAnsi="ARIAL"/>
                <w:sz w:val="16"/>
              </w:rPr>
            </w:pPr>
            <w:r>
              <w:rPr>
                <w:rFonts w:ascii="ARIAL" w:hAnsi="ARIAL"/>
                <w:sz w:val="16"/>
              </w:rP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470" w:type="dxa"/>
            <w:tcBorders>
              <w:bottom w:val="single" w:sz="6" w:space="0" w:color="000000"/>
            </w:tcBorders>
            <w:tcMar>
              <w:bottom w:w="100" w:type="dxa"/>
            </w:tcMar>
            <w:vAlign w:val="center"/>
          </w:tcPr>
          <w:p>
            <w:pPr>
              <w:pStyle w:val="TableContents"/>
              <w:bidi w:val="0"/>
              <w:spacing w:before="0" w:after="283"/>
              <w:jc w:val="center"/>
              <w:rPr/>
            </w:pPr>
            <w:r>
              <w:rPr/>
              <w:t>18,000</w:t>
            </w:r>
          </w:p>
        </w:tc>
        <w:tc>
          <w:tcPr>
            <w:tcW w:w="22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6" w:type="dxa"/>
            <w:tcBorders>
              <w:bottom w:val="single" w:sz="6" w:space="0" w:color="000000"/>
            </w:tcBorders>
            <w:tcMar>
              <w:bottom w:w="100" w:type="dxa"/>
            </w:tcMar>
            <w:vAlign w:val="center"/>
          </w:tcPr>
          <w:p>
            <w:pPr>
              <w:pStyle w:val="TableContents"/>
              <w:bidi w:val="0"/>
              <w:spacing w:before="0" w:after="283"/>
              <w:jc w:val="center"/>
              <w:rPr/>
            </w:pPr>
            <w:r>
              <w:rPr/>
              <w:t>69.3%</w:t>
            </w:r>
          </w:p>
        </w:tc>
        <w:tc>
          <w:tcPr>
            <w:tcW w:w="1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000000"/>
            </w:tcBorders>
            <w:tcMar>
              <w:bottom w:w="100" w:type="dxa"/>
            </w:tcMar>
            <w:vAlign w:val="center"/>
          </w:tcPr>
          <w:p>
            <w:pPr>
              <w:pStyle w:val="TableContents"/>
              <w:bidi w:val="0"/>
              <w:spacing w:before="0" w:after="283"/>
              <w:jc w:val="left"/>
              <w:rPr/>
            </w:pPr>
            <w:r>
              <w:rPr/>
              <w:t> </w:t>
            </w:r>
          </w:p>
        </w:tc>
        <w:tc>
          <w:tcPr>
            <w:tcW w:w="2523" w:type="dxa"/>
            <w:tcBorders>
              <w:bottom w:val="single" w:sz="6" w:space="0" w:color="000000"/>
            </w:tcBorders>
            <w:tcMar>
              <w:bottom w:w="100" w:type="dxa"/>
            </w:tcMar>
            <w:vAlign w:val="center"/>
          </w:tcPr>
          <w:p>
            <w:pPr>
              <w:pStyle w:val="TableContents"/>
              <w:bidi w:val="0"/>
              <w:spacing w:before="0" w:after="283"/>
              <w:jc w:val="center"/>
              <w:rPr/>
            </w:pPr>
            <w:r>
              <w:rPr/>
              <w:t>12,473</w:t>
            </w:r>
          </w:p>
        </w:tc>
        <w:tc>
          <w:tcPr>
            <w:tcW w:w="280"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155"/>
        <w:gridCol w:w="7295"/>
      </w:tblGrid>
      <w:tr>
        <w:trPr/>
        <w:tc>
          <w:tcPr>
            <w:tcW w:w="155" w:type="dxa"/>
            <w:tcBorders/>
            <w:vAlign w:val="center"/>
          </w:tcPr>
          <w:p>
            <w:pPr>
              <w:pStyle w:val="TableContents"/>
              <w:bidi w:val="0"/>
              <w:spacing w:before="0" w:after="283"/>
              <w:jc w:val="left"/>
              <w:rPr>
                <w:i/>
              </w:rPr>
            </w:pPr>
            <w:r>
              <w:rPr>
                <w:i/>
              </w:rPr>
              <w:t>*</w:t>
            </w:r>
          </w:p>
        </w:tc>
        <w:tc>
          <w:tcPr>
            <w:tcW w:w="7295" w:type="dxa"/>
            <w:tcBorders/>
            <w:vAlign w:val="center"/>
          </w:tcPr>
          <w:p>
            <w:pPr>
              <w:pStyle w:val="TableContents"/>
              <w:bidi w:val="0"/>
              <w:spacing w:before="0" w:after="0"/>
              <w:jc w:val="left"/>
              <w:rPr>
                <w:rFonts w:ascii="ARIAL" w:hAnsi="ARIAL"/>
                <w:i/>
                <w:sz w:val="16"/>
              </w:rPr>
            </w:pPr>
            <w:r>
              <w:rPr>
                <w:rFonts w:ascii="ARIAL" w:hAnsi="ARIAL"/>
                <w:i/>
                <w:sz w:val="16"/>
              </w:rPr>
              <w:t xml:space="preserve">Mr. Lown commenced employment with the Company on July 1, 2024, after this award was granted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49"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24" descr=""/>
                          <pic:cNvPicPr>
                            <a:picLocks noChangeAspect="1" noChangeArrowheads="1"/>
                          </pic:cNvPicPr>
                        </pic:nvPicPr>
                        <pic:blipFill>
                          <a:blip r:embed="rId33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54BA"/>
          <w:sz w:val="18"/>
        </w:rPr>
      </w:pPr>
      <w:r>
        <w:rPr>
          <w:rFonts w:ascii="ARIAL" w:hAnsi="ARIAL"/>
          <w:b/>
          <w:color w:val="0054BA"/>
          <w:sz w:val="18"/>
        </w:rPr>
        <w:t xml:space="preserve">Settlement of 2022-2024 Performance Stock Awards </w:t>
      </w:r>
    </w:p>
    <w:p>
      <w:pPr>
        <w:pStyle w:val="TextBody"/>
        <w:bidi w:val="0"/>
        <w:spacing w:before="80" w:after="0"/>
        <w:jc w:val="left"/>
        <w:rPr>
          <w:rFonts w:ascii="ARIAL" w:hAnsi="ARIAL"/>
          <w:sz w:val="18"/>
        </w:rPr>
      </w:pPr>
      <w:r>
        <w:rPr>
          <w:rFonts w:ascii="ARIAL" w:hAnsi="ARIAL"/>
          <w:sz w:val="18"/>
        </w:rPr>
        <w:t xml:space="preserve">In February 2022, the Compensation Committee granted target Three-Year Performance Stock Awards to the NEOs as part of their total annual incentive compensation. The payout of these Three-Year Performance Stock Awards was determined following the end of the performance period (January 1, 2022 – December 31, 2024). At the time of the grant, the Compensation Committee set a three-year aggregate revenue target for 2022-2024 of $7,122 million and in February 2025 the Compensation Committee evaluated the Company’s performance against that target. During the period, the Company’s aggregate revenue was $7,374 million, which was 103% of target. The Company does not include the revenue contribution of an acquired company for the year of the acquisition; however, for acquisitions completed within the three-year period, the Compensation Committee adjusts the remaining years in the performance period to reflect the estimated revenue contribution from the acquisition. The Company’s TSR over the period was -1.5%, which was the 33rd percentile of the S&amp;P 500. As a result, the Compensation Committee determined the achievement of the 2022-2024 performance stock awards to be 172.8%, calculated as a 200% payout on the revenue target modified downward with a 86.4% relative TSR modifier.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1"/>
        <w:gridCol w:w="23"/>
        <w:gridCol w:w="83"/>
        <w:gridCol w:w="217"/>
        <w:gridCol w:w="2470"/>
        <w:gridCol w:w="220"/>
        <w:gridCol w:w="23"/>
        <w:gridCol w:w="57"/>
        <w:gridCol w:w="148"/>
        <w:gridCol w:w="1390"/>
        <w:gridCol w:w="150"/>
        <w:gridCol w:w="23"/>
        <w:gridCol w:w="85"/>
        <w:gridCol w:w="222"/>
        <w:gridCol w:w="2523"/>
        <w:gridCol w:w="280"/>
      </w:tblGrid>
      <w:tr>
        <w:trPr/>
        <w:tc>
          <w:tcPr>
            <w:tcW w:w="229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291" w:type="dxa"/>
            <w:tcBorders/>
            <w:shd w:fill="0054BA" w:val="clear"/>
            <w:vAlign w:val="center"/>
          </w:tcPr>
          <w:p>
            <w:pPr>
              <w:pStyle w:val="TableContents"/>
              <w:bidi w:val="0"/>
              <w:spacing w:before="0" w:after="283"/>
              <w:jc w:val="left"/>
              <w:rPr>
                <w:sz w:val="4"/>
                <w:szCs w:val="4"/>
              </w:rPr>
            </w:pPr>
            <w:r>
              <w:rPr>
                <w:sz w:val="4"/>
                <w:szCs w:val="4"/>
              </w:rPr>
            </w:r>
          </w:p>
        </w:tc>
        <w:tc>
          <w:tcPr>
            <w:tcW w:w="3013" w:type="dxa"/>
            <w:gridSpan w:val="5"/>
            <w:tcBorders/>
            <w:shd w:fill="0054BA" w:val="clear"/>
            <w:vAlign w:val="center"/>
          </w:tcPr>
          <w:p>
            <w:pPr>
              <w:pStyle w:val="TableContents"/>
              <w:bidi w:val="0"/>
              <w:spacing w:before="0" w:after="283"/>
              <w:jc w:val="left"/>
              <w:rPr>
                <w:sz w:val="4"/>
                <w:szCs w:val="4"/>
              </w:rPr>
            </w:pPr>
            <w:r>
              <w:rPr>
                <w:sz w:val="4"/>
                <w:szCs w:val="4"/>
              </w:rPr>
            </w:r>
          </w:p>
        </w:tc>
        <w:tc>
          <w:tcPr>
            <w:tcW w:w="1768" w:type="dxa"/>
            <w:gridSpan w:val="5"/>
            <w:tcBorders/>
            <w:shd w:fill="0054BA" w:val="clear"/>
            <w:vAlign w:val="center"/>
          </w:tcPr>
          <w:p>
            <w:pPr>
              <w:pStyle w:val="TableContents"/>
              <w:bidi w:val="0"/>
              <w:spacing w:before="0" w:after="283"/>
              <w:jc w:val="left"/>
              <w:rPr>
                <w:sz w:val="4"/>
                <w:szCs w:val="4"/>
              </w:rPr>
            </w:pPr>
            <w:r>
              <w:rPr>
                <w:sz w:val="4"/>
                <w:szCs w:val="4"/>
              </w:rPr>
            </w:r>
          </w:p>
        </w:tc>
        <w:tc>
          <w:tcPr>
            <w:tcW w:w="3133"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2291" w:type="dxa"/>
            <w:tcBorders/>
            <w:shd w:fill="0054BA"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16"/>
              </w:rPr>
            </w:pPr>
            <w:r>
              <w:rPr>
                <w:rFonts w:ascii="ARIAL" w:hAnsi="ARIAL"/>
                <w:b/>
                <w:color w:val="FFFFFF"/>
                <w:sz w:val="16"/>
              </w:rPr>
              <w:t>NEOs*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990" w:type="dxa"/>
            <w:gridSpan w:val="4"/>
            <w:tcBorders/>
            <w:shd w:fill="0054BA" w:val="clear"/>
            <w:vAlign w:val="center"/>
          </w:tcPr>
          <w:p>
            <w:pPr>
              <w:pStyle w:val="TableContents"/>
              <w:bidi w:val="0"/>
              <w:spacing w:before="0" w:after="283"/>
              <w:jc w:val="center"/>
              <w:rPr>
                <w:b/>
                <w:color w:val="FFFFFF"/>
              </w:rPr>
            </w:pPr>
            <w:r>
              <w:rPr>
                <w:b/>
                <w:color w:val="FFFFFF"/>
              </w:rPr>
              <w:t>PERFORMANCE SHARES</w:t>
              <w:br/>
              <w:t>(TARGET)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745" w:type="dxa"/>
            <w:gridSpan w:val="4"/>
            <w:tcBorders/>
            <w:shd w:fill="0054BA" w:val="clear"/>
            <w:vAlign w:val="center"/>
          </w:tcPr>
          <w:p>
            <w:pPr>
              <w:pStyle w:val="TableContents"/>
              <w:bidi w:val="0"/>
              <w:spacing w:before="0" w:after="283"/>
              <w:jc w:val="center"/>
              <w:rPr>
                <w:b/>
                <w:color w:val="FFFFFF"/>
              </w:rPr>
            </w:pPr>
            <w:r>
              <w:rPr>
                <w:b/>
                <w:color w:val="FFFFFF"/>
              </w:rPr>
              <w:t>% OF TARGET</w:t>
              <w:br/>
              <w:t>SHARES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3110" w:type="dxa"/>
            <w:gridSpan w:val="4"/>
            <w:tcBorders/>
            <w:shd w:fill="0054BA" w:val="clear"/>
            <w:vAlign w:val="center"/>
          </w:tcPr>
          <w:p>
            <w:pPr>
              <w:pStyle w:val="TableContents"/>
              <w:bidi w:val="0"/>
              <w:spacing w:before="0" w:after="283"/>
              <w:jc w:val="center"/>
              <w:rPr>
                <w:b/>
                <w:color w:val="FFFFFF"/>
              </w:rPr>
            </w:pPr>
            <w:r>
              <w:rPr>
                <w:b/>
                <w:color w:val="FFFFFF"/>
              </w:rPr>
              <w:t># OF SHARES OF</w:t>
              <w:br/>
              <w:t> PERFORMANCE STOCK </w:t>
              <w:br/>
              <w:t>VESTED</w:t>
            </w:r>
          </w:p>
        </w:tc>
      </w:tr>
      <w:tr>
        <w:trPr/>
        <w:tc>
          <w:tcPr>
            <w:tcW w:w="2291" w:type="dxa"/>
            <w:tcBorders/>
            <w:vAlign w:val="center"/>
          </w:tcPr>
          <w:p>
            <w:pPr>
              <w:pStyle w:val="TableContents"/>
              <w:bidi w:val="0"/>
              <w:spacing w:before="0" w:after="283"/>
              <w:jc w:val="left"/>
              <w:rPr>
                <w:sz w:val="4"/>
                <w:szCs w:val="4"/>
              </w:rPr>
            </w:pPr>
            <w:r>
              <w:rPr>
                <w:sz w:val="4"/>
                <w:szCs w:val="4"/>
              </w:rPr>
            </w:r>
          </w:p>
        </w:tc>
        <w:tc>
          <w:tcPr>
            <w:tcW w:w="3013" w:type="dxa"/>
            <w:gridSpan w:val="5"/>
            <w:tcBorders/>
            <w:vAlign w:val="center"/>
          </w:tcPr>
          <w:p>
            <w:pPr>
              <w:pStyle w:val="TableContents"/>
              <w:bidi w:val="0"/>
              <w:spacing w:before="0" w:after="283"/>
              <w:jc w:val="left"/>
              <w:rPr>
                <w:sz w:val="4"/>
                <w:szCs w:val="4"/>
              </w:rPr>
            </w:pPr>
            <w:r>
              <w:rPr>
                <w:sz w:val="4"/>
                <w:szCs w:val="4"/>
              </w:rPr>
            </w:r>
          </w:p>
        </w:tc>
        <w:tc>
          <w:tcPr>
            <w:tcW w:w="1768" w:type="dxa"/>
            <w:gridSpan w:val="5"/>
            <w:tcBorders/>
            <w:vAlign w:val="center"/>
          </w:tcPr>
          <w:p>
            <w:pPr>
              <w:pStyle w:val="TableContents"/>
              <w:bidi w:val="0"/>
              <w:spacing w:before="0" w:after="283"/>
              <w:jc w:val="left"/>
              <w:rPr>
                <w:sz w:val="4"/>
                <w:szCs w:val="4"/>
              </w:rPr>
            </w:pPr>
            <w:r>
              <w:rPr>
                <w:sz w:val="4"/>
                <w:szCs w:val="4"/>
              </w:rPr>
            </w:r>
          </w:p>
        </w:tc>
        <w:tc>
          <w:tcPr>
            <w:tcW w:w="3133" w:type="dxa"/>
            <w:gridSpan w:val="5"/>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Andrew C. Florance </w:t>
            </w:r>
          </w:p>
          <w:p>
            <w:pPr>
              <w:pStyle w:val="TableContents"/>
              <w:bidi w:val="0"/>
              <w:spacing w:before="0" w:after="20"/>
              <w:jc w:val="left"/>
              <w:rPr>
                <w:rFonts w:ascii="ARIAL" w:hAnsi="ARIAL"/>
                <w:sz w:val="16"/>
              </w:rPr>
            </w:pPr>
            <w:r>
              <w:rPr>
                <w:rFonts w:ascii="ARIAL" w:hAnsi="ARIAL"/>
                <w:sz w:val="16"/>
              </w:rPr>
              <w:t>Founder &amp; Chief 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470" w:type="dxa"/>
            <w:tcBorders>
              <w:bottom w:val="single" w:sz="6" w:space="0" w:color="000000"/>
            </w:tcBorders>
            <w:tcMar>
              <w:bottom w:w="100" w:type="dxa"/>
            </w:tcMar>
            <w:vAlign w:val="center"/>
          </w:tcPr>
          <w:p>
            <w:pPr>
              <w:pStyle w:val="TableContents"/>
              <w:bidi w:val="0"/>
              <w:spacing w:before="0" w:after="283"/>
              <w:jc w:val="center"/>
              <w:rPr/>
            </w:pPr>
            <w:r>
              <w:rPr/>
              <w:t>43,000</w:t>
            </w:r>
          </w:p>
        </w:tc>
        <w:tc>
          <w:tcPr>
            <w:tcW w:w="22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0000"/>
            </w:tcBorders>
            <w:tcMar>
              <w:bottom w:w="100" w:type="dxa"/>
            </w:tcMar>
            <w:vAlign w:val="center"/>
          </w:tcPr>
          <w:p>
            <w:pPr>
              <w:pStyle w:val="TableContents"/>
              <w:bidi w:val="0"/>
              <w:spacing w:before="0" w:after="283"/>
              <w:jc w:val="left"/>
              <w:rPr/>
            </w:pPr>
            <w:r>
              <w:rPr/>
              <w:t> </w:t>
            </w:r>
          </w:p>
        </w:tc>
        <w:tc>
          <w:tcPr>
            <w:tcW w:w="1390" w:type="dxa"/>
            <w:tcBorders>
              <w:bottom w:val="single" w:sz="6" w:space="0" w:color="000000"/>
            </w:tcBorders>
            <w:tcMar>
              <w:bottom w:w="100" w:type="dxa"/>
            </w:tcMar>
            <w:vAlign w:val="center"/>
          </w:tcPr>
          <w:p>
            <w:pPr>
              <w:pStyle w:val="TableContents"/>
              <w:bidi w:val="0"/>
              <w:spacing w:before="0" w:after="283"/>
              <w:jc w:val="center"/>
              <w:rPr/>
            </w:pPr>
            <w:r>
              <w:rPr/>
              <w:t>172.8%</w:t>
            </w:r>
          </w:p>
        </w:tc>
        <w:tc>
          <w:tcPr>
            <w:tcW w:w="15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000000"/>
            </w:tcBorders>
            <w:tcMar>
              <w:bottom w:w="100" w:type="dxa"/>
            </w:tcMar>
            <w:vAlign w:val="center"/>
          </w:tcPr>
          <w:p>
            <w:pPr>
              <w:pStyle w:val="TableContents"/>
              <w:bidi w:val="0"/>
              <w:spacing w:before="0" w:after="283"/>
              <w:jc w:val="left"/>
              <w:rPr/>
            </w:pPr>
            <w:r>
              <w:rPr/>
              <w:t> </w:t>
            </w:r>
          </w:p>
        </w:tc>
        <w:tc>
          <w:tcPr>
            <w:tcW w:w="2523" w:type="dxa"/>
            <w:tcBorders>
              <w:bottom w:val="single" w:sz="6" w:space="0" w:color="000000"/>
            </w:tcBorders>
            <w:tcMar>
              <w:bottom w:w="100" w:type="dxa"/>
            </w:tcMar>
            <w:vAlign w:val="center"/>
          </w:tcPr>
          <w:p>
            <w:pPr>
              <w:pStyle w:val="TableContents"/>
              <w:bidi w:val="0"/>
              <w:spacing w:before="0" w:after="283"/>
              <w:jc w:val="center"/>
              <w:rPr/>
            </w:pPr>
            <w:r>
              <w:rPr/>
              <w:t>74,304</w:t>
            </w:r>
          </w:p>
        </w:tc>
        <w:tc>
          <w:tcPr>
            <w:tcW w:w="28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sz w:val="4"/>
                <w:szCs w:val="4"/>
              </w:rPr>
            </w:pPr>
            <w:r>
              <w:rPr>
                <w:sz w:val="4"/>
                <w:szCs w:val="4"/>
              </w:rPr>
            </w:r>
          </w:p>
        </w:tc>
        <w:tc>
          <w:tcPr>
            <w:tcW w:w="3013" w:type="dxa"/>
            <w:gridSpan w:val="5"/>
            <w:tcBorders/>
            <w:vAlign w:val="center"/>
          </w:tcPr>
          <w:p>
            <w:pPr>
              <w:pStyle w:val="TableContents"/>
              <w:bidi w:val="0"/>
              <w:spacing w:before="0" w:after="283"/>
              <w:jc w:val="left"/>
              <w:rPr>
                <w:sz w:val="4"/>
                <w:szCs w:val="4"/>
              </w:rPr>
            </w:pPr>
            <w:r>
              <w:rPr>
                <w:sz w:val="4"/>
                <w:szCs w:val="4"/>
              </w:rPr>
            </w:r>
          </w:p>
        </w:tc>
        <w:tc>
          <w:tcPr>
            <w:tcW w:w="1768" w:type="dxa"/>
            <w:gridSpan w:val="5"/>
            <w:tcBorders/>
            <w:vAlign w:val="center"/>
          </w:tcPr>
          <w:p>
            <w:pPr>
              <w:pStyle w:val="TableContents"/>
              <w:bidi w:val="0"/>
              <w:spacing w:before="0" w:after="283"/>
              <w:jc w:val="left"/>
              <w:rPr>
                <w:sz w:val="4"/>
                <w:szCs w:val="4"/>
              </w:rPr>
            </w:pPr>
            <w:r>
              <w:rPr>
                <w:sz w:val="4"/>
                <w:szCs w:val="4"/>
              </w:rPr>
            </w:r>
          </w:p>
        </w:tc>
        <w:tc>
          <w:tcPr>
            <w:tcW w:w="3133" w:type="dxa"/>
            <w:gridSpan w:val="5"/>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Lisa C. Ruggles </w:t>
            </w:r>
          </w:p>
          <w:p>
            <w:pPr>
              <w:pStyle w:val="TableContents"/>
              <w:bidi w:val="0"/>
              <w:spacing w:before="0" w:after="20"/>
              <w:jc w:val="left"/>
              <w:rPr>
                <w:rFonts w:ascii="ARIAL" w:hAnsi="ARIAL"/>
                <w:sz w:val="16"/>
              </w:rPr>
            </w:pPr>
            <w:r>
              <w:rPr>
                <w:rFonts w:ascii="ARIAL" w:hAnsi="ARIAL"/>
                <w:sz w:val="16"/>
              </w:rPr>
              <w:t>SVP, 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470" w:type="dxa"/>
            <w:tcBorders>
              <w:bottom w:val="single" w:sz="6" w:space="0" w:color="000000"/>
            </w:tcBorders>
            <w:tcMar>
              <w:bottom w:w="100" w:type="dxa"/>
            </w:tcMar>
            <w:vAlign w:val="center"/>
          </w:tcPr>
          <w:p>
            <w:pPr>
              <w:pStyle w:val="TableContents"/>
              <w:bidi w:val="0"/>
              <w:spacing w:before="0" w:after="283"/>
              <w:jc w:val="center"/>
              <w:rPr/>
            </w:pPr>
            <w:r>
              <w:rPr/>
              <w:t>9,600</w:t>
            </w:r>
          </w:p>
        </w:tc>
        <w:tc>
          <w:tcPr>
            <w:tcW w:w="22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0000"/>
            </w:tcBorders>
            <w:tcMar>
              <w:bottom w:w="100" w:type="dxa"/>
            </w:tcMar>
            <w:vAlign w:val="center"/>
          </w:tcPr>
          <w:p>
            <w:pPr>
              <w:pStyle w:val="TableContents"/>
              <w:bidi w:val="0"/>
              <w:spacing w:before="0" w:after="283"/>
              <w:jc w:val="left"/>
              <w:rPr/>
            </w:pPr>
            <w:r>
              <w:rPr/>
              <w:t> </w:t>
            </w:r>
          </w:p>
        </w:tc>
        <w:tc>
          <w:tcPr>
            <w:tcW w:w="1390" w:type="dxa"/>
            <w:tcBorders>
              <w:bottom w:val="single" w:sz="6" w:space="0" w:color="000000"/>
            </w:tcBorders>
            <w:tcMar>
              <w:bottom w:w="100" w:type="dxa"/>
            </w:tcMar>
            <w:vAlign w:val="center"/>
          </w:tcPr>
          <w:p>
            <w:pPr>
              <w:pStyle w:val="TableContents"/>
              <w:bidi w:val="0"/>
              <w:spacing w:before="0" w:after="283"/>
              <w:jc w:val="center"/>
              <w:rPr/>
            </w:pPr>
            <w:r>
              <w:rPr/>
              <w:t>172.8%</w:t>
            </w:r>
          </w:p>
        </w:tc>
        <w:tc>
          <w:tcPr>
            <w:tcW w:w="15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000000"/>
            </w:tcBorders>
            <w:tcMar>
              <w:bottom w:w="100" w:type="dxa"/>
            </w:tcMar>
            <w:vAlign w:val="center"/>
          </w:tcPr>
          <w:p>
            <w:pPr>
              <w:pStyle w:val="TableContents"/>
              <w:bidi w:val="0"/>
              <w:spacing w:before="0" w:after="283"/>
              <w:jc w:val="left"/>
              <w:rPr/>
            </w:pPr>
            <w:r>
              <w:rPr/>
              <w:t> </w:t>
            </w:r>
          </w:p>
        </w:tc>
        <w:tc>
          <w:tcPr>
            <w:tcW w:w="2523" w:type="dxa"/>
            <w:tcBorders>
              <w:bottom w:val="single" w:sz="6" w:space="0" w:color="000000"/>
            </w:tcBorders>
            <w:tcMar>
              <w:bottom w:w="100" w:type="dxa"/>
            </w:tcMar>
            <w:vAlign w:val="center"/>
          </w:tcPr>
          <w:p>
            <w:pPr>
              <w:pStyle w:val="TableContents"/>
              <w:bidi w:val="0"/>
              <w:spacing w:before="0" w:after="283"/>
              <w:jc w:val="center"/>
              <w:rPr/>
            </w:pPr>
            <w:r>
              <w:rPr/>
              <w:t>16,588</w:t>
            </w:r>
          </w:p>
        </w:tc>
        <w:tc>
          <w:tcPr>
            <w:tcW w:w="28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sz w:val="4"/>
                <w:szCs w:val="4"/>
              </w:rPr>
            </w:pPr>
            <w:r>
              <w:rPr>
                <w:sz w:val="4"/>
                <w:szCs w:val="4"/>
              </w:rPr>
            </w:r>
          </w:p>
        </w:tc>
        <w:tc>
          <w:tcPr>
            <w:tcW w:w="3013" w:type="dxa"/>
            <w:gridSpan w:val="5"/>
            <w:tcBorders/>
            <w:vAlign w:val="center"/>
          </w:tcPr>
          <w:p>
            <w:pPr>
              <w:pStyle w:val="TableContents"/>
              <w:bidi w:val="0"/>
              <w:spacing w:before="0" w:after="283"/>
              <w:jc w:val="left"/>
              <w:rPr>
                <w:sz w:val="4"/>
                <w:szCs w:val="4"/>
              </w:rPr>
            </w:pPr>
            <w:r>
              <w:rPr>
                <w:sz w:val="4"/>
                <w:szCs w:val="4"/>
              </w:rPr>
            </w:r>
          </w:p>
        </w:tc>
        <w:tc>
          <w:tcPr>
            <w:tcW w:w="1768" w:type="dxa"/>
            <w:gridSpan w:val="5"/>
            <w:tcBorders/>
            <w:vAlign w:val="center"/>
          </w:tcPr>
          <w:p>
            <w:pPr>
              <w:pStyle w:val="TableContents"/>
              <w:bidi w:val="0"/>
              <w:spacing w:before="0" w:after="283"/>
              <w:jc w:val="left"/>
              <w:rPr>
                <w:sz w:val="4"/>
                <w:szCs w:val="4"/>
              </w:rPr>
            </w:pPr>
            <w:r>
              <w:rPr>
                <w:sz w:val="4"/>
                <w:szCs w:val="4"/>
              </w:rPr>
            </w:r>
          </w:p>
        </w:tc>
        <w:tc>
          <w:tcPr>
            <w:tcW w:w="3133" w:type="dxa"/>
            <w:gridSpan w:val="5"/>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Frederick G. Saint </w:t>
            </w:r>
          </w:p>
          <w:p>
            <w:pPr>
              <w:pStyle w:val="TableContents"/>
              <w:bidi w:val="0"/>
              <w:spacing w:before="0" w:after="20"/>
              <w:jc w:val="left"/>
              <w:rPr>
                <w:rFonts w:ascii="ARIAL" w:hAnsi="ARIAL"/>
                <w:sz w:val="16"/>
              </w:rPr>
            </w:pPr>
            <w:r>
              <w:rPr>
                <w:rFonts w:ascii="ARIAL" w:hAnsi="ARIAL"/>
                <w:sz w:val="16"/>
              </w:rP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470" w:type="dxa"/>
            <w:tcBorders>
              <w:bottom w:val="single" w:sz="6" w:space="0" w:color="000000"/>
            </w:tcBorders>
            <w:tcMar>
              <w:bottom w:w="100" w:type="dxa"/>
            </w:tcMar>
            <w:vAlign w:val="center"/>
          </w:tcPr>
          <w:p>
            <w:pPr>
              <w:pStyle w:val="TableContents"/>
              <w:bidi w:val="0"/>
              <w:spacing w:before="0" w:after="283"/>
              <w:jc w:val="center"/>
              <w:rPr/>
            </w:pPr>
            <w:r>
              <w:rPr/>
              <w:t>9,600</w:t>
            </w:r>
          </w:p>
        </w:tc>
        <w:tc>
          <w:tcPr>
            <w:tcW w:w="22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0000"/>
            </w:tcBorders>
            <w:tcMar>
              <w:bottom w:w="100" w:type="dxa"/>
            </w:tcMar>
            <w:vAlign w:val="center"/>
          </w:tcPr>
          <w:p>
            <w:pPr>
              <w:pStyle w:val="TableContents"/>
              <w:bidi w:val="0"/>
              <w:spacing w:before="0" w:after="283"/>
              <w:jc w:val="left"/>
              <w:rPr/>
            </w:pPr>
            <w:r>
              <w:rPr/>
              <w:t> </w:t>
            </w:r>
          </w:p>
        </w:tc>
        <w:tc>
          <w:tcPr>
            <w:tcW w:w="1390" w:type="dxa"/>
            <w:tcBorders>
              <w:bottom w:val="single" w:sz="6" w:space="0" w:color="000000"/>
            </w:tcBorders>
            <w:tcMar>
              <w:bottom w:w="100" w:type="dxa"/>
            </w:tcMar>
            <w:vAlign w:val="center"/>
          </w:tcPr>
          <w:p>
            <w:pPr>
              <w:pStyle w:val="TableContents"/>
              <w:bidi w:val="0"/>
              <w:spacing w:before="0" w:after="283"/>
              <w:jc w:val="center"/>
              <w:rPr/>
            </w:pPr>
            <w:r>
              <w:rPr/>
              <w:t>172.8%</w:t>
            </w:r>
          </w:p>
        </w:tc>
        <w:tc>
          <w:tcPr>
            <w:tcW w:w="15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000000"/>
            </w:tcBorders>
            <w:tcMar>
              <w:bottom w:w="100" w:type="dxa"/>
            </w:tcMar>
            <w:vAlign w:val="center"/>
          </w:tcPr>
          <w:p>
            <w:pPr>
              <w:pStyle w:val="TableContents"/>
              <w:bidi w:val="0"/>
              <w:spacing w:before="0" w:after="283"/>
              <w:jc w:val="left"/>
              <w:rPr/>
            </w:pPr>
            <w:r>
              <w:rPr/>
              <w:t> </w:t>
            </w:r>
          </w:p>
        </w:tc>
        <w:tc>
          <w:tcPr>
            <w:tcW w:w="2523" w:type="dxa"/>
            <w:tcBorders>
              <w:bottom w:val="single" w:sz="6" w:space="0" w:color="000000"/>
            </w:tcBorders>
            <w:tcMar>
              <w:bottom w:w="100" w:type="dxa"/>
            </w:tcMar>
            <w:vAlign w:val="center"/>
          </w:tcPr>
          <w:p>
            <w:pPr>
              <w:pStyle w:val="TableContents"/>
              <w:bidi w:val="0"/>
              <w:spacing w:before="0" w:after="283"/>
              <w:jc w:val="center"/>
              <w:rPr/>
            </w:pPr>
            <w:r>
              <w:rPr/>
              <w:t>16,588</w:t>
            </w:r>
          </w:p>
        </w:tc>
        <w:tc>
          <w:tcPr>
            <w:tcW w:w="280"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sz w:val="4"/>
                <w:szCs w:val="4"/>
              </w:rPr>
            </w:pPr>
            <w:r>
              <w:rPr>
                <w:sz w:val="4"/>
                <w:szCs w:val="4"/>
              </w:rPr>
            </w:r>
          </w:p>
        </w:tc>
        <w:tc>
          <w:tcPr>
            <w:tcW w:w="3013" w:type="dxa"/>
            <w:gridSpan w:val="5"/>
            <w:tcBorders/>
            <w:vAlign w:val="center"/>
          </w:tcPr>
          <w:p>
            <w:pPr>
              <w:pStyle w:val="TableContents"/>
              <w:bidi w:val="0"/>
              <w:spacing w:before="0" w:after="283"/>
              <w:jc w:val="left"/>
              <w:rPr>
                <w:sz w:val="4"/>
                <w:szCs w:val="4"/>
              </w:rPr>
            </w:pPr>
            <w:r>
              <w:rPr>
                <w:sz w:val="4"/>
                <w:szCs w:val="4"/>
              </w:rPr>
            </w:r>
          </w:p>
        </w:tc>
        <w:tc>
          <w:tcPr>
            <w:tcW w:w="1768" w:type="dxa"/>
            <w:gridSpan w:val="5"/>
            <w:tcBorders/>
            <w:vAlign w:val="center"/>
          </w:tcPr>
          <w:p>
            <w:pPr>
              <w:pStyle w:val="TableContents"/>
              <w:bidi w:val="0"/>
              <w:spacing w:before="0" w:after="283"/>
              <w:jc w:val="left"/>
              <w:rPr>
                <w:sz w:val="4"/>
                <w:szCs w:val="4"/>
              </w:rPr>
            </w:pPr>
            <w:r>
              <w:rPr>
                <w:sz w:val="4"/>
                <w:szCs w:val="4"/>
              </w:rPr>
            </w:r>
          </w:p>
        </w:tc>
        <w:tc>
          <w:tcPr>
            <w:tcW w:w="3133" w:type="dxa"/>
            <w:gridSpan w:val="5"/>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 xml:space="preserve">Frank A. Simuro </w:t>
            </w:r>
          </w:p>
          <w:p>
            <w:pPr>
              <w:pStyle w:val="TableContents"/>
              <w:bidi w:val="0"/>
              <w:spacing w:before="0" w:after="20"/>
              <w:jc w:val="left"/>
              <w:rPr>
                <w:rFonts w:ascii="ARIAL" w:hAnsi="ARIAL"/>
                <w:sz w:val="16"/>
              </w:rPr>
            </w:pPr>
            <w:r>
              <w:rPr>
                <w:rFonts w:ascii="ARIAL" w:hAnsi="ARIAL"/>
                <w:sz w:val="16"/>
              </w:rP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470" w:type="dxa"/>
            <w:tcBorders>
              <w:bottom w:val="single" w:sz="6" w:space="0" w:color="000000"/>
            </w:tcBorders>
            <w:tcMar>
              <w:bottom w:w="100" w:type="dxa"/>
            </w:tcMar>
            <w:vAlign w:val="center"/>
          </w:tcPr>
          <w:p>
            <w:pPr>
              <w:pStyle w:val="TableContents"/>
              <w:bidi w:val="0"/>
              <w:spacing w:before="0" w:after="283"/>
              <w:jc w:val="center"/>
              <w:rPr/>
            </w:pPr>
            <w:r>
              <w:rPr/>
              <w:t>9,600</w:t>
            </w:r>
          </w:p>
        </w:tc>
        <w:tc>
          <w:tcPr>
            <w:tcW w:w="22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0000"/>
            </w:tcBorders>
            <w:tcMar>
              <w:bottom w:w="100" w:type="dxa"/>
            </w:tcMar>
            <w:vAlign w:val="center"/>
          </w:tcPr>
          <w:p>
            <w:pPr>
              <w:pStyle w:val="TableContents"/>
              <w:bidi w:val="0"/>
              <w:spacing w:before="0" w:after="283"/>
              <w:jc w:val="left"/>
              <w:rPr/>
            </w:pPr>
            <w:r>
              <w:rPr/>
              <w:t> </w:t>
            </w:r>
          </w:p>
        </w:tc>
        <w:tc>
          <w:tcPr>
            <w:tcW w:w="1390" w:type="dxa"/>
            <w:tcBorders>
              <w:bottom w:val="single" w:sz="6" w:space="0" w:color="000000"/>
            </w:tcBorders>
            <w:tcMar>
              <w:bottom w:w="100" w:type="dxa"/>
            </w:tcMar>
            <w:vAlign w:val="center"/>
          </w:tcPr>
          <w:p>
            <w:pPr>
              <w:pStyle w:val="TableContents"/>
              <w:bidi w:val="0"/>
              <w:spacing w:before="0" w:after="283"/>
              <w:jc w:val="center"/>
              <w:rPr/>
            </w:pPr>
            <w:r>
              <w:rPr/>
              <w:t>172.8%</w:t>
            </w:r>
          </w:p>
        </w:tc>
        <w:tc>
          <w:tcPr>
            <w:tcW w:w="15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000000"/>
            </w:tcBorders>
            <w:tcMar>
              <w:bottom w:w="100" w:type="dxa"/>
            </w:tcMar>
            <w:vAlign w:val="center"/>
          </w:tcPr>
          <w:p>
            <w:pPr>
              <w:pStyle w:val="TableContents"/>
              <w:bidi w:val="0"/>
              <w:spacing w:before="0" w:after="283"/>
              <w:jc w:val="left"/>
              <w:rPr/>
            </w:pPr>
            <w:r>
              <w:rPr/>
              <w:t> </w:t>
            </w:r>
          </w:p>
        </w:tc>
        <w:tc>
          <w:tcPr>
            <w:tcW w:w="2523" w:type="dxa"/>
            <w:tcBorders>
              <w:bottom w:val="single" w:sz="6" w:space="0" w:color="000000"/>
            </w:tcBorders>
            <w:tcMar>
              <w:bottom w:w="100" w:type="dxa"/>
            </w:tcMar>
            <w:vAlign w:val="center"/>
          </w:tcPr>
          <w:p>
            <w:pPr>
              <w:pStyle w:val="TableContents"/>
              <w:bidi w:val="0"/>
              <w:spacing w:before="0" w:after="283"/>
              <w:jc w:val="center"/>
              <w:rPr/>
            </w:pPr>
            <w:r>
              <w:rPr/>
              <w:t>16,588</w:t>
            </w:r>
          </w:p>
        </w:tc>
        <w:tc>
          <w:tcPr>
            <w:tcW w:w="280"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55"/>
        <w:gridCol w:w="7340"/>
      </w:tblGrid>
      <w:tr>
        <w:trPr/>
        <w:tc>
          <w:tcPr>
            <w:tcW w:w="155" w:type="dxa"/>
            <w:tcBorders/>
            <w:vAlign w:val="center"/>
          </w:tcPr>
          <w:p>
            <w:pPr>
              <w:pStyle w:val="TableContents"/>
              <w:bidi w:val="0"/>
              <w:spacing w:before="0" w:after="283"/>
              <w:jc w:val="left"/>
              <w:rPr>
                <w:i/>
              </w:rPr>
            </w:pPr>
            <w:r>
              <w:rPr>
                <w:i/>
              </w:rPr>
              <w:t>*</w:t>
            </w:r>
          </w:p>
        </w:tc>
        <w:tc>
          <w:tcPr>
            <w:tcW w:w="7340" w:type="dxa"/>
            <w:tcBorders/>
            <w:vAlign w:val="center"/>
          </w:tcPr>
          <w:p>
            <w:pPr>
              <w:pStyle w:val="TableContents"/>
              <w:bidi w:val="0"/>
              <w:spacing w:before="0" w:after="0"/>
              <w:jc w:val="left"/>
              <w:rPr>
                <w:rFonts w:ascii="ARIAL" w:hAnsi="ARIAL"/>
                <w:i/>
                <w:sz w:val="16"/>
              </w:rPr>
            </w:pPr>
            <w:r>
              <w:rPr>
                <w:rFonts w:ascii="ARIAL" w:hAnsi="ARIAL"/>
                <w:i/>
                <w:sz w:val="16"/>
              </w:rPr>
              <w:t xml:space="preserve">Mr. Lown commenced employment with the Company on July 1, 2024, after this award was granted. </w:t>
            </w:r>
          </w:p>
        </w:tc>
      </w:tr>
    </w:tbl>
    <w:p>
      <w:pPr>
        <w:pStyle w:val="TextBody"/>
        <w:bidi w:val="0"/>
        <w:spacing w:before="360" w:after="0"/>
        <w:jc w:val="left"/>
        <w:rPr>
          <w:rFonts w:ascii="ARIAL" w:hAnsi="ARIAL"/>
          <w:b/>
          <w:sz w:val="24"/>
        </w:rPr>
      </w:pPr>
      <w:bookmarkStart w:id="38" w:name="toc903159_30"/>
      <w:bookmarkStart w:id="39" w:name="tx903159_110"/>
      <w:bookmarkEnd w:id="38"/>
      <w:bookmarkEnd w:id="39"/>
      <w:r>
        <w:rPr>
          <w:rFonts w:ascii="ARIAL" w:hAnsi="ARIAL"/>
          <w:b/>
          <w:sz w:val="24"/>
        </w:rPr>
        <w:t xml:space="preserve">Company Compensation Policies and Practices </w:t>
      </w:r>
    </w:p>
    <w:p>
      <w:pPr>
        <w:pStyle w:val="TextBody"/>
        <w:bidi w:val="0"/>
        <w:spacing w:before="120" w:after="0"/>
        <w:jc w:val="left"/>
        <w:rPr>
          <w:rFonts w:ascii="ARIAL" w:hAnsi="ARIAL"/>
          <w:sz w:val="18"/>
        </w:rPr>
      </w:pPr>
      <w:r>
        <w:rPr>
          <w:rFonts w:ascii="ARIAL" w:hAnsi="ARIAL"/>
          <w:sz w:val="18"/>
        </w:rPr>
        <w:t xml:space="preserve">To ensure our executive compensation program is effective in aligning our NEO interests with those of our stockholders, we maintain strong compensation governance practices. Please refer to the Executive Compensation Philosophy, Program Objectives, and Practices section of this CD&amp;A for an overview of our governance standards. In this section, we address key compensation policies and practices in place to uphold these standards. </w:t>
      </w:r>
    </w:p>
    <w:p>
      <w:pPr>
        <w:pStyle w:val="TextBody"/>
        <w:bidi w:val="0"/>
        <w:spacing w:before="360" w:after="0"/>
        <w:jc w:val="left"/>
        <w:rPr>
          <w:rFonts w:ascii="ARIAL" w:hAnsi="ARIAL"/>
          <w:b/>
          <w:sz w:val="24"/>
        </w:rPr>
      </w:pPr>
      <w:bookmarkStart w:id="40" w:name="toc903159_10"/>
      <w:bookmarkEnd w:id="40"/>
      <w:r>
        <w:rPr>
          <w:rFonts w:ascii="ARIAL" w:hAnsi="ARIAL"/>
          <w:b/>
          <w:sz w:val="24"/>
        </w:rPr>
        <w:t xml:space="preserve">Risk Assessment in Compensation Programs </w:t>
      </w:r>
    </w:p>
    <w:p>
      <w:pPr>
        <w:pStyle w:val="TextBody"/>
        <w:bidi w:val="0"/>
        <w:spacing w:before="80" w:after="0"/>
        <w:jc w:val="left"/>
        <w:rPr>
          <w:rFonts w:ascii="ARIAL" w:hAnsi="ARIAL"/>
          <w:sz w:val="18"/>
        </w:rPr>
      </w:pPr>
      <w:r>
        <w:rPr>
          <w:rFonts w:ascii="ARIAL" w:hAnsi="ARIAL"/>
          <w:sz w:val="18"/>
        </w:rPr>
        <w:t xml:space="preserve">Management assesses the Company’s executive and broad-based compensation and benefits programs to determine if the programs’ provisions and operations encourage or create undesired or unintentional risk of a material nature. The Compensation Committee also engaged its independent compensation consultant (Willis Towers Watson) to assess the Company’s executive compensation program. The risk assessment evaluated potential risk factors from three primary perspectives: </w:t>
      </w:r>
    </w:p>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125"/>
        <w:gridCol w:w="60"/>
        <w:gridCol w:w="4085"/>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ARIAL" w:hAnsi="ARIAL"/>
                <w:sz w:val="18"/>
              </w:rPr>
            </w:pPr>
            <w:r>
              <w:rPr>
                <w:rFonts w:ascii="ARIAL" w:hAnsi="ARIAL"/>
                <w:sz w:val="18"/>
              </w:rPr>
              <w:t xml:space="preserve">CoStar’s compensation structure and philosophy;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125"/>
        <w:gridCol w:w="60"/>
        <w:gridCol w:w="317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rFonts w:ascii="ARIAL" w:hAnsi="ARIAL"/>
                <w:sz w:val="18"/>
              </w:rPr>
            </w:pPr>
            <w:r>
              <w:rPr>
                <w:rFonts w:ascii="ARIAL" w:hAnsi="ARIAL"/>
                <w:sz w:val="18"/>
              </w:rPr>
              <w:t xml:space="preserve">Pay program design and policies; and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125"/>
        <w:gridCol w:w="60"/>
        <w:gridCol w:w="48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ARIAL" w:hAnsi="ARIAL"/>
                <w:sz w:val="18"/>
              </w:rPr>
            </w:pPr>
            <w:r>
              <w:rPr>
                <w:rFonts w:ascii="ARIAL" w:hAnsi="ARIAL"/>
                <w:sz w:val="18"/>
              </w:rPr>
              <w:t xml:space="preserve">Governance and the role of the Compensation Committee. </w:t>
            </w:r>
          </w:p>
        </w:tc>
      </w:tr>
    </w:tbl>
    <w:p>
      <w:pPr>
        <w:pStyle w:val="TextBody"/>
        <w:bidi w:val="0"/>
        <w:spacing w:before="160" w:after="0"/>
        <w:jc w:val="left"/>
        <w:rPr>
          <w:rFonts w:ascii="ARIAL" w:hAnsi="ARIAL"/>
          <w:sz w:val="18"/>
        </w:rPr>
      </w:pPr>
      <w:r>
        <w:rPr>
          <w:rFonts w:ascii="ARIAL" w:hAnsi="ARIAL"/>
          <w:sz w:val="18"/>
        </w:rPr>
        <w:t xml:space="preserve">The Compensation Committee reviews all compensation programs but is focused on the programs with variability of payout, with the ability of a participant to directly affect payout and the controls on participant action and payout. The Company supports the use of base salary, performance-based compensation and retirement plans that are generally similar in design and operation throughout the Company. In most cases, the compensation policies and practices are centrally designed and administered and are substantially identical throughout the Company, except that sales personnel are also eligible to receive sales commissions depending upon performance. Programs may differ by country due to variations in local laws and customs. </w:t>
      </w:r>
    </w:p>
    <w:p>
      <w:pPr>
        <w:pStyle w:val="TextBody"/>
        <w:bidi w:val="0"/>
        <w:spacing w:before="160" w:after="0"/>
        <w:jc w:val="left"/>
        <w:rPr>
          <w:rFonts w:ascii="ARIAL" w:hAnsi="ARIAL"/>
          <w:sz w:val="18"/>
        </w:rPr>
      </w:pPr>
      <w:r>
        <w:rPr>
          <w:rFonts w:ascii="ARIAL" w:hAnsi="ARIAL"/>
          <w:sz w:val="18"/>
        </w:rPr>
        <w:t xml:space="preserve">Based on the foregoing, we believe that our compensation policies and practices do not create risks that are reasonably likely to have a material adverse effect on the Company. We also believe that our incentive compensation arrangements provide incentives that do not encourage excessive risk-taking beyond our ability to effectively identify and manage significant risks, are compatible with effective internal controls and our risk management practices, and are supported by the Compensation Committee’s oversight and administration of executive compensation programs.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0"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25" descr=""/>
                          <pic:cNvPicPr>
                            <a:picLocks noChangeAspect="1" noChangeArrowheads="1"/>
                          </pic:cNvPicPr>
                        </pic:nvPicPr>
                        <pic:blipFill>
                          <a:blip r:embed="rId33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0"/>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Clawback Policy </w:t>
      </w:r>
    </w:p>
    <w:p>
      <w:pPr>
        <w:pStyle w:val="TextBody"/>
        <w:bidi w:val="0"/>
        <w:spacing w:before="80" w:after="0"/>
        <w:jc w:val="left"/>
        <w:rPr>
          <w:rFonts w:ascii="ARIAL" w:hAnsi="ARIAL"/>
          <w:sz w:val="18"/>
        </w:rPr>
      </w:pPr>
      <w:r>
        <w:rPr>
          <w:rFonts w:ascii="ARIAL" w:hAnsi="ARIAL"/>
          <w:sz w:val="18"/>
        </w:rPr>
        <w:t xml:space="preserve">In 2023, we adopted the Policy for Recovery of Erroneously Awarded Compensation (the “Clawback Policy”) in accordance with the Nasdaq listing standards and Exchange Act Rule </w:t>
      </w:r>
    </w:p>
    <w:p>
      <w:pPr>
        <w:pStyle w:val="TextBody"/>
        <w:bidi w:val="0"/>
        <w:spacing w:before="80" w:after="0"/>
        <w:jc w:val="left"/>
        <w:rPr>
          <w:rFonts w:ascii="ARIAL" w:hAnsi="ARIAL"/>
          <w:sz w:val="18"/>
        </w:rPr>
      </w:pPr>
      <w:r>
        <w:rPr>
          <w:rFonts w:ascii="ARIAL" w:hAnsi="ARIAL"/>
          <w:sz w:val="18"/>
        </w:rPr>
        <w:t>10D-1,</w:t>
      </w:r>
    </w:p>
    <w:p>
      <w:pPr>
        <w:pStyle w:val="TextBody"/>
        <w:bidi w:val="0"/>
        <w:spacing w:before="80" w:after="0"/>
        <w:jc w:val="left"/>
        <w:rPr>
          <w:rFonts w:ascii="ARIAL" w:hAnsi="ARIAL"/>
          <w:sz w:val="18"/>
        </w:rPr>
      </w:pPr>
      <w:r>
        <w:rPr>
          <w:rFonts w:ascii="ARIAL" w:hAnsi="ARIAL"/>
          <w:sz w:val="18"/>
        </w:rPr>
        <w:t xml:space="preserve">which applies to the Company’s current and former executive officers (as defined under Exchange Act Rule </w:t>
      </w:r>
    </w:p>
    <w:p>
      <w:pPr>
        <w:pStyle w:val="TextBody"/>
        <w:bidi w:val="0"/>
        <w:spacing w:before="80" w:after="0"/>
        <w:jc w:val="left"/>
        <w:rPr>
          <w:rFonts w:ascii="ARIAL" w:hAnsi="ARIAL"/>
          <w:sz w:val="18"/>
        </w:rPr>
      </w:pPr>
      <w:r>
        <w:rPr>
          <w:rFonts w:ascii="ARIAL" w:hAnsi="ARIAL"/>
          <w:sz w:val="18"/>
        </w:rPr>
        <w:t>10D-1).</w:t>
      </w:r>
    </w:p>
    <w:p>
      <w:pPr>
        <w:pStyle w:val="TextBody"/>
        <w:bidi w:val="0"/>
        <w:spacing w:before="80" w:after="0"/>
        <w:jc w:val="left"/>
        <w:rPr>
          <w:rFonts w:ascii="ARIAL" w:hAnsi="ARIAL"/>
          <w:sz w:val="18"/>
        </w:rPr>
      </w:pPr>
      <w:r>
        <w:rPr>
          <w:rFonts w:ascii="ARIAL" w:hAnsi="ARIAL"/>
          <w:sz w:val="18"/>
        </w:rPr>
        <w:t xml:space="preserve">The Clawback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amount required to be recovered is the excess of the amount of incentive-based compensation received over the amount that otherwise would have been received had it been determined based on the restated financial measure. </w:t>
      </w:r>
    </w:p>
    <w:p>
      <w:pPr>
        <w:pStyle w:val="TextBody"/>
        <w:bidi w:val="0"/>
        <w:spacing w:before="160" w:after="0"/>
        <w:jc w:val="left"/>
        <w:rPr>
          <w:rFonts w:ascii="ARIAL" w:hAnsi="ARIAL"/>
          <w:sz w:val="18"/>
        </w:rPr>
      </w:pPr>
      <w:r>
        <w:rPr>
          <w:rFonts w:ascii="ARIAL" w:hAnsi="ARIAL"/>
          <w:sz w:val="18"/>
        </w:rPr>
        <w:t xml:space="preserve">In December 2025, the Board adopted a Supplemental Policy for Recovery of Erroneously Awarded Compensation (“Supplemental Clawback Policy”) to enhance its executive compensation governance and further align with stockholder interests. The Supplemental Clawback Policy operates in addition to the Company’s existing SEC-mandated clawback policy and expands the Board’s ability to recover compensation in certain misconduct-related circumstances, including situations involving felony-level criminal conduct that results in material financial or reputational harm to the Company or violations of confidentiality or restrictive covenants. The policy applies to a broader range of compensation, including time-based equity awards. The Compensation Committee adopted the Supplemental Clawback Policy after considering evolving market practices and stockholder and proxy advisory firm feedback, and believes it strengthens accountability and reinforces a strong pay-for-performance culture. </w:t>
      </w:r>
    </w:p>
    <w:p>
      <w:pPr>
        <w:pStyle w:val="TextBody"/>
        <w:bidi w:val="0"/>
        <w:spacing w:before="360" w:after="0"/>
        <w:jc w:val="left"/>
        <w:rPr>
          <w:rFonts w:ascii="ARIAL" w:hAnsi="ARIAL"/>
          <w:b/>
          <w:sz w:val="24"/>
        </w:rPr>
      </w:pPr>
      <w:r>
        <w:rPr>
          <w:rFonts w:ascii="ARIAL" w:hAnsi="ARIAL"/>
          <w:b/>
          <w:sz w:val="24"/>
        </w:rPr>
        <w:t xml:space="preserve">Executive Stock Ownership Policy </w:t>
      </w:r>
    </w:p>
    <w:p>
      <w:pPr>
        <w:pStyle w:val="TextBody"/>
        <w:bidi w:val="0"/>
        <w:spacing w:before="80" w:after="0"/>
        <w:jc w:val="left"/>
        <w:rPr>
          <w:rFonts w:ascii="ARIAL" w:hAnsi="ARIAL"/>
          <w:sz w:val="18"/>
        </w:rPr>
      </w:pPr>
      <w:r>
        <w:rPr>
          <w:rFonts w:ascii="ARIAL" w:hAnsi="ARIAL"/>
          <w:sz w:val="18"/>
        </w:rPr>
        <w:t xml:space="preserve">The Company believes that its executive officers should have a significant financial stake in the Company. To better align the interests of our executive officers with those of our stockholders, the Compensation Committee adopted a robust Executive Stock Ownership Policy. Executive officers are expected to own shares of the Company’s common stock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3"/>
        <w:gridCol w:w="120"/>
        <w:gridCol w:w="8162"/>
      </w:tblGrid>
      <w:tr>
        <w:trPr/>
        <w:tc>
          <w:tcPr>
            <w:tcW w:w="1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62" w:type="dxa"/>
            <w:tcBorders/>
            <w:vAlign w:val="center"/>
          </w:tcPr>
          <w:p>
            <w:pPr>
              <w:pStyle w:val="TableContents"/>
              <w:bidi w:val="0"/>
              <w:spacing w:before="0" w:after="283"/>
              <w:jc w:val="left"/>
              <w:rPr>
                <w:sz w:val="4"/>
                <w:szCs w:val="4"/>
              </w:rPr>
            </w:pPr>
            <w:r>
              <w:rPr>
                <w:sz w:val="4"/>
                <w:szCs w:val="4"/>
              </w:rPr>
            </w:r>
          </w:p>
        </w:tc>
      </w:tr>
      <w:tr>
        <w:trPr/>
        <w:tc>
          <w:tcPr>
            <w:tcW w:w="1923" w:type="dxa"/>
            <w:tcBorders/>
            <w:shd w:fill="0054BA" w:val="clear"/>
            <w:vAlign w:val="center"/>
          </w:tcPr>
          <w:p>
            <w:pPr>
              <w:pStyle w:val="TableContents"/>
              <w:bidi w:val="0"/>
              <w:spacing w:before="0" w:after="283"/>
              <w:jc w:val="left"/>
              <w:rPr>
                <w:sz w:val="4"/>
                <w:szCs w:val="4"/>
              </w:rPr>
            </w:pPr>
            <w:r>
              <w:rPr>
                <w:sz w:val="4"/>
                <w:szCs w:val="4"/>
              </w:rPr>
            </w:r>
          </w:p>
        </w:tc>
        <w:tc>
          <w:tcPr>
            <w:tcW w:w="8282"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1923" w:type="dxa"/>
            <w:tcBorders>
              <w:bottom w:val="single" w:sz="8" w:space="0" w:color="FFFFFF"/>
            </w:tcBorders>
            <w:shd w:fill="0054BA" w:val="clear"/>
            <w:tcMar>
              <w:bottom w:w="60"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EXECUTIVE LEVEL</w:t>
            </w:r>
          </w:p>
        </w:tc>
        <w:tc>
          <w:tcPr>
            <w:tcW w:w="120" w:type="dxa"/>
            <w:tcBorders>
              <w:bottom w:val="single" w:sz="8" w:space="0" w:color="FFFFFF"/>
            </w:tcBorders>
            <w:shd w:fill="0054BA" w:val="clear"/>
            <w:tcMar>
              <w:bottom w:w="28" w:type="dxa"/>
            </w:tcMar>
            <w:vAlign w:val="center"/>
          </w:tcPr>
          <w:p>
            <w:pPr>
              <w:pStyle w:val="TableContents"/>
              <w:bidi w:val="0"/>
              <w:spacing w:before="0" w:after="283"/>
              <w:jc w:val="left"/>
              <w:rPr/>
            </w:pPr>
            <w:r>
              <w:rPr/>
              <w:t>  </w:t>
            </w:r>
          </w:p>
        </w:tc>
        <w:tc>
          <w:tcPr>
            <w:tcW w:w="8162" w:type="dxa"/>
            <w:tcBorders>
              <w:bottom w:val="single" w:sz="8" w:space="0" w:color="FFFFFF"/>
            </w:tcBorders>
            <w:shd w:fill="0054BA" w:val="clear"/>
            <w:tcMar>
              <w:bottom w:w="60" w:type="dxa"/>
            </w:tcMar>
            <w:vAlign w:val="center"/>
          </w:tcPr>
          <w:p>
            <w:pPr>
              <w:pStyle w:val="TableContents"/>
              <w:bidi w:val="0"/>
              <w:spacing w:before="0" w:after="0"/>
              <w:jc w:val="left"/>
              <w:rPr>
                <w:b/>
                <w:color w:val="FFFFFF"/>
              </w:rPr>
            </w:pPr>
            <w:r>
              <w:rPr>
                <w:b/>
                <w:color w:val="FFFFFF"/>
              </w:rPr>
              <w:t>MARKET VALUE OF SHARES OWNED AS A MULTIPLE OF BASE SALARY</w:t>
            </w:r>
          </w:p>
        </w:tc>
      </w:tr>
      <w:tr>
        <w:trPr/>
        <w:tc>
          <w:tcPr>
            <w:tcW w:w="1923"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r>
      <w:tr>
        <w:trPr/>
        <w:tc>
          <w:tcPr>
            <w:tcW w:w="1923"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Chief Executive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162"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Ten Times (10x)</w:t>
            </w:r>
          </w:p>
          <w:p>
            <w:pPr>
              <w:pStyle w:val="TableContents"/>
              <w:bidi w:val="0"/>
              <w:spacing w:before="0" w:after="20"/>
              <w:jc w:val="left"/>
              <w:rPr>
                <w:rFonts w:ascii="ARIAL" w:hAnsi="ARIAL"/>
                <w:i/>
                <w:sz w:val="18"/>
              </w:rPr>
            </w:pPr>
            <w:r>
              <w:rPr>
                <w:rFonts w:ascii="ARIAL" w:hAnsi="ARIAL"/>
                <w:i/>
                <w:sz w:val="18"/>
              </w:rPr>
              <w:t>Increased from six times (6x) in December 2025</w:t>
            </w:r>
          </w:p>
        </w:tc>
      </w:tr>
      <w:tr>
        <w:trPr/>
        <w:tc>
          <w:tcPr>
            <w:tcW w:w="1923"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r>
      <w:tr>
        <w:trPr/>
        <w:tc>
          <w:tcPr>
            <w:tcW w:w="1923"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Other Executive Officers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162" w:type="dxa"/>
            <w:tcBorders>
              <w:bottom w:val="single" w:sz="6" w:space="0" w:color="000000"/>
            </w:tcBorders>
            <w:tcMar>
              <w:bottom w:w="100" w:type="dxa"/>
            </w:tcMar>
            <w:vAlign w:val="center"/>
          </w:tcPr>
          <w:p>
            <w:pPr>
              <w:pStyle w:val="TableContents"/>
              <w:bidi w:val="0"/>
              <w:spacing w:before="0" w:after="283"/>
              <w:jc w:val="left"/>
              <w:rPr/>
            </w:pPr>
            <w:r>
              <w:rPr/>
              <w:t>Two Times (2x)</w:t>
            </w:r>
          </w:p>
        </w:tc>
      </w:tr>
    </w:tbl>
    <w:p>
      <w:pPr>
        <w:pStyle w:val="TextBody"/>
        <w:bidi w:val="0"/>
        <w:spacing w:before="160" w:after="0"/>
        <w:jc w:val="left"/>
        <w:rPr>
          <w:rFonts w:ascii="ARIAL" w:hAnsi="ARIAL"/>
          <w:sz w:val="18"/>
        </w:rPr>
      </w:pPr>
      <w:r>
        <w:rPr>
          <w:rFonts w:ascii="ARIAL" w:hAnsi="ARIAL"/>
          <w:sz w:val="18"/>
        </w:rPr>
        <w:t xml:space="preserve">In December 2025, the Compensation Committee increased the CEO’s ownership requirements to 10x annual base salary from 6x annual base salary. Executive officers are required to hold any shares of vested restricted stock awards or shares obtained upon exercise of vested stock options until the thresholds under the Executive Stock Ownership Policy are met. Shares of stock represented by DSUs issued pursuant to the Company’s Management Stock Purchase Plan are considered owned by the executive for purposes of the policy. Any new executive officer has until the first December 31st following the fifth anniversary of the date of appointment as an executive officer to meet this requirement. As of December 31, 2025, each of the executive officers was in compliance with the Executive Stock Ownership Policy. </w:t>
      </w:r>
    </w:p>
    <w:p>
      <w:pPr>
        <w:pStyle w:val="TextBody"/>
        <w:bidi w:val="0"/>
        <w:spacing w:before="360" w:after="0"/>
        <w:jc w:val="left"/>
        <w:rPr>
          <w:rFonts w:ascii="ARIAL" w:hAnsi="ARIAL"/>
          <w:b/>
          <w:sz w:val="24"/>
        </w:rPr>
      </w:pPr>
      <w:r>
        <w:rPr>
          <w:rFonts w:ascii="ARIAL" w:hAnsi="ARIAL"/>
          <w:b/>
          <w:sz w:val="24"/>
        </w:rPr>
        <w:t xml:space="preserve">Treatment of Equity in the event of Change in Control </w:t>
      </w:r>
    </w:p>
    <w:p>
      <w:pPr>
        <w:pStyle w:val="TextBody"/>
        <w:bidi w:val="0"/>
        <w:spacing w:before="80" w:after="0"/>
        <w:jc w:val="left"/>
        <w:rPr>
          <w:rFonts w:ascii="ARIAL" w:hAnsi="ARIAL"/>
          <w:sz w:val="18"/>
        </w:rPr>
      </w:pPr>
      <w:r>
        <w:rPr>
          <w:rFonts w:ascii="ARIAL" w:hAnsi="ARIAL"/>
          <w:sz w:val="18"/>
        </w:rPr>
        <w:t xml:space="preserve">Equity awards granted to our NEOs after the 2025 Annual Meeting of Stockholders and the adoption of the 2025 Stock Incentive Plan include a double trigger termination provision which provides that participants are eligible to receive benefits in connection with a Change in Control after a qualifying termination during the CIC protection period. These awards do not automatically become vested upon a Change in Control. </w:t>
      </w:r>
    </w:p>
    <w:p>
      <w:pPr>
        <w:pStyle w:val="TextBody"/>
        <w:bidi w:val="0"/>
        <w:spacing w:before="120" w:after="0"/>
        <w:jc w:val="left"/>
        <w:rPr>
          <w:rFonts w:ascii="ARIAL" w:hAnsi="ARIAL"/>
          <w:sz w:val="18"/>
        </w:rPr>
      </w:pPr>
      <w:r>
        <w:rPr>
          <w:rFonts w:ascii="ARIAL" w:hAnsi="ARIAL"/>
          <w:sz w:val="18"/>
        </w:rPr>
        <w:t xml:space="preserve">The 2025 Stock Incentive Plan replaced the 2016 Plan for all equity awards made after June 26, 2025.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505"/>
        <w:gridCol w:w="120"/>
        <w:gridCol w:w="167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1"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26" descr=""/>
                          <pic:cNvPicPr>
                            <a:picLocks noChangeAspect="1" noChangeArrowheads="1"/>
                          </pic:cNvPicPr>
                        </pic:nvPicPr>
                        <pic:blipFill>
                          <a:blip r:embed="rId33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right"/>
              <w:rPr>
                <w:rFonts w:ascii="ARIAL" w:hAnsi="ARIAL"/>
                <w:sz w:val="14"/>
              </w:rPr>
            </w:pPr>
            <w:r>
              <w:rPr>
                <w:rFonts w:ascii="ARIAL" w:hAnsi="ARIAL"/>
                <w:sz w:val="14"/>
              </w:rPr>
              <w:t>2026 PROXY STATEMENT</w:t>
            </w:r>
          </w:p>
          <w:p>
            <w:pPr>
              <w:pStyle w:val="TableContents"/>
              <w:bidi w:val="0"/>
              <w:spacing w:before="0" w:after="0"/>
              <w:jc w:val="right"/>
              <w:rPr/>
            </w:pPr>
            <w:r>
              <w:rPr/>
              <w:t> </w:t>
            </w:r>
          </w:p>
          <w:p>
            <w:pPr>
              <w:pStyle w:val="TableContents"/>
              <w:bidi w:val="0"/>
              <w:spacing w:before="0" w:after="0"/>
              <w:jc w:val="right"/>
              <w:rPr>
                <w:rFonts w:ascii="ARIAL" w:hAnsi="ARIAL"/>
                <w:b/>
                <w:color w:val="0054BA"/>
                <w:sz w:val="14"/>
              </w:rPr>
            </w:pPr>
            <w:r>
              <w:rPr>
                <w:rFonts w:ascii="ARIAL" w:hAnsi="ARIAL"/>
                <w:b/>
                <w:color w:val="0054BA"/>
                <w:sz w:val="14"/>
              </w:rPr>
              <w:t>67</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0"/>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Equity Grant Practices </w:t>
      </w:r>
    </w:p>
    <w:p>
      <w:pPr>
        <w:pStyle w:val="TextBody"/>
        <w:bidi w:val="0"/>
        <w:spacing w:before="80" w:after="0"/>
        <w:jc w:val="left"/>
        <w:rPr>
          <w:rFonts w:ascii="ARIAL" w:hAnsi="ARIAL"/>
          <w:sz w:val="18"/>
        </w:rPr>
      </w:pPr>
      <w:r>
        <w:rPr>
          <w:rFonts w:ascii="ARIAL" w:hAnsi="ARIAL"/>
          <w:sz w:val="18"/>
        </w:rPr>
        <w:t xml:space="preserve">The Company does not have any program, plan or practice to time equity awards in coordination with the release of material </w:t>
      </w:r>
    </w:p>
    <w:p>
      <w:pPr>
        <w:pStyle w:val="TextBody"/>
        <w:bidi w:val="0"/>
        <w:spacing w:before="80" w:after="0"/>
        <w:jc w:val="left"/>
        <w:rPr>
          <w:rFonts w:ascii="ARIAL" w:hAnsi="ARIAL"/>
          <w:sz w:val="18"/>
        </w:rPr>
      </w:pPr>
      <w:r>
        <w:rPr>
          <w:rFonts w:ascii="ARIAL" w:hAnsi="ARIAL"/>
          <w:sz w:val="18"/>
        </w:rPr>
        <w:t>non-public</w:t>
      </w:r>
    </w:p>
    <w:p>
      <w:pPr>
        <w:pStyle w:val="TextBody"/>
        <w:bidi w:val="0"/>
        <w:spacing w:before="80" w:after="0"/>
        <w:jc w:val="left"/>
        <w:rPr>
          <w:rFonts w:ascii="ARIAL" w:hAnsi="ARIAL"/>
          <w:sz w:val="18"/>
        </w:rPr>
      </w:pPr>
      <w:r>
        <w:rPr>
          <w:rFonts w:ascii="ARIAL" w:hAnsi="ARIAL"/>
          <w:sz w:val="18"/>
        </w:rPr>
        <w:t xml:space="preserve">information, nor does the Company time the release of material nonpublic information for the purpose of affecting the value of executive compensation. </w:t>
      </w:r>
    </w:p>
    <w:p>
      <w:pPr>
        <w:pStyle w:val="TextBody"/>
        <w:bidi w:val="0"/>
        <w:spacing w:before="360" w:after="0"/>
        <w:jc w:val="left"/>
        <w:rPr>
          <w:rFonts w:ascii="ARIAL" w:hAnsi="ARIAL"/>
          <w:b/>
          <w:sz w:val="24"/>
        </w:rPr>
      </w:pPr>
      <w:r>
        <w:rPr>
          <w:rFonts w:ascii="ARIAL" w:hAnsi="ARIAL"/>
          <w:b/>
          <w:sz w:val="24"/>
        </w:rPr>
        <w:t xml:space="preserve">Insider Trading Compliance Policy, Anti-Hedging and Anti-Pledging Policies </w:t>
      </w:r>
    </w:p>
    <w:p>
      <w:pPr>
        <w:pStyle w:val="TextBody"/>
        <w:bidi w:val="0"/>
        <w:spacing w:before="80" w:after="0"/>
        <w:jc w:val="left"/>
        <w:rPr>
          <w:rFonts w:ascii="ARIAL" w:hAnsi="ARIAL"/>
          <w:sz w:val="18"/>
        </w:rPr>
      </w:pPr>
      <w:r>
        <w:rPr>
          <w:rFonts w:ascii="ARIAL" w:hAnsi="ARIAL"/>
          <w:sz w:val="18"/>
        </w:rPr>
        <w:t xml:space="preserve">The Company has adopted an Insider Trading Compliance Policy (the “Insider Trading Policy”) that governs the purchase, sale, and/or other dispositions of our securities by directors, officers, and employees that is reasonably designed to promote compliance with insider trading laws, rules and regulations and the Nasdaq listing standards. </w:t>
      </w:r>
    </w:p>
    <w:p>
      <w:pPr>
        <w:pStyle w:val="TextBody"/>
        <w:bidi w:val="0"/>
        <w:spacing w:before="120" w:after="0"/>
        <w:jc w:val="left"/>
        <w:rPr>
          <w:rFonts w:ascii="ARIAL" w:hAnsi="ARIAL"/>
          <w:sz w:val="18"/>
        </w:rPr>
      </w:pPr>
      <w:r>
        <w:rPr>
          <w:rFonts w:ascii="ARIAL" w:hAnsi="ARIAL"/>
          <w:sz w:val="18"/>
        </w:rPr>
        <w:t xml:space="preserve">Pursuant to the Insider Trading Policy, the Company’s directors, officers and employees are prohibited from pledging or margining Company stock and from engaging in hedging transactions in Company stock. In addition, pursuant to the Insider Trading Policy, the Company does not permit directors, officers, or employees to engage in speculative or short-term financial activities involving the Company’s stock or derivatives based on the Company’s securities in any instance. The Company does not allow for any exceptions to its anti-pledging and anti-hedging policies in the Insider Trading Policy and no current director or officer has pledged shares.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ARIAL" w:hAnsi="ARIAL"/>
          <w:b/>
          <w:sz w:val="24"/>
        </w:rPr>
      </w:pPr>
      <w:r>
        <w:rPr>
          <w:rFonts w:ascii="ARIAL" w:hAnsi="ARIAL"/>
          <w:b/>
          <w:sz w:val="24"/>
        </w:rPr>
        <w:t xml:space="preserve">Employment Agreements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0"/>
        <w:jc w:val="left"/>
        <w:rPr>
          <w:rFonts w:ascii="ARIAL" w:hAnsi="ARIAL"/>
          <w:sz w:val="18"/>
        </w:rPr>
      </w:pPr>
      <w:r>
        <w:rPr>
          <w:rFonts w:ascii="ARIAL" w:hAnsi="ARIAL"/>
          <w:sz w:val="18"/>
        </w:rPr>
        <w:t xml:space="preserve">We have an employment agreement with Mr. Florance and an offer letter with Mr. Lown, and we have </w:t>
      </w:r>
    </w:p>
    <w:p>
      <w:pPr>
        <w:pStyle w:val="TextBody"/>
        <w:bidi w:val="0"/>
        <w:spacing w:before="80" w:after="0"/>
        <w:jc w:val="left"/>
        <w:rPr>
          <w:rFonts w:ascii="ARIAL" w:hAnsi="ARIAL"/>
          <w:sz w:val="18"/>
        </w:rPr>
      </w:pPr>
      <w:r>
        <w:rPr>
          <w:rFonts w:ascii="ARIAL" w:hAnsi="ARIAL"/>
          <w:sz w:val="18"/>
        </w:rPr>
        <w:t>at-will</w:t>
      </w:r>
    </w:p>
    <w:p>
      <w:pPr>
        <w:pStyle w:val="TextBody"/>
        <w:bidi w:val="0"/>
        <w:spacing w:before="80" w:after="0"/>
        <w:jc w:val="left"/>
        <w:rPr>
          <w:rFonts w:ascii="ARIAL" w:hAnsi="ARIAL"/>
          <w:sz w:val="18"/>
        </w:rPr>
      </w:pPr>
      <w:r>
        <w:rPr>
          <w:rFonts w:ascii="ARIAL" w:hAnsi="ARIAL"/>
          <w:sz w:val="18"/>
        </w:rPr>
        <w:t xml:space="preserve">employment terms with Ms. Ruggles, Mr. Saint, and Mr. Simuro. All employees, including our NEOs, are required to execute terms and conditions of employment, which state that employment is </w:t>
      </w:r>
    </w:p>
    <w:p>
      <w:pPr>
        <w:pStyle w:val="TextBody"/>
        <w:bidi w:val="0"/>
        <w:spacing w:before="80" w:after="0"/>
        <w:jc w:val="left"/>
        <w:rPr>
          <w:rFonts w:ascii="ARIAL" w:hAnsi="ARIAL"/>
          <w:sz w:val="18"/>
        </w:rPr>
      </w:pPr>
      <w:r>
        <w:rPr>
          <w:rFonts w:ascii="ARIAL" w:hAnsi="ARIAL"/>
          <w:sz w:val="18"/>
        </w:rPr>
        <w:t>at-will</w:t>
      </w:r>
    </w:p>
    <w:p>
      <w:pPr>
        <w:pStyle w:val="TextBody"/>
        <w:bidi w:val="0"/>
        <w:spacing w:before="80" w:after="0"/>
        <w:jc w:val="left"/>
        <w:rPr>
          <w:rFonts w:ascii="ARIAL" w:hAnsi="ARIAL"/>
          <w:sz w:val="18"/>
        </w:rPr>
      </w:pPr>
      <w:r>
        <w:rPr>
          <w:rFonts w:ascii="ARIAL" w:hAnsi="ARIAL"/>
          <w:sz w:val="18"/>
        </w:rPr>
        <w:t xml:space="preserve">and set forth restrictive covenants, including duties of confidentiality, </w:t>
      </w:r>
    </w:p>
    <w:p>
      <w:pPr>
        <w:pStyle w:val="TextBody"/>
        <w:bidi w:val="0"/>
        <w:spacing w:before="80" w:after="0"/>
        <w:jc w:val="left"/>
        <w:rPr>
          <w:rFonts w:ascii="ARIAL" w:hAnsi="ARIAL"/>
          <w:sz w:val="18"/>
        </w:rPr>
      </w:pPr>
      <w:r>
        <w:rPr>
          <w:rFonts w:ascii="ARIAL" w:hAnsi="ARIAL"/>
          <w:sz w:val="18"/>
        </w:rPr>
        <w:t>non-solicitation</w:t>
      </w:r>
    </w:p>
    <w:p>
      <w:pPr>
        <w:pStyle w:val="TextBody"/>
        <w:bidi w:val="0"/>
        <w:spacing w:before="80" w:after="0"/>
        <w:jc w:val="left"/>
        <w:rPr>
          <w:rFonts w:ascii="ARIAL" w:hAnsi="ARIAL"/>
          <w:sz w:val="18"/>
        </w:rPr>
      </w:pPr>
      <w:r>
        <w:rPr>
          <w:rFonts w:ascii="ARIAL" w:hAnsi="ARIAL"/>
          <w:sz w:val="18"/>
        </w:rPr>
        <w:t xml:space="preserve">of customers and employees, and </w:t>
      </w:r>
    </w:p>
    <w:p>
      <w:pPr>
        <w:pStyle w:val="TextBody"/>
        <w:bidi w:val="0"/>
        <w:spacing w:before="80" w:after="0"/>
        <w:jc w:val="left"/>
        <w:rPr>
          <w:rFonts w:ascii="ARIAL" w:hAnsi="ARIAL"/>
          <w:sz w:val="18"/>
        </w:rPr>
      </w:pPr>
      <w:r>
        <w:rPr>
          <w:rFonts w:ascii="ARIAL" w:hAnsi="ARIAL"/>
          <w:sz w:val="18"/>
        </w:rPr>
        <w:t>non-competition.</w:t>
      </w:r>
    </w:p>
    <w:p>
      <w:pPr>
        <w:pStyle w:val="TextBody"/>
        <w:bidi w:val="0"/>
        <w:spacing w:before="80" w:after="0"/>
        <w:jc w:val="left"/>
        <w:rPr>
          <w:rFonts w:ascii="ARIAL" w:hAnsi="ARIAL"/>
          <w:sz w:val="18"/>
        </w:rPr>
      </w:pPr>
      <w:r>
        <w:rPr>
          <w:rFonts w:ascii="ARIAL" w:hAnsi="ARIAL"/>
          <w:sz w:val="18"/>
        </w:rPr>
        <w:t xml:space="preserve">Pursuant to Mr. Lown’s offer letter, in the event he is terminated by the Company for any reason other than cause (as defined in the agreement) and (1) the termination occurs within one year from his start of employment, Mr. Lown is eligible to receive 12 months of base salary and Company-paid COBRA benefits, or (2) the termination occurs more than one year from his start of employment, Mr. Lown is eligible to receive six months of base salary and Company-paid COBRA benefits, in each case, subject to his execution of a release. </w:t>
      </w:r>
    </w:p>
    <w:p>
      <w:pPr>
        <w:pStyle w:val="TextBody"/>
        <w:bidi w:val="0"/>
        <w:spacing w:before="120" w:after="0"/>
        <w:jc w:val="left"/>
        <w:rPr>
          <w:rFonts w:ascii="ARIAL" w:hAnsi="ARIAL"/>
          <w:sz w:val="18"/>
        </w:rPr>
      </w:pPr>
      <w:r>
        <w:rPr>
          <w:rFonts w:ascii="ARIAL" w:hAnsi="ARIAL"/>
          <w:sz w:val="18"/>
        </w:rPr>
        <w:t xml:space="preserve">Pursuant to his employment agreement, Mr. Florance is entitled to receive base salary, an annual cash bonus, six weeks of paid vacation per year, the same health insurance, accident and disability insurance, life insurance, and other fringe benefits provided to most senior executives of the Company, and additional term life insurance coverage not to exceed $1 million (at a cost to the Company not to exceed $2,000 per year), payable as designated by Mr. Florance. Mr. Florance’s employment agreement automatically renews for successive </w:t>
      </w:r>
    </w:p>
    <w:p>
      <w:pPr>
        <w:pStyle w:val="TextBody"/>
        <w:bidi w:val="0"/>
        <w:spacing w:before="120" w:after="0"/>
        <w:jc w:val="left"/>
        <w:rPr>
          <w:rFonts w:ascii="ARIAL" w:hAnsi="ARIAL"/>
          <w:sz w:val="18"/>
        </w:rPr>
      </w:pPr>
      <w:r>
        <w:rPr>
          <w:rFonts w:ascii="ARIAL" w:hAnsi="ARIAL"/>
          <w:sz w:val="18"/>
        </w:rPr>
        <w:t>one-year</w:t>
      </w:r>
    </w:p>
    <w:p>
      <w:pPr>
        <w:pStyle w:val="TextBody"/>
        <w:bidi w:val="0"/>
        <w:spacing w:before="120" w:after="0"/>
        <w:jc w:val="left"/>
        <w:rPr>
          <w:rFonts w:ascii="ARIAL" w:hAnsi="ARIAL"/>
          <w:sz w:val="18"/>
        </w:rPr>
      </w:pPr>
      <w:r>
        <w:rPr>
          <w:rFonts w:ascii="ARIAL" w:hAnsi="ARIAL"/>
          <w:sz w:val="18"/>
        </w:rPr>
        <w:t xml:space="preserve">terms unless either the Company or Mr. Florance provides the other with written notice of termination at least three months prior to the end of the then-current term. Pursuant to his employment agreement, Mr. Florance is subject to confidentiality and </w:t>
      </w:r>
    </w:p>
    <w:p>
      <w:pPr>
        <w:pStyle w:val="TextBody"/>
        <w:bidi w:val="0"/>
        <w:spacing w:before="120" w:after="0"/>
        <w:jc w:val="left"/>
        <w:rPr>
          <w:rFonts w:ascii="ARIAL" w:hAnsi="ARIAL"/>
          <w:sz w:val="18"/>
        </w:rPr>
      </w:pPr>
      <w:r>
        <w:rPr>
          <w:rFonts w:ascii="ARIAL" w:hAnsi="ARIAL"/>
          <w:sz w:val="18"/>
        </w:rPr>
        <w:t>non-compete</w:t>
      </w:r>
    </w:p>
    <w:p>
      <w:pPr>
        <w:pStyle w:val="TextBody"/>
        <w:bidi w:val="0"/>
        <w:spacing w:before="120" w:after="0"/>
        <w:jc w:val="left"/>
        <w:rPr>
          <w:rFonts w:ascii="ARIAL" w:hAnsi="ARIAL"/>
          <w:sz w:val="18"/>
        </w:rPr>
      </w:pPr>
      <w:r>
        <w:rPr>
          <w:rFonts w:ascii="ARIAL" w:hAnsi="ARIAL"/>
          <w:sz w:val="18"/>
        </w:rPr>
        <w:t xml:space="preserve">restrictive covenants. The </w:t>
      </w:r>
    </w:p>
    <w:p>
      <w:pPr>
        <w:pStyle w:val="TextBody"/>
        <w:bidi w:val="0"/>
        <w:spacing w:before="120" w:after="0"/>
        <w:jc w:val="left"/>
        <w:rPr>
          <w:rFonts w:ascii="ARIAL" w:hAnsi="ARIAL"/>
          <w:sz w:val="18"/>
        </w:rPr>
      </w:pPr>
      <w:r>
        <w:rPr>
          <w:rFonts w:ascii="ARIAL" w:hAnsi="ARIAL"/>
          <w:sz w:val="18"/>
        </w:rPr>
        <w:t>non-compete</w:t>
      </w:r>
    </w:p>
    <w:p>
      <w:pPr>
        <w:pStyle w:val="TextBody"/>
        <w:bidi w:val="0"/>
        <w:spacing w:before="120" w:after="0"/>
        <w:jc w:val="left"/>
        <w:rPr>
          <w:rFonts w:ascii="ARIAL" w:hAnsi="ARIAL"/>
          <w:sz w:val="18"/>
        </w:rPr>
      </w:pPr>
      <w:r>
        <w:rPr>
          <w:rFonts w:ascii="ARIAL" w:hAnsi="ARIAL"/>
          <w:sz w:val="18"/>
        </w:rPr>
        <w:t xml:space="preserve">restrictions apply during the term of the agreement, any period of time during which he remains employed with the Company “at will” and through the second anniversary of the date of his termination. </w:t>
      </w:r>
    </w:p>
    <w:p>
      <w:pPr>
        <w:pStyle w:val="TextBody"/>
        <w:bidi w:val="0"/>
        <w:spacing w:before="120" w:after="0"/>
        <w:jc w:val="left"/>
        <w:rPr>
          <w:rFonts w:ascii="ARIAL" w:hAnsi="ARIAL"/>
          <w:sz w:val="18"/>
        </w:rPr>
      </w:pPr>
      <w:r>
        <w:rPr>
          <w:rFonts w:ascii="ARIAL" w:hAnsi="ARIAL"/>
          <w:sz w:val="18"/>
        </w:rPr>
        <w:t xml:space="preserve">Mr. Florance determined to voluntarily eliminate, without any consideration, a legacy tax gross up entitlement related to Sections 280G and 4999 of the Internal Revenue Code of 1986, as amended, which had been in Mr. Florance’s employment agreement since April 1998 based upon direct stockholder feedback. Effective January 1, 2026, the Company entered into an amendment to Mr. Florance’s employment agreement solely to eliminate this legacy provision, which had significant value to Mr. Florance. Mr. Florance, with the support of the Compensation Committee, determined that eliminating this provision was appropriate and in the best interests of the Company and its stockholders, aligning the agreement more closely with evolving market practices and stockholder feedback. In making this determination, the Compensation Committee considered the absence of any stockholder feedback regarding changes to any other provisions of the employment agreement.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505"/>
        <w:gridCol w:w="120"/>
        <w:gridCol w:w="167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2"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27" descr=""/>
                          <pic:cNvPicPr>
                            <a:picLocks noChangeAspect="1" noChangeArrowheads="1"/>
                          </pic:cNvPicPr>
                        </pic:nvPicPr>
                        <pic:blipFill>
                          <a:blip r:embed="rId33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right"/>
              <w:rPr>
                <w:rFonts w:ascii="ARIAL" w:hAnsi="ARIAL"/>
                <w:sz w:val="14"/>
              </w:rPr>
            </w:pPr>
            <w:r>
              <w:rPr>
                <w:rFonts w:ascii="ARIAL" w:hAnsi="ARIAL"/>
                <w:sz w:val="14"/>
              </w:rPr>
              <w:t>2026 PROXY STATEMENT</w:t>
            </w:r>
          </w:p>
          <w:p>
            <w:pPr>
              <w:pStyle w:val="TableContents"/>
              <w:bidi w:val="0"/>
              <w:spacing w:before="0" w:after="0"/>
              <w:jc w:val="right"/>
              <w:rPr/>
            </w:pPr>
            <w:r>
              <w:rPr/>
              <w:t> </w:t>
            </w:r>
          </w:p>
          <w:p>
            <w:pPr>
              <w:pStyle w:val="TableContents"/>
              <w:bidi w:val="0"/>
              <w:spacing w:before="0" w:after="0"/>
              <w:jc w:val="right"/>
              <w:rPr>
                <w:rFonts w:ascii="ARIAL" w:hAnsi="ARIAL"/>
                <w:b/>
                <w:color w:val="0054BA"/>
                <w:sz w:val="14"/>
              </w:rPr>
            </w:pPr>
            <w:r>
              <w:rPr>
                <w:rFonts w:ascii="ARIAL" w:hAnsi="ARIAL"/>
                <w:b/>
                <w:color w:val="0054BA"/>
                <w:sz w:val="14"/>
              </w:rPr>
              <w:t>68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41" w:name="toc903159_41"/>
      <w:bookmarkEnd w:id="41"/>
      <w:r>
        <w:rPr>
          <w:rFonts w:ascii="ARIAL" w:hAnsi="ARIAL"/>
          <w:b/>
          <w:sz w:val="24"/>
        </w:rPr>
        <w:t xml:space="preserve">Executive Severance Plan </w:t>
      </w:r>
    </w:p>
    <w:p>
      <w:pPr>
        <w:pStyle w:val="TextBody"/>
        <w:bidi w:val="0"/>
        <w:spacing w:before="80" w:after="0"/>
        <w:jc w:val="left"/>
        <w:rPr>
          <w:rFonts w:ascii="ARIAL" w:hAnsi="ARIAL"/>
          <w:sz w:val="18"/>
        </w:rPr>
      </w:pPr>
      <w:r>
        <w:rPr>
          <w:rFonts w:ascii="ARIAL" w:hAnsi="ARIAL"/>
          <w:sz w:val="18"/>
        </w:rPr>
        <w:t xml:space="preserve">Except as noted above for Mr. Florance and Mr. Lown, our NEOs were not entitled to contractual severance in 2025 and prior years. Instead, they were subject to the company-wide severance plan, which provides payments that do not discriminate in scope, terms or operation in favor of executives of the Company and that are available generally to all salaried employees. </w:t>
      </w:r>
    </w:p>
    <w:p>
      <w:pPr>
        <w:pStyle w:val="TextBody"/>
        <w:bidi w:val="0"/>
        <w:spacing w:before="120" w:after="0"/>
        <w:jc w:val="left"/>
        <w:rPr>
          <w:rFonts w:ascii="ARIAL" w:hAnsi="ARIAL"/>
          <w:sz w:val="18"/>
        </w:rPr>
      </w:pPr>
      <w:r>
        <w:rPr>
          <w:rFonts w:ascii="ARIAL" w:hAnsi="ARIAL"/>
          <w:sz w:val="18"/>
        </w:rPr>
        <w:t xml:space="preserve">In January 2026, the Compensation Committee adopted an Executive Severance Plan to support the Company’s ability to retain experienced executive leadership, promote stability and continuity of management, and encourage executives to remain focused on the Company’s long-term objectives, particularly during periods of organizational change or strategic transitions. </w:t>
      </w:r>
    </w:p>
    <w:p>
      <w:pPr>
        <w:pStyle w:val="TextBody"/>
        <w:bidi w:val="0"/>
        <w:spacing w:before="120" w:after="0"/>
        <w:jc w:val="left"/>
        <w:rPr>
          <w:rFonts w:ascii="ARIAL" w:hAnsi="ARIAL"/>
          <w:sz w:val="18"/>
        </w:rPr>
      </w:pPr>
      <w:r>
        <w:rPr>
          <w:rFonts w:ascii="ARIAL" w:hAnsi="ARIAL"/>
          <w:sz w:val="18"/>
        </w:rPr>
        <w:t xml:space="preserve">In approving the Executive Severance Plan, the Compensation Committee reviewed prevailing market practices, including severance multiples, benefit structures, and change in control provisions among the Company’s peer group, and considered the recommendations of its independent compensation consultant. The Compensation Committee also evaluated the Plan’s design features to ensure alignment with stockholder interests, including appropriate triggers, limitations, and governance protections. </w:t>
      </w:r>
    </w:p>
    <w:p>
      <w:pPr>
        <w:pStyle w:val="TextBody"/>
        <w:bidi w:val="0"/>
        <w:spacing w:before="120" w:after="0"/>
        <w:jc w:val="left"/>
        <w:rPr>
          <w:rFonts w:ascii="ARIAL" w:hAnsi="ARIAL"/>
          <w:sz w:val="18"/>
        </w:rPr>
      </w:pPr>
      <w:r>
        <w:rPr>
          <w:rFonts w:ascii="ARIAL" w:hAnsi="ARIAL"/>
          <w:sz w:val="18"/>
        </w:rPr>
        <w:t xml:space="preserve">The Compensation Committee believes that the Executive Severance Plan reflects a balanced approach that is consistent with market practice, supports executive retention and engagement, and reinforces the Company’s commitment to sound compensation governance. </w:t>
      </w:r>
    </w:p>
    <w:p>
      <w:pPr>
        <w:pStyle w:val="TextBody"/>
        <w:bidi w:val="0"/>
        <w:spacing w:before="120" w:after="0"/>
        <w:jc w:val="left"/>
        <w:rPr>
          <w:rFonts w:ascii="ARIAL" w:hAnsi="ARIAL"/>
          <w:sz w:val="18"/>
        </w:rPr>
      </w:pPr>
      <w:r>
        <w:rPr>
          <w:rFonts w:ascii="ARIAL" w:hAnsi="ARIAL"/>
          <w:sz w:val="18"/>
        </w:rPr>
        <w:t xml:space="preserve">The Executive Severance Plan, without duplicating any other severance protections, provides for the payment of customary severance benefits to certain of the Company’s executives at the level of Vice President or above, including the NEOs, in the event of an involuntary termination of employment with the Company, subject to the executive satisfying certain conditions, including the delivery of a release of claims in favor of the company. </w:t>
      </w:r>
    </w:p>
    <w:p>
      <w:pPr>
        <w:pStyle w:val="TextBody"/>
        <w:bidi w:val="0"/>
        <w:spacing w:before="120" w:after="0"/>
        <w:jc w:val="left"/>
        <w:rPr>
          <w:rFonts w:ascii="ARIAL" w:hAnsi="ARIAL"/>
          <w:sz w:val="18"/>
        </w:rPr>
      </w:pPr>
      <w:r>
        <w:rPr>
          <w:rFonts w:ascii="ARIAL" w:hAnsi="ARIAL"/>
          <w:sz w:val="18"/>
        </w:rPr>
        <w:t xml:space="preserve">In the event of a Change in Control, participants are eligible to receive benefits under the plan only after a qualifying termination during the CIC protection period (“Double Trigger”). </w:t>
      </w:r>
    </w:p>
    <w:p>
      <w:pPr>
        <w:pStyle w:val="TextBody"/>
        <w:bidi w:val="0"/>
        <w:spacing w:before="120" w:after="0"/>
        <w:jc w:val="left"/>
        <w:rPr>
          <w:rFonts w:ascii="ARIAL" w:hAnsi="ARIAL"/>
          <w:sz w:val="18"/>
        </w:rPr>
      </w:pPr>
      <w:r>
        <w:rPr>
          <w:rFonts w:ascii="ARIAL" w:hAnsi="ARIAL"/>
          <w:sz w:val="18"/>
        </w:rPr>
        <w:t xml:space="preserve">Benefits under the new Executive Severance Plan for executive officers, including the NEOs, generally consist of the executive’s base salary multiplied by a specific severance multiplier, a pro-rated bonus (or full bonus if the termination occurs during a change in control protection period) for the year of termination multiplied by a specific severance multiplier, any earned but unpaid bonus for the prior calendar year, subsidized COBRA health care coverage, and a number of months of equity vesting acceleration (or full equity vesting acceleration if the termination occurs during a change in control protection period), subject to actual performance for performance awards. Nothing in the Executive Severance Plan limits an NEO’s participation in, or rights under, any other plan, agreement, policy, or program of the Company, provided that benefits under the Executive Severance Plan and any such arrangement are not duplicative. </w:t>
      </w:r>
    </w:p>
    <w:p>
      <w:pPr>
        <w:pStyle w:val="TextBody"/>
        <w:bidi w:val="0"/>
        <w:spacing w:before="0" w:after="0"/>
        <w:jc w:val="left"/>
        <w:rPr/>
      </w:pPr>
      <w:r>
        <w:rPr/>
        <w:t> </w:t>
      </w:r>
    </w:p>
    <w:tbl>
      <w:tblPr>
        <w:tblW w:w="12725" w:type="dxa"/>
        <w:jc w:val="left"/>
        <w:tblInd w:w="0" w:type="dxa"/>
        <w:tblLayout w:type="fixed"/>
        <w:tblCellMar>
          <w:top w:w="0" w:type="dxa"/>
          <w:left w:w="0" w:type="dxa"/>
          <w:bottom w:w="0" w:type="dxa"/>
          <w:right w:w="0" w:type="dxa"/>
        </w:tblCellMar>
      </w:tblPr>
      <w:tblGrid>
        <w:gridCol w:w="75"/>
        <w:gridCol w:w="23"/>
        <w:gridCol w:w="965"/>
        <w:gridCol w:w="23"/>
        <w:gridCol w:w="27"/>
        <w:gridCol w:w="71"/>
        <w:gridCol w:w="1858"/>
        <w:gridCol w:w="74"/>
        <w:gridCol w:w="23"/>
        <w:gridCol w:w="65"/>
        <w:gridCol w:w="171"/>
        <w:gridCol w:w="915"/>
        <w:gridCol w:w="174"/>
        <w:gridCol w:w="23"/>
        <w:gridCol w:w="27"/>
        <w:gridCol w:w="70"/>
        <w:gridCol w:w="1381"/>
        <w:gridCol w:w="72"/>
        <w:gridCol w:w="23"/>
        <w:gridCol w:w="23"/>
        <w:gridCol w:w="23"/>
        <w:gridCol w:w="23"/>
        <w:gridCol w:w="23"/>
        <w:gridCol w:w="23"/>
        <w:gridCol w:w="27"/>
        <w:gridCol w:w="71"/>
        <w:gridCol w:w="1858"/>
        <w:gridCol w:w="74"/>
        <w:gridCol w:w="23"/>
        <w:gridCol w:w="65"/>
        <w:gridCol w:w="171"/>
        <w:gridCol w:w="915"/>
        <w:gridCol w:w="174"/>
        <w:gridCol w:w="23"/>
        <w:gridCol w:w="25"/>
        <w:gridCol w:w="67"/>
        <w:gridCol w:w="1503"/>
        <w:gridCol w:w="60"/>
        <w:gridCol w:w="23"/>
        <w:gridCol w:w="23"/>
        <w:gridCol w:w="60"/>
        <w:gridCol w:w="1175"/>
        <w:gridCol w:w="60"/>
        <w:gridCol w:w="23"/>
        <w:gridCol w:w="23"/>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75" w:type="dxa"/>
            <w:tcBorders/>
            <w:shd w:fill="0054BA" w:val="clear"/>
            <w:vAlign w:val="center"/>
          </w:tcPr>
          <w:p>
            <w:pPr>
              <w:pStyle w:val="TableContents"/>
              <w:bidi w:val="0"/>
              <w:spacing w:before="0" w:after="283"/>
              <w:jc w:val="left"/>
              <w:rPr>
                <w:sz w:val="4"/>
                <w:szCs w:val="4"/>
              </w:rPr>
            </w:pPr>
            <w:r>
              <w:rPr>
                <w:sz w:val="4"/>
                <w:szCs w:val="4"/>
              </w:rPr>
            </w:r>
          </w:p>
        </w:tc>
        <w:tc>
          <w:tcPr>
            <w:tcW w:w="5962" w:type="dxa"/>
            <w:gridSpan w:val="17"/>
            <w:tcBorders/>
            <w:shd w:fill="0054BA" w:val="clear"/>
            <w:vAlign w:val="center"/>
          </w:tcPr>
          <w:p>
            <w:pPr>
              <w:pStyle w:val="TableContents"/>
              <w:bidi w:val="0"/>
              <w:spacing w:before="0" w:after="283"/>
              <w:jc w:val="left"/>
              <w:rPr>
                <w:sz w:val="4"/>
                <w:szCs w:val="4"/>
              </w:rPr>
            </w:pPr>
            <w:r>
              <w:rPr>
                <w:sz w:val="4"/>
                <w:szCs w:val="4"/>
              </w:rPr>
            </w:r>
          </w:p>
        </w:tc>
        <w:tc>
          <w:tcPr>
            <w:tcW w:w="115" w:type="dxa"/>
            <w:gridSpan w:val="5"/>
            <w:tcBorders/>
            <w:shd w:fill="0054BA" w:val="clear"/>
            <w:vAlign w:val="center"/>
          </w:tcPr>
          <w:p>
            <w:pPr>
              <w:pStyle w:val="TableContents"/>
              <w:bidi w:val="0"/>
              <w:spacing w:before="0" w:after="283"/>
              <w:jc w:val="left"/>
              <w:rPr>
                <w:sz w:val="4"/>
                <w:szCs w:val="4"/>
              </w:rPr>
            </w:pPr>
            <w:r>
              <w:rPr>
                <w:sz w:val="4"/>
                <w:szCs w:val="4"/>
              </w:rPr>
            </w:r>
          </w:p>
        </w:tc>
        <w:tc>
          <w:tcPr>
            <w:tcW w:w="6420" w:type="dxa"/>
            <w:gridSpan w:val="20"/>
            <w:tcBorders/>
            <w:shd w:fill="0054BA" w:val="clear"/>
            <w:vAlign w:val="center"/>
          </w:tcPr>
          <w:p>
            <w:pPr>
              <w:pStyle w:val="TableContents"/>
              <w:bidi w:val="0"/>
              <w:spacing w:before="0" w:after="283"/>
              <w:jc w:val="left"/>
              <w:rPr>
                <w:sz w:val="4"/>
                <w:szCs w:val="4"/>
              </w:rPr>
            </w:pPr>
            <w:r>
              <w:rPr>
                <w:sz w:val="4"/>
                <w:szCs w:val="4"/>
              </w:rPr>
            </w:r>
          </w:p>
        </w:tc>
        <w:tc>
          <w:tcPr>
            <w:tcW w:w="115" w:type="dxa"/>
            <w:gridSpan w:val="5"/>
            <w:tcBorders>
              <w:right w:val="single" w:sz="6" w:space="0" w:color="000000"/>
            </w:tcBorders>
            <w:shd w:fill="0054BA" w:val="clear"/>
            <w:tcMar>
              <w:right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7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5962" w:type="dxa"/>
            <w:gridSpan w:val="17"/>
            <w:tcBorders>
              <w:bottom w:val="single" w:sz="6" w:space="0" w:color="FFFFFF"/>
            </w:tcBorders>
            <w:shd w:fill="0054BA" w:val="clear"/>
            <w:tcMar>
              <w:bottom w:w="60" w:type="dxa"/>
            </w:tcMar>
            <w:vAlign w:val="center"/>
          </w:tcPr>
          <w:p>
            <w:pPr>
              <w:pStyle w:val="TableContents"/>
              <w:bidi w:val="0"/>
              <w:spacing w:before="0" w:after="20"/>
              <w:jc w:val="center"/>
              <w:rPr>
                <w:rFonts w:ascii="ARIAL" w:hAnsi="ARIAL"/>
                <w:b/>
                <w:color w:val="FFFFFF"/>
                <w:sz w:val="16"/>
              </w:rPr>
            </w:pPr>
            <w:r>
              <w:rPr>
                <w:rFonts w:ascii="ARIAL" w:hAnsi="ARIAL"/>
                <w:b/>
                <w:color w:val="FFFFFF"/>
                <w:sz w:val="16"/>
              </w:rPr>
              <w:t>CASH SEVERANCE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2" w:type="dxa"/>
            <w:gridSpan w:val="4"/>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7"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6393" w:type="dxa"/>
            <w:gridSpan w:val="19"/>
            <w:tcBorders>
              <w:bottom w:val="single" w:sz="6" w:space="0" w:color="FFFFFF"/>
            </w:tcBorders>
            <w:shd w:fill="0054BA" w:val="clear"/>
            <w:tcMar>
              <w:bottom w:w="60" w:type="dxa"/>
            </w:tcMar>
            <w:vAlign w:val="center"/>
          </w:tcPr>
          <w:p>
            <w:pPr>
              <w:pStyle w:val="TableContents"/>
              <w:bidi w:val="0"/>
              <w:spacing w:before="0" w:after="283"/>
              <w:jc w:val="center"/>
              <w:rPr>
                <w:b/>
                <w:color w:val="FFFFFF"/>
              </w:rPr>
            </w:pPr>
            <w:r>
              <w:rPr>
                <w:b/>
                <w:color w:val="FFFFFF"/>
              </w:rPr>
              <w:t>DOUBLE TRIGGER CHANGE IN CONTROL CASH</w:t>
              <w:br/>
              <w:t>SEVERANCE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07" w:type="dxa"/>
            <w:gridSpan w:val="4"/>
            <w:tcBorders>
              <w:right w:val="single" w:sz="6" w:space="0" w:color="000000"/>
            </w:tcBorders>
            <w:shd w:fill="0054BA" w:val="clear"/>
            <w:tcMar>
              <w:right w:w="28" w:type="dxa"/>
            </w:tcMar>
            <w:vAlign w:val="center"/>
          </w:tcPr>
          <w:p>
            <w:pPr>
              <w:pStyle w:val="TableContents"/>
              <w:bidi w:val="0"/>
              <w:spacing w:before="0" w:after="0"/>
              <w:jc w:val="left"/>
              <w:rPr/>
            </w:pPr>
            <w:r>
              <w:rPr/>
              <w:t> </w:t>
            </w:r>
          </w:p>
          <w:p>
            <w:pPr>
              <w:pStyle w:val="TableContents"/>
              <w:bidi w:val="0"/>
              <w:spacing w:before="0" w:after="283"/>
              <w:jc w:val="left"/>
              <w:rPr/>
            </w:pPr>
            <w:r>
              <w:rPr/>
              <w:t> </w:t>
            </w:r>
          </w:p>
        </w:tc>
      </w:tr>
      <w:tr>
        <w:trPr/>
        <w:tc>
          <w:tcPr>
            <w:tcW w:w="75" w:type="dxa"/>
            <w:tcBorders/>
            <w:shd w:fill="0054BA" w:val="clear"/>
            <w:vAlign w:val="center"/>
          </w:tcPr>
          <w:p>
            <w:pPr>
              <w:pStyle w:val="TableContents"/>
              <w:bidi w:val="0"/>
              <w:spacing w:before="0" w:after="283"/>
              <w:jc w:val="left"/>
              <w:rPr>
                <w:sz w:val="4"/>
                <w:szCs w:val="4"/>
              </w:rPr>
            </w:pPr>
            <w:r>
              <w:rPr>
                <w:sz w:val="4"/>
                <w:szCs w:val="4"/>
              </w:rPr>
            </w:r>
          </w:p>
        </w:tc>
        <w:tc>
          <w:tcPr>
            <w:tcW w:w="988" w:type="dxa"/>
            <w:gridSpan w:val="2"/>
            <w:tcBorders/>
            <w:shd w:fill="0054BA" w:val="clear"/>
            <w:vAlign w:val="center"/>
          </w:tcPr>
          <w:p>
            <w:pPr>
              <w:pStyle w:val="TableContents"/>
              <w:bidi w:val="0"/>
              <w:spacing w:before="0" w:after="283"/>
              <w:jc w:val="left"/>
              <w:rPr>
                <w:sz w:val="4"/>
                <w:szCs w:val="4"/>
              </w:rPr>
            </w:pPr>
            <w:r>
              <w:rPr>
                <w:sz w:val="4"/>
                <w:szCs w:val="4"/>
              </w:rPr>
            </w:r>
          </w:p>
        </w:tc>
        <w:tc>
          <w:tcPr>
            <w:tcW w:w="2053" w:type="dxa"/>
            <w:gridSpan w:val="5"/>
            <w:tcBorders/>
            <w:shd w:fill="0054BA" w:val="clear"/>
            <w:vAlign w:val="center"/>
          </w:tcPr>
          <w:p>
            <w:pPr>
              <w:pStyle w:val="TableContents"/>
              <w:bidi w:val="0"/>
              <w:spacing w:before="0" w:after="283"/>
              <w:jc w:val="left"/>
              <w:rPr>
                <w:sz w:val="4"/>
                <w:szCs w:val="4"/>
              </w:rPr>
            </w:pPr>
            <w:r>
              <w:rPr>
                <w:sz w:val="4"/>
                <w:szCs w:val="4"/>
              </w:rPr>
            </w:r>
          </w:p>
        </w:tc>
        <w:tc>
          <w:tcPr>
            <w:tcW w:w="1348" w:type="dxa"/>
            <w:gridSpan w:val="5"/>
            <w:tcBorders/>
            <w:shd w:fill="0054BA" w:val="clear"/>
            <w:vAlign w:val="center"/>
          </w:tcPr>
          <w:p>
            <w:pPr>
              <w:pStyle w:val="TableContents"/>
              <w:bidi w:val="0"/>
              <w:spacing w:before="0" w:after="283"/>
              <w:jc w:val="left"/>
              <w:rPr>
                <w:sz w:val="4"/>
                <w:szCs w:val="4"/>
              </w:rPr>
            </w:pPr>
            <w:r>
              <w:rPr>
                <w:sz w:val="4"/>
                <w:szCs w:val="4"/>
              </w:rPr>
            </w:r>
          </w:p>
        </w:tc>
        <w:tc>
          <w:tcPr>
            <w:tcW w:w="1573" w:type="dxa"/>
            <w:gridSpan w:val="5"/>
            <w:tcBorders/>
            <w:shd w:fill="0054BA" w:val="clear"/>
            <w:vAlign w:val="center"/>
          </w:tcPr>
          <w:p>
            <w:pPr>
              <w:pStyle w:val="TableContents"/>
              <w:bidi w:val="0"/>
              <w:spacing w:before="0" w:after="283"/>
              <w:jc w:val="left"/>
              <w:rPr>
                <w:sz w:val="4"/>
                <w:szCs w:val="4"/>
              </w:rPr>
            </w:pPr>
            <w:r>
              <w:rPr>
                <w:sz w:val="4"/>
                <w:szCs w:val="4"/>
              </w:rPr>
            </w:r>
          </w:p>
        </w:tc>
        <w:tc>
          <w:tcPr>
            <w:tcW w:w="115" w:type="dxa"/>
            <w:gridSpan w:val="5"/>
            <w:tcBorders/>
            <w:shd w:fill="0054BA" w:val="clear"/>
            <w:vAlign w:val="center"/>
          </w:tcPr>
          <w:p>
            <w:pPr>
              <w:pStyle w:val="TableContents"/>
              <w:bidi w:val="0"/>
              <w:spacing w:before="0" w:after="283"/>
              <w:jc w:val="left"/>
              <w:rPr>
                <w:sz w:val="4"/>
                <w:szCs w:val="4"/>
              </w:rPr>
            </w:pPr>
            <w:r>
              <w:rPr>
                <w:sz w:val="4"/>
                <w:szCs w:val="4"/>
              </w:rPr>
            </w:r>
          </w:p>
        </w:tc>
        <w:tc>
          <w:tcPr>
            <w:tcW w:w="2053" w:type="dxa"/>
            <w:gridSpan w:val="5"/>
            <w:tcBorders/>
            <w:shd w:fill="0054BA" w:val="clear"/>
            <w:vAlign w:val="center"/>
          </w:tcPr>
          <w:p>
            <w:pPr>
              <w:pStyle w:val="TableContents"/>
              <w:bidi w:val="0"/>
              <w:spacing w:before="0" w:after="283"/>
              <w:jc w:val="left"/>
              <w:rPr>
                <w:sz w:val="4"/>
                <w:szCs w:val="4"/>
              </w:rPr>
            </w:pPr>
            <w:r>
              <w:rPr>
                <w:sz w:val="4"/>
                <w:szCs w:val="4"/>
              </w:rPr>
            </w:r>
          </w:p>
        </w:tc>
        <w:tc>
          <w:tcPr>
            <w:tcW w:w="1348" w:type="dxa"/>
            <w:gridSpan w:val="5"/>
            <w:tcBorders/>
            <w:shd w:fill="0054BA" w:val="clear"/>
            <w:vAlign w:val="center"/>
          </w:tcPr>
          <w:p>
            <w:pPr>
              <w:pStyle w:val="TableContents"/>
              <w:bidi w:val="0"/>
              <w:spacing w:before="0" w:after="283"/>
              <w:jc w:val="left"/>
              <w:rPr>
                <w:sz w:val="4"/>
                <w:szCs w:val="4"/>
              </w:rPr>
            </w:pPr>
            <w:r>
              <w:rPr>
                <w:sz w:val="4"/>
                <w:szCs w:val="4"/>
              </w:rPr>
            </w:r>
          </w:p>
        </w:tc>
        <w:tc>
          <w:tcPr>
            <w:tcW w:w="1678" w:type="dxa"/>
            <w:gridSpan w:val="5"/>
            <w:tcBorders/>
            <w:shd w:fill="0054BA" w:val="clear"/>
            <w:vAlign w:val="center"/>
          </w:tcPr>
          <w:p>
            <w:pPr>
              <w:pStyle w:val="TableContents"/>
              <w:bidi w:val="0"/>
              <w:spacing w:before="0" w:after="283"/>
              <w:jc w:val="left"/>
              <w:rPr>
                <w:sz w:val="4"/>
                <w:szCs w:val="4"/>
              </w:rPr>
            </w:pPr>
            <w:r>
              <w:rPr>
                <w:sz w:val="4"/>
                <w:szCs w:val="4"/>
              </w:rPr>
            </w:r>
          </w:p>
        </w:tc>
        <w:tc>
          <w:tcPr>
            <w:tcW w:w="1341" w:type="dxa"/>
            <w:gridSpan w:val="5"/>
            <w:tcBorders/>
            <w:shd w:fill="0054BA" w:val="clear"/>
            <w:vAlign w:val="center"/>
          </w:tcPr>
          <w:p>
            <w:pPr>
              <w:pStyle w:val="TableContents"/>
              <w:bidi w:val="0"/>
              <w:spacing w:before="0" w:after="283"/>
              <w:jc w:val="left"/>
              <w:rPr>
                <w:sz w:val="4"/>
                <w:szCs w:val="4"/>
              </w:rPr>
            </w:pPr>
            <w:r>
              <w:rPr>
                <w:sz w:val="4"/>
                <w:szCs w:val="4"/>
              </w:rPr>
            </w:r>
          </w:p>
        </w:tc>
        <w:tc>
          <w:tcPr>
            <w:tcW w:w="115" w:type="dxa"/>
            <w:gridSpan w:val="5"/>
            <w:tcBorders/>
            <w:shd w:fill="0054BA"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7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6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030" w:type="dxa"/>
            <w:gridSpan w:val="4"/>
            <w:tcBorders/>
            <w:shd w:fill="0054BA" w:val="clear"/>
            <w:vAlign w:val="center"/>
          </w:tcPr>
          <w:p>
            <w:pPr>
              <w:pStyle w:val="TableContents"/>
              <w:bidi w:val="0"/>
              <w:spacing w:before="0" w:after="283"/>
              <w:jc w:val="center"/>
              <w:rPr>
                <w:b/>
                <w:color w:val="FFFFFF"/>
              </w:rPr>
            </w:pPr>
            <w:r>
              <w:rPr>
                <w:b/>
                <w:color w:val="FFFFFF"/>
              </w:rPr>
              <w:t>COMPENSATION</w:t>
              <w:br/>
              <w:t>BASIS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25" w:type="dxa"/>
            <w:gridSpan w:val="4"/>
            <w:tcBorders/>
            <w:shd w:fill="0054BA" w:val="clear"/>
            <w:vAlign w:val="center"/>
          </w:tcPr>
          <w:p>
            <w:pPr>
              <w:pStyle w:val="TableContents"/>
              <w:bidi w:val="0"/>
              <w:spacing w:before="0" w:after="283"/>
              <w:jc w:val="center"/>
              <w:rPr>
                <w:b/>
                <w:color w:val="FFFFFF"/>
              </w:rPr>
            </w:pPr>
            <w:r>
              <w:rPr>
                <w:b/>
                <w:color w:val="FFFFFF"/>
              </w:rPr>
              <w:t>MULTIPLE</w:t>
              <w:br/>
              <w:t>OF PAY</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50" w:type="dxa"/>
            <w:gridSpan w:val="4"/>
            <w:tcBorders/>
            <w:shd w:fill="0054BA" w:val="clear"/>
            <w:vAlign w:val="center"/>
          </w:tcPr>
          <w:p>
            <w:pPr>
              <w:pStyle w:val="TableContents"/>
              <w:bidi w:val="0"/>
              <w:spacing w:before="0" w:after="283"/>
              <w:jc w:val="center"/>
              <w:rPr>
                <w:b/>
                <w:color w:val="FFFFFF"/>
              </w:rPr>
            </w:pPr>
            <w:r>
              <w:rPr>
                <w:b/>
                <w:color w:val="FFFFFF"/>
              </w:rPr>
              <w:t>SEVERANCE</w:t>
              <w:br/>
              <w:t>PERIOD</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2" w:type="dxa"/>
            <w:gridSpan w:val="4"/>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030" w:type="dxa"/>
            <w:gridSpan w:val="4"/>
            <w:tcBorders/>
            <w:shd w:fill="0054BA" w:val="clear"/>
            <w:vAlign w:val="center"/>
          </w:tcPr>
          <w:p>
            <w:pPr>
              <w:pStyle w:val="TableContents"/>
              <w:bidi w:val="0"/>
              <w:spacing w:before="0" w:after="283"/>
              <w:jc w:val="center"/>
              <w:rPr>
                <w:b/>
                <w:color w:val="FFFFFF"/>
              </w:rPr>
            </w:pPr>
            <w:r>
              <w:rPr>
                <w:b/>
                <w:color w:val="FFFFFF"/>
              </w:rPr>
              <w:t>COMPENSATION</w:t>
              <w:br/>
              <w:t>BASIS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25" w:type="dxa"/>
            <w:gridSpan w:val="4"/>
            <w:tcBorders/>
            <w:shd w:fill="0054BA" w:val="clear"/>
            <w:vAlign w:val="center"/>
          </w:tcPr>
          <w:p>
            <w:pPr>
              <w:pStyle w:val="TableContents"/>
              <w:bidi w:val="0"/>
              <w:spacing w:before="0" w:after="283"/>
              <w:jc w:val="center"/>
              <w:rPr>
                <w:b/>
                <w:color w:val="FFFFFF"/>
              </w:rPr>
            </w:pPr>
            <w:r>
              <w:rPr>
                <w:b/>
                <w:color w:val="FFFFFF"/>
              </w:rPr>
              <w:t>MULTIPLE</w:t>
              <w:br/>
              <w:t>OF PAY</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655" w:type="dxa"/>
            <w:gridSpan w:val="4"/>
            <w:tcBorders/>
            <w:shd w:fill="0054BA" w:val="clear"/>
            <w:vAlign w:val="center"/>
          </w:tcPr>
          <w:p>
            <w:pPr>
              <w:pStyle w:val="TableContents"/>
              <w:bidi w:val="0"/>
              <w:spacing w:before="0" w:after="283"/>
              <w:jc w:val="center"/>
              <w:rPr>
                <w:b/>
                <w:color w:val="FFFFFF"/>
              </w:rPr>
            </w:pPr>
            <w:r>
              <w:rPr>
                <w:b/>
                <w:color w:val="FFFFFF"/>
              </w:rPr>
              <w:t>CIC</w:t>
              <w:br/>
              <w:t>PROTECTION</w:t>
              <w:br/>
              <w:t>PERIOD</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18"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CIC  </w:t>
              <w:br/>
              <w:t>SEVERANCE  </w:t>
            </w:r>
          </w:p>
          <w:p>
            <w:pPr>
              <w:pStyle w:val="TableContents"/>
              <w:bidi w:val="0"/>
              <w:spacing w:before="0" w:after="20"/>
              <w:jc w:val="center"/>
              <w:rPr>
                <w:rFonts w:ascii="ARIAL" w:hAnsi="ARIAL"/>
                <w:b/>
                <w:color w:val="FFFFFF"/>
                <w:sz w:val="16"/>
              </w:rPr>
            </w:pPr>
            <w:r>
              <w:rPr>
                <w:rFonts w:ascii="ARIAL" w:hAnsi="ARIAL"/>
                <w:b/>
                <w:color w:val="FFFFFF"/>
                <w:sz w:val="16"/>
              </w:rPr>
              <w:t>PERIOD  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2" w:type="dxa"/>
            <w:gridSpan w:val="4"/>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1348" w:type="dxa"/>
            <w:gridSpan w:val="5"/>
            <w:tcBorders/>
            <w:vAlign w:val="center"/>
          </w:tcPr>
          <w:p>
            <w:pPr>
              <w:pStyle w:val="TableContents"/>
              <w:bidi w:val="0"/>
              <w:spacing w:before="0" w:after="283"/>
              <w:jc w:val="left"/>
              <w:rPr>
                <w:sz w:val="4"/>
                <w:szCs w:val="4"/>
              </w:rPr>
            </w:pPr>
            <w:r>
              <w:rPr>
                <w:sz w:val="4"/>
                <w:szCs w:val="4"/>
              </w:rPr>
            </w:r>
          </w:p>
        </w:tc>
        <w:tc>
          <w:tcPr>
            <w:tcW w:w="1573" w:type="dxa"/>
            <w:gridSpan w:val="5"/>
            <w:tcBorders/>
            <w:vAlign w:val="center"/>
          </w:tcPr>
          <w:p>
            <w:pPr>
              <w:pStyle w:val="TableContents"/>
              <w:bidi w:val="0"/>
              <w:spacing w:before="0" w:after="283"/>
              <w:jc w:val="left"/>
              <w:rPr>
                <w:sz w:val="4"/>
                <w:szCs w:val="4"/>
              </w:rPr>
            </w:pPr>
            <w:r>
              <w:rPr>
                <w:sz w:val="4"/>
                <w:szCs w:val="4"/>
              </w:rPr>
            </w:r>
          </w:p>
        </w:tc>
        <w:tc>
          <w:tcPr>
            <w:tcW w:w="115"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1348" w:type="dxa"/>
            <w:gridSpan w:val="5"/>
            <w:tcBorders/>
            <w:vAlign w:val="center"/>
          </w:tcPr>
          <w:p>
            <w:pPr>
              <w:pStyle w:val="TableContents"/>
              <w:bidi w:val="0"/>
              <w:spacing w:before="0" w:after="283"/>
              <w:jc w:val="left"/>
              <w:rPr>
                <w:sz w:val="4"/>
                <w:szCs w:val="4"/>
              </w:rPr>
            </w:pPr>
            <w:r>
              <w:rPr>
                <w:sz w:val="4"/>
                <w:szCs w:val="4"/>
              </w:rPr>
            </w:r>
          </w:p>
        </w:tc>
        <w:tc>
          <w:tcPr>
            <w:tcW w:w="1678" w:type="dxa"/>
            <w:gridSpan w:val="5"/>
            <w:tcBorders/>
            <w:vAlign w:val="center"/>
          </w:tcPr>
          <w:p>
            <w:pPr>
              <w:pStyle w:val="TableContents"/>
              <w:bidi w:val="0"/>
              <w:spacing w:before="0" w:after="283"/>
              <w:jc w:val="left"/>
              <w:rPr>
                <w:sz w:val="4"/>
                <w:szCs w:val="4"/>
              </w:rPr>
            </w:pPr>
            <w:r>
              <w:rPr>
                <w:sz w:val="4"/>
                <w:szCs w:val="4"/>
              </w:rPr>
            </w:r>
          </w:p>
        </w:tc>
        <w:tc>
          <w:tcPr>
            <w:tcW w:w="1341" w:type="dxa"/>
            <w:gridSpan w:val="5"/>
            <w:tcBorders/>
            <w:vAlign w:val="center"/>
          </w:tcPr>
          <w:p>
            <w:pPr>
              <w:pStyle w:val="TableContents"/>
              <w:bidi w:val="0"/>
              <w:spacing w:before="0" w:after="283"/>
              <w:jc w:val="left"/>
              <w:rPr>
                <w:sz w:val="4"/>
                <w:szCs w:val="4"/>
              </w:rPr>
            </w:pPr>
            <w:r>
              <w:rPr>
                <w:sz w:val="4"/>
                <w:szCs w:val="4"/>
              </w:rPr>
            </w:r>
          </w:p>
        </w:tc>
        <w:tc>
          <w:tcPr>
            <w:tcW w:w="115" w:type="dxa"/>
            <w:gridSpan w:val="5"/>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CEO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58" w:type="dxa"/>
            <w:tcBorders>
              <w:bottom w:val="single" w:sz="6" w:space="0" w:color="000000"/>
            </w:tcBorders>
            <w:tcMar>
              <w:bottom w:w="100" w:type="dxa"/>
            </w:tcMar>
            <w:vAlign w:val="center"/>
          </w:tcPr>
          <w:p>
            <w:pPr>
              <w:pStyle w:val="TableContents"/>
              <w:bidi w:val="0"/>
              <w:spacing w:before="0" w:after="283"/>
              <w:jc w:val="left"/>
              <w:rPr/>
            </w:pPr>
            <w:r>
              <w:rPr/>
              <w:t>Base Salary and</w:t>
              <w:br/>
              <w:t>Prorated Bonus</w:t>
            </w:r>
          </w:p>
        </w:tc>
        <w:tc>
          <w:tcPr>
            <w:tcW w:w="74" w:type="dxa"/>
            <w:tcBorders>
              <w:bottom w:val="single" w:sz="6" w:space="0" w:color="000000"/>
            </w:tcBorders>
            <w:tcMar>
              <w:bottom w:w="100" w:type="dxa"/>
            </w:tcMar>
            <w:vAlign w:val="center"/>
          </w:tcPr>
          <w:p>
            <w:pPr>
              <w:pStyle w:val="TableContents"/>
              <w:bidi w:val="0"/>
              <w:spacing w:before="0" w:after="283"/>
              <w:jc w:val="left"/>
              <w:rPr/>
            </w:pPr>
            <w:r>
              <w:rPr/>
              <w:t> </w:t>
            </w:r>
            <w:r>
              <w:rPr/>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2.0</w:t>
            </w:r>
          </w:p>
        </w:tc>
        <w:tc>
          <w:tcPr>
            <w:tcW w:w="17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81" w:type="dxa"/>
            <w:tcBorders>
              <w:bottom w:val="single" w:sz="6" w:space="0" w:color="000000"/>
            </w:tcBorders>
            <w:tcMar>
              <w:bottom w:w="100" w:type="dxa"/>
            </w:tcMar>
            <w:vAlign w:val="center"/>
          </w:tcPr>
          <w:p>
            <w:pPr>
              <w:pStyle w:val="TableContents"/>
              <w:bidi w:val="0"/>
              <w:spacing w:before="0" w:after="283"/>
              <w:jc w:val="left"/>
              <w:rPr/>
            </w:pPr>
            <w:r>
              <w:rPr/>
              <w:t>24 months</w:t>
              <w:br/>
              <w:t>following</w:t>
              <w:br/>
              <w:t>Termination</w:t>
            </w:r>
          </w:p>
        </w:tc>
        <w:tc>
          <w:tcPr>
            <w:tcW w:w="72" w:type="dxa"/>
            <w:tcBorders>
              <w:bottom w:val="single" w:sz="6" w:space="0" w:color="000000"/>
            </w:tcBorders>
            <w:tcMar>
              <w:bottom w:w="100" w:type="dxa"/>
            </w:tcMar>
            <w:vAlign w:val="center"/>
          </w:tcPr>
          <w:p>
            <w:pPr>
              <w:pStyle w:val="TableContents"/>
              <w:bidi w:val="0"/>
              <w:spacing w:before="0" w:after="283"/>
              <w:jc w:val="left"/>
              <w:rPr/>
            </w:pPr>
            <w:r>
              <w:rPr/>
              <w:t> </w:t>
            </w:r>
            <w:r>
              <w:rPr/>
              <w:br/>
              <w:t> </w:t>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58" w:type="dxa"/>
            <w:tcBorders>
              <w:bottom w:val="single" w:sz="6" w:space="0" w:color="000000"/>
            </w:tcBorders>
            <w:tcMar>
              <w:bottom w:w="100" w:type="dxa"/>
            </w:tcMar>
            <w:vAlign w:val="center"/>
          </w:tcPr>
          <w:p>
            <w:pPr>
              <w:pStyle w:val="TableContents"/>
              <w:bidi w:val="0"/>
              <w:spacing w:before="0" w:after="283"/>
              <w:jc w:val="left"/>
              <w:rPr/>
            </w:pPr>
            <w:r>
              <w:rPr/>
              <w:t>Base Salary and</w:t>
              <w:br/>
              <w:t>Target Bonus</w:t>
            </w:r>
          </w:p>
        </w:tc>
        <w:tc>
          <w:tcPr>
            <w:tcW w:w="74" w:type="dxa"/>
            <w:tcBorders>
              <w:bottom w:val="single" w:sz="6" w:space="0" w:color="000000"/>
            </w:tcBorders>
            <w:tcMar>
              <w:bottom w:w="100" w:type="dxa"/>
            </w:tcMar>
            <w:vAlign w:val="center"/>
          </w:tcPr>
          <w:p>
            <w:pPr>
              <w:pStyle w:val="TableContents"/>
              <w:bidi w:val="0"/>
              <w:spacing w:before="0" w:after="283"/>
              <w:jc w:val="left"/>
              <w:rPr/>
            </w:pPr>
            <w:r>
              <w:rPr/>
              <w:t> </w:t>
            </w:r>
            <w:r>
              <w:rPr/>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2.0</w:t>
            </w:r>
          </w:p>
        </w:tc>
        <w:tc>
          <w:tcPr>
            <w:tcW w:w="17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left"/>
              <w:rPr/>
            </w:pPr>
            <w:r>
              <w:rPr/>
              <w:t>24 months</w:t>
              <w:br/>
              <w:t>following CIC</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r>
              <w:rPr/>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5" w:type="dxa"/>
            <w:tcBorders>
              <w:bottom w:val="single" w:sz="6" w:space="0" w:color="000000"/>
            </w:tcBorders>
            <w:tcMar>
              <w:bottom w:w="100" w:type="dxa"/>
            </w:tcMar>
            <w:vAlign w:val="center"/>
          </w:tcPr>
          <w:p>
            <w:pPr>
              <w:pStyle w:val="TableContents"/>
              <w:bidi w:val="0"/>
              <w:spacing w:before="0" w:after="283"/>
              <w:jc w:val="left"/>
              <w:rPr/>
            </w:pPr>
            <w:r>
              <w:rPr/>
              <w:t>24 months</w:t>
              <w:br/>
              <w:t>following</w:t>
              <w:br/>
              <w:t>Termination</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r>
              <w:rPr/>
              <w:br/>
              <w:t> </w:t>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1348" w:type="dxa"/>
            <w:gridSpan w:val="5"/>
            <w:tcBorders/>
            <w:vAlign w:val="center"/>
          </w:tcPr>
          <w:p>
            <w:pPr>
              <w:pStyle w:val="TableContents"/>
              <w:bidi w:val="0"/>
              <w:spacing w:before="0" w:after="283"/>
              <w:jc w:val="left"/>
              <w:rPr>
                <w:sz w:val="4"/>
                <w:szCs w:val="4"/>
              </w:rPr>
            </w:pPr>
            <w:r>
              <w:rPr>
                <w:sz w:val="4"/>
                <w:szCs w:val="4"/>
              </w:rPr>
            </w:r>
          </w:p>
        </w:tc>
        <w:tc>
          <w:tcPr>
            <w:tcW w:w="1573" w:type="dxa"/>
            <w:gridSpan w:val="5"/>
            <w:tcBorders/>
            <w:vAlign w:val="center"/>
          </w:tcPr>
          <w:p>
            <w:pPr>
              <w:pStyle w:val="TableContents"/>
              <w:bidi w:val="0"/>
              <w:spacing w:before="0" w:after="283"/>
              <w:jc w:val="left"/>
              <w:rPr>
                <w:sz w:val="4"/>
                <w:szCs w:val="4"/>
              </w:rPr>
            </w:pPr>
            <w:r>
              <w:rPr>
                <w:sz w:val="4"/>
                <w:szCs w:val="4"/>
              </w:rPr>
            </w:r>
          </w:p>
        </w:tc>
        <w:tc>
          <w:tcPr>
            <w:tcW w:w="115"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1348" w:type="dxa"/>
            <w:gridSpan w:val="5"/>
            <w:tcBorders/>
            <w:vAlign w:val="center"/>
          </w:tcPr>
          <w:p>
            <w:pPr>
              <w:pStyle w:val="TableContents"/>
              <w:bidi w:val="0"/>
              <w:spacing w:before="0" w:after="283"/>
              <w:jc w:val="left"/>
              <w:rPr>
                <w:sz w:val="4"/>
                <w:szCs w:val="4"/>
              </w:rPr>
            </w:pPr>
            <w:r>
              <w:rPr>
                <w:sz w:val="4"/>
                <w:szCs w:val="4"/>
              </w:rPr>
            </w:r>
          </w:p>
        </w:tc>
        <w:tc>
          <w:tcPr>
            <w:tcW w:w="1678" w:type="dxa"/>
            <w:gridSpan w:val="5"/>
            <w:tcBorders/>
            <w:vAlign w:val="center"/>
          </w:tcPr>
          <w:p>
            <w:pPr>
              <w:pStyle w:val="TableContents"/>
              <w:bidi w:val="0"/>
              <w:spacing w:before="0" w:after="283"/>
              <w:jc w:val="left"/>
              <w:rPr>
                <w:sz w:val="4"/>
                <w:szCs w:val="4"/>
              </w:rPr>
            </w:pPr>
            <w:r>
              <w:rPr>
                <w:sz w:val="4"/>
                <w:szCs w:val="4"/>
              </w:rPr>
            </w:r>
          </w:p>
        </w:tc>
        <w:tc>
          <w:tcPr>
            <w:tcW w:w="1341" w:type="dxa"/>
            <w:gridSpan w:val="5"/>
            <w:tcBorders/>
            <w:vAlign w:val="center"/>
          </w:tcPr>
          <w:p>
            <w:pPr>
              <w:pStyle w:val="TableContents"/>
              <w:bidi w:val="0"/>
              <w:spacing w:before="0" w:after="283"/>
              <w:jc w:val="left"/>
              <w:rPr>
                <w:sz w:val="4"/>
                <w:szCs w:val="4"/>
              </w:rPr>
            </w:pPr>
            <w:r>
              <w:rPr>
                <w:sz w:val="4"/>
                <w:szCs w:val="4"/>
              </w:rPr>
            </w:r>
          </w:p>
        </w:tc>
        <w:tc>
          <w:tcPr>
            <w:tcW w:w="115" w:type="dxa"/>
            <w:gridSpan w:val="5"/>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Other NEOs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58" w:type="dxa"/>
            <w:tcBorders>
              <w:bottom w:val="single" w:sz="6" w:space="0" w:color="000000"/>
            </w:tcBorders>
            <w:tcMar>
              <w:bottom w:w="100" w:type="dxa"/>
            </w:tcMar>
            <w:vAlign w:val="center"/>
          </w:tcPr>
          <w:p>
            <w:pPr>
              <w:pStyle w:val="TableContents"/>
              <w:bidi w:val="0"/>
              <w:spacing w:before="0" w:after="283"/>
              <w:jc w:val="left"/>
              <w:rPr/>
            </w:pPr>
            <w:r>
              <w:rPr/>
              <w:t>Base Salary and</w:t>
              <w:br/>
              <w:t>Prorated Bonus</w:t>
            </w:r>
          </w:p>
        </w:tc>
        <w:tc>
          <w:tcPr>
            <w:tcW w:w="74" w:type="dxa"/>
            <w:tcBorders>
              <w:bottom w:val="single" w:sz="6" w:space="0" w:color="000000"/>
            </w:tcBorders>
            <w:tcMar>
              <w:bottom w:w="100" w:type="dxa"/>
            </w:tcMar>
            <w:vAlign w:val="center"/>
          </w:tcPr>
          <w:p>
            <w:pPr>
              <w:pStyle w:val="TableContents"/>
              <w:bidi w:val="0"/>
              <w:spacing w:before="0" w:after="283"/>
              <w:jc w:val="left"/>
              <w:rPr/>
            </w:pPr>
            <w:r>
              <w:rPr/>
              <w:t> </w:t>
            </w:r>
            <w:r>
              <w:rPr/>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1.0</w:t>
            </w:r>
          </w:p>
        </w:tc>
        <w:tc>
          <w:tcPr>
            <w:tcW w:w="17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81" w:type="dxa"/>
            <w:tcBorders>
              <w:bottom w:val="single" w:sz="6" w:space="0" w:color="000000"/>
            </w:tcBorders>
            <w:tcMar>
              <w:bottom w:w="100" w:type="dxa"/>
            </w:tcMar>
            <w:vAlign w:val="center"/>
          </w:tcPr>
          <w:p>
            <w:pPr>
              <w:pStyle w:val="TableContents"/>
              <w:bidi w:val="0"/>
              <w:spacing w:before="0" w:after="283"/>
              <w:jc w:val="left"/>
              <w:rPr/>
            </w:pPr>
            <w:r>
              <w:rPr/>
              <w:t>12 months</w:t>
              <w:br/>
              <w:t>following</w:t>
              <w:br/>
              <w:t>Termination</w:t>
            </w:r>
          </w:p>
        </w:tc>
        <w:tc>
          <w:tcPr>
            <w:tcW w:w="72" w:type="dxa"/>
            <w:tcBorders>
              <w:bottom w:val="single" w:sz="6" w:space="0" w:color="000000"/>
            </w:tcBorders>
            <w:tcMar>
              <w:bottom w:w="100" w:type="dxa"/>
            </w:tcMar>
            <w:vAlign w:val="center"/>
          </w:tcPr>
          <w:p>
            <w:pPr>
              <w:pStyle w:val="TableContents"/>
              <w:bidi w:val="0"/>
              <w:spacing w:before="0" w:after="283"/>
              <w:jc w:val="left"/>
              <w:rPr/>
            </w:pPr>
            <w:r>
              <w:rPr/>
              <w:t> </w:t>
            </w:r>
            <w:r>
              <w:rPr/>
              <w:br/>
              <w:t> </w:t>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58" w:type="dxa"/>
            <w:tcBorders>
              <w:bottom w:val="single" w:sz="6" w:space="0" w:color="000000"/>
            </w:tcBorders>
            <w:tcMar>
              <w:bottom w:w="100" w:type="dxa"/>
            </w:tcMar>
            <w:vAlign w:val="center"/>
          </w:tcPr>
          <w:p>
            <w:pPr>
              <w:pStyle w:val="TableContents"/>
              <w:bidi w:val="0"/>
              <w:spacing w:before="0" w:after="283"/>
              <w:jc w:val="left"/>
              <w:rPr/>
            </w:pPr>
            <w:r>
              <w:rPr/>
              <w:t>Base Salary and</w:t>
              <w:br/>
              <w:t>Target Bonus</w:t>
            </w:r>
          </w:p>
        </w:tc>
        <w:tc>
          <w:tcPr>
            <w:tcW w:w="74" w:type="dxa"/>
            <w:tcBorders>
              <w:bottom w:val="single" w:sz="6" w:space="0" w:color="000000"/>
            </w:tcBorders>
            <w:tcMar>
              <w:bottom w:w="100" w:type="dxa"/>
            </w:tcMar>
            <w:vAlign w:val="center"/>
          </w:tcPr>
          <w:p>
            <w:pPr>
              <w:pStyle w:val="TableContents"/>
              <w:bidi w:val="0"/>
              <w:spacing w:before="0" w:after="283"/>
              <w:jc w:val="left"/>
              <w:rPr/>
            </w:pPr>
            <w:r>
              <w:rPr/>
              <w:t> </w:t>
            </w:r>
            <w:r>
              <w:rPr/>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6" w:space="0" w:color="000000"/>
            </w:tcBorders>
            <w:tcMar>
              <w:bottom w:w="100" w:type="dxa"/>
            </w:tcMar>
            <w:vAlign w:val="center"/>
          </w:tcPr>
          <w:p>
            <w:pPr>
              <w:pStyle w:val="TableContents"/>
              <w:bidi w:val="0"/>
              <w:spacing w:before="0" w:after="283"/>
              <w:jc w:val="left"/>
              <w:rPr/>
            </w:pPr>
            <w:r>
              <w:rPr/>
              <w:t> </w:t>
            </w:r>
          </w:p>
        </w:tc>
        <w:tc>
          <w:tcPr>
            <w:tcW w:w="915" w:type="dxa"/>
            <w:tcBorders>
              <w:bottom w:val="single" w:sz="6" w:space="0" w:color="000000"/>
            </w:tcBorders>
            <w:tcMar>
              <w:bottom w:w="100" w:type="dxa"/>
            </w:tcMar>
            <w:vAlign w:val="center"/>
          </w:tcPr>
          <w:p>
            <w:pPr>
              <w:pStyle w:val="TableContents"/>
              <w:bidi w:val="0"/>
              <w:spacing w:before="0" w:after="283"/>
              <w:jc w:val="center"/>
              <w:rPr/>
            </w:pPr>
            <w:r>
              <w:rPr/>
              <w:t>1.0</w:t>
            </w:r>
          </w:p>
        </w:tc>
        <w:tc>
          <w:tcPr>
            <w:tcW w:w="174"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left"/>
              <w:rPr/>
            </w:pPr>
            <w:r>
              <w:rPr/>
              <w:t>24 months</w:t>
              <w:br/>
              <w:t>following CIC</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r>
              <w:rPr/>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5" w:type="dxa"/>
            <w:tcBorders>
              <w:bottom w:val="single" w:sz="6" w:space="0" w:color="000000"/>
            </w:tcBorders>
            <w:tcMar>
              <w:bottom w:w="100" w:type="dxa"/>
            </w:tcMar>
            <w:vAlign w:val="center"/>
          </w:tcPr>
          <w:p>
            <w:pPr>
              <w:pStyle w:val="TableContents"/>
              <w:bidi w:val="0"/>
              <w:spacing w:before="0" w:after="283"/>
              <w:jc w:val="left"/>
              <w:rPr/>
            </w:pPr>
            <w:r>
              <w:rPr/>
              <w:t>12 months</w:t>
              <w:br/>
              <w:t>following</w:t>
              <w:br/>
              <w:t>Termination</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r>
              <w:rPr/>
              <w:br/>
              <w:t> </w:t>
              <w:b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3"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28" descr=""/>
                          <pic:cNvPicPr>
                            <a:picLocks noChangeAspect="1" noChangeArrowheads="1"/>
                          </pic:cNvPicPr>
                        </pic:nvPicPr>
                        <pic:blipFill>
                          <a:blip r:embed="rId34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69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53" w:type="dxa"/>
        <w:jc w:val="left"/>
        <w:tblInd w:w="0" w:type="dxa"/>
        <w:tblLayout w:type="fixed"/>
        <w:tblCellMar>
          <w:top w:w="0" w:type="dxa"/>
          <w:left w:w="0" w:type="dxa"/>
          <w:bottom w:w="0" w:type="dxa"/>
          <w:right w:w="0" w:type="dxa"/>
        </w:tblCellMar>
      </w:tblPr>
      <w:tblGrid>
        <w:gridCol w:w="38"/>
        <w:gridCol w:w="12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56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Deferred Compensation </w:t>
      </w:r>
    </w:p>
    <w:p>
      <w:pPr>
        <w:pStyle w:val="TextBody"/>
        <w:bidi w:val="0"/>
        <w:spacing w:before="80" w:after="0"/>
        <w:jc w:val="left"/>
        <w:rPr>
          <w:rFonts w:ascii="ARIAL" w:hAnsi="ARIAL"/>
          <w:sz w:val="18"/>
        </w:rPr>
      </w:pPr>
      <w:r>
        <w:rPr>
          <w:rFonts w:ascii="ARIAL" w:hAnsi="ARIAL"/>
          <w:sz w:val="18"/>
        </w:rPr>
        <w:t xml:space="preserve">The company maintains the Management Stock Purchase Plan (MSPP), designed to provide selected key employees of the Company and its subsidiaries, including the NEOs, the opportunity to defer a portion of their cash incentive compensation and to align management and stockholder interests through awards of Deferred Stock Units (“DSUs”) under the MSPP and awards of Matching RSUs under the 2016 Plan, the 2025 Plan, or a successor plan. In December 2025, the Compensation Committee amended the plan and permitted participants to elect to defer up to 90% of their annual incentive bonus or commissions that may be earned during the calendar year to improve tax administration. On the day the bonus would have otherwise been paid, the Company will award to the participant DSUs covering a number of shares of common stock having an aggregate fair market value on that date equal to the amount of the annual cash incentive for the prior calendar year that the participant elected to be deferred under the MSPP. On the same date the DSUs are awarded, the participant will receive a grant of Matching RSUs covering a number of shares of common stock equal to 100% of the DSUs granted. </w:t>
      </w:r>
    </w:p>
    <w:p>
      <w:pPr>
        <w:pStyle w:val="TextBody"/>
        <w:bidi w:val="0"/>
        <w:spacing w:before="120" w:after="0"/>
        <w:jc w:val="left"/>
        <w:rPr>
          <w:rFonts w:ascii="ARIAL" w:hAnsi="ARIAL"/>
          <w:sz w:val="18"/>
        </w:rPr>
      </w:pPr>
      <w:r>
        <w:rPr>
          <w:rFonts w:ascii="ARIAL" w:hAnsi="ARIAL"/>
          <w:sz w:val="18"/>
        </w:rPr>
        <w:t xml:space="preserve">The DSUs issued under the MSPP will be fully vested at grant and will be settled as soon as practicable following the earliest to occur of (i) the fourth anniversary of the date of grant; (ii) the participant’s death; (iii) the participant’s disability; (iv) the participant’s separation from service from the Company; or (v) a change in control (as defined in the MSPP) of the Company. Matching RSUs will vest four years after the date of grant, subject to the participant’s continued employment through that date, or upon a change in control of the Company that occurs prior to such date (as defined in the MSPP). If the participant’s employment terminates for any reason before the Matching RSUs vest, they will be forfeited. In accordance with SEC rules, the Matching RSUs granted to the NEOs that participated in the MSPP in March of 2023, 2024 and 2025 are included in the 2025 Summary Compensation Table and the Matching RSUs granted to NEOs in March of 2025 are included in the Grants of Plan-Based Awards Table below. </w:t>
      </w:r>
    </w:p>
    <w:p>
      <w:pPr>
        <w:pStyle w:val="TextBody"/>
        <w:bidi w:val="0"/>
        <w:spacing w:before="360" w:after="0"/>
        <w:jc w:val="left"/>
        <w:rPr>
          <w:rFonts w:ascii="ARIAL" w:hAnsi="ARIAL"/>
          <w:b/>
          <w:sz w:val="24"/>
        </w:rPr>
      </w:pPr>
      <w:r>
        <w:rPr>
          <w:rFonts w:ascii="ARIAL" w:hAnsi="ARIAL"/>
          <w:b/>
          <w:sz w:val="24"/>
        </w:rPr>
        <w:t xml:space="preserve">Impact of Taxation and Accounting Considerations </w:t>
      </w:r>
    </w:p>
    <w:p>
      <w:pPr>
        <w:pStyle w:val="TextBody"/>
        <w:bidi w:val="0"/>
        <w:spacing w:before="80" w:after="0"/>
        <w:jc w:val="left"/>
        <w:rPr>
          <w:rFonts w:ascii="ARIAL" w:hAnsi="ARIAL"/>
          <w:b/>
          <w:sz w:val="20"/>
        </w:rPr>
      </w:pPr>
      <w:r>
        <w:rPr>
          <w:rFonts w:ascii="ARIAL" w:hAnsi="ARIAL"/>
          <w:b/>
          <w:sz w:val="20"/>
        </w:rPr>
        <w:t xml:space="preserve">POLICY ON DEDUCTIBILITY OF COMPENSATION </w:t>
      </w:r>
    </w:p>
    <w:p>
      <w:pPr>
        <w:pStyle w:val="TextBody"/>
        <w:bidi w:val="0"/>
        <w:spacing w:before="80" w:after="0"/>
        <w:jc w:val="left"/>
        <w:rPr>
          <w:rFonts w:ascii="ARIAL" w:hAnsi="ARIAL"/>
          <w:sz w:val="18"/>
        </w:rPr>
      </w:pPr>
      <w:r>
        <w:rPr>
          <w:rFonts w:ascii="ARIAL" w:hAnsi="ARIAL"/>
          <w:sz w:val="18"/>
        </w:rPr>
        <w:t xml:space="preserve">Section 162(m) of the Code limits a publicly traded company’s federal income tax deduction for compensation in excess of $1 million paid to its Chief Executive Officer, Chief Financial Officer and certain other current and former executive officers. The Company expects that it will be unable to deduct all compensation in excess of $1 million paid to its Chief Executive Officer, Chief Financial Officer and other NEOs, other than any awards granted prior to November 2, 2017 to the extent they qualify for certain transition rules under Section 162(m). </w:t>
      </w:r>
    </w:p>
    <w:p>
      <w:pPr>
        <w:pStyle w:val="TextBody"/>
        <w:bidi w:val="0"/>
        <w:spacing w:before="360" w:after="0"/>
        <w:jc w:val="left"/>
        <w:rPr>
          <w:rFonts w:ascii="ARIAL" w:hAnsi="ARIAL"/>
          <w:b/>
          <w:sz w:val="24"/>
        </w:rPr>
      </w:pPr>
      <w:bookmarkStart w:id="42" w:name="tx903159_111"/>
      <w:bookmarkStart w:id="43" w:name="toc903159_31"/>
      <w:bookmarkEnd w:id="42"/>
      <w:bookmarkEnd w:id="43"/>
      <w:r>
        <w:rPr>
          <w:rFonts w:ascii="ARIAL" w:hAnsi="ARIAL"/>
          <w:b/>
          <w:sz w:val="24"/>
        </w:rPr>
        <w:t xml:space="preserve">Compensation Committee Report </w:t>
      </w:r>
    </w:p>
    <w:p>
      <w:pPr>
        <w:pStyle w:val="TextBody"/>
        <w:bidi w:val="0"/>
        <w:spacing w:before="80" w:after="0"/>
        <w:jc w:val="left"/>
        <w:rPr>
          <w:rFonts w:ascii="ARIAL" w:hAnsi="ARIAL"/>
          <w:sz w:val="18"/>
        </w:rPr>
      </w:pPr>
      <w:r>
        <w:rPr>
          <w:rFonts w:ascii="ARIAL" w:hAnsi="ARIAL"/>
          <w:sz w:val="18"/>
        </w:rPr>
        <w:t xml:space="preserve">The Compensation Committee has reviewed and discussed with management the Compensation Discussion and Analysis section of this Proxy Statement. Based on its review and discussions with management, the Compensation Committee recommended to the Board of Directors that the Compensation Discussion and Analysis be included in this Proxy Statement. </w:t>
      </w:r>
    </w:p>
    <w:p>
      <w:pPr>
        <w:pStyle w:val="TextBody"/>
        <w:bidi w:val="0"/>
        <w:spacing w:before="120" w:after="0"/>
        <w:jc w:val="left"/>
        <w:rPr>
          <w:rFonts w:ascii="ARIAL" w:hAnsi="ARIAL"/>
          <w:sz w:val="18"/>
        </w:rPr>
      </w:pPr>
      <w:r>
        <w:rPr>
          <w:rFonts w:ascii="ARIAL" w:hAnsi="ARIAL"/>
          <w:sz w:val="18"/>
        </w:rPr>
        <w:t xml:space="preserve">By the Compensation Committee of the Board of Directors </w:t>
      </w:r>
    </w:p>
    <w:p>
      <w:pPr>
        <w:pStyle w:val="TextBody"/>
        <w:bidi w:val="0"/>
        <w:spacing w:before="120" w:after="0"/>
        <w:jc w:val="left"/>
        <w:rPr>
          <w:rFonts w:ascii="ARIAL" w:hAnsi="ARIAL"/>
          <w:sz w:val="18"/>
        </w:rPr>
      </w:pPr>
      <w:r>
        <w:rPr>
          <w:rFonts w:ascii="ARIAL" w:hAnsi="ARIAL"/>
          <w:sz w:val="18"/>
        </w:rPr>
        <w:t xml:space="preserve">Robert W. Musslewhite, Chair </w:t>
      </w:r>
    </w:p>
    <w:p>
      <w:pPr>
        <w:pStyle w:val="TextBody"/>
        <w:bidi w:val="0"/>
        <w:spacing w:before="40" w:after="0"/>
        <w:jc w:val="left"/>
        <w:rPr>
          <w:rFonts w:ascii="ARIAL" w:hAnsi="ARIAL"/>
          <w:sz w:val="18"/>
        </w:rPr>
      </w:pPr>
      <w:r>
        <w:rPr>
          <w:rFonts w:ascii="ARIAL" w:hAnsi="ARIAL"/>
          <w:sz w:val="18"/>
        </w:rPr>
        <w:t xml:space="preserve">Angelique G. Brunner </w:t>
      </w:r>
    </w:p>
    <w:p>
      <w:pPr>
        <w:pStyle w:val="TextBody"/>
        <w:bidi w:val="0"/>
        <w:spacing w:before="40" w:after="0"/>
        <w:jc w:val="left"/>
        <w:rPr>
          <w:rFonts w:ascii="ARIAL" w:hAnsi="ARIAL"/>
          <w:sz w:val="18"/>
        </w:rPr>
      </w:pPr>
      <w:r>
        <w:rPr>
          <w:rFonts w:ascii="ARIAL" w:hAnsi="ARIAL"/>
          <w:sz w:val="18"/>
        </w:rPr>
        <w:t xml:space="preserve">John L. Berisford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4"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29" descr=""/>
                          <pic:cNvPicPr>
                            <a:picLocks noChangeAspect="1" noChangeArrowheads="1"/>
                          </pic:cNvPicPr>
                        </pic:nvPicPr>
                        <pic:blipFill>
                          <a:blip r:embed="rId34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44" w:name="tx903159_112"/>
      <w:bookmarkStart w:id="45" w:name="toc903159_32"/>
      <w:bookmarkEnd w:id="44"/>
      <w:bookmarkEnd w:id="45"/>
      <w:r>
        <w:rPr>
          <w:rFonts w:ascii="ARIAL" w:hAnsi="ARIAL"/>
          <w:b/>
          <w:sz w:val="24"/>
        </w:rPr>
        <w:t xml:space="preserve">2025 Summary Compensation Table </w:t>
      </w:r>
    </w:p>
    <w:p>
      <w:pPr>
        <w:pStyle w:val="TextBody"/>
        <w:bidi w:val="0"/>
        <w:spacing w:before="0" w:after="0"/>
        <w:jc w:val="left"/>
        <w:rPr/>
      </w:pPr>
      <w:r>
        <w:rPr/>
        <w:t> </w:t>
      </w:r>
    </w:p>
    <w:tbl>
      <w:tblPr>
        <w:tblW w:w="10651" w:type="dxa"/>
        <w:jc w:val="left"/>
        <w:tblInd w:w="0" w:type="dxa"/>
        <w:tblLayout w:type="fixed"/>
        <w:tblCellMar>
          <w:top w:w="0" w:type="dxa"/>
          <w:left w:w="0" w:type="dxa"/>
          <w:bottom w:w="0" w:type="dxa"/>
          <w:right w:w="0" w:type="dxa"/>
        </w:tblCellMar>
      </w:tblPr>
      <w:tblGrid>
        <w:gridCol w:w="1760"/>
        <w:gridCol w:w="23"/>
        <w:gridCol w:w="23"/>
        <w:gridCol w:w="60"/>
        <w:gridCol w:w="500"/>
        <w:gridCol w:w="60"/>
        <w:gridCol w:w="23"/>
        <w:gridCol w:w="23"/>
        <w:gridCol w:w="60"/>
        <w:gridCol w:w="1100"/>
        <w:gridCol w:w="60"/>
        <w:gridCol w:w="23"/>
        <w:gridCol w:w="23"/>
        <w:gridCol w:w="60"/>
        <w:gridCol w:w="1220"/>
        <w:gridCol w:w="60"/>
        <w:gridCol w:w="23"/>
        <w:gridCol w:w="23"/>
        <w:gridCol w:w="60"/>
        <w:gridCol w:w="1100"/>
        <w:gridCol w:w="60"/>
        <w:gridCol w:w="23"/>
        <w:gridCol w:w="26"/>
        <w:gridCol w:w="69"/>
        <w:gridCol w:w="1265"/>
        <w:gridCol w:w="70"/>
        <w:gridCol w:w="23"/>
        <w:gridCol w:w="30"/>
        <w:gridCol w:w="80"/>
        <w:gridCol w:w="1237"/>
        <w:gridCol w:w="83"/>
        <w:gridCol w:w="23"/>
        <w:gridCol w:w="23"/>
        <w:gridCol w:w="60"/>
        <w:gridCol w:w="1220"/>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0054BA" w:val="clear"/>
            <w:vAlign w:val="center"/>
          </w:tcPr>
          <w:p>
            <w:pPr>
              <w:pStyle w:val="TableContents"/>
              <w:bidi w:val="0"/>
              <w:spacing w:before="0" w:after="283"/>
              <w:jc w:val="left"/>
              <w:rPr>
                <w:sz w:val="4"/>
                <w:szCs w:val="4"/>
              </w:rPr>
            </w:pPr>
            <w:r>
              <w:rPr>
                <w:sz w:val="4"/>
                <w:szCs w:val="4"/>
              </w:rPr>
            </w:r>
          </w:p>
        </w:tc>
        <w:tc>
          <w:tcPr>
            <w:tcW w:w="666" w:type="dxa"/>
            <w:gridSpan w:val="5"/>
            <w:tcBorders/>
            <w:shd w:fill="0054BA" w:val="clear"/>
            <w:vAlign w:val="center"/>
          </w:tcPr>
          <w:p>
            <w:pPr>
              <w:pStyle w:val="TableContents"/>
              <w:bidi w:val="0"/>
              <w:spacing w:before="0" w:after="283"/>
              <w:jc w:val="left"/>
              <w:rPr>
                <w:sz w:val="4"/>
                <w:szCs w:val="4"/>
              </w:rPr>
            </w:pPr>
            <w:r>
              <w:rPr>
                <w:sz w:val="4"/>
                <w:szCs w:val="4"/>
              </w:rPr>
            </w:r>
          </w:p>
        </w:tc>
        <w:tc>
          <w:tcPr>
            <w:tcW w:w="1266" w:type="dxa"/>
            <w:gridSpan w:val="5"/>
            <w:tcBorders/>
            <w:shd w:fill="0054BA" w:val="clear"/>
            <w:vAlign w:val="center"/>
          </w:tcPr>
          <w:p>
            <w:pPr>
              <w:pStyle w:val="TableContents"/>
              <w:bidi w:val="0"/>
              <w:spacing w:before="0" w:after="283"/>
              <w:jc w:val="left"/>
              <w:rPr>
                <w:sz w:val="4"/>
                <w:szCs w:val="4"/>
              </w:rPr>
            </w:pPr>
            <w:r>
              <w:rPr>
                <w:sz w:val="4"/>
                <w:szCs w:val="4"/>
              </w:rPr>
            </w:r>
          </w:p>
        </w:tc>
        <w:tc>
          <w:tcPr>
            <w:tcW w:w="1386" w:type="dxa"/>
            <w:gridSpan w:val="5"/>
            <w:tcBorders/>
            <w:shd w:fill="0054BA" w:val="clear"/>
            <w:vAlign w:val="center"/>
          </w:tcPr>
          <w:p>
            <w:pPr>
              <w:pStyle w:val="TableContents"/>
              <w:bidi w:val="0"/>
              <w:spacing w:before="0" w:after="283"/>
              <w:jc w:val="left"/>
              <w:rPr>
                <w:sz w:val="4"/>
                <w:szCs w:val="4"/>
              </w:rPr>
            </w:pPr>
            <w:r>
              <w:rPr>
                <w:sz w:val="4"/>
                <w:szCs w:val="4"/>
              </w:rPr>
            </w:r>
          </w:p>
        </w:tc>
        <w:tc>
          <w:tcPr>
            <w:tcW w:w="1266" w:type="dxa"/>
            <w:gridSpan w:val="5"/>
            <w:tcBorders/>
            <w:shd w:fill="0054BA" w:val="clear"/>
            <w:vAlign w:val="center"/>
          </w:tcPr>
          <w:p>
            <w:pPr>
              <w:pStyle w:val="TableContents"/>
              <w:bidi w:val="0"/>
              <w:spacing w:before="0" w:after="283"/>
              <w:jc w:val="left"/>
              <w:rPr>
                <w:sz w:val="4"/>
                <w:szCs w:val="4"/>
              </w:rPr>
            </w:pPr>
            <w:r>
              <w:rPr>
                <w:sz w:val="4"/>
                <w:szCs w:val="4"/>
              </w:rPr>
            </w:r>
          </w:p>
        </w:tc>
        <w:tc>
          <w:tcPr>
            <w:tcW w:w="1453" w:type="dxa"/>
            <w:gridSpan w:val="5"/>
            <w:tcBorders/>
            <w:shd w:fill="0054BA" w:val="clear"/>
            <w:vAlign w:val="center"/>
          </w:tcPr>
          <w:p>
            <w:pPr>
              <w:pStyle w:val="TableContents"/>
              <w:bidi w:val="0"/>
              <w:spacing w:before="0" w:after="283"/>
              <w:jc w:val="left"/>
              <w:rPr>
                <w:sz w:val="4"/>
                <w:szCs w:val="4"/>
              </w:rPr>
            </w:pPr>
            <w:r>
              <w:rPr>
                <w:sz w:val="4"/>
                <w:szCs w:val="4"/>
              </w:rPr>
            </w:r>
          </w:p>
        </w:tc>
        <w:tc>
          <w:tcPr>
            <w:tcW w:w="1453" w:type="dxa"/>
            <w:gridSpan w:val="5"/>
            <w:tcBorders/>
            <w:shd w:fill="0054BA" w:val="clear"/>
            <w:vAlign w:val="center"/>
          </w:tcPr>
          <w:p>
            <w:pPr>
              <w:pStyle w:val="TableContents"/>
              <w:bidi w:val="0"/>
              <w:spacing w:before="0" w:after="283"/>
              <w:jc w:val="left"/>
              <w:rPr>
                <w:sz w:val="4"/>
                <w:szCs w:val="4"/>
              </w:rPr>
            </w:pPr>
            <w:r>
              <w:rPr>
                <w:sz w:val="4"/>
                <w:szCs w:val="4"/>
              </w:rPr>
            </w:r>
          </w:p>
        </w:tc>
        <w:tc>
          <w:tcPr>
            <w:tcW w:w="1401"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760"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 xml:space="preserve">NAME AND </w:t>
            </w:r>
          </w:p>
          <w:p>
            <w:pPr>
              <w:pStyle w:val="TableContents"/>
              <w:bidi w:val="0"/>
              <w:spacing w:before="0" w:after="20"/>
              <w:jc w:val="left"/>
              <w:rPr>
                <w:rFonts w:ascii="ARIAL" w:hAnsi="ARIAL"/>
                <w:b/>
                <w:color w:val="FFFFFF"/>
                <w:sz w:val="16"/>
              </w:rPr>
            </w:pPr>
            <w:r>
              <w:rPr>
                <w:rFonts w:ascii="ARIAL" w:hAnsi="ARIAL"/>
                <w:b/>
                <w:color w:val="FFFFFF"/>
                <w:sz w:val="16"/>
              </w:rPr>
              <w:t>PRINCIPAL POSITION</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643" w:type="dxa"/>
            <w:gridSpan w:val="4"/>
            <w:tcBorders/>
            <w:shd w:fill="0054BA" w:val="clear"/>
            <w:vAlign w:val="center"/>
          </w:tcPr>
          <w:p>
            <w:pPr>
              <w:pStyle w:val="TableContents"/>
              <w:bidi w:val="0"/>
              <w:spacing w:before="0" w:after="20"/>
              <w:jc w:val="center"/>
              <w:rPr>
                <w:rFonts w:ascii="ARIAL" w:hAnsi="ARIAL"/>
                <w:b/>
                <w:color w:val="FFFFFF"/>
                <w:sz w:val="16"/>
              </w:rPr>
            </w:pPr>
            <w:r>
              <w:rPr>
                <w:rFonts w:ascii="ARIAL" w:hAnsi="ARIAL"/>
                <w:b/>
                <w:color w:val="FFFFFF"/>
                <w:sz w:val="16"/>
              </w:rPr>
              <w:t>YEAR</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4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SALARY</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6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STOCK</w:t>
            </w:r>
          </w:p>
          <w:p>
            <w:pPr>
              <w:pStyle w:val="TableContents"/>
              <w:bidi w:val="0"/>
              <w:spacing w:before="0" w:after="0"/>
              <w:jc w:val="center"/>
              <w:rPr>
                <w:rFonts w:ascii="ARIAL" w:hAnsi="ARIAL"/>
                <w:b/>
                <w:color w:val="FFFFFF"/>
                <w:sz w:val="16"/>
              </w:rPr>
            </w:pPr>
            <w:r>
              <w:rPr>
                <w:rFonts w:ascii="ARIAL" w:hAnsi="ARIAL"/>
                <w:b/>
                <w:color w:val="FFFFFF"/>
                <w:sz w:val="16"/>
              </w:rPr>
              <w:t>AWARDS(1)</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43" w:type="dxa"/>
            <w:gridSpan w:val="4"/>
            <w:tcBorders/>
            <w:shd w:fill="0054BA"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OPTION</w:t>
            </w:r>
          </w:p>
          <w:p>
            <w:pPr>
              <w:pStyle w:val="TableContents"/>
              <w:bidi w:val="0"/>
              <w:spacing w:before="0" w:after="0"/>
              <w:jc w:val="center"/>
              <w:rPr>
                <w:rFonts w:ascii="ARIAL" w:hAnsi="ARIAL"/>
                <w:b/>
                <w:color w:val="FFFFFF"/>
                <w:sz w:val="16"/>
              </w:rPr>
            </w:pPr>
            <w:r>
              <w:rPr>
                <w:rFonts w:ascii="ARIAL" w:hAnsi="ARIAL"/>
                <w:b/>
                <w:color w:val="FFFFFF"/>
                <w:sz w:val="16"/>
              </w:rPr>
              <w:t>AWARDS(2)</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30"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NON-EQUITY</w:t>
            </w:r>
          </w:p>
          <w:p>
            <w:pPr>
              <w:pStyle w:val="TableContents"/>
              <w:bidi w:val="0"/>
              <w:spacing w:before="0" w:after="0"/>
              <w:jc w:val="center"/>
              <w:rPr>
                <w:rFonts w:ascii="ARIAL" w:hAnsi="ARIAL"/>
                <w:b/>
                <w:color w:val="FFFFFF"/>
                <w:sz w:val="16"/>
              </w:rPr>
            </w:pPr>
            <w:r>
              <w:rPr>
                <w:rFonts w:ascii="ARIAL" w:hAnsi="ARIAL"/>
                <w:b/>
                <w:color w:val="FFFFFF"/>
                <w:sz w:val="16"/>
              </w:rPr>
              <w:t>INCENTIVE PLAN</w:t>
            </w:r>
          </w:p>
          <w:p>
            <w:pPr>
              <w:pStyle w:val="TableContents"/>
              <w:bidi w:val="0"/>
              <w:spacing w:before="0" w:after="0"/>
              <w:jc w:val="center"/>
              <w:rPr>
                <w:rFonts w:ascii="ARIAL" w:hAnsi="ARIAL"/>
                <w:b/>
                <w:color w:val="FFFFFF"/>
                <w:sz w:val="16"/>
              </w:rPr>
            </w:pPr>
            <w:r>
              <w:rPr>
                <w:rFonts w:ascii="ARIAL" w:hAnsi="ARIAL"/>
                <w:b/>
                <w:color w:val="FFFFFF"/>
                <w:sz w:val="16"/>
              </w:rPr>
              <w:t>COMPENSATION(3)</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30"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ALL OTHER</w:t>
            </w:r>
          </w:p>
          <w:p>
            <w:pPr>
              <w:pStyle w:val="TableContents"/>
              <w:bidi w:val="0"/>
              <w:spacing w:before="0" w:after="0"/>
              <w:jc w:val="center"/>
              <w:rPr>
                <w:rFonts w:ascii="ARIAL" w:hAnsi="ARIAL"/>
                <w:b/>
                <w:color w:val="FFFFFF"/>
                <w:sz w:val="16"/>
              </w:rPr>
            </w:pPr>
            <w:r>
              <w:rPr>
                <w:rFonts w:ascii="ARIAL" w:hAnsi="ARIAL"/>
                <w:b/>
                <w:color w:val="FFFFFF"/>
                <w:sz w:val="16"/>
              </w:rPr>
              <w:t>COMPENSATION(4)</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78"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TOTAL</w:t>
            </w:r>
          </w:p>
          <w:p>
            <w:pPr>
              <w:pStyle w:val="TableContents"/>
              <w:bidi w:val="0"/>
              <w:spacing w:before="0" w:after="20"/>
              <w:jc w:val="center"/>
              <w:rPr>
                <w:rFonts w:ascii="ARIAL" w:hAnsi="ARIAL"/>
                <w:b/>
                <w:color w:val="FFFFFF"/>
                <w:sz w:val="16"/>
              </w:rPr>
            </w:pPr>
            <w:r>
              <w:rPr>
                <w:rFonts w:ascii="ARIAL" w:hAnsi="ARIAL"/>
                <w:b/>
                <w:color w:val="FFFFFF"/>
                <w:sz w:val="16"/>
              </w:rPr>
              <w:t>($)</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01" w:type="dxa"/>
            <w:gridSpan w:val="5"/>
            <w:tcBorders/>
            <w:vAlign w:val="center"/>
          </w:tcPr>
          <w:p>
            <w:pPr>
              <w:pStyle w:val="TableContents"/>
              <w:bidi w:val="0"/>
              <w:spacing w:before="0" w:after="283"/>
              <w:jc w:val="left"/>
              <w:rPr>
                <w:sz w:val="4"/>
                <w:szCs w:val="4"/>
              </w:rPr>
            </w:pPr>
            <w:r>
              <w:rPr>
                <w:sz w:val="4"/>
                <w:szCs w:val="4"/>
              </w:rPr>
            </w:r>
          </w:p>
        </w:tc>
      </w:tr>
      <w:tr>
        <w:trPr/>
        <w:tc>
          <w:tcPr>
            <w:tcW w:w="1760" w:type="dxa"/>
            <w:vMerge w:val="restart"/>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Andrew C. Florance</w:t>
            </w:r>
          </w:p>
          <w:p>
            <w:pPr>
              <w:pStyle w:val="TableContents"/>
              <w:bidi w:val="0"/>
              <w:spacing w:before="0" w:after="20"/>
              <w:jc w:val="left"/>
              <w:rPr>
                <w:rFonts w:ascii="ARIAL" w:hAnsi="ARIAL"/>
                <w:sz w:val="16"/>
              </w:rPr>
            </w:pPr>
            <w:r>
              <w:rPr>
                <w:rFonts w:ascii="ARIAL" w:hAnsi="ARIAL"/>
                <w:sz w:val="16"/>
              </w:rPr>
              <w:t>Founder and Chief</w:t>
              <w:br/>
              <w:t>Executive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center"/>
              <w:rPr/>
            </w:pPr>
            <w:r>
              <w:rPr/>
              <w:t>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$1,000,000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$28,318,400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$3,425,382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$3,000,000</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37" w:type="dxa"/>
            <w:tcBorders>
              <w:bottom w:val="single" w:sz="6" w:space="0" w:color="000000"/>
            </w:tcBorders>
            <w:tcMar>
              <w:bottom w:w="100" w:type="dxa"/>
            </w:tcMar>
            <w:vAlign w:val="center"/>
          </w:tcPr>
          <w:p>
            <w:pPr>
              <w:pStyle w:val="TableContents"/>
              <w:bidi w:val="0"/>
              <w:spacing w:before="0" w:after="283"/>
              <w:jc w:val="center"/>
              <w:rPr/>
            </w:pPr>
            <w:r>
              <w:rPr/>
              <w:t>$688,154</w:t>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$36,431,936</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$1,000,000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$30,335,765</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$2,857,085</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$3,000,000</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$201,110</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$37,393,960</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$997,000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$23,225,988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$2,119,231</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$2,250,000</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$583,961</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$29,176,180</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01" w:type="dxa"/>
            <w:gridSpan w:val="5"/>
            <w:tcBorders/>
            <w:vAlign w:val="center"/>
          </w:tcPr>
          <w:p>
            <w:pPr>
              <w:pStyle w:val="TableContents"/>
              <w:bidi w:val="0"/>
              <w:spacing w:before="0" w:after="283"/>
              <w:jc w:val="left"/>
              <w:rPr>
                <w:sz w:val="4"/>
                <w:szCs w:val="4"/>
              </w:rPr>
            </w:pPr>
            <w:r>
              <w:rPr>
                <w:sz w:val="4"/>
                <w:szCs w:val="4"/>
              </w:rPr>
            </w:r>
          </w:p>
        </w:tc>
      </w:tr>
      <w:tr>
        <w:trPr/>
        <w:tc>
          <w:tcPr>
            <w:tcW w:w="1760" w:type="dxa"/>
            <w:vMerge w:val="restart"/>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Christian M. Lown</w:t>
            </w:r>
          </w:p>
          <w:p>
            <w:pPr>
              <w:pStyle w:val="TableContents"/>
              <w:bidi w:val="0"/>
              <w:spacing w:before="0" w:after="20"/>
              <w:jc w:val="left"/>
              <w:rPr>
                <w:rFonts w:ascii="ARIAL" w:hAnsi="ARIAL"/>
                <w:sz w:val="16"/>
              </w:rPr>
            </w:pPr>
            <w:r>
              <w:rPr>
                <w:rFonts w:ascii="ARIAL" w:hAnsi="ARIAL"/>
                <w:sz w:val="16"/>
              </w:rPr>
              <w:t>Chief Financial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center"/>
              <w:rPr/>
            </w:pPr>
            <w:r>
              <w:rPr/>
              <w:t>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$588,269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$5,488,266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$739,161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$1,137,000</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37" w:type="dxa"/>
            <w:tcBorders>
              <w:bottom w:val="single" w:sz="6" w:space="0" w:color="000000"/>
            </w:tcBorders>
            <w:tcMar>
              <w:bottom w:w="100" w:type="dxa"/>
            </w:tcMar>
            <w:vAlign w:val="center"/>
          </w:tcPr>
          <w:p>
            <w:pPr>
              <w:pStyle w:val="TableContents"/>
              <w:bidi w:val="0"/>
              <w:spacing w:before="0" w:after="283"/>
              <w:jc w:val="center"/>
              <w:rPr/>
            </w:pPr>
            <w:r>
              <w:rPr/>
              <w:t>$17,727</w:t>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$7,970,423</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$253,846</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$2,750,035</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$525,355</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$11,274</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$3,540,510</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01" w:type="dxa"/>
            <w:gridSpan w:val="5"/>
            <w:tcBorders/>
            <w:vAlign w:val="center"/>
          </w:tcPr>
          <w:p>
            <w:pPr>
              <w:pStyle w:val="TableContents"/>
              <w:bidi w:val="0"/>
              <w:spacing w:before="0" w:after="283"/>
              <w:jc w:val="left"/>
              <w:rPr>
                <w:sz w:val="4"/>
                <w:szCs w:val="4"/>
              </w:rPr>
            </w:pPr>
            <w:r>
              <w:rPr>
                <w:sz w:val="4"/>
                <w:szCs w:val="4"/>
              </w:rPr>
            </w:r>
          </w:p>
        </w:tc>
      </w:tr>
      <w:tr>
        <w:trPr/>
        <w:tc>
          <w:tcPr>
            <w:tcW w:w="1760" w:type="dxa"/>
            <w:vMerge w:val="restart"/>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Lisa C. Ruggles</w:t>
            </w:r>
          </w:p>
          <w:p>
            <w:pPr>
              <w:pStyle w:val="TableContents"/>
              <w:bidi w:val="0"/>
              <w:spacing w:before="0" w:after="0"/>
              <w:jc w:val="left"/>
              <w:rPr>
                <w:rFonts w:ascii="ARIAL" w:hAnsi="ARIAL"/>
                <w:sz w:val="16"/>
              </w:rPr>
            </w:pPr>
            <w:r>
              <w:rPr>
                <w:rFonts w:ascii="ARIAL" w:hAnsi="ARIAL"/>
                <w:sz w:val="16"/>
              </w:rPr>
              <w:t>Senior Vice President,</w:t>
            </w:r>
          </w:p>
          <w:p>
            <w:pPr>
              <w:pStyle w:val="TableContents"/>
              <w:bidi w:val="0"/>
              <w:spacing w:before="0" w:after="20"/>
              <w:jc w:val="left"/>
              <w:rPr>
                <w:rFonts w:ascii="ARIAL" w:hAnsi="ARIAL"/>
                <w:sz w:val="16"/>
              </w:rPr>
            </w:pPr>
            <w:r>
              <w:rPr>
                <w:rFonts w:ascii="ARIAL" w:hAnsi="ARIAL"/>
                <w:sz w:val="16"/>
              </w:rPr>
              <w:t>Global Operations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center"/>
              <w:rPr/>
            </w:pPr>
            <w:r>
              <w:rPr/>
              <w:t>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$591,923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$3,677,817</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$495,779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$1,045,713</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37" w:type="dxa"/>
            <w:tcBorders>
              <w:bottom w:val="single" w:sz="6" w:space="0" w:color="000000"/>
            </w:tcBorders>
            <w:tcMar>
              <w:bottom w:w="100" w:type="dxa"/>
            </w:tcMar>
            <w:vAlign w:val="center"/>
          </w:tcPr>
          <w:p>
            <w:pPr>
              <w:pStyle w:val="TableContents"/>
              <w:bidi w:val="0"/>
              <w:spacing w:before="0" w:after="283"/>
              <w:jc w:val="center"/>
              <w:rPr/>
            </w:pPr>
            <w:r>
              <w:rPr/>
              <w:t>$17,594</w:t>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$5,828,826</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$571,154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$4,746,973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$448,294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$955,938</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$31,997</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$6,754,356</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$545,293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$3,671,620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$355,101</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$759,688</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$240,941</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$5,572,643</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01" w:type="dxa"/>
            <w:gridSpan w:val="5"/>
            <w:tcBorders/>
            <w:vAlign w:val="center"/>
          </w:tcPr>
          <w:p>
            <w:pPr>
              <w:pStyle w:val="TableContents"/>
              <w:bidi w:val="0"/>
              <w:spacing w:before="0" w:after="283"/>
              <w:jc w:val="left"/>
              <w:rPr>
                <w:sz w:val="4"/>
                <w:szCs w:val="4"/>
              </w:rPr>
            </w:pPr>
            <w:r>
              <w:rPr>
                <w:sz w:val="4"/>
                <w:szCs w:val="4"/>
              </w:rPr>
            </w:r>
          </w:p>
        </w:tc>
      </w:tr>
      <w:tr>
        <w:trPr/>
        <w:tc>
          <w:tcPr>
            <w:tcW w:w="1760" w:type="dxa"/>
            <w:vMerge w:val="restart"/>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Frederick G. Saint</w:t>
            </w:r>
          </w:p>
          <w:p>
            <w:pPr>
              <w:pStyle w:val="TableContents"/>
              <w:bidi w:val="0"/>
              <w:spacing w:before="0" w:after="20"/>
              <w:jc w:val="left"/>
              <w:rPr>
                <w:rFonts w:ascii="ARIAL" w:hAnsi="ARIAL"/>
                <w:sz w:val="16"/>
              </w:rPr>
            </w:pPr>
            <w:r>
              <w:rPr>
                <w:rFonts w:ascii="ARIAL" w:hAnsi="ARIAL"/>
                <w:sz w:val="16"/>
              </w:rPr>
              <w:t>President, Marketplaces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center"/>
              <w:rPr/>
            </w:pPr>
            <w:r>
              <w:rPr/>
              <w:t>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$591,923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$5,488,266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$739,161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$1,190,000</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37" w:type="dxa"/>
            <w:tcBorders>
              <w:bottom w:val="single" w:sz="6" w:space="0" w:color="000000"/>
            </w:tcBorders>
            <w:tcMar>
              <w:bottom w:w="100" w:type="dxa"/>
            </w:tcMar>
            <w:vAlign w:val="center"/>
          </w:tcPr>
          <w:p>
            <w:pPr>
              <w:pStyle w:val="TableContents"/>
              <w:bidi w:val="0"/>
              <w:spacing w:before="0" w:after="283"/>
              <w:jc w:val="center"/>
              <w:rPr/>
            </w:pPr>
            <w:r>
              <w:rPr/>
              <w:t>$178,856</w:t>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$8,188,206</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$571,154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$6,703,685</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$536,690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$1,000,500</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$151,326</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$8,963,355</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$546,985</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$3,671,620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$355,101</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$794,750</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$17,590</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$5,386,046</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01" w:type="dxa"/>
            <w:gridSpan w:val="5"/>
            <w:tcBorders/>
            <w:vAlign w:val="center"/>
          </w:tcPr>
          <w:p>
            <w:pPr>
              <w:pStyle w:val="TableContents"/>
              <w:bidi w:val="0"/>
              <w:spacing w:before="0" w:after="283"/>
              <w:jc w:val="left"/>
              <w:rPr>
                <w:sz w:val="4"/>
                <w:szCs w:val="4"/>
              </w:rPr>
            </w:pPr>
            <w:r>
              <w:rPr>
                <w:sz w:val="4"/>
                <w:szCs w:val="4"/>
              </w:rPr>
            </w:r>
          </w:p>
        </w:tc>
      </w:tr>
      <w:tr>
        <w:trPr/>
        <w:tc>
          <w:tcPr>
            <w:tcW w:w="1760" w:type="dxa"/>
            <w:vMerge w:val="restart"/>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Frank A. Simuro</w:t>
            </w:r>
          </w:p>
          <w:p>
            <w:pPr>
              <w:pStyle w:val="TableContents"/>
              <w:bidi w:val="0"/>
              <w:spacing w:before="0" w:after="20"/>
              <w:jc w:val="left"/>
              <w:rPr>
                <w:rFonts w:ascii="ARIAL" w:hAnsi="ARIAL"/>
                <w:sz w:val="16"/>
              </w:rPr>
            </w:pPr>
            <w:r>
              <w:rPr>
                <w:rFonts w:ascii="ARIAL" w:hAnsi="ARIAL"/>
                <w:sz w:val="16"/>
              </w:rPr>
              <w:t>Chief Technology Officer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center"/>
              <w:rPr/>
            </w:pPr>
            <w:r>
              <w:rPr/>
              <w:t>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$646,923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$7,347,105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$991,558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$1,300,000</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37" w:type="dxa"/>
            <w:tcBorders>
              <w:bottom w:val="single" w:sz="6" w:space="0" w:color="000000"/>
            </w:tcBorders>
            <w:tcMar>
              <w:bottom w:w="100" w:type="dxa"/>
            </w:tcMar>
            <w:vAlign w:val="center"/>
          </w:tcPr>
          <w:p>
            <w:pPr>
              <w:pStyle w:val="TableContents"/>
              <w:bidi w:val="0"/>
              <w:spacing w:before="0" w:after="283"/>
              <w:jc w:val="center"/>
              <w:rPr/>
            </w:pPr>
            <w:r>
              <w:rPr/>
              <w:t>$17,853</w:t>
            </w:r>
          </w:p>
        </w:tc>
        <w:tc>
          <w:tcPr>
            <w:tcW w:w="8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$10,303,439</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$622,961</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$10,430,806</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$984,984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$1,260,000</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$18,367</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$13,317,118</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760" w:type="dxa"/>
            <w:vMerge w:val="continue"/>
            <w:tcBorders>
              <w:bottom w:val="single" w:sz="6" w:space="0" w:color="000000"/>
            </w:tcBorders>
            <w:tcMar>
              <w:bottom w:w="100"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$587,446</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$6,418,808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0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$617,818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6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$1,050,000</w:t>
            </w:r>
          </w:p>
        </w:tc>
        <w:tc>
          <w:tcPr>
            <w:tcW w:w="7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37"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$44,917</w:t>
            </w:r>
          </w:p>
        </w:tc>
        <w:tc>
          <w:tcPr>
            <w:tcW w:w="83"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$8,718,989</w:t>
            </w:r>
          </w:p>
        </w:tc>
        <w:tc>
          <w:tcPr>
            <w:tcW w:w="75" w:type="dxa"/>
            <w:tcBorders>
              <w:bottom w:val="single" w:sz="6" w:space="0" w:color="000000"/>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i/>
              </w:rPr>
            </w:pPr>
            <w:r>
              <w:rPr>
                <w:i/>
              </w:rPr>
              <w:t>(1) </w:t>
            </w:r>
          </w:p>
        </w:tc>
        <w:tc>
          <w:tcPr>
            <w:tcW w:w="9964" w:type="dxa"/>
            <w:tcBorders/>
            <w:vAlign w:val="center"/>
          </w:tcPr>
          <w:p>
            <w:pPr>
              <w:pStyle w:val="TableContents"/>
              <w:bidi w:val="0"/>
              <w:spacing w:before="0" w:after="0"/>
              <w:jc w:val="left"/>
              <w:rPr>
                <w:rFonts w:ascii="ARIAL" w:hAnsi="ARIAL"/>
                <w:i/>
                <w:sz w:val="16"/>
              </w:rPr>
            </w:pPr>
            <w:r>
              <w:rPr>
                <w:rFonts w:ascii="ARIAL" w:hAnsi="ARIAL"/>
                <w:i/>
                <w:sz w:val="16"/>
              </w:rPr>
              <w:t xml:space="preserve">This column reflects the aggregate grant date fair value of the awards granted in the years shown, calculated in accordance with FASB ASC Topic 718 and SEC rules. For Three-Year Performance Stock Awards granted in 2023 and 2024, consistent with prior year reporting, amounts reflect the grant-date fair value of the maximum number of shares that may be earned based on achievement of three-year cumulative revenue goals with payouts subject to adjustment based on the Company’s relative TSR over the applicable performance period. For Three-Year Performance Stock Awards granted in 2025, amounts reflect the grant-date fair value of awards, calculated in accordance with FASB ASC Topic 718 and SEC rules based on the probable outcome of the applicable performance conditions as of the grant date. The fair values shown represent accounting expense and do not necessarily reflect the actual value ultimately realized by the NEOs. Additional information regarding these awards is provided in the “2025 Grants of Plan Based Awards” and “Outstanding Equity Awards at 2025 Fiscal Year-End” tables as well as the “Equity Incentive Compensation” discussion within the section titled “Compensation Discussion and Analysis” of this Proxy Statement. Assumptions used to calculate the fair value of 2025 awards are described in Note 16 to the Consolidated Financial Statements included in our Annual Report on Form 10-K filed with the SEC on February 26,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i/>
                <w:sz w:val="16"/>
              </w:rPr>
            </w:pPr>
            <w:r>
              <w:rPr>
                <w:rFonts w:ascii="ARIAL" w:hAnsi="ARIAL"/>
                <w:i/>
                <w:sz w:val="16"/>
              </w:rPr>
              <w:t xml:space="preserve">The maximum grant date fair values of the 2025 Three-Year Performance Stock Awards are as follows (representing a 240% maximum payout): </w:t>
            </w:r>
          </w:p>
        </w:tc>
      </w:tr>
    </w:tbl>
    <w:p>
      <w:pPr>
        <w:pStyle w:val="TextBody"/>
        <w:bidi w:val="0"/>
        <w:spacing w:before="0" w:after="0"/>
        <w:jc w:val="left"/>
        <w:rPr/>
      </w:pPr>
      <w:r>
        <w:rPr/>
        <w:t> </w:t>
      </w:r>
    </w:p>
    <w:tbl>
      <w:tblPr>
        <w:tblW w:w="6078" w:type="dxa"/>
        <w:jc w:val="left"/>
        <w:tblInd w:w="0" w:type="dxa"/>
        <w:tblLayout w:type="fixed"/>
        <w:tblCellMar>
          <w:top w:w="0" w:type="dxa"/>
          <w:left w:w="0" w:type="dxa"/>
          <w:bottom w:w="0" w:type="dxa"/>
          <w:right w:w="0" w:type="dxa"/>
        </w:tblCellMar>
      </w:tblPr>
      <w:tblGrid>
        <w:gridCol w:w="965"/>
        <w:gridCol w:w="23"/>
        <w:gridCol w:w="84"/>
        <w:gridCol w:w="221"/>
        <w:gridCol w:w="4506"/>
        <w:gridCol w:w="279"/>
      </w:tblGrid>
      <w:tr>
        <w:trPr/>
        <w:tc>
          <w:tcPr>
            <w:tcW w:w="9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0054BA" w:val="clear"/>
            <w:vAlign w:val="center"/>
          </w:tcPr>
          <w:p>
            <w:pPr>
              <w:pStyle w:val="TableContents"/>
              <w:bidi w:val="0"/>
              <w:spacing w:before="0" w:after="283"/>
              <w:jc w:val="left"/>
              <w:rPr>
                <w:sz w:val="4"/>
                <w:szCs w:val="4"/>
              </w:rPr>
            </w:pPr>
            <w:r>
              <w:rPr>
                <w:sz w:val="4"/>
                <w:szCs w:val="4"/>
              </w:rPr>
            </w:r>
          </w:p>
        </w:tc>
        <w:tc>
          <w:tcPr>
            <w:tcW w:w="5113"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965"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5090" w:type="dxa"/>
            <w:gridSpan w:val="4"/>
            <w:tcBorders/>
            <w:shd w:fill="0054BA" w:val="clear"/>
            <w:vAlign w:val="center"/>
          </w:tcPr>
          <w:p>
            <w:pPr>
              <w:pStyle w:val="TableContents"/>
              <w:bidi w:val="0"/>
              <w:spacing w:before="0" w:after="283"/>
              <w:jc w:val="center"/>
              <w:rPr>
                <w:b/>
                <w:color w:val="FFFFFF"/>
              </w:rPr>
            </w:pPr>
            <w:r>
              <w:rPr>
                <w:b/>
                <w:color w:val="FFFFFF"/>
              </w:rPr>
              <w:t>MAXIMUM GRANT DATE FAIR VALUE ($)  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5113"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Mr.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000000"/>
            </w:tcBorders>
            <w:tcMar>
              <w:bottom w:w="100" w:type="dxa"/>
            </w:tcMar>
            <w:vAlign w:val="center"/>
          </w:tcPr>
          <w:p>
            <w:pPr>
              <w:pStyle w:val="TableContents"/>
              <w:bidi w:val="0"/>
              <w:spacing w:before="0" w:after="283"/>
              <w:jc w:val="left"/>
              <w:rPr/>
            </w:pPr>
            <w:r>
              <w:rPr/>
              <w:t> </w:t>
            </w:r>
          </w:p>
        </w:tc>
        <w:tc>
          <w:tcPr>
            <w:tcW w:w="4506" w:type="dxa"/>
            <w:tcBorders>
              <w:bottom w:val="single" w:sz="6" w:space="0" w:color="000000"/>
            </w:tcBorders>
            <w:tcMar>
              <w:bottom w:w="100" w:type="dxa"/>
            </w:tcMar>
            <w:vAlign w:val="center"/>
          </w:tcPr>
          <w:p>
            <w:pPr>
              <w:pStyle w:val="TableContents"/>
              <w:bidi w:val="0"/>
              <w:spacing w:before="0" w:after="283"/>
              <w:jc w:val="center"/>
              <w:rPr/>
            </w:pPr>
            <w:r>
              <w:rPr/>
              <w:t>$19,875,982</w:t>
            </w:r>
          </w:p>
        </w:tc>
        <w:tc>
          <w:tcPr>
            <w:tcW w:w="2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5113"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Mr. Lown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000000"/>
            </w:tcBorders>
            <w:tcMar>
              <w:bottom w:w="100" w:type="dxa"/>
            </w:tcMar>
            <w:vAlign w:val="center"/>
          </w:tcPr>
          <w:p>
            <w:pPr>
              <w:pStyle w:val="TableContents"/>
              <w:bidi w:val="0"/>
              <w:spacing w:before="0" w:after="283"/>
              <w:jc w:val="left"/>
              <w:rPr/>
            </w:pPr>
            <w:r>
              <w:rPr/>
              <w:t> </w:t>
            </w:r>
          </w:p>
        </w:tc>
        <w:tc>
          <w:tcPr>
            <w:tcW w:w="4506" w:type="dxa"/>
            <w:tcBorders>
              <w:bottom w:val="single" w:sz="6" w:space="0" w:color="000000"/>
            </w:tcBorders>
            <w:tcMar>
              <w:bottom w:w="100" w:type="dxa"/>
            </w:tcMar>
            <w:vAlign w:val="center"/>
          </w:tcPr>
          <w:p>
            <w:pPr>
              <w:pStyle w:val="TableContents"/>
              <w:bidi w:val="0"/>
              <w:spacing w:before="0" w:after="283"/>
              <w:jc w:val="center"/>
              <w:rPr/>
            </w:pPr>
            <w:r>
              <w:rPr/>
              <w:t>$4,298,616</w:t>
            </w:r>
          </w:p>
        </w:tc>
        <w:tc>
          <w:tcPr>
            <w:tcW w:w="2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5113"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Ms. Ruggles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000000"/>
            </w:tcBorders>
            <w:tcMar>
              <w:bottom w:w="100" w:type="dxa"/>
            </w:tcMar>
            <w:vAlign w:val="center"/>
          </w:tcPr>
          <w:p>
            <w:pPr>
              <w:pStyle w:val="TableContents"/>
              <w:bidi w:val="0"/>
              <w:spacing w:before="0" w:after="283"/>
              <w:jc w:val="left"/>
              <w:rPr/>
            </w:pPr>
            <w:r>
              <w:rPr/>
              <w:t> </w:t>
            </w:r>
          </w:p>
        </w:tc>
        <w:tc>
          <w:tcPr>
            <w:tcW w:w="4506" w:type="dxa"/>
            <w:tcBorders>
              <w:bottom w:val="single" w:sz="6" w:space="0" w:color="000000"/>
            </w:tcBorders>
            <w:tcMar>
              <w:bottom w:w="100" w:type="dxa"/>
            </w:tcMar>
            <w:vAlign w:val="center"/>
          </w:tcPr>
          <w:p>
            <w:pPr>
              <w:pStyle w:val="TableContents"/>
              <w:bidi w:val="0"/>
              <w:spacing w:before="0" w:after="283"/>
              <w:jc w:val="center"/>
              <w:rPr/>
            </w:pPr>
            <w:r>
              <w:rPr/>
              <w:t>$2,886,214</w:t>
            </w:r>
          </w:p>
        </w:tc>
        <w:tc>
          <w:tcPr>
            <w:tcW w:w="2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5113"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Mr. Saint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000000"/>
            </w:tcBorders>
            <w:tcMar>
              <w:bottom w:w="100" w:type="dxa"/>
            </w:tcMar>
            <w:vAlign w:val="center"/>
          </w:tcPr>
          <w:p>
            <w:pPr>
              <w:pStyle w:val="TableContents"/>
              <w:bidi w:val="0"/>
              <w:spacing w:before="0" w:after="283"/>
              <w:jc w:val="left"/>
              <w:rPr/>
            </w:pPr>
            <w:r>
              <w:rPr/>
              <w:t> </w:t>
            </w:r>
          </w:p>
        </w:tc>
        <w:tc>
          <w:tcPr>
            <w:tcW w:w="4506" w:type="dxa"/>
            <w:tcBorders>
              <w:bottom w:val="single" w:sz="6" w:space="0" w:color="000000"/>
            </w:tcBorders>
            <w:tcMar>
              <w:bottom w:w="100" w:type="dxa"/>
            </w:tcMar>
            <w:vAlign w:val="center"/>
          </w:tcPr>
          <w:p>
            <w:pPr>
              <w:pStyle w:val="TableContents"/>
              <w:bidi w:val="0"/>
              <w:spacing w:before="0" w:after="283"/>
              <w:jc w:val="center"/>
              <w:rPr/>
            </w:pPr>
            <w:r>
              <w:rPr/>
              <w:t>$4,298,616</w:t>
            </w:r>
          </w:p>
        </w:tc>
        <w:tc>
          <w:tcPr>
            <w:tcW w:w="279"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5113"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Mr. Simuro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000000"/>
            </w:tcBorders>
            <w:tcMar>
              <w:bottom w:w="100" w:type="dxa"/>
            </w:tcMar>
            <w:vAlign w:val="center"/>
          </w:tcPr>
          <w:p>
            <w:pPr>
              <w:pStyle w:val="TableContents"/>
              <w:bidi w:val="0"/>
              <w:spacing w:before="0" w:after="283"/>
              <w:jc w:val="left"/>
              <w:rPr/>
            </w:pPr>
            <w:r>
              <w:rPr/>
              <w:t> </w:t>
            </w:r>
          </w:p>
        </w:tc>
        <w:tc>
          <w:tcPr>
            <w:tcW w:w="4506" w:type="dxa"/>
            <w:tcBorders>
              <w:bottom w:val="single" w:sz="6" w:space="0" w:color="000000"/>
            </w:tcBorders>
            <w:tcMar>
              <w:bottom w:w="100" w:type="dxa"/>
            </w:tcMar>
            <w:vAlign w:val="center"/>
          </w:tcPr>
          <w:p>
            <w:pPr>
              <w:pStyle w:val="TableContents"/>
              <w:bidi w:val="0"/>
              <w:spacing w:before="0" w:after="283"/>
              <w:jc w:val="center"/>
              <w:rPr/>
            </w:pPr>
            <w:r>
              <w:rPr/>
              <w:t>$5,751,958</w:t>
            </w:r>
          </w:p>
        </w:tc>
        <w:tc>
          <w:tcPr>
            <w:tcW w:w="279"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5"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30" descr=""/>
                          <pic:cNvPicPr>
                            <a:picLocks noChangeAspect="1" noChangeArrowheads="1"/>
                          </pic:cNvPicPr>
                        </pic:nvPicPr>
                        <pic:blipFill>
                          <a:blip r:embed="rId34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i/>
                <w:sz w:val="16"/>
              </w:rPr>
            </w:pPr>
            <w:r>
              <w:rPr>
                <w:rFonts w:ascii="ARIAL" w:hAnsi="ARIAL"/>
                <w:i/>
                <w:sz w:val="16"/>
              </w:rPr>
              <w:t xml:space="preserve">This column also includes the value of the Matching RSUs issued to Mr. Florance under the MSPP pursuant to his election to defer 100% of his 2024 annual cash incentive compensation. Additional information regarding the Matching RSUs is provided in the “2025 Grants of Plan-Based Awards” and “Outstanding Equity Awards at 2025 Fiscal Year-End” Tables as well as the “Deferred Compensation” discussion within the section titled “Compensation Discussion and Analysis” of this Proxy Statement. </w:t>
            </w:r>
          </w:p>
        </w:tc>
      </w:tr>
    </w:tbl>
    <w:p>
      <w:pPr>
        <w:pStyle w:val="TextBody"/>
        <w:bidi w:val="0"/>
        <w:spacing w:before="0" w:after="0"/>
        <w:jc w:val="left"/>
        <w:rPr/>
      </w:pPr>
      <w:r>
        <w:rPr/>
        <w:t> </w:t>
      </w:r>
    </w:p>
    <w:tbl>
      <w:tblPr>
        <w:tblW w:w="8223" w:type="dxa"/>
        <w:jc w:val="left"/>
        <w:tblInd w:w="0" w:type="dxa"/>
        <w:tblLayout w:type="fixed"/>
        <w:tblCellMar>
          <w:top w:w="0" w:type="dxa"/>
          <w:left w:w="0" w:type="dxa"/>
          <w:bottom w:w="0" w:type="dxa"/>
          <w:right w:w="0" w:type="dxa"/>
        </w:tblCellMar>
      </w:tblPr>
      <w:tblGrid>
        <w:gridCol w:w="1595"/>
        <w:gridCol w:w="23"/>
        <w:gridCol w:w="37"/>
        <w:gridCol w:w="97"/>
        <w:gridCol w:w="1796"/>
        <w:gridCol w:w="100"/>
        <w:gridCol w:w="23"/>
        <w:gridCol w:w="23"/>
        <w:gridCol w:w="60"/>
        <w:gridCol w:w="1220"/>
        <w:gridCol w:w="60"/>
        <w:gridCol w:w="23"/>
        <w:gridCol w:w="37"/>
        <w:gridCol w:w="97"/>
        <w:gridCol w:w="1110"/>
        <w:gridCol w:w="426"/>
        <w:gridCol w:w="23"/>
        <w:gridCol w:w="39"/>
        <w:gridCol w:w="105"/>
        <w:gridCol w:w="1196"/>
        <w:gridCol w:w="133"/>
      </w:tblGrid>
      <w:tr>
        <w:trPr/>
        <w:tc>
          <w:tcPr>
            <w:tcW w:w="15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0054BA" w:val="clear"/>
            <w:vAlign w:val="center"/>
          </w:tcPr>
          <w:p>
            <w:pPr>
              <w:pStyle w:val="TableContents"/>
              <w:bidi w:val="0"/>
              <w:spacing w:before="0" w:after="283"/>
              <w:jc w:val="left"/>
              <w:rPr>
                <w:sz w:val="4"/>
                <w:szCs w:val="4"/>
              </w:rPr>
            </w:pPr>
            <w:r>
              <w:rPr>
                <w:sz w:val="4"/>
                <w:szCs w:val="4"/>
              </w:rPr>
            </w:r>
          </w:p>
        </w:tc>
        <w:tc>
          <w:tcPr>
            <w:tcW w:w="2053" w:type="dxa"/>
            <w:gridSpan w:val="5"/>
            <w:tcBorders/>
            <w:shd w:fill="0054BA" w:val="clear"/>
            <w:vAlign w:val="center"/>
          </w:tcPr>
          <w:p>
            <w:pPr>
              <w:pStyle w:val="TableContents"/>
              <w:bidi w:val="0"/>
              <w:spacing w:before="0" w:after="283"/>
              <w:jc w:val="left"/>
              <w:rPr>
                <w:sz w:val="4"/>
                <w:szCs w:val="4"/>
              </w:rPr>
            </w:pPr>
            <w:r>
              <w:rPr>
                <w:sz w:val="4"/>
                <w:szCs w:val="4"/>
              </w:rPr>
            </w:r>
          </w:p>
        </w:tc>
        <w:tc>
          <w:tcPr>
            <w:tcW w:w="1386" w:type="dxa"/>
            <w:gridSpan w:val="5"/>
            <w:tcBorders/>
            <w:shd w:fill="0054BA" w:val="clear"/>
            <w:vAlign w:val="center"/>
          </w:tcPr>
          <w:p>
            <w:pPr>
              <w:pStyle w:val="TableContents"/>
              <w:bidi w:val="0"/>
              <w:spacing w:before="0" w:after="283"/>
              <w:jc w:val="left"/>
              <w:rPr>
                <w:sz w:val="4"/>
                <w:szCs w:val="4"/>
              </w:rPr>
            </w:pPr>
            <w:r>
              <w:rPr>
                <w:sz w:val="4"/>
                <w:szCs w:val="4"/>
              </w:rPr>
            </w:r>
          </w:p>
        </w:tc>
        <w:tc>
          <w:tcPr>
            <w:tcW w:w="1693" w:type="dxa"/>
            <w:gridSpan w:val="5"/>
            <w:tcBorders/>
            <w:shd w:fill="0054BA" w:val="clear"/>
            <w:vAlign w:val="center"/>
          </w:tcPr>
          <w:p>
            <w:pPr>
              <w:pStyle w:val="TableContents"/>
              <w:bidi w:val="0"/>
              <w:spacing w:before="0" w:after="283"/>
              <w:jc w:val="left"/>
              <w:rPr>
                <w:sz w:val="4"/>
                <w:szCs w:val="4"/>
              </w:rPr>
            </w:pPr>
            <w:r>
              <w:rPr>
                <w:sz w:val="4"/>
                <w:szCs w:val="4"/>
              </w:rPr>
            </w:r>
          </w:p>
        </w:tc>
        <w:tc>
          <w:tcPr>
            <w:tcW w:w="1496"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595"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030" w:type="dxa"/>
            <w:gridSpan w:val="4"/>
            <w:tcBorders/>
            <w:shd w:fill="0054BA" w:val="clear"/>
            <w:vAlign w:val="center"/>
          </w:tcPr>
          <w:p>
            <w:pPr>
              <w:pStyle w:val="TableContents"/>
              <w:bidi w:val="0"/>
              <w:spacing w:before="0" w:after="283"/>
              <w:jc w:val="center"/>
              <w:rPr>
                <w:b/>
                <w:color w:val="FFFFFF"/>
              </w:rPr>
            </w:pPr>
            <w:r>
              <w:rPr>
                <w:b/>
                <w:color w:val="FFFFFF"/>
              </w:rPr>
              <w:t>2024 CASH</w:t>
              <w:br/>
              <w:t>INCENTIVE</w:t>
              <w:br/>
              <w:t>COMPENSATION</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6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2024 MSPP </w:t>
            </w:r>
          </w:p>
          <w:p>
            <w:pPr>
              <w:pStyle w:val="TableContents"/>
              <w:bidi w:val="0"/>
              <w:spacing w:before="0" w:after="20"/>
              <w:jc w:val="center"/>
              <w:rPr>
                <w:rFonts w:ascii="ARIAL" w:hAnsi="ARIAL"/>
                <w:b/>
                <w:color w:val="FFFFFF"/>
                <w:sz w:val="16"/>
              </w:rPr>
            </w:pPr>
            <w:r>
              <w:rPr>
                <w:rFonts w:ascii="ARIAL" w:hAnsi="ARIAL"/>
                <w:b/>
                <w:color w:val="FFFFFF"/>
                <w:sz w:val="16"/>
              </w:rPr>
              <w:t>CONTRIBUTION</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670" w:type="dxa"/>
            <w:gridSpan w:val="4"/>
            <w:tcBorders/>
            <w:shd w:fill="0054BA" w:val="clear"/>
            <w:vAlign w:val="center"/>
          </w:tcPr>
          <w:p>
            <w:pPr>
              <w:pStyle w:val="TableContents"/>
              <w:bidi w:val="0"/>
              <w:spacing w:before="0" w:after="283"/>
              <w:jc w:val="center"/>
              <w:rPr>
                <w:b/>
                <w:color w:val="FFFFFF"/>
              </w:rPr>
            </w:pPr>
            <w:r>
              <w:rPr>
                <w:b/>
                <w:color w:val="FFFFFF"/>
              </w:rPr>
              <w:t>EQUIVALENT</w:t>
              <w:br/>
              <w:t>DSUs</w:t>
              <w:br/>
              <w:t>AWARDED</w:t>
              <w:br/>
              <w:t>IN MARCH</w:t>
              <w:br/>
              <w:t>2025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7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MATCHING  </w:t>
              <w:br/>
              <w:t>RSUs AWARDED  </w:t>
            </w:r>
          </w:p>
          <w:p>
            <w:pPr>
              <w:pStyle w:val="TableContents"/>
              <w:bidi w:val="0"/>
              <w:spacing w:before="0" w:after="0"/>
              <w:jc w:val="center"/>
              <w:rPr>
                <w:rFonts w:ascii="ARIAL" w:hAnsi="ARIAL"/>
                <w:b/>
                <w:color w:val="FFFFFF"/>
                <w:sz w:val="16"/>
              </w:rPr>
            </w:pPr>
            <w:r>
              <w:rPr>
                <w:rFonts w:ascii="ARIAL" w:hAnsi="ARIAL"/>
                <w:b/>
                <w:color w:val="FFFFFF"/>
                <w:sz w:val="16"/>
              </w:rPr>
              <w:t>IN MARCH  </w:t>
            </w:r>
          </w:p>
          <w:p>
            <w:pPr>
              <w:pStyle w:val="TableContents"/>
              <w:bidi w:val="0"/>
              <w:spacing w:before="0" w:after="20"/>
              <w:jc w:val="center"/>
              <w:rPr>
                <w:rFonts w:ascii="ARIAL" w:hAnsi="ARIAL"/>
                <w:b/>
                <w:color w:val="FFFFFF"/>
                <w:sz w:val="16"/>
              </w:rPr>
            </w:pPr>
            <w:r>
              <w:rPr>
                <w:rFonts w:ascii="ARIAL" w:hAnsi="ARIAL"/>
                <w:b/>
                <w:color w:val="FFFFFF"/>
                <w:sz w:val="16"/>
              </w:rPr>
              <w:t>2025 (#)  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69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$3,000,000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$2,929,469*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110" w:type="dxa"/>
            <w:tcBorders>
              <w:bottom w:val="single" w:sz="6" w:space="0" w:color="000000"/>
            </w:tcBorders>
            <w:tcMar>
              <w:bottom w:w="100" w:type="dxa"/>
            </w:tcMar>
            <w:vAlign w:val="center"/>
          </w:tcPr>
          <w:p>
            <w:pPr>
              <w:pStyle w:val="TableContents"/>
              <w:bidi w:val="0"/>
              <w:spacing w:before="0" w:after="283"/>
              <w:jc w:val="center"/>
              <w:rPr/>
            </w:pPr>
            <w:r>
              <w:rPr/>
              <w:t>37,649</w:t>
            </w:r>
          </w:p>
        </w:tc>
        <w:tc>
          <w:tcPr>
            <w:tcW w:w="42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000000"/>
            </w:tcBorders>
            <w:tcMar>
              <w:bottom w:w="100" w:type="dxa"/>
            </w:tcMar>
            <w:vAlign w:val="center"/>
          </w:tcPr>
          <w:p>
            <w:pPr>
              <w:pStyle w:val="TableContents"/>
              <w:bidi w:val="0"/>
              <w:spacing w:before="0" w:after="283"/>
              <w:jc w:val="left"/>
              <w:rPr/>
            </w:pPr>
            <w:r>
              <w:rPr/>
              <w:t> </w:t>
            </w:r>
          </w:p>
        </w:tc>
        <w:tc>
          <w:tcPr>
            <w:tcW w:w="1196" w:type="dxa"/>
            <w:tcBorders>
              <w:bottom w:val="single" w:sz="6" w:space="0" w:color="000000"/>
            </w:tcBorders>
            <w:tcMar>
              <w:bottom w:w="100" w:type="dxa"/>
            </w:tcMar>
            <w:vAlign w:val="center"/>
          </w:tcPr>
          <w:p>
            <w:pPr>
              <w:pStyle w:val="TableContents"/>
              <w:bidi w:val="0"/>
              <w:spacing w:before="0" w:after="283"/>
              <w:jc w:val="center"/>
              <w:rPr/>
            </w:pPr>
            <w:r>
              <w:rPr/>
              <w:t>37,649</w:t>
            </w:r>
          </w:p>
        </w:tc>
        <w:tc>
          <w:tcPr>
            <w:tcW w:w="133"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6301" w:type="dxa"/>
            <w:gridSpan w:val="15"/>
            <w:tcBorders/>
            <w:vAlign w:val="center"/>
          </w:tcPr>
          <w:p>
            <w:pPr>
              <w:pStyle w:val="TableContents"/>
              <w:bidi w:val="0"/>
              <w:spacing w:before="0" w:after="0"/>
              <w:jc w:val="left"/>
              <w:rPr/>
            </w:pPr>
            <w:r>
              <w:rPr/>
              <w:t> </w:t>
            </w:r>
          </w:p>
          <w:p>
            <w:pPr>
              <w:pStyle w:val="TableContents"/>
              <w:bidi w:val="0"/>
              <w:spacing w:before="0" w:after="20"/>
              <w:jc w:val="left"/>
              <w:rPr>
                <w:rFonts w:ascii="ARIAL" w:hAnsi="ARIAL"/>
                <w:i/>
                <w:sz w:val="16"/>
              </w:rPr>
            </w:pPr>
            <w:r>
              <w:rPr>
                <w:rFonts w:ascii="ARIAL" w:hAnsi="ARIAL"/>
                <w:i/>
                <w:sz w:val="16"/>
              </w:rPr>
              <w:t>*  Reflects deduction for non-deferrable taxes</w:t>
            </w:r>
          </w:p>
        </w:tc>
        <w:tc>
          <w:tcPr>
            <w:tcW w:w="426"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i/>
              </w:rPr>
            </w:pPr>
            <w:r>
              <w:rPr>
                <w:i/>
              </w:rPr>
              <w:t>(2) </w:t>
            </w:r>
          </w:p>
        </w:tc>
        <w:tc>
          <w:tcPr>
            <w:tcW w:w="9930" w:type="dxa"/>
            <w:tcBorders/>
            <w:vAlign w:val="center"/>
          </w:tcPr>
          <w:p>
            <w:pPr>
              <w:pStyle w:val="TableContents"/>
              <w:bidi w:val="0"/>
              <w:spacing w:before="0" w:after="0"/>
              <w:jc w:val="left"/>
              <w:rPr>
                <w:rFonts w:ascii="ARIAL" w:hAnsi="ARIAL"/>
                <w:i/>
                <w:sz w:val="16"/>
              </w:rPr>
            </w:pPr>
            <w:r>
              <w:rPr>
                <w:rFonts w:ascii="ARIAL" w:hAnsi="ARIAL"/>
                <w:i/>
                <w:sz w:val="16"/>
              </w:rPr>
              <w:t xml:space="preserve">Amounts reported reflect the grant date fair value of stock options granted to NEOs pursuant to FASB ASC Topic 718, excluding estimated forfeitures. The assumptions used to calculate the value of option awards are set forth under Note 16 of the Notes to Consolidated Financial Statements included in our Annual Report on Form 10-K filed with the SEC on February 26, 2026.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i/>
              </w:rPr>
            </w:pPr>
            <w:r>
              <w:rPr>
                <w:i/>
              </w:rPr>
              <w:t>(3) </w:t>
            </w:r>
          </w:p>
        </w:tc>
        <w:tc>
          <w:tcPr>
            <w:tcW w:w="9943" w:type="dxa"/>
            <w:tcBorders/>
            <w:vAlign w:val="center"/>
          </w:tcPr>
          <w:p>
            <w:pPr>
              <w:pStyle w:val="TableContents"/>
              <w:bidi w:val="0"/>
              <w:spacing w:before="0" w:after="0"/>
              <w:jc w:val="left"/>
              <w:rPr>
                <w:rFonts w:ascii="ARIAL" w:hAnsi="ARIAL"/>
                <w:i/>
                <w:sz w:val="16"/>
              </w:rPr>
            </w:pPr>
            <w:r>
              <w:rPr>
                <w:rFonts w:ascii="ARIAL" w:hAnsi="ARIAL"/>
                <w:i/>
                <w:sz w:val="16"/>
              </w:rPr>
              <w:t xml:space="preserve">This amount represents the annual cash incentive earned under the Company’s annual incentive bonus plan based on the achievement of individual and/or Company financial goals. These bonuses are awarded and paid in the year following the year for which performance was measured. For additional information regarding the annual cash incentives paid for 2025 performance, see the “2025 Annual Cash Incentive Awards” discussion within the section titled “Compensation Discussion and Analysis” of this Proxy Statement.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155"/>
        <w:gridCol w:w="9110"/>
      </w:tblGrid>
      <w:tr>
        <w:trPr/>
        <w:tc>
          <w:tcPr>
            <w:tcW w:w="15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rFonts w:ascii="ARIAL" w:hAnsi="ARIAL"/>
                <w:i/>
                <w:sz w:val="16"/>
              </w:rPr>
            </w:pPr>
            <w:r>
              <w:rPr>
                <w:rFonts w:ascii="ARIAL" w:hAnsi="ARIAL"/>
                <w:i/>
                <w:sz w:val="16"/>
              </w:rPr>
              <w:t xml:space="preserve">As outlined below, certain of our NEOs elected to defer a portion of their 2025 cash incentive compensation under the MSPP.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i/>
                <w:sz w:val="16"/>
              </w:rPr>
            </w:pPr>
            <w:r>
              <w:rPr>
                <w:rFonts w:ascii="ARIAL" w:hAnsi="ARIAL"/>
                <w:i/>
                <w:sz w:val="16"/>
              </w:rPr>
              <w:t xml:space="preserve">The DSUs and Matching RSUs awarded pursuant to the NEOs’ elections with respect to their 2025 cash incentive compensation were issued in March 2026. For additional information regarding the MSPP, see the “Deferred Compensation” discussion within the section titled “Compensation Discussion and Analysis” of this Proxy Statement. The Matching RSUs awarded in 2026 to each of Messrs. Florance and Lown will be included in the 2027 Summary Compensation Table and 2027 Grants of Plan Based Awards Table in next year’s proxy statement. </w:t>
            </w:r>
          </w:p>
        </w:tc>
      </w:tr>
    </w:tbl>
    <w:p>
      <w:pPr>
        <w:pStyle w:val="TextBody"/>
        <w:bidi w:val="0"/>
        <w:spacing w:before="0" w:after="0"/>
        <w:jc w:val="left"/>
        <w:rPr/>
      </w:pPr>
      <w:r>
        <w:rPr/>
        <w:t> </w:t>
      </w:r>
    </w:p>
    <w:tbl>
      <w:tblPr>
        <w:tblW w:w="8223" w:type="dxa"/>
        <w:jc w:val="left"/>
        <w:tblInd w:w="0" w:type="dxa"/>
        <w:tblLayout w:type="fixed"/>
        <w:tblCellMar>
          <w:top w:w="0" w:type="dxa"/>
          <w:left w:w="0" w:type="dxa"/>
          <w:bottom w:w="0" w:type="dxa"/>
          <w:right w:w="0" w:type="dxa"/>
        </w:tblCellMar>
      </w:tblPr>
      <w:tblGrid>
        <w:gridCol w:w="1595"/>
        <w:gridCol w:w="23"/>
        <w:gridCol w:w="37"/>
        <w:gridCol w:w="97"/>
        <w:gridCol w:w="1796"/>
        <w:gridCol w:w="100"/>
        <w:gridCol w:w="23"/>
        <w:gridCol w:w="23"/>
        <w:gridCol w:w="60"/>
        <w:gridCol w:w="1220"/>
        <w:gridCol w:w="60"/>
        <w:gridCol w:w="23"/>
        <w:gridCol w:w="37"/>
        <w:gridCol w:w="97"/>
        <w:gridCol w:w="1110"/>
        <w:gridCol w:w="426"/>
        <w:gridCol w:w="23"/>
        <w:gridCol w:w="39"/>
        <w:gridCol w:w="105"/>
        <w:gridCol w:w="1196"/>
        <w:gridCol w:w="133"/>
      </w:tblGrid>
      <w:tr>
        <w:trPr/>
        <w:tc>
          <w:tcPr>
            <w:tcW w:w="15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0054BA" w:val="clear"/>
            <w:vAlign w:val="center"/>
          </w:tcPr>
          <w:p>
            <w:pPr>
              <w:pStyle w:val="TableContents"/>
              <w:bidi w:val="0"/>
              <w:spacing w:before="0" w:after="283"/>
              <w:jc w:val="left"/>
              <w:rPr>
                <w:sz w:val="4"/>
                <w:szCs w:val="4"/>
              </w:rPr>
            </w:pPr>
            <w:r>
              <w:rPr>
                <w:sz w:val="4"/>
                <w:szCs w:val="4"/>
              </w:rPr>
            </w:r>
          </w:p>
        </w:tc>
        <w:tc>
          <w:tcPr>
            <w:tcW w:w="2053" w:type="dxa"/>
            <w:gridSpan w:val="5"/>
            <w:tcBorders/>
            <w:shd w:fill="0054BA" w:val="clear"/>
            <w:vAlign w:val="center"/>
          </w:tcPr>
          <w:p>
            <w:pPr>
              <w:pStyle w:val="TableContents"/>
              <w:bidi w:val="0"/>
              <w:spacing w:before="0" w:after="283"/>
              <w:jc w:val="left"/>
              <w:rPr>
                <w:sz w:val="4"/>
                <w:szCs w:val="4"/>
              </w:rPr>
            </w:pPr>
            <w:r>
              <w:rPr>
                <w:sz w:val="4"/>
                <w:szCs w:val="4"/>
              </w:rPr>
            </w:r>
          </w:p>
        </w:tc>
        <w:tc>
          <w:tcPr>
            <w:tcW w:w="1386" w:type="dxa"/>
            <w:gridSpan w:val="5"/>
            <w:tcBorders/>
            <w:shd w:fill="0054BA" w:val="clear"/>
            <w:vAlign w:val="center"/>
          </w:tcPr>
          <w:p>
            <w:pPr>
              <w:pStyle w:val="TableContents"/>
              <w:bidi w:val="0"/>
              <w:spacing w:before="0" w:after="283"/>
              <w:jc w:val="left"/>
              <w:rPr>
                <w:sz w:val="4"/>
                <w:szCs w:val="4"/>
              </w:rPr>
            </w:pPr>
            <w:r>
              <w:rPr>
                <w:sz w:val="4"/>
                <w:szCs w:val="4"/>
              </w:rPr>
            </w:r>
          </w:p>
        </w:tc>
        <w:tc>
          <w:tcPr>
            <w:tcW w:w="1693" w:type="dxa"/>
            <w:gridSpan w:val="5"/>
            <w:tcBorders/>
            <w:shd w:fill="0054BA" w:val="clear"/>
            <w:vAlign w:val="center"/>
          </w:tcPr>
          <w:p>
            <w:pPr>
              <w:pStyle w:val="TableContents"/>
              <w:bidi w:val="0"/>
              <w:spacing w:before="0" w:after="283"/>
              <w:jc w:val="left"/>
              <w:rPr>
                <w:sz w:val="4"/>
                <w:szCs w:val="4"/>
              </w:rPr>
            </w:pPr>
            <w:r>
              <w:rPr>
                <w:sz w:val="4"/>
                <w:szCs w:val="4"/>
              </w:rPr>
            </w:r>
          </w:p>
        </w:tc>
        <w:tc>
          <w:tcPr>
            <w:tcW w:w="1496"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595"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030" w:type="dxa"/>
            <w:gridSpan w:val="4"/>
            <w:tcBorders/>
            <w:shd w:fill="0054BA" w:val="clear"/>
            <w:vAlign w:val="center"/>
          </w:tcPr>
          <w:p>
            <w:pPr>
              <w:pStyle w:val="TableContents"/>
              <w:bidi w:val="0"/>
              <w:spacing w:before="0" w:after="283"/>
              <w:jc w:val="center"/>
              <w:rPr>
                <w:b/>
                <w:color w:val="FFFFFF"/>
              </w:rPr>
            </w:pPr>
            <w:r>
              <w:rPr>
                <w:b/>
                <w:color w:val="FFFFFF"/>
              </w:rPr>
              <w:t>2025 CASH</w:t>
              <w:br/>
              <w:t>INCENTIVE</w:t>
              <w:br/>
              <w:t>COMPENSATION</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6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2025 MSPP </w:t>
            </w:r>
          </w:p>
          <w:p>
            <w:pPr>
              <w:pStyle w:val="TableContents"/>
              <w:bidi w:val="0"/>
              <w:spacing w:before="0" w:after="20"/>
              <w:jc w:val="center"/>
              <w:rPr>
                <w:rFonts w:ascii="ARIAL" w:hAnsi="ARIAL"/>
                <w:b/>
                <w:color w:val="FFFFFF"/>
                <w:sz w:val="16"/>
              </w:rPr>
            </w:pPr>
            <w:r>
              <w:rPr>
                <w:rFonts w:ascii="ARIAL" w:hAnsi="ARIAL"/>
                <w:b/>
                <w:color w:val="FFFFFF"/>
                <w:sz w:val="16"/>
              </w:rPr>
              <w:t>CONTRIBUTION</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670" w:type="dxa"/>
            <w:gridSpan w:val="4"/>
            <w:tcBorders/>
            <w:shd w:fill="0054BA" w:val="clear"/>
            <w:vAlign w:val="center"/>
          </w:tcPr>
          <w:p>
            <w:pPr>
              <w:pStyle w:val="TableContents"/>
              <w:bidi w:val="0"/>
              <w:spacing w:before="0" w:after="283"/>
              <w:jc w:val="center"/>
              <w:rPr>
                <w:b/>
                <w:color w:val="FFFFFF"/>
              </w:rPr>
            </w:pPr>
            <w:r>
              <w:rPr>
                <w:b/>
                <w:color w:val="FFFFFF"/>
              </w:rPr>
              <w:t>EQUIVALENT</w:t>
              <w:br/>
              <w:t>DSUs</w:t>
              <w:br/>
              <w:t>AWARDED</w:t>
              <w:br/>
              <w:t>IN MARCH</w:t>
              <w:br/>
              <w:t>2026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7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MATCHING  </w:t>
              <w:br/>
              <w:t>RSUs AWARDED  </w:t>
            </w:r>
          </w:p>
          <w:p>
            <w:pPr>
              <w:pStyle w:val="TableContents"/>
              <w:bidi w:val="0"/>
              <w:spacing w:before="0" w:after="0"/>
              <w:jc w:val="center"/>
              <w:rPr>
                <w:rFonts w:ascii="ARIAL" w:hAnsi="ARIAL"/>
                <w:b/>
                <w:color w:val="FFFFFF"/>
                <w:sz w:val="16"/>
              </w:rPr>
            </w:pPr>
            <w:r>
              <w:rPr>
                <w:rFonts w:ascii="ARIAL" w:hAnsi="ARIAL"/>
                <w:b/>
                <w:color w:val="FFFFFF"/>
                <w:sz w:val="16"/>
              </w:rPr>
              <w:t>IN MARCH  </w:t>
            </w:r>
          </w:p>
          <w:p>
            <w:pPr>
              <w:pStyle w:val="TableContents"/>
              <w:bidi w:val="0"/>
              <w:spacing w:before="0" w:after="20"/>
              <w:jc w:val="center"/>
              <w:rPr>
                <w:rFonts w:ascii="ARIAL" w:hAnsi="ARIAL"/>
                <w:b/>
                <w:color w:val="FFFFFF"/>
                <w:sz w:val="16"/>
              </w:rPr>
            </w:pPr>
            <w:r>
              <w:rPr>
                <w:rFonts w:ascii="ARIAL" w:hAnsi="ARIAL"/>
                <w:b/>
                <w:color w:val="FFFFFF"/>
                <w:sz w:val="16"/>
              </w:rPr>
              <w:t>2026 (#)  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69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$3,000,000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$2,876,856*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110" w:type="dxa"/>
            <w:tcBorders>
              <w:bottom w:val="single" w:sz="6" w:space="0" w:color="000000"/>
            </w:tcBorders>
            <w:tcMar>
              <w:bottom w:w="100" w:type="dxa"/>
            </w:tcMar>
            <w:vAlign w:val="center"/>
          </w:tcPr>
          <w:p>
            <w:pPr>
              <w:pStyle w:val="TableContents"/>
              <w:bidi w:val="0"/>
              <w:spacing w:before="0" w:after="283"/>
              <w:jc w:val="center"/>
              <w:rPr/>
            </w:pPr>
            <w:r>
              <w:rPr/>
              <w:t>62,081</w:t>
            </w:r>
          </w:p>
        </w:tc>
        <w:tc>
          <w:tcPr>
            <w:tcW w:w="42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000000"/>
            </w:tcBorders>
            <w:tcMar>
              <w:bottom w:w="100" w:type="dxa"/>
            </w:tcMar>
            <w:vAlign w:val="center"/>
          </w:tcPr>
          <w:p>
            <w:pPr>
              <w:pStyle w:val="TableContents"/>
              <w:bidi w:val="0"/>
              <w:spacing w:before="0" w:after="283"/>
              <w:jc w:val="left"/>
              <w:rPr/>
            </w:pPr>
            <w:r>
              <w:rPr/>
              <w:t> </w:t>
            </w:r>
          </w:p>
        </w:tc>
        <w:tc>
          <w:tcPr>
            <w:tcW w:w="1196" w:type="dxa"/>
            <w:tcBorders>
              <w:bottom w:val="single" w:sz="6" w:space="0" w:color="000000"/>
            </w:tcBorders>
            <w:tcMar>
              <w:bottom w:w="100" w:type="dxa"/>
            </w:tcMar>
            <w:vAlign w:val="center"/>
          </w:tcPr>
          <w:p>
            <w:pPr>
              <w:pStyle w:val="TableContents"/>
              <w:bidi w:val="0"/>
              <w:spacing w:before="0" w:after="283"/>
              <w:jc w:val="center"/>
              <w:rPr/>
            </w:pPr>
            <w:r>
              <w:rPr/>
              <w:t>62,081</w:t>
            </w:r>
          </w:p>
        </w:tc>
        <w:tc>
          <w:tcPr>
            <w:tcW w:w="133"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69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Christian M. Lown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796" w:type="dxa"/>
            <w:tcBorders>
              <w:bottom w:val="single" w:sz="6" w:space="0" w:color="000000"/>
            </w:tcBorders>
            <w:tcMar>
              <w:bottom w:w="100" w:type="dxa"/>
            </w:tcMar>
            <w:vAlign w:val="center"/>
          </w:tcPr>
          <w:p>
            <w:pPr>
              <w:pStyle w:val="TableContents"/>
              <w:bidi w:val="0"/>
              <w:spacing w:before="0" w:after="283"/>
              <w:jc w:val="center"/>
              <w:rPr/>
            </w:pPr>
            <w:r>
              <w:rPr/>
              <w:t>$1,137,000</w:t>
            </w:r>
          </w:p>
        </w:tc>
        <w:tc>
          <w:tcPr>
            <w:tcW w:w="10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$284,250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1110" w:type="dxa"/>
            <w:tcBorders>
              <w:bottom w:val="single" w:sz="6" w:space="0" w:color="000000"/>
            </w:tcBorders>
            <w:tcMar>
              <w:bottom w:w="100" w:type="dxa"/>
            </w:tcMar>
            <w:vAlign w:val="center"/>
          </w:tcPr>
          <w:p>
            <w:pPr>
              <w:pStyle w:val="TableContents"/>
              <w:bidi w:val="0"/>
              <w:spacing w:before="0" w:after="283"/>
              <w:jc w:val="center"/>
              <w:rPr/>
            </w:pPr>
            <w:r>
              <w:rPr/>
              <w:t>6,134</w:t>
            </w:r>
          </w:p>
        </w:tc>
        <w:tc>
          <w:tcPr>
            <w:tcW w:w="42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000000"/>
            </w:tcBorders>
            <w:tcMar>
              <w:bottom w:w="100" w:type="dxa"/>
            </w:tcMar>
            <w:vAlign w:val="center"/>
          </w:tcPr>
          <w:p>
            <w:pPr>
              <w:pStyle w:val="TableContents"/>
              <w:bidi w:val="0"/>
              <w:spacing w:before="0" w:after="283"/>
              <w:jc w:val="left"/>
              <w:rPr/>
            </w:pPr>
            <w:r>
              <w:rPr/>
              <w:t> </w:t>
            </w:r>
          </w:p>
        </w:tc>
        <w:tc>
          <w:tcPr>
            <w:tcW w:w="1196" w:type="dxa"/>
            <w:tcBorders>
              <w:bottom w:val="single" w:sz="6" w:space="0" w:color="000000"/>
            </w:tcBorders>
            <w:tcMar>
              <w:bottom w:w="100" w:type="dxa"/>
            </w:tcMar>
            <w:vAlign w:val="center"/>
          </w:tcPr>
          <w:p>
            <w:pPr>
              <w:pStyle w:val="TableContents"/>
              <w:bidi w:val="0"/>
              <w:spacing w:before="0" w:after="283"/>
              <w:jc w:val="center"/>
              <w:rPr/>
            </w:pPr>
            <w:r>
              <w:rPr/>
              <w:t>6,134</w:t>
            </w:r>
          </w:p>
        </w:tc>
        <w:tc>
          <w:tcPr>
            <w:tcW w:w="133"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6301" w:type="dxa"/>
            <w:gridSpan w:val="15"/>
            <w:tcBorders/>
            <w:vAlign w:val="center"/>
          </w:tcPr>
          <w:p>
            <w:pPr>
              <w:pStyle w:val="TableContents"/>
              <w:bidi w:val="0"/>
              <w:spacing w:before="0" w:after="0"/>
              <w:jc w:val="left"/>
              <w:rPr/>
            </w:pPr>
            <w:r>
              <w:rPr/>
              <w:t> </w:t>
            </w:r>
          </w:p>
          <w:p>
            <w:pPr>
              <w:pStyle w:val="TableContents"/>
              <w:bidi w:val="0"/>
              <w:spacing w:before="0" w:after="20"/>
              <w:jc w:val="left"/>
              <w:rPr>
                <w:rFonts w:ascii="ARIAL" w:hAnsi="ARIAL"/>
                <w:i/>
                <w:sz w:val="16"/>
              </w:rPr>
            </w:pPr>
            <w:r>
              <w:rPr>
                <w:rFonts w:ascii="ARIAL" w:hAnsi="ARIAL"/>
                <w:i/>
                <w:sz w:val="16"/>
              </w:rPr>
              <w:t>*  Reflects deduction for non-deferrable taxes</w:t>
            </w:r>
          </w:p>
        </w:tc>
        <w:tc>
          <w:tcPr>
            <w:tcW w:w="426"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i/>
              </w:rPr>
            </w:pPr>
            <w:r>
              <w:rPr>
                <w:i/>
              </w:rPr>
              <w:t>(4) </w:t>
            </w:r>
          </w:p>
        </w:tc>
        <w:tc>
          <w:tcPr>
            <w:tcW w:w="9942" w:type="dxa"/>
            <w:tcBorders/>
            <w:vAlign w:val="center"/>
          </w:tcPr>
          <w:p>
            <w:pPr>
              <w:pStyle w:val="TableContents"/>
              <w:bidi w:val="0"/>
              <w:spacing w:before="0" w:after="0"/>
              <w:jc w:val="left"/>
              <w:rPr>
                <w:rFonts w:ascii="ARIAL" w:hAnsi="ARIAL"/>
                <w:i/>
                <w:sz w:val="16"/>
              </w:rPr>
            </w:pPr>
            <w:r>
              <w:rPr>
                <w:rFonts w:ascii="ARIAL" w:hAnsi="ARIAL"/>
                <w:i/>
                <w:sz w:val="16"/>
              </w:rPr>
              <w:t xml:space="preserve">Amounts include, as applicable, the value of perquisites and personal benefits, taxable imputed income related to group term life insurance and long-term disability coverage, and company contributions to defined contribution plans and health savings accounts (HSAs). Where the value of the items reported in a particular category for an NEO exceeded $10,000 in 2025 (other than perquisites and benefits, which are subject to different thresholds as described below), those items are identified and quantified below.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i/>
                <w:sz w:val="16"/>
              </w:rPr>
            </w:pPr>
            <w:r>
              <w:rPr>
                <w:rFonts w:ascii="ARIAL" w:hAnsi="ARIAL"/>
                <w:i/>
                <w:color w:val="0054BA"/>
                <w:sz w:val="16"/>
              </w:rPr>
              <w:t>Perquisites and Personal Benefits:</w:t>
            </w:r>
            <w:r>
              <w:rPr>
                <w:rFonts w:ascii="ARIAL" w:hAnsi="ARIAL"/>
                <w:i/>
                <w:sz w:val="16"/>
              </w:rPr>
              <w:t xml:space="preserve"> Perquisites and other personal benefits provided to certain NEOs are as follows: security, travel-related perquisites, and other nominal perquisites or personal benefits. We determine the incremental cost for perquisites and personal benefits based on costs or charges incurred by the Company.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i/>
                <w:sz w:val="16"/>
              </w:rPr>
            </w:pPr>
            <w:r>
              <w:rPr>
                <w:rFonts w:ascii="ARIAL" w:hAnsi="ARIAL"/>
                <w:i/>
                <w:color w:val="0054BA"/>
                <w:sz w:val="16"/>
              </w:rPr>
              <w:t>Security.</w:t>
            </w:r>
            <w:r>
              <w:rPr>
                <w:rFonts w:ascii="ARIAL" w:hAnsi="ARIAL"/>
                <w:i/>
                <w:sz w:val="16"/>
              </w:rPr>
              <w:t xml:space="preserve"> The Company provides Mr. Florance with residential and security measures based on a comprehensive residential physical security evaluation and independent security threat assessment, following credible threats made to Mr. Florance and members of his family. The amounts reported in the All Other Compensation column include the costs of these security measures, which are treated as perquisites under applicable SEC guidance, even though they arise from risks associated with Mr. Florance’s role with the Company. The costs are primarily associated with physical security enhancements and property improvements designed to mitigate identified safety risks at Mr. Florance’s residences, including limited security detail, camera system enhancements, access control enhancements and alarm system upgrades. The Compensation Committee believes the scope and costs are an appropriate business expense and necessary to protect the safety of Mr. Florance so he that may focus on his ability to perform his employment responsibilities and are necessary to reduce potential risks to the Company. The Compensation Committee believes this business expense is not related to personal services or discretionary personal benefits. Security costs are based on actual costs incurred by the Company.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i/>
                <w:sz w:val="16"/>
              </w:rPr>
            </w:pPr>
            <w:r>
              <w:rPr>
                <w:rFonts w:ascii="ARIAL" w:hAnsi="ARIAL"/>
                <w:i/>
                <w:color w:val="0054BA"/>
                <w:sz w:val="16"/>
              </w:rPr>
              <w:t>Company Aircraft:</w:t>
            </w:r>
            <w:r>
              <w:rPr>
                <w:rFonts w:ascii="ARIAL" w:hAnsi="ARIAL"/>
                <w:i/>
                <w:sz w:val="16"/>
              </w:rPr>
              <w:t xml:space="preserve"> The Company calculates the value of personal use of Company aircraft by calculating an hourly variable rate for variable costs such as fuel and hourly engine program costs for the aircraft and multiplied that result by the hours flown for personal use, then added one-time, variable costs incurred while using the corporate aircraft for personal use, such as catering and crew travel expenses. Since the aircraft is used primarily for business travel, the calculation does not include the fixed costs that do not change based on usage, such as crew salaries, hangar storage costs and cost of maintenance not related to personal use trips.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i/>
                <w:sz w:val="16"/>
              </w:rPr>
            </w:pPr>
            <w:r>
              <w:rPr>
                <w:rFonts w:ascii="ARIAL" w:hAnsi="ARIAL"/>
                <w:i/>
                <w:sz w:val="16"/>
              </w:rPr>
              <w:t xml:space="preserve">The cost of any category of the listed perquisites and personal benefits did not exceed the greater of $25,000 or 10% of total perquisites and personal benefits for any NEO in 2025, except for the following: </w:t>
            </w:r>
          </w:p>
        </w:tc>
      </w:tr>
    </w:tbl>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ARIAL" w:hAnsi="ARIAL"/>
                <w:sz w:val="16"/>
              </w:rPr>
            </w:pPr>
            <w:r>
              <w:rPr>
                <w:rFonts w:ascii="ARIAL" w:hAnsi="ARIAL"/>
                <w:sz w:val="16"/>
              </w:rPr>
              <w:t xml:space="preserve">Mr. Florance: costs attributable to security measures ($558,343) as discussed above. </w:t>
            </w:r>
          </w:p>
        </w:tc>
      </w:tr>
    </w:tbl>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ARIAL" w:hAnsi="ARIAL"/>
                <w:sz w:val="16"/>
              </w:rPr>
            </w:pPr>
            <w:r>
              <w:rPr>
                <w:rFonts w:ascii="ARIAL" w:hAnsi="ARIAL"/>
                <w:sz w:val="16"/>
              </w:rPr>
              <w:t xml:space="preserve">Mr. Saint: relocation costs ($79,957) and a tax gross-up ($65,685) on the value of those relocation costs. </w:t>
            </w:r>
          </w:p>
        </w:tc>
      </w:tr>
    </w:tbl>
    <w:tbl>
      <w:tblPr>
        <w:tblW w:w="9190" w:type="dxa"/>
        <w:jc w:val="left"/>
        <w:tblInd w:w="0" w:type="dxa"/>
        <w:tblLayout w:type="fixed"/>
        <w:tblCellMar>
          <w:top w:w="0" w:type="dxa"/>
          <w:left w:w="0" w:type="dxa"/>
          <w:bottom w:w="0" w:type="dxa"/>
          <w:right w:w="0" w:type="dxa"/>
        </w:tblCellMar>
      </w:tblPr>
      <w:tblGrid>
        <w:gridCol w:w="155"/>
        <w:gridCol w:w="9035"/>
      </w:tblGrid>
      <w:tr>
        <w:trPr/>
        <w:tc>
          <w:tcPr>
            <w:tcW w:w="155" w:type="dxa"/>
            <w:tcBorders/>
            <w:vAlign w:val="center"/>
          </w:tcPr>
          <w:p>
            <w:pPr>
              <w:pStyle w:val="TableContents"/>
              <w:bidi w:val="0"/>
              <w:spacing w:before="0" w:after="283"/>
              <w:jc w:val="left"/>
              <w:rPr>
                <w:color w:val="0054BA"/>
              </w:rPr>
            </w:pPr>
            <w:r>
              <w:rPr>
                <w:color w:val="0054BA"/>
              </w:rPr>
              <w:t> </w:t>
            </w:r>
          </w:p>
        </w:tc>
        <w:tc>
          <w:tcPr>
            <w:tcW w:w="9035" w:type="dxa"/>
            <w:tcBorders/>
            <w:vAlign w:val="center"/>
          </w:tcPr>
          <w:p>
            <w:pPr>
              <w:pStyle w:val="TableContents"/>
              <w:bidi w:val="0"/>
              <w:spacing w:before="0" w:after="0"/>
              <w:jc w:val="left"/>
              <w:rPr>
                <w:rFonts w:ascii="ARIAL" w:hAnsi="ARIAL"/>
                <w:i/>
                <w:sz w:val="16"/>
              </w:rPr>
            </w:pPr>
            <w:r>
              <w:rPr>
                <w:rFonts w:ascii="ARIAL" w:hAnsi="ARIAL"/>
                <w:i/>
                <w:color w:val="0054BA"/>
                <w:sz w:val="16"/>
              </w:rPr>
              <w:t>Contributions to Plans:</w:t>
            </w:r>
            <w:r>
              <w:rPr>
                <w:rFonts w:ascii="ARIAL" w:hAnsi="ARIAL"/>
                <w:i/>
                <w:sz w:val="16"/>
              </w:rPr>
              <w:t xml:space="preserve"> In 2025, each NEO received a 401(k) Plan employer matching contribution in the amount of $14,000.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6"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31" descr=""/>
                          <pic:cNvPicPr>
                            <a:picLocks noChangeAspect="1" noChangeArrowheads="1"/>
                          </pic:cNvPicPr>
                        </pic:nvPicPr>
                        <pic:blipFill>
                          <a:blip r:embed="rId34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46" w:name="tx903159_113"/>
      <w:bookmarkStart w:id="47" w:name="toc903159_33"/>
      <w:bookmarkEnd w:id="46"/>
      <w:bookmarkEnd w:id="47"/>
      <w:r>
        <w:rPr>
          <w:rFonts w:ascii="ARIAL" w:hAnsi="ARIAL"/>
          <w:b/>
          <w:sz w:val="24"/>
        </w:rPr>
        <w:t xml:space="preserve">2025 Grants of Plan-Based Awards </w:t>
      </w:r>
    </w:p>
    <w:p>
      <w:pPr>
        <w:pStyle w:val="TextBody"/>
        <w:bidi w:val="0"/>
        <w:spacing w:before="80" w:after="0"/>
        <w:jc w:val="left"/>
        <w:rPr>
          <w:rFonts w:ascii="ARIAL" w:hAnsi="ARIAL"/>
          <w:sz w:val="18"/>
        </w:rPr>
      </w:pPr>
      <w:r>
        <w:rPr>
          <w:rFonts w:ascii="ARIAL" w:hAnsi="ARIAL"/>
          <w:sz w:val="18"/>
        </w:rPr>
        <w:t xml:space="preserve">The following Grants of Plan-Based Awards table provides additional information about stock and option awards granted to our NEOs during the year ended December 31, 2025, as well as non-equity incentive plan awards for the year ended December 31, 2025. </w:t>
      </w:r>
    </w:p>
    <w:p>
      <w:pPr>
        <w:pStyle w:val="TextBody"/>
        <w:bidi w:val="0"/>
        <w:spacing w:before="0" w:after="0"/>
        <w:jc w:val="left"/>
        <w:rPr/>
      </w:pPr>
      <w:r>
        <w:rPr/>
        <w:t> </w:t>
      </w:r>
    </w:p>
    <w:tbl>
      <w:tblPr>
        <w:tblW w:w="10835" w:type="dxa"/>
        <w:jc w:val="left"/>
        <w:tblInd w:w="0" w:type="dxa"/>
        <w:tblLayout w:type="fixed"/>
        <w:tblCellMar>
          <w:top w:w="0" w:type="dxa"/>
          <w:left w:w="0" w:type="dxa"/>
          <w:bottom w:w="0" w:type="dxa"/>
          <w:right w:w="0" w:type="dxa"/>
        </w:tblCellMar>
      </w:tblPr>
      <w:tblGrid>
        <w:gridCol w:w="770"/>
        <w:gridCol w:w="60"/>
        <w:gridCol w:w="470"/>
        <w:gridCol w:w="60"/>
        <w:gridCol w:w="1385"/>
        <w:gridCol w:w="60"/>
        <w:gridCol w:w="815"/>
        <w:gridCol w:w="60"/>
        <w:gridCol w:w="710"/>
        <w:gridCol w:w="60"/>
        <w:gridCol w:w="710"/>
        <w:gridCol w:w="60"/>
        <w:gridCol w:w="815"/>
        <w:gridCol w:w="60"/>
        <w:gridCol w:w="545"/>
        <w:gridCol w:w="60"/>
        <w:gridCol w:w="650"/>
        <w:gridCol w:w="60"/>
        <w:gridCol w:w="800"/>
        <w:gridCol w:w="60"/>
        <w:gridCol w:w="875"/>
        <w:gridCol w:w="60"/>
        <w:gridCol w:w="695"/>
        <w:gridCol w:w="60"/>
        <w:gridCol w:w="87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770" w:type="dxa"/>
            <w:tcBorders/>
            <w:shd w:fill="0054BA" w:val="clear"/>
            <w:vAlign w:val="center"/>
          </w:tcPr>
          <w:p>
            <w:pPr>
              <w:pStyle w:val="TableContents"/>
              <w:bidi w:val="0"/>
              <w:spacing w:before="0" w:after="283"/>
              <w:jc w:val="left"/>
              <w:rPr>
                <w:sz w:val="4"/>
                <w:szCs w:val="4"/>
              </w:rPr>
            </w:pPr>
            <w:r>
              <w:rPr>
                <w:sz w:val="4"/>
                <w:szCs w:val="4"/>
              </w:rPr>
            </w:r>
          </w:p>
        </w:tc>
        <w:tc>
          <w:tcPr>
            <w:tcW w:w="530" w:type="dxa"/>
            <w:gridSpan w:val="2"/>
            <w:tcBorders/>
            <w:shd w:fill="0054BA" w:val="clear"/>
            <w:vAlign w:val="center"/>
          </w:tcPr>
          <w:p>
            <w:pPr>
              <w:pStyle w:val="TableContents"/>
              <w:bidi w:val="0"/>
              <w:spacing w:before="0" w:after="283"/>
              <w:jc w:val="left"/>
              <w:rPr>
                <w:sz w:val="4"/>
                <w:szCs w:val="4"/>
              </w:rPr>
            </w:pPr>
            <w:r>
              <w:rPr>
                <w:sz w:val="4"/>
                <w:szCs w:val="4"/>
              </w:rPr>
            </w:r>
          </w:p>
        </w:tc>
        <w:tc>
          <w:tcPr>
            <w:tcW w:w="1445" w:type="dxa"/>
            <w:gridSpan w:val="2"/>
            <w:tcBorders/>
            <w:shd w:fill="0054BA" w:val="clear"/>
            <w:vAlign w:val="center"/>
          </w:tcPr>
          <w:p>
            <w:pPr>
              <w:pStyle w:val="TableContents"/>
              <w:bidi w:val="0"/>
              <w:spacing w:before="0" w:after="283"/>
              <w:jc w:val="left"/>
              <w:rPr>
                <w:sz w:val="4"/>
                <w:szCs w:val="4"/>
              </w:rPr>
            </w:pPr>
            <w:r>
              <w:rPr>
                <w:sz w:val="4"/>
                <w:szCs w:val="4"/>
              </w:rPr>
            </w:r>
          </w:p>
        </w:tc>
        <w:tc>
          <w:tcPr>
            <w:tcW w:w="2415" w:type="dxa"/>
            <w:gridSpan w:val="6"/>
            <w:tcBorders/>
            <w:shd w:fill="0054BA" w:val="clear"/>
            <w:vAlign w:val="center"/>
          </w:tcPr>
          <w:p>
            <w:pPr>
              <w:pStyle w:val="TableContents"/>
              <w:bidi w:val="0"/>
              <w:spacing w:before="0" w:after="283"/>
              <w:jc w:val="left"/>
              <w:rPr>
                <w:sz w:val="4"/>
                <w:szCs w:val="4"/>
              </w:rPr>
            </w:pPr>
            <w:r>
              <w:rPr>
                <w:sz w:val="4"/>
                <w:szCs w:val="4"/>
              </w:rPr>
            </w:r>
          </w:p>
        </w:tc>
        <w:tc>
          <w:tcPr>
            <w:tcW w:w="2190" w:type="dxa"/>
            <w:gridSpan w:val="6"/>
            <w:tcBorders/>
            <w:shd w:fill="0054BA" w:val="clear"/>
            <w:vAlign w:val="center"/>
          </w:tcPr>
          <w:p>
            <w:pPr>
              <w:pStyle w:val="TableContents"/>
              <w:bidi w:val="0"/>
              <w:spacing w:before="0" w:after="283"/>
              <w:jc w:val="left"/>
              <w:rPr>
                <w:sz w:val="4"/>
                <w:szCs w:val="4"/>
              </w:rPr>
            </w:pPr>
            <w:r>
              <w:rPr>
                <w:sz w:val="4"/>
                <w:szCs w:val="4"/>
              </w:rPr>
            </w:r>
          </w:p>
        </w:tc>
        <w:tc>
          <w:tcPr>
            <w:tcW w:w="860" w:type="dxa"/>
            <w:gridSpan w:val="2"/>
            <w:tcBorders/>
            <w:shd w:fill="0054BA" w:val="clear"/>
            <w:vAlign w:val="center"/>
          </w:tcPr>
          <w:p>
            <w:pPr>
              <w:pStyle w:val="TableContents"/>
              <w:bidi w:val="0"/>
              <w:spacing w:before="0" w:after="283"/>
              <w:jc w:val="left"/>
              <w:rPr>
                <w:sz w:val="4"/>
                <w:szCs w:val="4"/>
              </w:rPr>
            </w:pPr>
            <w:r>
              <w:rPr>
                <w:sz w:val="4"/>
                <w:szCs w:val="4"/>
              </w:rPr>
            </w:r>
          </w:p>
        </w:tc>
        <w:tc>
          <w:tcPr>
            <w:tcW w:w="935" w:type="dxa"/>
            <w:gridSpan w:val="2"/>
            <w:tcBorders/>
            <w:shd w:fill="0054BA" w:val="clear"/>
            <w:vAlign w:val="center"/>
          </w:tcPr>
          <w:p>
            <w:pPr>
              <w:pStyle w:val="TableContents"/>
              <w:bidi w:val="0"/>
              <w:spacing w:before="0" w:after="283"/>
              <w:jc w:val="left"/>
              <w:rPr>
                <w:sz w:val="4"/>
                <w:szCs w:val="4"/>
              </w:rPr>
            </w:pPr>
            <w:r>
              <w:rPr>
                <w:sz w:val="4"/>
                <w:szCs w:val="4"/>
              </w:rPr>
            </w:r>
          </w:p>
        </w:tc>
        <w:tc>
          <w:tcPr>
            <w:tcW w:w="755" w:type="dxa"/>
            <w:gridSpan w:val="2"/>
            <w:tcBorders/>
            <w:shd w:fill="0054BA" w:val="clear"/>
            <w:vAlign w:val="center"/>
          </w:tcPr>
          <w:p>
            <w:pPr>
              <w:pStyle w:val="TableContents"/>
              <w:bidi w:val="0"/>
              <w:spacing w:before="0" w:after="283"/>
              <w:jc w:val="left"/>
              <w:rPr>
                <w:sz w:val="4"/>
                <w:szCs w:val="4"/>
              </w:rPr>
            </w:pPr>
            <w:r>
              <w:rPr>
                <w:sz w:val="4"/>
                <w:szCs w:val="4"/>
              </w:rPr>
            </w:r>
          </w:p>
        </w:tc>
        <w:tc>
          <w:tcPr>
            <w:tcW w:w="935"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77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47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138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60" w:type="dxa"/>
            <w:tcBorders/>
            <w:shd w:fill="0054BA" w:val="clear"/>
            <w:vAlign w:val="center"/>
          </w:tcPr>
          <w:p>
            <w:pPr>
              <w:pStyle w:val="TableContents"/>
              <w:bidi w:val="0"/>
              <w:spacing w:before="0" w:after="283"/>
              <w:jc w:val="left"/>
              <w:rPr/>
            </w:pPr>
            <w:r>
              <w:rPr/>
              <w:t> </w:t>
            </w:r>
          </w:p>
        </w:tc>
        <w:tc>
          <w:tcPr>
            <w:tcW w:w="2355" w:type="dxa"/>
            <w:gridSpan w:val="5"/>
            <w:tcBorders/>
            <w:shd w:fill="0054BA"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color w:val="FFFFFF"/>
                <w:sz w:val="14"/>
              </w:rPr>
            </w:pPr>
            <w:r>
              <w:rPr>
                <w:rFonts w:ascii="ARIAL" w:hAnsi="ARIAL"/>
                <w:b/>
                <w:color w:val="FFFFFF"/>
                <w:sz w:val="14"/>
              </w:rPr>
              <w:t>ESTIMATED FUTURE</w:t>
            </w:r>
          </w:p>
          <w:p>
            <w:pPr>
              <w:pStyle w:val="TableContents"/>
              <w:bidi w:val="0"/>
              <w:spacing w:before="0" w:after="0"/>
              <w:jc w:val="center"/>
              <w:rPr>
                <w:rFonts w:ascii="ARIAL" w:hAnsi="ARIAL"/>
                <w:b/>
                <w:color w:val="FFFFFF"/>
                <w:sz w:val="14"/>
              </w:rPr>
            </w:pPr>
            <w:r>
              <w:rPr>
                <w:rFonts w:ascii="ARIAL" w:hAnsi="ARIAL"/>
                <w:b/>
                <w:color w:val="FFFFFF"/>
                <w:sz w:val="14"/>
              </w:rPr>
              <w:t>PAYOUTS</w:t>
            </w:r>
          </w:p>
          <w:p>
            <w:pPr>
              <w:pStyle w:val="TableContents"/>
              <w:bidi w:val="0"/>
              <w:spacing w:before="0" w:after="0"/>
              <w:jc w:val="center"/>
              <w:rPr>
                <w:rFonts w:ascii="ARIAL" w:hAnsi="ARIAL"/>
                <w:b/>
                <w:color w:val="FFFFFF"/>
                <w:sz w:val="14"/>
              </w:rPr>
            </w:pPr>
            <w:r>
              <w:rPr>
                <w:rFonts w:ascii="ARIAL" w:hAnsi="ARIAL"/>
                <w:b/>
                <w:color w:val="FFFFFF"/>
                <w:sz w:val="14"/>
              </w:rPr>
              <w:t>UNDER NON-EQUITY</w:t>
            </w:r>
          </w:p>
          <w:p>
            <w:pPr>
              <w:pStyle w:val="TableContents"/>
              <w:bidi w:val="0"/>
              <w:spacing w:before="0" w:after="0"/>
              <w:jc w:val="center"/>
              <w:rPr>
                <w:rFonts w:ascii="ARIAL" w:hAnsi="ARIAL"/>
                <w:b/>
                <w:color w:val="FFFFFF"/>
                <w:sz w:val="14"/>
              </w:rPr>
            </w:pPr>
            <w:r>
              <w:rPr>
                <w:rFonts w:ascii="ARIAL" w:hAnsi="ARIAL"/>
                <w:b/>
                <w:color w:val="FFFFFF"/>
                <w:sz w:val="14"/>
              </w:rPr>
              <w:t>INCENTIVE PLAN</w:t>
            </w:r>
          </w:p>
          <w:p>
            <w:pPr>
              <w:pStyle w:val="TableContents"/>
              <w:bidi w:val="0"/>
              <w:spacing w:before="0" w:after="20"/>
              <w:jc w:val="center"/>
              <w:rPr>
                <w:rFonts w:ascii="ARIAL" w:hAnsi="ARIAL"/>
                <w:b/>
                <w:color w:val="FFFFFF"/>
                <w:sz w:val="14"/>
              </w:rPr>
            </w:pPr>
            <w:r>
              <w:rPr>
                <w:rFonts w:ascii="ARIAL" w:hAnsi="ARIAL"/>
                <w:b/>
                <w:color w:val="FFFFFF"/>
                <w:sz w:val="14"/>
              </w:rPr>
              <w:t>AWARDS(1)</w:t>
            </w:r>
          </w:p>
        </w:tc>
        <w:tc>
          <w:tcPr>
            <w:tcW w:w="60" w:type="dxa"/>
            <w:tcBorders/>
            <w:shd w:fill="0054BA" w:val="clear"/>
            <w:vAlign w:val="center"/>
          </w:tcPr>
          <w:p>
            <w:pPr>
              <w:pStyle w:val="TableContents"/>
              <w:bidi w:val="0"/>
              <w:spacing w:before="0" w:after="283"/>
              <w:jc w:val="left"/>
              <w:rPr/>
            </w:pPr>
            <w:r>
              <w:rPr/>
              <w:t> </w:t>
            </w:r>
          </w:p>
        </w:tc>
        <w:tc>
          <w:tcPr>
            <w:tcW w:w="2130" w:type="dxa"/>
            <w:gridSpan w:val="5"/>
            <w:tcBorders/>
            <w:shd w:fill="0054BA"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ARIAL" w:hAnsi="ARIAL"/>
                <w:b/>
                <w:color w:val="FFFFFF"/>
                <w:sz w:val="14"/>
              </w:rPr>
            </w:pPr>
            <w:r>
              <w:rPr>
                <w:rFonts w:ascii="ARIAL" w:hAnsi="ARIAL"/>
                <w:b/>
                <w:color w:val="FFFFFF"/>
                <w:sz w:val="14"/>
              </w:rPr>
              <w:t>ESTIMATED FUTURE PAYOUTS</w:t>
              <w:br/>
              <w:t>UNDER EQUITY INCENTIVE</w:t>
              <w:br/>
              <w:t>PLAN</w:t>
              <w:br/>
              <w:t>AWARDS(2)</w:t>
            </w:r>
          </w:p>
        </w:tc>
        <w:tc>
          <w:tcPr>
            <w:tcW w:w="60" w:type="dxa"/>
            <w:vMerge w:val="restart"/>
            <w:tcBorders/>
            <w:shd w:fill="0054BA" w:val="clear"/>
            <w:vAlign w:val="center"/>
          </w:tcPr>
          <w:p>
            <w:pPr>
              <w:pStyle w:val="TableContents"/>
              <w:bidi w:val="0"/>
              <w:spacing w:before="0" w:after="283"/>
              <w:jc w:val="left"/>
              <w:rPr/>
            </w:pPr>
            <w:r>
              <w:rPr/>
              <w:t> </w:t>
            </w:r>
          </w:p>
        </w:tc>
        <w:tc>
          <w:tcPr>
            <w:tcW w:w="800" w:type="dxa"/>
            <w:vMerge w:val="restart"/>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ALL OTHER</w:t>
            </w:r>
          </w:p>
          <w:p>
            <w:pPr>
              <w:pStyle w:val="TableContents"/>
              <w:bidi w:val="0"/>
              <w:spacing w:before="0" w:after="0"/>
              <w:jc w:val="center"/>
              <w:rPr>
                <w:rFonts w:ascii="ARIAL" w:hAnsi="ARIAL"/>
                <w:b/>
                <w:color w:val="FFFFFF"/>
                <w:sz w:val="14"/>
              </w:rPr>
            </w:pPr>
            <w:r>
              <w:rPr>
                <w:rFonts w:ascii="ARIAL" w:hAnsi="ARIAL"/>
                <w:b/>
                <w:color w:val="FFFFFF"/>
                <w:sz w:val="14"/>
              </w:rPr>
              <w:t>STOCK</w:t>
              <w:br/>
              <w:t>AWARDS:</w:t>
            </w:r>
          </w:p>
          <w:p>
            <w:pPr>
              <w:pStyle w:val="TableContents"/>
              <w:bidi w:val="0"/>
              <w:spacing w:before="0" w:after="0"/>
              <w:jc w:val="center"/>
              <w:rPr>
                <w:rFonts w:ascii="ARIAL" w:hAnsi="ARIAL"/>
                <w:b/>
                <w:color w:val="FFFFFF"/>
                <w:sz w:val="14"/>
              </w:rPr>
            </w:pPr>
            <w:r>
              <w:rPr>
                <w:rFonts w:ascii="ARIAL" w:hAnsi="ARIAL"/>
                <w:b/>
                <w:color w:val="FFFFFF"/>
                <w:sz w:val="14"/>
              </w:rPr>
              <w:t>NUMBER OF</w:t>
            </w:r>
          </w:p>
          <w:p>
            <w:pPr>
              <w:pStyle w:val="TableContents"/>
              <w:bidi w:val="0"/>
              <w:spacing w:before="0" w:after="0"/>
              <w:jc w:val="center"/>
              <w:rPr>
                <w:rFonts w:ascii="ARIAL" w:hAnsi="ARIAL"/>
                <w:b/>
                <w:color w:val="FFFFFF"/>
                <w:sz w:val="14"/>
              </w:rPr>
            </w:pPr>
            <w:r>
              <w:rPr>
                <w:rFonts w:ascii="ARIAL" w:hAnsi="ARIAL"/>
                <w:b/>
                <w:color w:val="FFFFFF"/>
                <w:sz w:val="14"/>
              </w:rPr>
              <w:t>SHARES OF</w:t>
            </w:r>
          </w:p>
          <w:p>
            <w:pPr>
              <w:pStyle w:val="TableContents"/>
              <w:bidi w:val="0"/>
              <w:spacing w:before="0" w:after="0"/>
              <w:jc w:val="center"/>
              <w:rPr>
                <w:rFonts w:ascii="ARIAL" w:hAnsi="ARIAL"/>
                <w:b/>
                <w:color w:val="FFFFFF"/>
                <w:sz w:val="14"/>
              </w:rPr>
            </w:pPr>
            <w:r>
              <w:rPr>
                <w:rFonts w:ascii="ARIAL" w:hAnsi="ARIAL"/>
                <w:b/>
                <w:color w:val="FFFFFF"/>
                <w:sz w:val="14"/>
              </w:rPr>
              <w:t>STOCK OR</w:t>
            </w:r>
          </w:p>
          <w:p>
            <w:pPr>
              <w:pStyle w:val="TableContents"/>
              <w:bidi w:val="0"/>
              <w:spacing w:before="0" w:after="0"/>
              <w:jc w:val="center"/>
              <w:rPr>
                <w:rFonts w:ascii="ARIAL" w:hAnsi="ARIAL"/>
                <w:b/>
                <w:color w:val="FFFFFF"/>
                <w:sz w:val="14"/>
              </w:rPr>
            </w:pPr>
            <w:r>
              <w:rPr>
                <w:rFonts w:ascii="ARIAL" w:hAnsi="ARIAL"/>
                <w:b/>
                <w:color w:val="FFFFFF"/>
                <w:sz w:val="14"/>
              </w:rPr>
              <w:t>UNITS(3)</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60" w:type="dxa"/>
            <w:vMerge w:val="restart"/>
            <w:tcBorders/>
            <w:shd w:fill="0054BA" w:val="clear"/>
            <w:vAlign w:val="center"/>
          </w:tcPr>
          <w:p>
            <w:pPr>
              <w:pStyle w:val="TableContents"/>
              <w:bidi w:val="0"/>
              <w:spacing w:before="0" w:after="283"/>
              <w:jc w:val="left"/>
              <w:rPr/>
            </w:pPr>
            <w:r>
              <w:rPr/>
              <w:t> </w:t>
            </w:r>
          </w:p>
        </w:tc>
        <w:tc>
          <w:tcPr>
            <w:tcW w:w="875" w:type="dxa"/>
            <w:vMerge w:val="restart"/>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ALL OTHER</w:t>
            </w:r>
          </w:p>
          <w:p>
            <w:pPr>
              <w:pStyle w:val="TableContents"/>
              <w:bidi w:val="0"/>
              <w:spacing w:before="0" w:after="0"/>
              <w:jc w:val="center"/>
              <w:rPr>
                <w:rFonts w:ascii="ARIAL" w:hAnsi="ARIAL"/>
                <w:b/>
                <w:color w:val="FFFFFF"/>
                <w:sz w:val="14"/>
              </w:rPr>
            </w:pPr>
            <w:r>
              <w:rPr>
                <w:rFonts w:ascii="ARIAL" w:hAnsi="ARIAL"/>
                <w:b/>
                <w:color w:val="FFFFFF"/>
                <w:sz w:val="14"/>
              </w:rPr>
              <w:t>OPTION</w:t>
              <w:br/>
              <w:t>AWARDS:</w:t>
            </w:r>
          </w:p>
          <w:p>
            <w:pPr>
              <w:pStyle w:val="TableContents"/>
              <w:bidi w:val="0"/>
              <w:spacing w:before="0" w:after="0"/>
              <w:jc w:val="center"/>
              <w:rPr>
                <w:rFonts w:ascii="ARIAL" w:hAnsi="ARIAL"/>
                <w:b/>
                <w:color w:val="FFFFFF"/>
                <w:sz w:val="14"/>
              </w:rPr>
            </w:pPr>
            <w:r>
              <w:rPr>
                <w:rFonts w:ascii="ARIAL" w:hAnsi="ARIAL"/>
                <w:b/>
                <w:color w:val="FFFFFF"/>
                <w:sz w:val="14"/>
              </w:rPr>
              <w:t>NUMBER OF</w:t>
            </w:r>
          </w:p>
          <w:p>
            <w:pPr>
              <w:pStyle w:val="TableContents"/>
              <w:bidi w:val="0"/>
              <w:spacing w:before="0" w:after="0"/>
              <w:jc w:val="center"/>
              <w:rPr>
                <w:rFonts w:ascii="ARIAL" w:hAnsi="ARIAL"/>
                <w:b/>
                <w:color w:val="FFFFFF"/>
                <w:sz w:val="14"/>
              </w:rPr>
            </w:pPr>
            <w:r>
              <w:rPr>
                <w:rFonts w:ascii="ARIAL" w:hAnsi="ARIAL"/>
                <w:b/>
                <w:color w:val="FFFFFF"/>
                <w:sz w:val="14"/>
              </w:rPr>
              <w:t>SECURITIES</w:t>
            </w:r>
          </w:p>
          <w:p>
            <w:pPr>
              <w:pStyle w:val="TableContents"/>
              <w:bidi w:val="0"/>
              <w:spacing w:before="0" w:after="0"/>
              <w:jc w:val="center"/>
              <w:rPr>
                <w:rFonts w:ascii="ARIAL" w:hAnsi="ARIAL"/>
                <w:b/>
                <w:color w:val="FFFFFF"/>
                <w:sz w:val="14"/>
              </w:rPr>
            </w:pPr>
            <w:r>
              <w:rPr>
                <w:rFonts w:ascii="ARIAL" w:hAnsi="ARIAL"/>
                <w:b/>
                <w:color w:val="FFFFFF"/>
                <w:sz w:val="14"/>
              </w:rPr>
              <w:t>UNDERLYING</w:t>
            </w:r>
          </w:p>
          <w:p>
            <w:pPr>
              <w:pStyle w:val="TableContents"/>
              <w:bidi w:val="0"/>
              <w:spacing w:before="0" w:after="0"/>
              <w:jc w:val="center"/>
              <w:rPr>
                <w:rFonts w:ascii="ARIAL" w:hAnsi="ARIAL"/>
                <w:b/>
                <w:color w:val="FFFFFF"/>
                <w:sz w:val="14"/>
              </w:rPr>
            </w:pPr>
            <w:r>
              <w:rPr>
                <w:rFonts w:ascii="ARIAL" w:hAnsi="ARIAL"/>
                <w:b/>
                <w:color w:val="FFFFFF"/>
                <w:sz w:val="14"/>
              </w:rPr>
              <w:t>OPTIONS(4)</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60" w:type="dxa"/>
            <w:vMerge w:val="restart"/>
            <w:tcBorders/>
            <w:shd w:fill="0054BA" w:val="clear"/>
            <w:vAlign w:val="center"/>
          </w:tcPr>
          <w:p>
            <w:pPr>
              <w:pStyle w:val="TableContents"/>
              <w:bidi w:val="0"/>
              <w:spacing w:before="0" w:after="283"/>
              <w:jc w:val="left"/>
              <w:rPr/>
            </w:pPr>
            <w:r>
              <w:rPr/>
              <w:t> </w:t>
            </w:r>
          </w:p>
        </w:tc>
        <w:tc>
          <w:tcPr>
            <w:tcW w:w="695" w:type="dxa"/>
            <w:vMerge w:val="restart"/>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EXERCISE</w:t>
              <w:br/>
              <w:t>OR</w:t>
            </w:r>
          </w:p>
          <w:p>
            <w:pPr>
              <w:pStyle w:val="TableContents"/>
              <w:bidi w:val="0"/>
              <w:spacing w:before="0" w:after="0"/>
              <w:jc w:val="center"/>
              <w:rPr>
                <w:rFonts w:ascii="ARIAL" w:hAnsi="ARIAL"/>
                <w:b/>
                <w:color w:val="FFFFFF"/>
                <w:sz w:val="14"/>
              </w:rPr>
            </w:pPr>
            <w:r>
              <w:rPr>
                <w:rFonts w:ascii="ARIAL" w:hAnsi="ARIAL"/>
                <w:b/>
                <w:color w:val="FFFFFF"/>
                <w:sz w:val="14"/>
              </w:rPr>
              <w:t>BASE</w:t>
              <w:br/>
              <w:t>PRICE</w:t>
            </w:r>
          </w:p>
          <w:p>
            <w:pPr>
              <w:pStyle w:val="TableContents"/>
              <w:bidi w:val="0"/>
              <w:spacing w:before="0" w:after="0"/>
              <w:jc w:val="center"/>
              <w:rPr>
                <w:rFonts w:ascii="ARIAL" w:hAnsi="ARIAL"/>
                <w:b/>
                <w:color w:val="FFFFFF"/>
                <w:sz w:val="14"/>
              </w:rPr>
            </w:pPr>
            <w:r>
              <w:rPr>
                <w:rFonts w:ascii="ARIAL" w:hAnsi="ARIAL"/>
                <w:b/>
                <w:color w:val="FFFFFF"/>
                <w:sz w:val="14"/>
              </w:rPr>
              <w:t>OF</w:t>
              <w:br/>
              <w:t>OPTION</w:t>
            </w:r>
          </w:p>
          <w:p>
            <w:pPr>
              <w:pStyle w:val="TableContents"/>
              <w:bidi w:val="0"/>
              <w:spacing w:before="0" w:after="0"/>
              <w:jc w:val="center"/>
              <w:rPr>
                <w:rFonts w:ascii="ARIAL" w:hAnsi="ARIAL"/>
                <w:b/>
                <w:color w:val="FFFFFF"/>
                <w:sz w:val="14"/>
              </w:rPr>
            </w:pPr>
            <w:r>
              <w:rPr>
                <w:rFonts w:ascii="ARIAL" w:hAnsi="ARIAL"/>
                <w:b/>
                <w:color w:val="FFFFFF"/>
                <w:sz w:val="14"/>
              </w:rPr>
              <w:t>AWARDS(5)</w:t>
            </w:r>
          </w:p>
          <w:p>
            <w:pPr>
              <w:pStyle w:val="TableContents"/>
              <w:bidi w:val="0"/>
              <w:spacing w:before="0" w:after="20"/>
              <w:jc w:val="center"/>
              <w:rPr>
                <w:rFonts w:ascii="ARIAL" w:hAnsi="ARIAL"/>
                <w:b/>
                <w:color w:val="FFFFFF"/>
                <w:sz w:val="14"/>
              </w:rPr>
            </w:pPr>
            <w:r>
              <w:rPr>
                <w:rFonts w:ascii="ARIAL" w:hAnsi="ARIAL"/>
                <w:b/>
                <w:color w:val="FFFFFF"/>
                <w:sz w:val="14"/>
              </w:rPr>
              <w:t>($/SH)</w:t>
            </w:r>
          </w:p>
        </w:tc>
        <w:tc>
          <w:tcPr>
            <w:tcW w:w="60" w:type="dxa"/>
            <w:vMerge w:val="restart"/>
            <w:tcBorders/>
            <w:shd w:fill="0054BA" w:val="clear"/>
            <w:vAlign w:val="center"/>
          </w:tcPr>
          <w:p>
            <w:pPr>
              <w:pStyle w:val="TableContents"/>
              <w:bidi w:val="0"/>
              <w:spacing w:before="0" w:after="283"/>
              <w:jc w:val="left"/>
              <w:rPr/>
            </w:pPr>
            <w:r>
              <w:rPr/>
              <w:t> </w:t>
            </w:r>
          </w:p>
        </w:tc>
        <w:tc>
          <w:tcPr>
            <w:tcW w:w="875" w:type="dxa"/>
            <w:vMerge w:val="restart"/>
            <w:tcBorders/>
            <w:shd w:fill="0054BA"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4"/>
              </w:rPr>
            </w:pPr>
            <w:r>
              <w:rPr>
                <w:rFonts w:ascii="ARIAL" w:hAnsi="ARIAL"/>
                <w:b/>
                <w:color w:val="FFFFFF"/>
                <w:sz w:val="14"/>
              </w:rPr>
              <w:t>GRANT DATE  </w:t>
            </w:r>
          </w:p>
          <w:p>
            <w:pPr>
              <w:pStyle w:val="TableContents"/>
              <w:bidi w:val="0"/>
              <w:spacing w:before="0" w:after="0"/>
              <w:jc w:val="center"/>
              <w:rPr>
                <w:rFonts w:ascii="ARIAL" w:hAnsi="ARIAL"/>
                <w:b/>
                <w:color w:val="FFFFFF"/>
                <w:sz w:val="14"/>
              </w:rPr>
            </w:pPr>
            <w:r>
              <w:rPr>
                <w:rFonts w:ascii="ARIAL" w:hAnsi="ARIAL"/>
                <w:b/>
                <w:color w:val="FFFFFF"/>
                <w:sz w:val="14"/>
              </w:rPr>
              <w:t>FAIR VALUE  </w:t>
            </w:r>
          </w:p>
          <w:p>
            <w:pPr>
              <w:pStyle w:val="TableContents"/>
              <w:bidi w:val="0"/>
              <w:spacing w:before="0" w:after="0"/>
              <w:jc w:val="center"/>
              <w:rPr>
                <w:rFonts w:ascii="ARIAL" w:hAnsi="ARIAL"/>
                <w:b/>
                <w:color w:val="FFFFFF"/>
                <w:sz w:val="14"/>
              </w:rPr>
            </w:pPr>
            <w:r>
              <w:rPr>
                <w:rFonts w:ascii="ARIAL" w:hAnsi="ARIAL"/>
                <w:b/>
                <w:color w:val="FFFFFF"/>
                <w:sz w:val="14"/>
              </w:rPr>
              <w:t>OF STOCK  </w:t>
            </w:r>
          </w:p>
          <w:p>
            <w:pPr>
              <w:pStyle w:val="TableContents"/>
              <w:bidi w:val="0"/>
              <w:spacing w:before="0" w:after="0"/>
              <w:jc w:val="center"/>
              <w:rPr>
                <w:rFonts w:ascii="ARIAL" w:hAnsi="ARIAL"/>
                <w:b/>
                <w:color w:val="FFFFFF"/>
                <w:sz w:val="14"/>
              </w:rPr>
            </w:pPr>
            <w:r>
              <w:rPr>
                <w:rFonts w:ascii="ARIAL" w:hAnsi="ARIAL"/>
                <w:b/>
                <w:color w:val="FFFFFF"/>
                <w:sz w:val="14"/>
              </w:rPr>
              <w:t>AND OPTION  </w:t>
            </w:r>
          </w:p>
          <w:p>
            <w:pPr>
              <w:pStyle w:val="TableContents"/>
              <w:bidi w:val="0"/>
              <w:spacing w:before="0" w:after="20"/>
              <w:jc w:val="center"/>
              <w:rPr>
                <w:rFonts w:ascii="ARIAL" w:hAnsi="ARIAL"/>
                <w:b/>
                <w:color w:val="FFFFFF"/>
                <w:sz w:val="14"/>
              </w:rPr>
            </w:pPr>
            <w:r>
              <w:rPr>
                <w:rFonts w:ascii="ARIAL" w:hAnsi="ARIAL"/>
                <w:b/>
                <w:color w:val="FFFFFF"/>
                <w:sz w:val="14"/>
              </w:rPr>
              <w:t>AWARDS(6)  </w:t>
            </w:r>
          </w:p>
        </w:tc>
      </w:tr>
      <w:tr>
        <w:trPr/>
        <w:tc>
          <w:tcPr>
            <w:tcW w:w="770" w:type="dxa"/>
            <w:tcBorders/>
            <w:shd w:fill="0054BA" w:val="clear"/>
            <w:vAlign w:val="center"/>
          </w:tcPr>
          <w:p>
            <w:pPr>
              <w:pStyle w:val="TableContents"/>
              <w:bidi w:val="0"/>
              <w:spacing w:before="0" w:after="0"/>
              <w:jc w:val="left"/>
              <w:rPr>
                <w:rFonts w:ascii="ARIAL" w:hAnsi="ARIAL"/>
                <w:b/>
                <w:color w:val="FFFFFF"/>
                <w:sz w:val="14"/>
              </w:rPr>
            </w:pPr>
            <w:r>
              <w:rPr>
                <w:rFonts w:ascii="ARIAL" w:hAnsi="ARIAL"/>
                <w:b/>
                <w:color w:val="FFFFFF"/>
                <w:sz w:val="14"/>
              </w:rPr>
              <w:t>NAME</w:t>
            </w:r>
          </w:p>
        </w:tc>
        <w:tc>
          <w:tcPr>
            <w:tcW w:w="60" w:type="dxa"/>
            <w:tcBorders/>
            <w:shd w:fill="0054BA" w:val="clear"/>
            <w:vAlign w:val="center"/>
          </w:tcPr>
          <w:p>
            <w:pPr>
              <w:pStyle w:val="TableContents"/>
              <w:bidi w:val="0"/>
              <w:spacing w:before="0" w:after="283"/>
              <w:jc w:val="left"/>
              <w:rPr/>
            </w:pPr>
            <w:r>
              <w:rPr/>
              <w:t> </w:t>
            </w:r>
          </w:p>
        </w:tc>
        <w:tc>
          <w:tcPr>
            <w:tcW w:w="470" w:type="dxa"/>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GRANT</w:t>
            </w:r>
          </w:p>
          <w:p>
            <w:pPr>
              <w:pStyle w:val="TableContents"/>
              <w:bidi w:val="0"/>
              <w:spacing w:before="0" w:after="20"/>
              <w:jc w:val="center"/>
              <w:rPr>
                <w:rFonts w:ascii="ARIAL" w:hAnsi="ARIAL"/>
                <w:b/>
                <w:color w:val="FFFFFF"/>
                <w:sz w:val="14"/>
              </w:rPr>
            </w:pPr>
            <w:r>
              <w:rPr>
                <w:rFonts w:ascii="ARIAL" w:hAnsi="ARIAL"/>
                <w:b/>
                <w:color w:val="FFFFFF"/>
                <w:sz w:val="14"/>
              </w:rPr>
              <w:t>DATE</w:t>
            </w:r>
          </w:p>
        </w:tc>
        <w:tc>
          <w:tcPr>
            <w:tcW w:w="60" w:type="dxa"/>
            <w:tcBorders/>
            <w:shd w:fill="0054BA" w:val="clear"/>
            <w:vAlign w:val="center"/>
          </w:tcPr>
          <w:p>
            <w:pPr>
              <w:pStyle w:val="TableContents"/>
              <w:bidi w:val="0"/>
              <w:spacing w:before="0" w:after="283"/>
              <w:jc w:val="left"/>
              <w:rPr/>
            </w:pPr>
            <w:r>
              <w:rPr/>
              <w:t> </w:t>
            </w:r>
          </w:p>
        </w:tc>
        <w:tc>
          <w:tcPr>
            <w:tcW w:w="1385" w:type="dxa"/>
            <w:tcBorders/>
            <w:shd w:fill="0054BA" w:val="clear"/>
            <w:vAlign w:val="center"/>
          </w:tcPr>
          <w:p>
            <w:pPr>
              <w:pStyle w:val="TableContents"/>
              <w:bidi w:val="0"/>
              <w:spacing w:before="0" w:after="283"/>
              <w:jc w:val="center"/>
              <w:rPr>
                <w:b/>
                <w:color w:val="FFFFFF"/>
              </w:rPr>
            </w:pPr>
            <w:r>
              <w:rPr>
                <w:b/>
                <w:color w:val="FFFFFF"/>
              </w:rPr>
              <w:t>APPROVAL</w:t>
              <w:br/>
              <w:t>DATE</w:t>
            </w:r>
          </w:p>
        </w:tc>
        <w:tc>
          <w:tcPr>
            <w:tcW w:w="60" w:type="dxa"/>
            <w:tcBorders/>
            <w:shd w:fill="0054BA" w:val="clear"/>
            <w:vAlign w:val="center"/>
          </w:tcPr>
          <w:p>
            <w:pPr>
              <w:pStyle w:val="TableContents"/>
              <w:bidi w:val="0"/>
              <w:spacing w:before="0" w:after="283"/>
              <w:jc w:val="left"/>
              <w:rPr/>
            </w:pPr>
            <w:r>
              <w:rPr/>
              <w:t> </w:t>
            </w:r>
          </w:p>
        </w:tc>
        <w:tc>
          <w:tcPr>
            <w:tcW w:w="815" w:type="dxa"/>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THRESHOLD</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60" w:type="dxa"/>
            <w:tcBorders/>
            <w:shd w:fill="0054BA" w:val="clear"/>
            <w:vAlign w:val="center"/>
          </w:tcPr>
          <w:p>
            <w:pPr>
              <w:pStyle w:val="TableContents"/>
              <w:bidi w:val="0"/>
              <w:spacing w:before="0" w:after="283"/>
              <w:jc w:val="left"/>
              <w:rPr/>
            </w:pPr>
            <w:r>
              <w:rPr/>
              <w:t> </w:t>
            </w:r>
          </w:p>
        </w:tc>
        <w:tc>
          <w:tcPr>
            <w:tcW w:w="710" w:type="dxa"/>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TARGET</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60" w:type="dxa"/>
            <w:tcBorders/>
            <w:shd w:fill="0054BA" w:val="clear"/>
            <w:vAlign w:val="center"/>
          </w:tcPr>
          <w:p>
            <w:pPr>
              <w:pStyle w:val="TableContents"/>
              <w:bidi w:val="0"/>
              <w:spacing w:before="0" w:after="283"/>
              <w:jc w:val="left"/>
              <w:rPr/>
            </w:pPr>
            <w:r>
              <w:rPr/>
              <w:t> </w:t>
            </w:r>
          </w:p>
        </w:tc>
        <w:tc>
          <w:tcPr>
            <w:tcW w:w="710" w:type="dxa"/>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MAXIMUM</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60" w:type="dxa"/>
            <w:tcBorders/>
            <w:shd w:fill="0054BA" w:val="clear"/>
            <w:vAlign w:val="center"/>
          </w:tcPr>
          <w:p>
            <w:pPr>
              <w:pStyle w:val="TableContents"/>
              <w:bidi w:val="0"/>
              <w:spacing w:before="0" w:after="283"/>
              <w:jc w:val="left"/>
              <w:rPr/>
            </w:pPr>
            <w:r>
              <w:rPr/>
              <w:t> </w:t>
            </w:r>
          </w:p>
        </w:tc>
        <w:tc>
          <w:tcPr>
            <w:tcW w:w="815" w:type="dxa"/>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THRESHOLD</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60" w:type="dxa"/>
            <w:tcBorders/>
            <w:shd w:fill="0054BA" w:val="clear"/>
            <w:vAlign w:val="center"/>
          </w:tcPr>
          <w:p>
            <w:pPr>
              <w:pStyle w:val="TableContents"/>
              <w:bidi w:val="0"/>
              <w:spacing w:before="0" w:after="283"/>
              <w:jc w:val="left"/>
              <w:rPr/>
            </w:pPr>
            <w:r>
              <w:rPr/>
              <w:t> </w:t>
            </w:r>
          </w:p>
        </w:tc>
        <w:tc>
          <w:tcPr>
            <w:tcW w:w="545" w:type="dxa"/>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TARGET</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60" w:type="dxa"/>
            <w:tcBorders/>
            <w:shd w:fill="0054BA" w:val="clear"/>
            <w:vAlign w:val="center"/>
          </w:tcPr>
          <w:p>
            <w:pPr>
              <w:pStyle w:val="TableContents"/>
              <w:bidi w:val="0"/>
              <w:spacing w:before="0" w:after="283"/>
              <w:jc w:val="left"/>
              <w:rPr/>
            </w:pPr>
            <w:r>
              <w:rPr/>
              <w:t> </w:t>
            </w:r>
          </w:p>
        </w:tc>
        <w:tc>
          <w:tcPr>
            <w:tcW w:w="650" w:type="dxa"/>
            <w:tcBorders/>
            <w:shd w:fill="0054BA"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MAXIMUM</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60" w:type="dxa"/>
            <w:vMerge w:val="continue"/>
            <w:tcBorders/>
            <w:shd w:fill="0054BA" w:val="clear"/>
            <w:vAlign w:val="center"/>
          </w:tcPr>
          <w:p>
            <w:pPr>
              <w:pStyle w:val="Normal"/>
              <w:bidi w:val="0"/>
              <w:jc w:val="left"/>
              <w:rPr/>
            </w:pPr>
            <w:r>
              <w:rPr/>
            </w:r>
          </w:p>
        </w:tc>
        <w:tc>
          <w:tcPr>
            <w:tcW w:w="800" w:type="dxa"/>
            <w:vMerge w:val="continue"/>
            <w:tcBorders/>
            <w:shd w:fill="0054BA" w:val="clear"/>
            <w:vAlign w:val="center"/>
          </w:tcPr>
          <w:p>
            <w:pPr>
              <w:pStyle w:val="Normal"/>
              <w:bidi w:val="0"/>
              <w:jc w:val="left"/>
              <w:rPr/>
            </w:pPr>
            <w:r>
              <w:rPr/>
            </w:r>
          </w:p>
        </w:tc>
        <w:tc>
          <w:tcPr>
            <w:tcW w:w="60" w:type="dxa"/>
            <w:vMerge w:val="continue"/>
            <w:tcBorders/>
            <w:shd w:fill="0054BA" w:val="clear"/>
            <w:vAlign w:val="center"/>
          </w:tcPr>
          <w:p>
            <w:pPr>
              <w:pStyle w:val="Normal"/>
              <w:bidi w:val="0"/>
              <w:jc w:val="left"/>
              <w:rPr/>
            </w:pPr>
            <w:r>
              <w:rPr/>
            </w:r>
          </w:p>
        </w:tc>
        <w:tc>
          <w:tcPr>
            <w:tcW w:w="875" w:type="dxa"/>
            <w:vMerge w:val="continue"/>
            <w:tcBorders/>
            <w:shd w:fill="0054BA" w:val="clear"/>
            <w:vAlign w:val="center"/>
          </w:tcPr>
          <w:p>
            <w:pPr>
              <w:pStyle w:val="Normal"/>
              <w:bidi w:val="0"/>
              <w:jc w:val="left"/>
              <w:rPr/>
            </w:pPr>
            <w:r>
              <w:rPr/>
            </w:r>
          </w:p>
        </w:tc>
        <w:tc>
          <w:tcPr>
            <w:tcW w:w="60" w:type="dxa"/>
            <w:vMerge w:val="continue"/>
            <w:tcBorders/>
            <w:shd w:fill="0054BA" w:val="clear"/>
            <w:vAlign w:val="center"/>
          </w:tcPr>
          <w:p>
            <w:pPr>
              <w:pStyle w:val="Normal"/>
              <w:bidi w:val="0"/>
              <w:jc w:val="left"/>
              <w:rPr/>
            </w:pPr>
            <w:r>
              <w:rPr/>
            </w:r>
          </w:p>
        </w:tc>
        <w:tc>
          <w:tcPr>
            <w:tcW w:w="695" w:type="dxa"/>
            <w:vMerge w:val="continue"/>
            <w:tcBorders/>
            <w:shd w:fill="0054BA" w:val="clear"/>
            <w:vAlign w:val="center"/>
          </w:tcPr>
          <w:p>
            <w:pPr>
              <w:pStyle w:val="Normal"/>
              <w:bidi w:val="0"/>
              <w:jc w:val="left"/>
              <w:rPr/>
            </w:pPr>
            <w:r>
              <w:rPr/>
            </w:r>
          </w:p>
        </w:tc>
        <w:tc>
          <w:tcPr>
            <w:tcW w:w="60" w:type="dxa"/>
            <w:vMerge w:val="continue"/>
            <w:tcBorders/>
            <w:shd w:fill="0054BA" w:val="clear"/>
            <w:vAlign w:val="center"/>
          </w:tcPr>
          <w:p>
            <w:pPr>
              <w:pStyle w:val="Normal"/>
              <w:bidi w:val="0"/>
              <w:jc w:val="left"/>
              <w:rPr/>
            </w:pPr>
            <w:r>
              <w:rPr/>
            </w:r>
          </w:p>
        </w:tc>
        <w:tc>
          <w:tcPr>
            <w:tcW w:w="875" w:type="dxa"/>
            <w:vMerge w:val="continue"/>
            <w:tcBorders/>
            <w:shd w:fill="0054BA" w:val="clear"/>
            <w:vAlign w:val="center"/>
          </w:tcPr>
          <w:p>
            <w:pPr>
              <w:pStyle w:val="Normal"/>
              <w:bidi w:val="0"/>
              <w:jc w:val="left"/>
              <w:rPr/>
            </w:pPr>
            <w:r>
              <w:rPr/>
            </w:r>
          </w:p>
        </w:tc>
      </w:tr>
      <w:tr>
        <w:trPr/>
        <w:tc>
          <w:tcPr>
            <w:tcW w:w="770" w:type="dxa"/>
            <w:vMerge w:val="restart"/>
            <w:tcBorders>
              <w:bottom w:val="single" w:sz="6" w:space="0" w:color="000000"/>
            </w:tcBorders>
            <w:tcMar>
              <w:bottom w:w="28" w:type="dxa"/>
            </w:tcMar>
            <w:vAlign w:val="center"/>
          </w:tcPr>
          <w:p>
            <w:pPr>
              <w:pStyle w:val="TableContents"/>
              <w:bidi w:val="0"/>
              <w:spacing w:lineRule="atLeast" w:line="240" w:before="0" w:after="0"/>
              <w:jc w:val="left"/>
              <w:rPr>
                <w:rFonts w:ascii="ARIAL" w:hAnsi="ARIAL"/>
                <w:b/>
                <w:color w:val="0054BA"/>
                <w:sz w:val="14"/>
              </w:rPr>
            </w:pPr>
            <w:r>
              <w:rPr>
                <w:rFonts w:ascii="ARIAL" w:hAnsi="ARIAL"/>
                <w:b/>
                <w:color w:val="0054BA"/>
                <w:sz w:val="14"/>
              </w:rPr>
              <w:t>Andrew C. Florance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$750,000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$1,500,000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$3,000,000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38,840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97,100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233,040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$8,281,659</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218,400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$17,107,272</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114,000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$78.33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$3,425,382,</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3/5/2025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37,649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$2,929,469</w:t>
            </w:r>
          </w:p>
        </w:tc>
      </w:tr>
      <w:tr>
        <w:trPr/>
        <w:tc>
          <w:tcPr>
            <w:tcW w:w="770" w:type="dxa"/>
            <w:vMerge w:val="restart"/>
            <w:tcBorders>
              <w:bottom w:val="single" w:sz="6" w:space="0" w:color="000000"/>
            </w:tcBorders>
            <w:tcMar>
              <w:bottom w:w="28" w:type="dxa"/>
            </w:tcMar>
            <w:vAlign w:val="center"/>
          </w:tcPr>
          <w:p>
            <w:pPr>
              <w:pStyle w:val="TableContents"/>
              <w:bidi w:val="0"/>
              <w:spacing w:lineRule="atLeast" w:line="240" w:before="0" w:after="0"/>
              <w:jc w:val="left"/>
              <w:rPr>
                <w:rFonts w:ascii="ARIAL" w:hAnsi="ARIAL"/>
                <w:b/>
                <w:color w:val="0054BA"/>
                <w:sz w:val="14"/>
              </w:rPr>
            </w:pPr>
            <w:r>
              <w:rPr>
                <w:rFonts w:ascii="ARIAL" w:hAnsi="ARIAL"/>
                <w:b/>
                <w:color w:val="0054BA"/>
                <w:sz w:val="14"/>
              </w:rPr>
              <w:t>Christian M. Lown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$195,000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$600,000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$1,200,000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8,400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50,400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1,791,090</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47,200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3,697,716</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24,600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$78.33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$739,161</w:t>
            </w:r>
          </w:p>
        </w:tc>
      </w:tr>
      <w:tr>
        <w:trPr/>
        <w:tc>
          <w:tcPr>
            <w:tcW w:w="770" w:type="dxa"/>
            <w:vMerge w:val="restart"/>
            <w:tcBorders>
              <w:bottom w:val="single" w:sz="6" w:space="0" w:color="000000"/>
            </w:tcBorders>
            <w:tcMar>
              <w:bottom w:w="28" w:type="dxa"/>
            </w:tcMar>
            <w:vAlign w:val="center"/>
          </w:tcPr>
          <w:p>
            <w:pPr>
              <w:pStyle w:val="TableContents"/>
              <w:bidi w:val="0"/>
              <w:spacing w:lineRule="atLeast" w:line="240" w:before="0" w:after="0"/>
              <w:jc w:val="left"/>
              <w:rPr>
                <w:rFonts w:ascii="ARIAL" w:hAnsi="ARIAL"/>
                <w:b/>
                <w:color w:val="0054BA"/>
                <w:sz w:val="14"/>
              </w:rPr>
            </w:pPr>
            <w:r>
              <w:rPr>
                <w:rFonts w:ascii="ARIAL" w:hAnsi="ARIAL"/>
                <w:b/>
                <w:color w:val="0054BA"/>
                <w:sz w:val="14"/>
              </w:rPr>
              <w:t>Lisa C. Ruggles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$141,313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$565,250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$1,130,500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5,640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14,100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33,840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$1,202,589</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31,600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$2,475,228</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16,500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$78.33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$495,779</w:t>
            </w:r>
          </w:p>
        </w:tc>
      </w:tr>
      <w:tr>
        <w:trPr/>
        <w:tc>
          <w:tcPr>
            <w:tcW w:w="770" w:type="dxa"/>
            <w:vMerge w:val="restart"/>
            <w:tcBorders>
              <w:bottom w:val="single" w:sz="6" w:space="0" w:color="000000"/>
            </w:tcBorders>
            <w:tcMar>
              <w:bottom w:w="28" w:type="dxa"/>
            </w:tcMar>
            <w:vAlign w:val="center"/>
          </w:tcPr>
          <w:p>
            <w:pPr>
              <w:pStyle w:val="TableContents"/>
              <w:bidi w:val="0"/>
              <w:spacing w:lineRule="atLeast" w:line="240" w:before="0" w:after="0"/>
              <w:jc w:val="left"/>
              <w:rPr>
                <w:rFonts w:ascii="ARIAL" w:hAnsi="ARIAL"/>
                <w:b/>
                <w:color w:val="0054BA"/>
                <w:sz w:val="14"/>
              </w:rPr>
            </w:pPr>
            <w:r>
              <w:rPr>
                <w:rFonts w:ascii="ARIAL" w:hAnsi="ARIAL"/>
                <w:b/>
                <w:color w:val="0054BA"/>
                <w:sz w:val="14"/>
              </w:rPr>
              <w:t>Frederick G. Saint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$178,500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$595,000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$1,190,000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8,400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50,400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$1,791,090</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47,200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$3,697,176</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24,600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$78.33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$739,161</w:t>
            </w:r>
          </w:p>
        </w:tc>
      </w:tr>
      <w:tr>
        <w:trPr/>
        <w:tc>
          <w:tcPr>
            <w:tcW w:w="770" w:type="dxa"/>
            <w:tcBorders/>
            <w:vAlign w:val="center"/>
          </w:tcPr>
          <w:p>
            <w:pPr>
              <w:pStyle w:val="TableContents"/>
              <w:bidi w:val="0"/>
              <w:spacing w:before="0" w:after="283"/>
              <w:jc w:val="left"/>
              <w:rPr>
                <w:sz w:val="4"/>
                <w:szCs w:val="4"/>
              </w:rPr>
            </w:pPr>
            <w:r>
              <w:rPr>
                <w:sz w:val="4"/>
                <w:szCs w:val="4"/>
              </w:rPr>
            </w:r>
          </w:p>
        </w:tc>
        <w:tc>
          <w:tcPr>
            <w:tcW w:w="53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770" w:type="dxa"/>
            <w:vMerge w:val="restart"/>
            <w:tcBorders>
              <w:bottom w:val="single" w:sz="6" w:space="0" w:color="000000"/>
            </w:tcBorders>
            <w:tcMar>
              <w:bottom w:w="28" w:type="dxa"/>
            </w:tcMar>
            <w:vAlign w:val="center"/>
          </w:tcPr>
          <w:p>
            <w:pPr>
              <w:pStyle w:val="TableContents"/>
              <w:bidi w:val="0"/>
              <w:spacing w:before="0" w:after="0"/>
              <w:jc w:val="left"/>
              <w:rPr>
                <w:rFonts w:ascii="ARIAL" w:hAnsi="ARIAL"/>
                <w:b/>
                <w:color w:val="0054BA"/>
                <w:sz w:val="14"/>
              </w:rPr>
            </w:pPr>
            <w:r>
              <w:rPr>
                <w:rFonts w:ascii="ARIAL" w:hAnsi="ARIAL"/>
                <w:b/>
                <w:color w:val="0054BA"/>
                <w:sz w:val="14"/>
              </w:rPr>
              <w:t>Frank A. Simuro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80" w:before="0" w:after="0"/>
              <w:jc w:val="center"/>
              <w:rPr>
                <w:rFonts w:ascii="ARIAL" w:hAnsi="ARIAL"/>
                <w:sz w:val="14"/>
              </w:rPr>
            </w:pPr>
            <w:r>
              <w:rPr>
                <w:rFonts w:ascii="ARIAL" w:hAnsi="ARIAL"/>
                <w:sz w:val="14"/>
              </w:rPr>
              <w:t>$162,500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80" w:before="0" w:after="0"/>
              <w:jc w:val="center"/>
              <w:rPr>
                <w:rFonts w:ascii="ARIAL" w:hAnsi="ARIAL"/>
                <w:sz w:val="14"/>
              </w:rPr>
            </w:pPr>
            <w:r>
              <w:rPr>
                <w:rFonts w:ascii="ARIAL" w:hAnsi="ARIAL"/>
                <w:sz w:val="14"/>
              </w:rPr>
              <w:t>$650,000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lineRule="atLeast" w:line="280" w:before="0" w:after="0"/>
              <w:jc w:val="center"/>
              <w:rPr>
                <w:rFonts w:ascii="ARIAL" w:hAnsi="ARIAL"/>
                <w:sz w:val="14"/>
              </w:rPr>
            </w:pPr>
            <w:r>
              <w:rPr>
                <w:rFonts w:ascii="ARIAL" w:hAnsi="ARIAL"/>
                <w:sz w:val="14"/>
              </w:rPr>
              <w:t>$1,300,000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11,240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28,100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67,440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$2,396,649</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63,200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$4,950,456</w:t>
            </w:r>
          </w:p>
        </w:tc>
      </w:tr>
      <w:tr>
        <w:trPr/>
        <w:tc>
          <w:tcPr>
            <w:tcW w:w="77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2/20/2025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2/13/2025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33,000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$78.33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lineRule="atLeast" w:line="240" w:before="0" w:after="0"/>
              <w:jc w:val="center"/>
              <w:rPr>
                <w:rFonts w:ascii="ARIAL" w:hAnsi="ARIAL"/>
                <w:sz w:val="14"/>
              </w:rPr>
            </w:pPr>
            <w:r>
              <w:rPr>
                <w:rFonts w:ascii="ARIAL" w:hAnsi="ARIAL"/>
                <w:sz w:val="14"/>
              </w:rPr>
              <w:t>$991,558</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i/>
              </w:rPr>
            </w:pPr>
            <w:r>
              <w:rPr>
                <w:i/>
              </w:rPr>
              <w:t>(1) </w:t>
            </w:r>
          </w:p>
        </w:tc>
        <w:tc>
          <w:tcPr>
            <w:tcW w:w="9944" w:type="dxa"/>
            <w:tcBorders/>
            <w:vAlign w:val="center"/>
          </w:tcPr>
          <w:p>
            <w:pPr>
              <w:pStyle w:val="TableContents"/>
              <w:bidi w:val="0"/>
              <w:spacing w:before="0" w:after="0"/>
              <w:jc w:val="left"/>
              <w:rPr>
                <w:rFonts w:ascii="ARIAL" w:hAnsi="ARIAL"/>
                <w:i/>
                <w:sz w:val="16"/>
              </w:rPr>
            </w:pPr>
            <w:r>
              <w:rPr>
                <w:rFonts w:ascii="ARIAL" w:hAnsi="ARIAL"/>
                <w:i/>
                <w:sz w:val="16"/>
              </w:rPr>
              <w:t xml:space="preserve">Amounts shown in these columns are possible amounts payable under the Company’s annual executive cash incentive plan for 2025. The actual cash payments made in 2026 for 2025 performance under the Company’s annual executive cash incentive plan are reported in the Summary Compensation Table above. The Company’s annual executive cash incentive plan in effect for 2025 is described more fully in the section titled “Compensation Discussion and Analysis—2025 Annual Cash Incentive Awards” within this Proxy Statement.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i/>
              </w:rPr>
            </w:pPr>
            <w:r>
              <w:rPr>
                <w:i/>
              </w:rPr>
              <w:t>(2) </w:t>
            </w:r>
          </w:p>
        </w:tc>
        <w:tc>
          <w:tcPr>
            <w:tcW w:w="9950" w:type="dxa"/>
            <w:tcBorders/>
            <w:vAlign w:val="center"/>
          </w:tcPr>
          <w:p>
            <w:pPr>
              <w:pStyle w:val="TableContents"/>
              <w:bidi w:val="0"/>
              <w:spacing w:before="0" w:after="0"/>
              <w:jc w:val="left"/>
              <w:rPr>
                <w:rFonts w:ascii="ARIAL" w:hAnsi="ARIAL"/>
                <w:i/>
                <w:sz w:val="16"/>
              </w:rPr>
            </w:pPr>
            <w:r>
              <w:rPr>
                <w:rFonts w:ascii="ARIAL" w:hAnsi="ARIAL"/>
                <w:i/>
                <w:sz w:val="16"/>
              </w:rPr>
              <w:t xml:space="preserve">Amounts shown in these columns are the possible number of shares that may vest pursuant to the three-year performance-based restricted stock awards granted in February 2025 under the Company’s 2016 Plan, which vest based on achievement of a three-year cumulative revenue goal for the performance period from January 1, 2025 through December 31, 2027 and are subject to adjustment based on the Company’s relative TSR over the three-year performance period. See “Compensation Discussion and Analysis—2025 Equity Incentive Compensation Vehicles” for a description of the material terms of these awards.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i/>
              </w:rPr>
            </w:pPr>
            <w:r>
              <w:rPr>
                <w:i/>
              </w:rPr>
              <w:t>(3) </w:t>
            </w:r>
          </w:p>
        </w:tc>
        <w:tc>
          <w:tcPr>
            <w:tcW w:w="9944" w:type="dxa"/>
            <w:tcBorders/>
            <w:vAlign w:val="center"/>
          </w:tcPr>
          <w:p>
            <w:pPr>
              <w:pStyle w:val="TableContents"/>
              <w:bidi w:val="0"/>
              <w:spacing w:before="0" w:after="0"/>
              <w:jc w:val="left"/>
              <w:rPr>
                <w:rFonts w:ascii="ARIAL" w:hAnsi="ARIAL"/>
                <w:i/>
                <w:sz w:val="16"/>
              </w:rPr>
            </w:pPr>
            <w:r>
              <w:rPr>
                <w:rFonts w:ascii="ARIAL" w:hAnsi="ARIAL"/>
                <w:i/>
                <w:sz w:val="16"/>
              </w:rPr>
              <w:t xml:space="preserve">Amounts shown in this column represent restricted stock and restricted stock unit awards granted to the NEOs in 2025, including grants on February 20, 2025 in respect of achievement of 2024 net income goals and for Mr. Florance, on March 5, 2025 of matching RSUs in respect to deferrals of 2024 cash incentive compensation under the MSPP. The closing prices of the Company’s common stock on February 20, 2025 and March 5, 2025 were $78.33 and $77.81, respectively. These awards were granted under the Company’s 2016 Plan.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i/>
              </w:rPr>
            </w:pPr>
            <w:r>
              <w:rPr>
                <w:i/>
              </w:rPr>
              <w:t>(4) </w:t>
            </w:r>
          </w:p>
        </w:tc>
        <w:tc>
          <w:tcPr>
            <w:tcW w:w="9878" w:type="dxa"/>
            <w:tcBorders/>
            <w:vAlign w:val="center"/>
          </w:tcPr>
          <w:p>
            <w:pPr>
              <w:pStyle w:val="TableContents"/>
              <w:bidi w:val="0"/>
              <w:spacing w:before="0" w:after="0"/>
              <w:jc w:val="left"/>
              <w:rPr>
                <w:rFonts w:ascii="ARIAL" w:hAnsi="ARIAL"/>
                <w:i/>
                <w:sz w:val="16"/>
              </w:rPr>
            </w:pPr>
            <w:r>
              <w:rPr>
                <w:rFonts w:ascii="ARIAL" w:hAnsi="ARIAL"/>
                <w:i/>
                <w:sz w:val="16"/>
              </w:rPr>
              <w:t xml:space="preserve">Amounts shown in this column represent stock options granted to the NEOs in 2025 under the Company’s 2016 Plan that vest in three equal annual installments after the date of grant. </w:t>
            </w:r>
          </w:p>
        </w:tc>
      </w:tr>
    </w:tbl>
    <w:tbl>
      <w:tblPr>
        <w:tblW w:w="8065" w:type="dxa"/>
        <w:jc w:val="left"/>
        <w:tblInd w:w="0" w:type="dxa"/>
        <w:tblLayout w:type="fixed"/>
        <w:tblCellMar>
          <w:top w:w="0" w:type="dxa"/>
          <w:left w:w="0" w:type="dxa"/>
          <w:bottom w:w="0" w:type="dxa"/>
          <w:right w:w="0" w:type="dxa"/>
        </w:tblCellMar>
      </w:tblPr>
      <w:tblGrid>
        <w:gridCol w:w="365"/>
        <w:gridCol w:w="7700"/>
      </w:tblGrid>
      <w:tr>
        <w:trPr/>
        <w:tc>
          <w:tcPr>
            <w:tcW w:w="365" w:type="dxa"/>
            <w:tcBorders/>
            <w:vAlign w:val="center"/>
          </w:tcPr>
          <w:p>
            <w:pPr>
              <w:pStyle w:val="TableContents"/>
              <w:bidi w:val="0"/>
              <w:spacing w:before="0" w:after="283"/>
              <w:jc w:val="left"/>
              <w:rPr>
                <w:i/>
              </w:rPr>
            </w:pPr>
            <w:r>
              <w:rPr>
                <w:i/>
              </w:rPr>
              <w:t>(5) </w:t>
            </w:r>
          </w:p>
        </w:tc>
        <w:tc>
          <w:tcPr>
            <w:tcW w:w="7700" w:type="dxa"/>
            <w:tcBorders/>
            <w:vAlign w:val="center"/>
          </w:tcPr>
          <w:p>
            <w:pPr>
              <w:pStyle w:val="TableContents"/>
              <w:bidi w:val="0"/>
              <w:spacing w:before="0" w:after="0"/>
              <w:jc w:val="left"/>
              <w:rPr>
                <w:rFonts w:ascii="ARIAL" w:hAnsi="ARIAL"/>
                <w:i/>
                <w:sz w:val="16"/>
              </w:rPr>
            </w:pPr>
            <w:r>
              <w:rPr>
                <w:rFonts w:ascii="ARIAL" w:hAnsi="ARIAL"/>
                <w:i/>
                <w:sz w:val="16"/>
              </w:rPr>
              <w:t xml:space="preserve">The exercise price is the closing price of our common stock on the date of grant, as reported on Nasdaq.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i/>
              </w:rPr>
            </w:pPr>
            <w:r>
              <w:rPr>
                <w:i/>
              </w:rPr>
              <w:t>(6) </w:t>
            </w:r>
          </w:p>
        </w:tc>
        <w:tc>
          <w:tcPr>
            <w:tcW w:w="9942" w:type="dxa"/>
            <w:tcBorders/>
            <w:vAlign w:val="center"/>
          </w:tcPr>
          <w:p>
            <w:pPr>
              <w:pStyle w:val="TableContents"/>
              <w:bidi w:val="0"/>
              <w:spacing w:before="0" w:after="0"/>
              <w:jc w:val="left"/>
              <w:rPr>
                <w:rFonts w:ascii="ARIAL" w:hAnsi="ARIAL"/>
                <w:i/>
                <w:sz w:val="16"/>
              </w:rPr>
            </w:pPr>
            <w:r>
              <w:rPr>
                <w:rFonts w:ascii="ARIAL" w:hAnsi="ARIAL"/>
                <w:i/>
                <w:sz w:val="16"/>
              </w:rPr>
              <w:t xml:space="preserve">The amounts shown in this column represent the grant date fair value of each equity award computed in accordance with FASB ASC Topic 718 pursuant to SEC rules. The grant date fair value of performance-based restricted stock awards is based on probable outcome with regard to the applicable performance metrics. For a discussion of the assumptions used in calculating the fair value of each equity award see Note 16 to the audited financial statements in the 2025 Annual Report.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7"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32" descr=""/>
                          <pic:cNvPicPr>
                            <a:picLocks noChangeAspect="1" noChangeArrowheads="1"/>
                          </pic:cNvPicPr>
                        </pic:nvPicPr>
                        <pic:blipFill>
                          <a:blip r:embed="rId34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48" w:name="tx903159_114"/>
      <w:bookmarkStart w:id="49" w:name="toc903159_35"/>
      <w:bookmarkEnd w:id="48"/>
      <w:bookmarkEnd w:id="49"/>
      <w:r>
        <w:rPr>
          <w:rFonts w:ascii="ARIAL" w:hAnsi="ARIAL"/>
          <w:b/>
          <w:sz w:val="24"/>
        </w:rPr>
        <w:t xml:space="preserve">Outstanding Equity Awards at 2025 Fiscal Year-End </w:t>
      </w:r>
    </w:p>
    <w:p>
      <w:pPr>
        <w:pStyle w:val="TextBody"/>
        <w:bidi w:val="0"/>
        <w:spacing w:before="80" w:after="0"/>
        <w:jc w:val="left"/>
        <w:rPr>
          <w:rFonts w:ascii="ARIAL" w:hAnsi="ARIAL"/>
          <w:sz w:val="18"/>
        </w:rPr>
      </w:pPr>
      <w:r>
        <w:rPr>
          <w:rFonts w:ascii="ARIAL" w:hAnsi="ARIAL"/>
          <w:sz w:val="18"/>
        </w:rPr>
        <w:t xml:space="preserve">The following table summarizes the equity awards we have made to our NEOs that are outstanding as of December 31, 2025. </w:t>
      </w:r>
    </w:p>
    <w:p>
      <w:pPr>
        <w:pStyle w:val="TextBody"/>
        <w:bidi w:val="0"/>
        <w:spacing w:before="0" w:after="0"/>
        <w:jc w:val="left"/>
        <w:rPr/>
      </w:pPr>
      <w:r>
        <w:rPr/>
        <w:t> </w:t>
      </w:r>
    </w:p>
    <w:tbl>
      <w:tblPr>
        <w:tblW w:w="14186" w:type="dxa"/>
        <w:jc w:val="left"/>
        <w:tblInd w:w="0" w:type="dxa"/>
        <w:tblLayout w:type="fixed"/>
        <w:tblCellMar>
          <w:top w:w="0" w:type="dxa"/>
          <w:left w:w="0" w:type="dxa"/>
          <w:bottom w:w="0" w:type="dxa"/>
          <w:right w:w="0" w:type="dxa"/>
        </w:tblCellMar>
      </w:tblPr>
      <w:tblGrid>
        <w:gridCol w:w="725"/>
        <w:gridCol w:w="23"/>
        <w:gridCol w:w="23"/>
        <w:gridCol w:w="60"/>
        <w:gridCol w:w="762"/>
        <w:gridCol w:w="60"/>
        <w:gridCol w:w="23"/>
        <w:gridCol w:w="44"/>
        <w:gridCol w:w="115"/>
        <w:gridCol w:w="1544"/>
        <w:gridCol w:w="117"/>
        <w:gridCol w:w="23"/>
        <w:gridCol w:w="52"/>
        <w:gridCol w:w="136"/>
        <w:gridCol w:w="1823"/>
        <w:gridCol w:w="139"/>
        <w:gridCol w:w="23"/>
        <w:gridCol w:w="35"/>
        <w:gridCol w:w="93"/>
        <w:gridCol w:w="1057"/>
        <w:gridCol w:w="95"/>
        <w:gridCol w:w="23"/>
        <w:gridCol w:w="56"/>
        <w:gridCol w:w="147"/>
        <w:gridCol w:w="1228"/>
        <w:gridCol w:w="149"/>
        <w:gridCol w:w="23"/>
        <w:gridCol w:w="60"/>
        <w:gridCol w:w="23"/>
        <w:gridCol w:w="27"/>
        <w:gridCol w:w="70"/>
        <w:gridCol w:w="945"/>
        <w:gridCol w:w="73"/>
        <w:gridCol w:w="23"/>
        <w:gridCol w:w="23"/>
        <w:gridCol w:w="60"/>
        <w:gridCol w:w="1220"/>
        <w:gridCol w:w="60"/>
        <w:gridCol w:w="23"/>
        <w:gridCol w:w="34"/>
        <w:gridCol w:w="90"/>
        <w:gridCol w:w="1213"/>
        <w:gridCol w:w="93"/>
        <w:gridCol w:w="23"/>
        <w:gridCol w:w="24"/>
        <w:gridCol w:w="62"/>
        <w:gridCol w:w="1279"/>
        <w:gridCol w:w="65"/>
        <w:gridCol w:w="23"/>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shd w:fill="0054BA" w:val="clear"/>
            <w:vAlign w:val="center"/>
          </w:tcPr>
          <w:p>
            <w:pPr>
              <w:pStyle w:val="TableContents"/>
              <w:bidi w:val="0"/>
              <w:spacing w:before="0" w:after="283"/>
              <w:jc w:val="left"/>
              <w:rPr>
                <w:sz w:val="4"/>
                <w:szCs w:val="4"/>
              </w:rPr>
            </w:pPr>
            <w:r>
              <w:rPr>
                <w:sz w:val="4"/>
                <w:szCs w:val="4"/>
              </w:rPr>
            </w:r>
          </w:p>
        </w:tc>
        <w:tc>
          <w:tcPr>
            <w:tcW w:w="928" w:type="dxa"/>
            <w:gridSpan w:val="5"/>
            <w:tcBorders/>
            <w:shd w:fill="0054BA" w:val="clear"/>
            <w:vAlign w:val="center"/>
          </w:tcPr>
          <w:p>
            <w:pPr>
              <w:pStyle w:val="TableContents"/>
              <w:bidi w:val="0"/>
              <w:spacing w:before="0" w:after="283"/>
              <w:jc w:val="left"/>
              <w:rPr>
                <w:sz w:val="4"/>
                <w:szCs w:val="4"/>
              </w:rPr>
            </w:pPr>
            <w:r>
              <w:rPr>
                <w:sz w:val="4"/>
                <w:szCs w:val="4"/>
              </w:rPr>
            </w:r>
          </w:p>
        </w:tc>
        <w:tc>
          <w:tcPr>
            <w:tcW w:w="6922" w:type="dxa"/>
            <w:gridSpan w:val="20"/>
            <w:tcBorders/>
            <w:shd w:fill="0054BA" w:val="clear"/>
            <w:vAlign w:val="center"/>
          </w:tcPr>
          <w:p>
            <w:pPr>
              <w:pStyle w:val="TableContents"/>
              <w:bidi w:val="0"/>
              <w:spacing w:before="0" w:after="283"/>
              <w:jc w:val="left"/>
              <w:rPr>
                <w:sz w:val="4"/>
                <w:szCs w:val="4"/>
              </w:rPr>
            </w:pPr>
            <w:r>
              <w:rPr>
                <w:sz w:val="4"/>
                <w:szCs w:val="4"/>
              </w:rPr>
            </w:r>
          </w:p>
        </w:tc>
        <w:tc>
          <w:tcPr>
            <w:tcW w:w="83" w:type="dxa"/>
            <w:gridSpan w:val="2"/>
            <w:tcBorders/>
            <w:shd w:fill="0054BA" w:val="clear"/>
            <w:vAlign w:val="center"/>
          </w:tcPr>
          <w:p>
            <w:pPr>
              <w:pStyle w:val="TableContents"/>
              <w:bidi w:val="0"/>
              <w:spacing w:before="0" w:after="283"/>
              <w:jc w:val="left"/>
              <w:rPr>
                <w:sz w:val="4"/>
                <w:szCs w:val="4"/>
              </w:rPr>
            </w:pPr>
            <w:r>
              <w:rPr>
                <w:sz w:val="4"/>
                <w:szCs w:val="4"/>
              </w:rPr>
            </w:r>
          </w:p>
        </w:tc>
        <w:tc>
          <w:tcPr>
            <w:tcW w:w="5430" w:type="dxa"/>
            <w:gridSpan w:val="20"/>
            <w:tcBorders/>
            <w:shd w:fill="0054BA" w:val="clear"/>
            <w:vAlign w:val="center"/>
          </w:tcPr>
          <w:p>
            <w:pPr>
              <w:pStyle w:val="TableContents"/>
              <w:bidi w:val="0"/>
              <w:spacing w:before="0" w:after="283"/>
              <w:jc w:val="left"/>
              <w:rPr>
                <w:sz w:val="4"/>
                <w:szCs w:val="4"/>
              </w:rPr>
            </w:pPr>
            <w:r>
              <w:rPr>
                <w:sz w:val="4"/>
                <w:szCs w:val="4"/>
              </w:rPr>
            </w:r>
          </w:p>
        </w:tc>
        <w:tc>
          <w:tcPr>
            <w:tcW w:w="98"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72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05" w:type="dxa"/>
            <w:gridSpan w:val="4"/>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6899" w:type="dxa"/>
            <w:gridSpan w:val="19"/>
            <w:tcBorders>
              <w:bottom w:val="single" w:sz="6" w:space="0" w:color="FFFFFF"/>
            </w:tcBorders>
            <w:shd w:fill="0054BA" w:val="clear"/>
            <w:tcMar>
              <w:bottom w:w="60" w:type="dxa"/>
            </w:tcMar>
            <w:vAlign w:val="center"/>
          </w:tcPr>
          <w:p>
            <w:pPr>
              <w:pStyle w:val="TableContents"/>
              <w:bidi w:val="0"/>
              <w:spacing w:before="0" w:after="20"/>
              <w:jc w:val="center"/>
              <w:rPr>
                <w:rFonts w:ascii="ARIAL" w:hAnsi="ARIAL"/>
                <w:b/>
                <w:color w:val="FFFFFF"/>
                <w:sz w:val="12"/>
              </w:rPr>
            </w:pPr>
            <w:r>
              <w:rPr>
                <w:rFonts w:ascii="ARIAL" w:hAnsi="ARIAL"/>
                <w:b/>
                <w:color w:val="FFFFFF"/>
                <w:sz w:val="12"/>
              </w:rPr>
              <w:t>OPTION AWARDS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6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5407" w:type="dxa"/>
            <w:gridSpan w:val="19"/>
            <w:tcBorders>
              <w:bottom w:val="single" w:sz="6" w:space="0" w:color="FFFFFF"/>
            </w:tcBorders>
            <w:shd w:fill="0054BA" w:val="clear"/>
            <w:tcMar>
              <w:bottom w:w="60" w:type="dxa"/>
            </w:tcMar>
            <w:vAlign w:val="center"/>
          </w:tcPr>
          <w:p>
            <w:pPr>
              <w:pStyle w:val="TableContents"/>
              <w:bidi w:val="0"/>
              <w:spacing w:before="0" w:after="20"/>
              <w:jc w:val="center"/>
              <w:rPr>
                <w:rFonts w:ascii="ARIAL" w:hAnsi="ARIAL"/>
                <w:b/>
                <w:color w:val="FFFFFF"/>
                <w:sz w:val="12"/>
              </w:rPr>
            </w:pPr>
            <w:r>
              <w:rPr>
                <w:rFonts w:ascii="ARIAL" w:hAnsi="ARIAL"/>
                <w:b/>
                <w:color w:val="FFFFFF"/>
                <w:sz w:val="12"/>
              </w:rPr>
              <w:t>STOCK AWARDS(1)</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r>
      <w:tr>
        <w:trPr/>
        <w:tc>
          <w:tcPr>
            <w:tcW w:w="725" w:type="dxa"/>
            <w:tcBorders/>
            <w:shd w:fill="0054BA" w:val="clear"/>
            <w:vAlign w:val="center"/>
          </w:tcPr>
          <w:p>
            <w:pPr>
              <w:pStyle w:val="TableContents"/>
              <w:bidi w:val="0"/>
              <w:spacing w:before="0" w:after="283"/>
              <w:jc w:val="left"/>
              <w:rPr>
                <w:sz w:val="4"/>
                <w:szCs w:val="4"/>
              </w:rPr>
            </w:pPr>
            <w:r>
              <w:rPr>
                <w:sz w:val="4"/>
                <w:szCs w:val="4"/>
              </w:rPr>
            </w:r>
          </w:p>
        </w:tc>
        <w:tc>
          <w:tcPr>
            <w:tcW w:w="928" w:type="dxa"/>
            <w:gridSpan w:val="5"/>
            <w:tcBorders/>
            <w:shd w:fill="0054BA" w:val="clear"/>
            <w:vAlign w:val="center"/>
          </w:tcPr>
          <w:p>
            <w:pPr>
              <w:pStyle w:val="TableContents"/>
              <w:bidi w:val="0"/>
              <w:spacing w:before="0" w:after="283"/>
              <w:jc w:val="left"/>
              <w:rPr>
                <w:sz w:val="4"/>
                <w:szCs w:val="4"/>
              </w:rPr>
            </w:pPr>
            <w:r>
              <w:rPr>
                <w:sz w:val="4"/>
                <w:szCs w:val="4"/>
              </w:rPr>
            </w:r>
          </w:p>
        </w:tc>
        <w:tc>
          <w:tcPr>
            <w:tcW w:w="1843" w:type="dxa"/>
            <w:gridSpan w:val="5"/>
            <w:tcBorders/>
            <w:shd w:fill="0054BA" w:val="clear"/>
            <w:vAlign w:val="center"/>
          </w:tcPr>
          <w:p>
            <w:pPr>
              <w:pStyle w:val="TableContents"/>
              <w:bidi w:val="0"/>
              <w:spacing w:before="0" w:after="283"/>
              <w:jc w:val="left"/>
              <w:rPr>
                <w:sz w:val="4"/>
                <w:szCs w:val="4"/>
              </w:rPr>
            </w:pPr>
            <w:r>
              <w:rPr>
                <w:sz w:val="4"/>
                <w:szCs w:val="4"/>
              </w:rPr>
            </w:r>
          </w:p>
        </w:tc>
        <w:tc>
          <w:tcPr>
            <w:tcW w:w="2173" w:type="dxa"/>
            <w:gridSpan w:val="5"/>
            <w:tcBorders/>
            <w:shd w:fill="0054BA" w:val="clear"/>
            <w:vAlign w:val="center"/>
          </w:tcPr>
          <w:p>
            <w:pPr>
              <w:pStyle w:val="TableContents"/>
              <w:bidi w:val="0"/>
              <w:spacing w:before="0" w:after="283"/>
              <w:jc w:val="left"/>
              <w:rPr>
                <w:sz w:val="4"/>
                <w:szCs w:val="4"/>
              </w:rPr>
            </w:pPr>
            <w:r>
              <w:rPr>
                <w:sz w:val="4"/>
                <w:szCs w:val="4"/>
              </w:rPr>
            </w:r>
          </w:p>
        </w:tc>
        <w:tc>
          <w:tcPr>
            <w:tcW w:w="1303" w:type="dxa"/>
            <w:gridSpan w:val="5"/>
            <w:tcBorders/>
            <w:shd w:fill="0054BA" w:val="clear"/>
            <w:vAlign w:val="center"/>
          </w:tcPr>
          <w:p>
            <w:pPr>
              <w:pStyle w:val="TableContents"/>
              <w:bidi w:val="0"/>
              <w:spacing w:before="0" w:after="283"/>
              <w:jc w:val="left"/>
              <w:rPr>
                <w:sz w:val="4"/>
                <w:szCs w:val="4"/>
              </w:rPr>
            </w:pPr>
            <w:r>
              <w:rPr>
                <w:sz w:val="4"/>
                <w:szCs w:val="4"/>
              </w:rPr>
            </w:r>
          </w:p>
        </w:tc>
        <w:tc>
          <w:tcPr>
            <w:tcW w:w="1603" w:type="dxa"/>
            <w:gridSpan w:val="5"/>
            <w:tcBorders/>
            <w:shd w:fill="0054BA" w:val="clear"/>
            <w:vAlign w:val="center"/>
          </w:tcPr>
          <w:p>
            <w:pPr>
              <w:pStyle w:val="TableContents"/>
              <w:bidi w:val="0"/>
              <w:spacing w:before="0" w:after="283"/>
              <w:jc w:val="left"/>
              <w:rPr>
                <w:sz w:val="4"/>
                <w:szCs w:val="4"/>
              </w:rPr>
            </w:pPr>
            <w:r>
              <w:rPr>
                <w:sz w:val="4"/>
                <w:szCs w:val="4"/>
              </w:rPr>
            </w:r>
          </w:p>
        </w:tc>
        <w:tc>
          <w:tcPr>
            <w:tcW w:w="83" w:type="dxa"/>
            <w:gridSpan w:val="2"/>
            <w:tcBorders/>
            <w:shd w:fill="0054BA" w:val="clear"/>
            <w:vAlign w:val="center"/>
          </w:tcPr>
          <w:p>
            <w:pPr>
              <w:pStyle w:val="TableContents"/>
              <w:bidi w:val="0"/>
              <w:spacing w:before="0" w:after="283"/>
              <w:jc w:val="left"/>
              <w:rPr>
                <w:sz w:val="4"/>
                <w:szCs w:val="4"/>
              </w:rPr>
            </w:pPr>
            <w:r>
              <w:rPr>
                <w:sz w:val="4"/>
                <w:szCs w:val="4"/>
              </w:rPr>
            </w:r>
          </w:p>
        </w:tc>
        <w:tc>
          <w:tcPr>
            <w:tcW w:w="1138" w:type="dxa"/>
            <w:gridSpan w:val="5"/>
            <w:tcBorders/>
            <w:shd w:fill="0054BA" w:val="clear"/>
            <w:vAlign w:val="center"/>
          </w:tcPr>
          <w:p>
            <w:pPr>
              <w:pStyle w:val="TableContents"/>
              <w:bidi w:val="0"/>
              <w:spacing w:before="0" w:after="283"/>
              <w:jc w:val="left"/>
              <w:rPr>
                <w:sz w:val="4"/>
                <w:szCs w:val="4"/>
              </w:rPr>
            </w:pPr>
            <w:r>
              <w:rPr>
                <w:sz w:val="4"/>
                <w:szCs w:val="4"/>
              </w:rPr>
            </w:r>
          </w:p>
        </w:tc>
        <w:tc>
          <w:tcPr>
            <w:tcW w:w="1386" w:type="dxa"/>
            <w:gridSpan w:val="5"/>
            <w:tcBorders/>
            <w:shd w:fill="0054BA" w:val="clear"/>
            <w:vAlign w:val="center"/>
          </w:tcPr>
          <w:p>
            <w:pPr>
              <w:pStyle w:val="TableContents"/>
              <w:bidi w:val="0"/>
              <w:spacing w:before="0" w:after="283"/>
              <w:jc w:val="left"/>
              <w:rPr>
                <w:sz w:val="4"/>
                <w:szCs w:val="4"/>
              </w:rPr>
            </w:pPr>
            <w:r>
              <w:rPr>
                <w:sz w:val="4"/>
                <w:szCs w:val="4"/>
              </w:rPr>
            </w:r>
          </w:p>
        </w:tc>
        <w:tc>
          <w:tcPr>
            <w:tcW w:w="1453" w:type="dxa"/>
            <w:gridSpan w:val="5"/>
            <w:tcBorders/>
            <w:shd w:fill="0054BA" w:val="clear"/>
            <w:vAlign w:val="center"/>
          </w:tcPr>
          <w:p>
            <w:pPr>
              <w:pStyle w:val="TableContents"/>
              <w:bidi w:val="0"/>
              <w:spacing w:before="0" w:after="283"/>
              <w:jc w:val="left"/>
              <w:rPr>
                <w:sz w:val="4"/>
                <w:szCs w:val="4"/>
              </w:rPr>
            </w:pPr>
            <w:r>
              <w:rPr>
                <w:sz w:val="4"/>
                <w:szCs w:val="4"/>
              </w:rPr>
            </w:r>
          </w:p>
        </w:tc>
        <w:tc>
          <w:tcPr>
            <w:tcW w:w="1453" w:type="dxa"/>
            <w:gridSpan w:val="5"/>
            <w:tcBorders/>
            <w:shd w:fill="0054BA" w:val="clear"/>
            <w:vAlign w:val="center"/>
          </w:tcPr>
          <w:p>
            <w:pPr>
              <w:pStyle w:val="TableContents"/>
              <w:bidi w:val="0"/>
              <w:spacing w:before="0" w:after="283"/>
              <w:jc w:val="left"/>
              <w:rPr>
                <w:sz w:val="4"/>
                <w:szCs w:val="4"/>
              </w:rPr>
            </w:pPr>
            <w:r>
              <w:rPr>
                <w:sz w:val="4"/>
                <w:szCs w:val="4"/>
              </w:rPr>
            </w:r>
          </w:p>
        </w:tc>
        <w:tc>
          <w:tcPr>
            <w:tcW w:w="98"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725" w:type="dxa"/>
            <w:tcBorders/>
            <w:shd w:fill="0054BA" w:val="clear"/>
            <w:vAlign w:val="center"/>
          </w:tcPr>
          <w:p>
            <w:pPr>
              <w:pStyle w:val="TableContents"/>
              <w:bidi w:val="0"/>
              <w:spacing w:before="0" w:after="0"/>
              <w:jc w:val="left"/>
              <w:rPr>
                <w:rFonts w:ascii="ARIAL" w:hAnsi="ARIAL"/>
                <w:b/>
                <w:color w:val="FFFFFF"/>
                <w:sz w:val="12"/>
              </w:rPr>
            </w:pPr>
            <w:r>
              <w:rPr>
                <w:rFonts w:ascii="ARIAL" w:hAnsi="ARIAL"/>
                <w:b/>
                <w:color w:val="FFFFFF"/>
                <w:sz w:val="12"/>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05" w:type="dxa"/>
            <w:gridSpan w:val="4"/>
            <w:tcBorders/>
            <w:shd w:fill="0054BA" w:val="clear"/>
            <w:vAlign w:val="center"/>
          </w:tcPr>
          <w:p>
            <w:pPr>
              <w:pStyle w:val="TableContents"/>
              <w:bidi w:val="0"/>
              <w:spacing w:before="0" w:after="283"/>
              <w:jc w:val="center"/>
              <w:rPr>
                <w:b/>
                <w:color w:val="FFFFFF"/>
              </w:rPr>
            </w:pPr>
            <w:r>
              <w:rPr>
                <w:b/>
                <w:color w:val="FFFFFF"/>
              </w:rPr>
              <w:t>GRANT</w:t>
              <w:br/>
              <w:t>DATE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820" w:type="dxa"/>
            <w:gridSpan w:val="4"/>
            <w:tcBorders/>
            <w:shd w:fill="0054BA"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OPTIONS(1)</w:t>
              <w:br/>
              <w:t>(#)</w:t>
              <w:br/>
              <w:t>EXERCISABLE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150" w:type="dxa"/>
            <w:gridSpan w:val="4"/>
            <w:tcBorders/>
            <w:shd w:fill="0054BA"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OPTIONS(1)</w:t>
              <w:br/>
              <w:t>(#)</w:t>
              <w:br/>
              <w:t>UNEXERCISABLE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80" w:type="dxa"/>
            <w:gridSpan w:val="4"/>
            <w:tcBorders/>
            <w:shd w:fill="0054BA" w:val="clear"/>
            <w:vAlign w:val="center"/>
          </w:tcPr>
          <w:p>
            <w:pPr>
              <w:pStyle w:val="TableContents"/>
              <w:bidi w:val="0"/>
              <w:spacing w:before="0" w:after="283"/>
              <w:jc w:val="center"/>
              <w:rPr>
                <w:b/>
                <w:color w:val="FFFFFF"/>
              </w:rPr>
            </w:pPr>
            <w:r>
              <w:rPr>
                <w:b/>
                <w:color w:val="FFFFFF"/>
              </w:rPr>
              <w:t>OPTION</w:t>
              <w:br/>
              <w:t>EXERCISE</w:t>
              <w:br/>
              <w:t>PRICE</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80" w:type="dxa"/>
            <w:gridSpan w:val="4"/>
            <w:tcBorders/>
            <w:shd w:fill="0054BA" w:val="clear"/>
            <w:vAlign w:val="center"/>
          </w:tcPr>
          <w:p>
            <w:pPr>
              <w:pStyle w:val="TableContents"/>
              <w:bidi w:val="0"/>
              <w:spacing w:before="0" w:after="283"/>
              <w:jc w:val="center"/>
              <w:rPr>
                <w:b/>
                <w:color w:val="FFFFFF"/>
              </w:rPr>
            </w:pPr>
            <w:r>
              <w:rPr>
                <w:b/>
                <w:color w:val="FFFFFF"/>
              </w:rPr>
              <w:t>OPTION</w:t>
              <w:br/>
              <w:t>EXPIRATION</w:t>
              <w:br/>
              <w:t>DATE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6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15" w:type="dxa"/>
            <w:gridSpan w:val="4"/>
            <w:tcBorders/>
            <w:shd w:fill="0054BA" w:val="clear"/>
            <w:vAlign w:val="center"/>
          </w:tcPr>
          <w:p>
            <w:pPr>
              <w:pStyle w:val="TableContents"/>
              <w:bidi w:val="0"/>
              <w:spacing w:before="0" w:after="283"/>
              <w:jc w:val="center"/>
              <w:rPr>
                <w:b/>
                <w:color w:val="FFFFFF"/>
              </w:rPr>
            </w:pPr>
            <w:r>
              <w:rPr>
                <w:b/>
                <w:color w:val="FFFFFF"/>
              </w:rPr>
              <w:t>NUMBER</w:t>
              <w:br/>
              <w:t>OF</w:t>
              <w:br/>
              <w:t>SHARES</w:t>
              <w:br/>
              <w:t>OR</w:t>
              <w:br/>
              <w:t>UNITS OF</w:t>
              <w:br/>
              <w:t>STOCK</w:t>
              <w:br/>
              <w:t>THAT</w:t>
              <w:br/>
              <w:t>HAVE</w:t>
              <w:br/>
              <w:t>NOT</w:t>
              <w:br/>
              <w:t>VESTED(2)</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63" w:type="dxa"/>
            <w:gridSpan w:val="4"/>
            <w:tcBorders/>
            <w:shd w:fill="0054BA" w:val="clear"/>
            <w:vAlign w:val="center"/>
          </w:tcPr>
          <w:p>
            <w:pPr>
              <w:pStyle w:val="TableContents"/>
              <w:bidi w:val="0"/>
              <w:spacing w:before="0" w:after="283"/>
              <w:jc w:val="center"/>
              <w:rPr>
                <w:b/>
                <w:color w:val="FFFFFF"/>
              </w:rPr>
            </w:pPr>
            <w:r>
              <w:rPr>
                <w:b/>
                <w:color w:val="FFFFFF"/>
              </w:rPr>
              <w:t>MARKET</w:t>
              <w:br/>
              <w:t>VALUE OF</w:t>
              <w:br/>
              <w:t>SHARES OR</w:t>
              <w:br/>
              <w:t>UNITS OF</w:t>
              <w:br/>
              <w:t>STOCK THAT</w:t>
              <w:br/>
              <w:t>HAVE NOT</w:t>
              <w:br/>
              <w:t>VESTED(3)</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30" w:type="dxa"/>
            <w:gridSpan w:val="4"/>
            <w:tcBorders/>
            <w:shd w:fill="0054BA" w:val="clear"/>
            <w:vAlign w:val="center"/>
          </w:tcPr>
          <w:p>
            <w:pPr>
              <w:pStyle w:val="TableContents"/>
              <w:bidi w:val="0"/>
              <w:spacing w:before="0" w:after="283"/>
              <w:jc w:val="center"/>
              <w:rPr>
                <w:b/>
                <w:color w:val="FFFFFF"/>
              </w:rPr>
            </w:pPr>
            <w:r>
              <w:rPr>
                <w:b/>
                <w:color w:val="FFFFFF"/>
              </w:rPr>
              <w:t>EQUITY</w:t>
              <w:br/>
              <w:t>INCENTIVE</w:t>
              <w:br/>
              <w:t>PLAN</w:t>
              <w:br/>
              <w:t>AWARDS:</w:t>
              <w:br/>
              <w:t>NUMBER</w:t>
              <w:br/>
              <w:t>OF</w:t>
              <w:br/>
              <w:t>UNEARNED</w:t>
              <w:br/>
              <w:t>SHARES,</w:t>
              <w:br/>
              <w:t>UNITS</w:t>
              <w:br/>
              <w:t>OR OTHER</w:t>
              <w:br/>
              <w:t>RIGHTS</w:t>
              <w:br/>
              <w:t>THAT</w:t>
              <w:br/>
              <w:t>HAVE NOT</w:t>
              <w:br/>
              <w:t>VESTED(4)</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30" w:type="dxa"/>
            <w:gridSpan w:val="4"/>
            <w:tcBorders/>
            <w:shd w:fill="0054BA" w:val="clear"/>
            <w:vAlign w:val="center"/>
          </w:tcPr>
          <w:p>
            <w:pPr>
              <w:pStyle w:val="TableContents"/>
              <w:bidi w:val="0"/>
              <w:spacing w:before="0" w:after="283"/>
              <w:jc w:val="center"/>
              <w:rPr>
                <w:b/>
                <w:color w:val="FFFFFF"/>
              </w:rPr>
            </w:pPr>
            <w:r>
              <w:rPr>
                <w:b/>
                <w:color w:val="FFFFFF"/>
              </w:rPr>
              <w:t>EQUITY</w:t>
              <w:br/>
              <w:t>INCENTIVE</w:t>
              <w:br/>
              <w:t>PLAN</w:t>
              <w:br/>
              <w:t>AWARDS:</w:t>
              <w:br/>
              <w:t>MARKET OR</w:t>
              <w:br/>
              <w:t>PAYOUT</w:t>
              <w:br/>
              <w:t>VALUE</w:t>
              <w:br/>
              <w:t>OF</w:t>
              <w:br/>
              <w:t>UNEARNED</w:t>
              <w:br/>
              <w:t>SHARES,</w:t>
              <w:br/>
              <w:t>UNITS</w:t>
              <w:br/>
              <w:t>OR OTHER</w:t>
              <w:br/>
              <w:t>RIGHTS THAT</w:t>
              <w:br/>
              <w:t>HAVE NOT</w:t>
              <w:br/>
              <w:t>VESTED(3)</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ARIAL" w:hAnsi="ARIAL"/>
                <w:b/>
                <w:color w:val="0054BA"/>
                <w:sz w:val="16"/>
              </w:rPr>
            </w:pPr>
            <w:r>
              <w:rPr>
                <w:rFonts w:ascii="ARIAL" w:hAnsi="ARIAL"/>
                <w:b/>
                <w:color w:val="0054BA"/>
                <w:sz w:val="16"/>
              </w:rPr>
              <w:t>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3/2/2017</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346,000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$20.49</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3/1/2027</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2/28/2018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310,000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$34.21</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2/27/2028</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2/7/2019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222,000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$39.82</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2/6/2029</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2/6/2020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162,000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$66.65</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2/5/2030</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2/18/2021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80,000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$91.98</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2/17/2031</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2/16/2022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101,400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$67.29</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2/15/2032</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2/14/2023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48,933</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24,467</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$76.78</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2/13/2033</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2/22/2024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30,166</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60,334</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$82.47</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2/21/2034</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114,000</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$78.33</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2/19/2035</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2/14/2023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46,100</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$3,099,764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61,500</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$4,135,260</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3/15/2023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18,922</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$1,272,315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2/22/2024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118,667</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$7,979,169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79,100</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$5,318,684</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218,400</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$14,685,216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233,040</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$15,669,610</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3/5/2025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37,649</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$2,531,519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ARIAL" w:hAnsi="ARIAL"/>
                <w:b/>
                <w:color w:val="0054BA"/>
                <w:sz w:val="16"/>
              </w:rPr>
            </w:pPr>
            <w:r>
              <w:rPr>
                <w:rFonts w:ascii="ARIAL" w:hAnsi="ARIAL"/>
                <w:b/>
                <w:color w:val="0054BA"/>
                <w:sz w:val="16"/>
              </w:rPr>
              <w:t>Lown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24,600</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$78.33</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2/19/2035</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7/1/2024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24,816</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$1,668,628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47,200</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$3,173,728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50,400</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$3,388,896</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ARIAL" w:hAnsi="ARIAL"/>
                <w:b/>
                <w:color w:val="0054BA"/>
                <w:sz w:val="16"/>
              </w:rPr>
            </w:pPr>
            <w:r>
              <w:rPr>
                <w:rFonts w:ascii="ARIAL" w:hAnsi="ARIAL"/>
                <w:b/>
                <w:color w:val="0054BA"/>
                <w:sz w:val="16"/>
              </w:rPr>
              <w:t>Ruggles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2/28/2018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21,670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$34.21</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2/27/2028</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2/7/2019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38,000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$39.82</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2/6/2029</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2/6/2020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33,000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$66.65</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2/5/2030</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2/18/2021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17,000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$91.98</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2/17/2031</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2/16/2022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22,600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$67.29</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2/15/2032</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2/14/2023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8,200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4,100</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$76.78</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2/13/2033</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2/22/2024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4,733</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9,467</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$82.47</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2/21/2034</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16,500</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$78.33</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2/19/2035</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3/15/2022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3,388</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$227,809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2/14/2023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7,700</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$517,748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10,300</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$692,572</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2/22/2024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18,534</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$1,246,226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12,400</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$833,776</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945" w:type="dxa"/>
            <w:tcBorders>
              <w:bottom w:val="single" w:sz="6" w:space="0" w:color="000000"/>
            </w:tcBorders>
            <w:tcMar>
              <w:bottom w:w="100" w:type="dxa"/>
            </w:tcMar>
            <w:vAlign w:val="center"/>
          </w:tcPr>
          <w:p>
            <w:pPr>
              <w:pStyle w:val="TableContents"/>
              <w:bidi w:val="0"/>
              <w:spacing w:before="0" w:after="283"/>
              <w:jc w:val="center"/>
              <w:rPr/>
            </w:pPr>
            <w:r>
              <w:rPr/>
              <w:t>31,600</w:t>
            </w:r>
          </w:p>
        </w:tc>
        <w:tc>
          <w:tcPr>
            <w:tcW w:w="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$2,124,784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13" w:type="dxa"/>
            <w:tcBorders>
              <w:bottom w:val="single" w:sz="6" w:space="0" w:color="000000"/>
            </w:tcBorders>
            <w:tcMar>
              <w:bottom w:w="100" w:type="dxa"/>
            </w:tcMar>
            <w:vAlign w:val="center"/>
          </w:tcPr>
          <w:p>
            <w:pPr>
              <w:pStyle w:val="TableContents"/>
              <w:bidi w:val="0"/>
              <w:spacing w:before="0" w:after="283"/>
              <w:jc w:val="center"/>
              <w:rPr/>
            </w:pPr>
            <w:r>
              <w:rPr/>
              <w:t>33,840</w:t>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79" w:type="dxa"/>
            <w:tcBorders>
              <w:bottom w:val="single" w:sz="6" w:space="0" w:color="000000"/>
            </w:tcBorders>
            <w:tcMar>
              <w:bottom w:w="100" w:type="dxa"/>
            </w:tcMar>
            <w:vAlign w:val="center"/>
          </w:tcPr>
          <w:p>
            <w:pPr>
              <w:pStyle w:val="TableContents"/>
              <w:bidi w:val="0"/>
              <w:spacing w:before="0" w:after="283"/>
              <w:jc w:val="center"/>
              <w:rPr/>
            </w:pPr>
            <w:r>
              <w:rPr/>
              <w:t>$2,275,402</w:t>
            </w:r>
          </w:p>
        </w:tc>
        <w:tc>
          <w:tcPr>
            <w:tcW w:w="6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ARIAL" w:hAnsi="ARIAL"/>
                <w:b/>
                <w:color w:val="0054BA"/>
                <w:sz w:val="16"/>
              </w:rPr>
            </w:pPr>
            <w:r>
              <w:rPr>
                <w:rFonts w:ascii="ARIAL" w:hAnsi="ARIAL"/>
                <w:b/>
                <w:color w:val="0054BA"/>
                <w:sz w:val="16"/>
              </w:rPr>
              <w:t>Saint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2/7/2019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45,000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$39.82</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2/6/2029</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2/6/2020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33,000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$66.65</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2/5/2030</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2/18/2021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19,000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$91.98</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2/17/2031</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2/16/2022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22,600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$67.29</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2/15/2032</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2/14/2023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44" w:type="dxa"/>
            <w:tcBorders>
              <w:bottom w:val="single" w:sz="6" w:space="0" w:color="000000"/>
            </w:tcBorders>
            <w:tcMar>
              <w:bottom w:w="100" w:type="dxa"/>
            </w:tcMar>
            <w:vAlign w:val="center"/>
          </w:tcPr>
          <w:p>
            <w:pPr>
              <w:pStyle w:val="TableContents"/>
              <w:bidi w:val="0"/>
              <w:spacing w:before="0" w:after="283"/>
              <w:jc w:val="center"/>
              <w:rPr/>
            </w:pPr>
            <w:r>
              <w:rPr/>
              <w:t>8,200</w:t>
            </w:r>
          </w:p>
        </w:tc>
        <w:tc>
          <w:tcPr>
            <w:tcW w:w="11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23" w:type="dxa"/>
            <w:tcBorders>
              <w:bottom w:val="single" w:sz="6" w:space="0" w:color="000000"/>
            </w:tcBorders>
            <w:tcMar>
              <w:bottom w:w="100" w:type="dxa"/>
            </w:tcMar>
            <w:vAlign w:val="center"/>
          </w:tcPr>
          <w:p>
            <w:pPr>
              <w:pStyle w:val="TableContents"/>
              <w:bidi w:val="0"/>
              <w:spacing w:before="0" w:after="283"/>
              <w:jc w:val="center"/>
              <w:rPr/>
            </w:pPr>
            <w:r>
              <w:rPr/>
              <w:t>4,100</w:t>
            </w:r>
          </w:p>
        </w:tc>
        <w:tc>
          <w:tcPr>
            <w:tcW w:w="13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$76.78</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2/13/2033</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8"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33" descr=""/>
                          <pic:cNvPicPr>
                            <a:picLocks noChangeAspect="1" noChangeArrowheads="1"/>
                          </pic:cNvPicPr>
                        </pic:nvPicPr>
                        <pic:blipFill>
                          <a:blip r:embed="rId34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tbl>
      <w:tblPr>
        <w:tblW w:w="13946" w:type="dxa"/>
        <w:jc w:val="left"/>
        <w:tblInd w:w="0" w:type="dxa"/>
        <w:tblLayout w:type="fixed"/>
        <w:tblCellMar>
          <w:top w:w="0" w:type="dxa"/>
          <w:left w:w="0" w:type="dxa"/>
          <w:bottom w:w="0" w:type="dxa"/>
          <w:right w:w="0" w:type="dxa"/>
        </w:tblCellMar>
      </w:tblPr>
      <w:tblGrid>
        <w:gridCol w:w="605"/>
        <w:gridCol w:w="23"/>
        <w:gridCol w:w="23"/>
        <w:gridCol w:w="60"/>
        <w:gridCol w:w="762"/>
        <w:gridCol w:w="60"/>
        <w:gridCol w:w="23"/>
        <w:gridCol w:w="50"/>
        <w:gridCol w:w="132"/>
        <w:gridCol w:w="1503"/>
        <w:gridCol w:w="135"/>
        <w:gridCol w:w="23"/>
        <w:gridCol w:w="60"/>
        <w:gridCol w:w="156"/>
        <w:gridCol w:w="1776"/>
        <w:gridCol w:w="158"/>
        <w:gridCol w:w="23"/>
        <w:gridCol w:w="35"/>
        <w:gridCol w:w="93"/>
        <w:gridCol w:w="1057"/>
        <w:gridCol w:w="95"/>
        <w:gridCol w:w="23"/>
        <w:gridCol w:w="56"/>
        <w:gridCol w:w="147"/>
        <w:gridCol w:w="1228"/>
        <w:gridCol w:w="149"/>
        <w:gridCol w:w="23"/>
        <w:gridCol w:w="60"/>
        <w:gridCol w:w="23"/>
        <w:gridCol w:w="31"/>
        <w:gridCol w:w="81"/>
        <w:gridCol w:w="921"/>
        <w:gridCol w:w="82"/>
        <w:gridCol w:w="23"/>
        <w:gridCol w:w="23"/>
        <w:gridCol w:w="60"/>
        <w:gridCol w:w="1100"/>
        <w:gridCol w:w="60"/>
        <w:gridCol w:w="23"/>
        <w:gridCol w:w="39"/>
        <w:gridCol w:w="104"/>
        <w:gridCol w:w="1181"/>
        <w:gridCol w:w="106"/>
        <w:gridCol w:w="23"/>
        <w:gridCol w:w="26"/>
        <w:gridCol w:w="69"/>
        <w:gridCol w:w="1265"/>
        <w:gridCol w:w="70"/>
        <w:gridCol w:w="23"/>
        <w:gridCol w:w="75"/>
      </w:tblGrid>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5" w:type="dxa"/>
            <w:tcBorders/>
            <w:shd w:fill="0054BA" w:val="clear"/>
            <w:vAlign w:val="center"/>
          </w:tcPr>
          <w:p>
            <w:pPr>
              <w:pStyle w:val="TableContents"/>
              <w:bidi w:val="0"/>
              <w:spacing w:before="0" w:after="283"/>
              <w:jc w:val="left"/>
              <w:rPr>
                <w:sz w:val="4"/>
                <w:szCs w:val="4"/>
              </w:rPr>
            </w:pPr>
            <w:r>
              <w:rPr>
                <w:sz w:val="4"/>
                <w:szCs w:val="4"/>
              </w:rPr>
            </w:r>
          </w:p>
        </w:tc>
        <w:tc>
          <w:tcPr>
            <w:tcW w:w="928" w:type="dxa"/>
            <w:gridSpan w:val="5"/>
            <w:tcBorders/>
            <w:shd w:fill="0054BA" w:val="clear"/>
            <w:vAlign w:val="center"/>
          </w:tcPr>
          <w:p>
            <w:pPr>
              <w:pStyle w:val="TableContents"/>
              <w:bidi w:val="0"/>
              <w:spacing w:before="0" w:after="283"/>
              <w:jc w:val="left"/>
              <w:rPr>
                <w:sz w:val="4"/>
                <w:szCs w:val="4"/>
              </w:rPr>
            </w:pPr>
            <w:r>
              <w:rPr>
                <w:sz w:val="4"/>
                <w:szCs w:val="4"/>
              </w:rPr>
            </w:r>
          </w:p>
        </w:tc>
        <w:tc>
          <w:tcPr>
            <w:tcW w:w="6922" w:type="dxa"/>
            <w:gridSpan w:val="20"/>
            <w:tcBorders/>
            <w:shd w:fill="0054BA" w:val="clear"/>
            <w:vAlign w:val="center"/>
          </w:tcPr>
          <w:p>
            <w:pPr>
              <w:pStyle w:val="TableContents"/>
              <w:bidi w:val="0"/>
              <w:spacing w:before="0" w:after="283"/>
              <w:jc w:val="left"/>
              <w:rPr>
                <w:sz w:val="4"/>
                <w:szCs w:val="4"/>
              </w:rPr>
            </w:pPr>
            <w:r>
              <w:rPr>
                <w:sz w:val="4"/>
                <w:szCs w:val="4"/>
              </w:rPr>
            </w:r>
          </w:p>
        </w:tc>
        <w:tc>
          <w:tcPr>
            <w:tcW w:w="83" w:type="dxa"/>
            <w:gridSpan w:val="2"/>
            <w:tcBorders/>
            <w:shd w:fill="0054BA" w:val="clear"/>
            <w:vAlign w:val="center"/>
          </w:tcPr>
          <w:p>
            <w:pPr>
              <w:pStyle w:val="TableContents"/>
              <w:bidi w:val="0"/>
              <w:spacing w:before="0" w:after="283"/>
              <w:jc w:val="left"/>
              <w:rPr>
                <w:sz w:val="4"/>
                <w:szCs w:val="4"/>
              </w:rPr>
            </w:pPr>
            <w:r>
              <w:rPr>
                <w:sz w:val="4"/>
                <w:szCs w:val="4"/>
              </w:rPr>
            </w:r>
          </w:p>
        </w:tc>
        <w:tc>
          <w:tcPr>
            <w:tcW w:w="5310" w:type="dxa"/>
            <w:gridSpan w:val="20"/>
            <w:tcBorders/>
            <w:shd w:fill="0054BA" w:val="clear"/>
            <w:vAlign w:val="center"/>
          </w:tcPr>
          <w:p>
            <w:pPr>
              <w:pStyle w:val="TableContents"/>
              <w:bidi w:val="0"/>
              <w:spacing w:before="0" w:after="283"/>
              <w:jc w:val="left"/>
              <w:rPr>
                <w:sz w:val="4"/>
                <w:szCs w:val="4"/>
              </w:rPr>
            </w:pPr>
            <w:r>
              <w:rPr>
                <w:sz w:val="4"/>
                <w:szCs w:val="4"/>
              </w:rPr>
            </w:r>
          </w:p>
        </w:tc>
        <w:tc>
          <w:tcPr>
            <w:tcW w:w="98"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60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05" w:type="dxa"/>
            <w:gridSpan w:val="4"/>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6899" w:type="dxa"/>
            <w:gridSpan w:val="19"/>
            <w:tcBorders>
              <w:bottom w:val="single" w:sz="6" w:space="0" w:color="FFFFFF"/>
            </w:tcBorders>
            <w:shd w:fill="0054BA" w:val="clear"/>
            <w:tcMar>
              <w:bottom w:w="60" w:type="dxa"/>
            </w:tcMar>
            <w:vAlign w:val="center"/>
          </w:tcPr>
          <w:p>
            <w:pPr>
              <w:pStyle w:val="TableContents"/>
              <w:bidi w:val="0"/>
              <w:spacing w:before="0" w:after="20"/>
              <w:jc w:val="center"/>
              <w:rPr>
                <w:rFonts w:ascii="ARIAL" w:hAnsi="ARIAL"/>
                <w:b/>
                <w:color w:val="FFFFFF"/>
                <w:sz w:val="12"/>
              </w:rPr>
            </w:pPr>
            <w:r>
              <w:rPr>
                <w:rFonts w:ascii="ARIAL" w:hAnsi="ARIAL"/>
                <w:b/>
                <w:color w:val="FFFFFF"/>
                <w:sz w:val="12"/>
              </w:rPr>
              <w:t>OPTION AWARDS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6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5287" w:type="dxa"/>
            <w:gridSpan w:val="19"/>
            <w:tcBorders>
              <w:bottom w:val="single" w:sz="6" w:space="0" w:color="FFFFFF"/>
            </w:tcBorders>
            <w:shd w:fill="0054BA" w:val="clear"/>
            <w:tcMar>
              <w:bottom w:w="60" w:type="dxa"/>
            </w:tcMar>
            <w:vAlign w:val="center"/>
          </w:tcPr>
          <w:p>
            <w:pPr>
              <w:pStyle w:val="TableContents"/>
              <w:bidi w:val="0"/>
              <w:spacing w:before="0" w:after="20"/>
              <w:jc w:val="center"/>
              <w:rPr>
                <w:rFonts w:ascii="ARIAL" w:hAnsi="ARIAL"/>
                <w:b/>
                <w:color w:val="FFFFFF"/>
                <w:sz w:val="12"/>
              </w:rPr>
            </w:pPr>
            <w:r>
              <w:rPr>
                <w:rFonts w:ascii="ARIAL" w:hAnsi="ARIAL"/>
                <w:b/>
                <w:color w:val="FFFFFF"/>
                <w:sz w:val="12"/>
              </w:rPr>
              <w:t>STOCK AWARDS(1)</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r>
      <w:tr>
        <w:trPr/>
        <w:tc>
          <w:tcPr>
            <w:tcW w:w="605" w:type="dxa"/>
            <w:tcBorders/>
            <w:shd w:fill="0054BA" w:val="clear"/>
            <w:vAlign w:val="center"/>
          </w:tcPr>
          <w:p>
            <w:pPr>
              <w:pStyle w:val="TableContents"/>
              <w:bidi w:val="0"/>
              <w:spacing w:before="0" w:after="283"/>
              <w:jc w:val="left"/>
              <w:rPr>
                <w:sz w:val="4"/>
                <w:szCs w:val="4"/>
              </w:rPr>
            </w:pPr>
            <w:r>
              <w:rPr>
                <w:sz w:val="4"/>
                <w:szCs w:val="4"/>
              </w:rPr>
            </w:r>
          </w:p>
        </w:tc>
        <w:tc>
          <w:tcPr>
            <w:tcW w:w="928" w:type="dxa"/>
            <w:gridSpan w:val="5"/>
            <w:tcBorders/>
            <w:shd w:fill="0054BA" w:val="clear"/>
            <w:vAlign w:val="center"/>
          </w:tcPr>
          <w:p>
            <w:pPr>
              <w:pStyle w:val="TableContents"/>
              <w:bidi w:val="0"/>
              <w:spacing w:before="0" w:after="283"/>
              <w:jc w:val="left"/>
              <w:rPr>
                <w:sz w:val="4"/>
                <w:szCs w:val="4"/>
              </w:rPr>
            </w:pPr>
            <w:r>
              <w:rPr>
                <w:sz w:val="4"/>
                <w:szCs w:val="4"/>
              </w:rPr>
            </w:r>
          </w:p>
        </w:tc>
        <w:tc>
          <w:tcPr>
            <w:tcW w:w="1843" w:type="dxa"/>
            <w:gridSpan w:val="5"/>
            <w:tcBorders/>
            <w:shd w:fill="0054BA" w:val="clear"/>
            <w:vAlign w:val="center"/>
          </w:tcPr>
          <w:p>
            <w:pPr>
              <w:pStyle w:val="TableContents"/>
              <w:bidi w:val="0"/>
              <w:spacing w:before="0" w:after="283"/>
              <w:jc w:val="left"/>
              <w:rPr>
                <w:sz w:val="4"/>
                <w:szCs w:val="4"/>
              </w:rPr>
            </w:pPr>
            <w:r>
              <w:rPr>
                <w:sz w:val="4"/>
                <w:szCs w:val="4"/>
              </w:rPr>
            </w:r>
          </w:p>
        </w:tc>
        <w:tc>
          <w:tcPr>
            <w:tcW w:w="2173" w:type="dxa"/>
            <w:gridSpan w:val="5"/>
            <w:tcBorders/>
            <w:shd w:fill="0054BA" w:val="clear"/>
            <w:vAlign w:val="center"/>
          </w:tcPr>
          <w:p>
            <w:pPr>
              <w:pStyle w:val="TableContents"/>
              <w:bidi w:val="0"/>
              <w:spacing w:before="0" w:after="283"/>
              <w:jc w:val="left"/>
              <w:rPr>
                <w:sz w:val="4"/>
                <w:szCs w:val="4"/>
              </w:rPr>
            </w:pPr>
            <w:r>
              <w:rPr>
                <w:sz w:val="4"/>
                <w:szCs w:val="4"/>
              </w:rPr>
            </w:r>
          </w:p>
        </w:tc>
        <w:tc>
          <w:tcPr>
            <w:tcW w:w="1303" w:type="dxa"/>
            <w:gridSpan w:val="5"/>
            <w:tcBorders/>
            <w:shd w:fill="0054BA" w:val="clear"/>
            <w:vAlign w:val="center"/>
          </w:tcPr>
          <w:p>
            <w:pPr>
              <w:pStyle w:val="TableContents"/>
              <w:bidi w:val="0"/>
              <w:spacing w:before="0" w:after="283"/>
              <w:jc w:val="left"/>
              <w:rPr>
                <w:sz w:val="4"/>
                <w:szCs w:val="4"/>
              </w:rPr>
            </w:pPr>
            <w:r>
              <w:rPr>
                <w:sz w:val="4"/>
                <w:szCs w:val="4"/>
              </w:rPr>
            </w:r>
          </w:p>
        </w:tc>
        <w:tc>
          <w:tcPr>
            <w:tcW w:w="1603" w:type="dxa"/>
            <w:gridSpan w:val="5"/>
            <w:tcBorders/>
            <w:shd w:fill="0054BA" w:val="clear"/>
            <w:vAlign w:val="center"/>
          </w:tcPr>
          <w:p>
            <w:pPr>
              <w:pStyle w:val="TableContents"/>
              <w:bidi w:val="0"/>
              <w:spacing w:before="0" w:after="283"/>
              <w:jc w:val="left"/>
              <w:rPr>
                <w:sz w:val="4"/>
                <w:szCs w:val="4"/>
              </w:rPr>
            </w:pPr>
            <w:r>
              <w:rPr>
                <w:sz w:val="4"/>
                <w:szCs w:val="4"/>
              </w:rPr>
            </w:r>
          </w:p>
        </w:tc>
        <w:tc>
          <w:tcPr>
            <w:tcW w:w="83" w:type="dxa"/>
            <w:gridSpan w:val="2"/>
            <w:tcBorders/>
            <w:shd w:fill="0054BA" w:val="clear"/>
            <w:vAlign w:val="center"/>
          </w:tcPr>
          <w:p>
            <w:pPr>
              <w:pStyle w:val="TableContents"/>
              <w:bidi w:val="0"/>
              <w:spacing w:before="0" w:after="283"/>
              <w:jc w:val="left"/>
              <w:rPr>
                <w:sz w:val="4"/>
                <w:szCs w:val="4"/>
              </w:rPr>
            </w:pPr>
            <w:r>
              <w:rPr>
                <w:sz w:val="4"/>
                <w:szCs w:val="4"/>
              </w:rPr>
            </w:r>
          </w:p>
        </w:tc>
        <w:tc>
          <w:tcPr>
            <w:tcW w:w="1138" w:type="dxa"/>
            <w:gridSpan w:val="5"/>
            <w:tcBorders/>
            <w:shd w:fill="0054BA" w:val="clear"/>
            <w:vAlign w:val="center"/>
          </w:tcPr>
          <w:p>
            <w:pPr>
              <w:pStyle w:val="TableContents"/>
              <w:bidi w:val="0"/>
              <w:spacing w:before="0" w:after="283"/>
              <w:jc w:val="left"/>
              <w:rPr>
                <w:sz w:val="4"/>
                <w:szCs w:val="4"/>
              </w:rPr>
            </w:pPr>
            <w:r>
              <w:rPr>
                <w:sz w:val="4"/>
                <w:szCs w:val="4"/>
              </w:rPr>
            </w:r>
          </w:p>
        </w:tc>
        <w:tc>
          <w:tcPr>
            <w:tcW w:w="1266" w:type="dxa"/>
            <w:gridSpan w:val="5"/>
            <w:tcBorders/>
            <w:shd w:fill="0054BA" w:val="clear"/>
            <w:vAlign w:val="center"/>
          </w:tcPr>
          <w:p>
            <w:pPr>
              <w:pStyle w:val="TableContents"/>
              <w:bidi w:val="0"/>
              <w:spacing w:before="0" w:after="283"/>
              <w:jc w:val="left"/>
              <w:rPr>
                <w:sz w:val="4"/>
                <w:szCs w:val="4"/>
              </w:rPr>
            </w:pPr>
            <w:r>
              <w:rPr>
                <w:sz w:val="4"/>
                <w:szCs w:val="4"/>
              </w:rPr>
            </w:r>
          </w:p>
        </w:tc>
        <w:tc>
          <w:tcPr>
            <w:tcW w:w="1453" w:type="dxa"/>
            <w:gridSpan w:val="5"/>
            <w:tcBorders/>
            <w:shd w:fill="0054BA" w:val="clear"/>
            <w:vAlign w:val="center"/>
          </w:tcPr>
          <w:p>
            <w:pPr>
              <w:pStyle w:val="TableContents"/>
              <w:bidi w:val="0"/>
              <w:spacing w:before="0" w:after="283"/>
              <w:jc w:val="left"/>
              <w:rPr>
                <w:sz w:val="4"/>
                <w:szCs w:val="4"/>
              </w:rPr>
            </w:pPr>
            <w:r>
              <w:rPr>
                <w:sz w:val="4"/>
                <w:szCs w:val="4"/>
              </w:rPr>
            </w:r>
          </w:p>
        </w:tc>
        <w:tc>
          <w:tcPr>
            <w:tcW w:w="1453" w:type="dxa"/>
            <w:gridSpan w:val="5"/>
            <w:tcBorders/>
            <w:shd w:fill="0054BA" w:val="clear"/>
            <w:vAlign w:val="center"/>
          </w:tcPr>
          <w:p>
            <w:pPr>
              <w:pStyle w:val="TableContents"/>
              <w:bidi w:val="0"/>
              <w:spacing w:before="0" w:after="283"/>
              <w:jc w:val="left"/>
              <w:rPr>
                <w:sz w:val="4"/>
                <w:szCs w:val="4"/>
              </w:rPr>
            </w:pPr>
            <w:r>
              <w:rPr>
                <w:sz w:val="4"/>
                <w:szCs w:val="4"/>
              </w:rPr>
            </w:r>
          </w:p>
        </w:tc>
        <w:tc>
          <w:tcPr>
            <w:tcW w:w="98"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605" w:type="dxa"/>
            <w:tcBorders/>
            <w:shd w:fill="0054BA" w:val="clear"/>
            <w:vAlign w:val="center"/>
          </w:tcPr>
          <w:p>
            <w:pPr>
              <w:pStyle w:val="TableContents"/>
              <w:bidi w:val="0"/>
              <w:spacing w:before="0" w:after="0"/>
              <w:jc w:val="left"/>
              <w:rPr>
                <w:rFonts w:ascii="ARIAL" w:hAnsi="ARIAL"/>
                <w:b/>
                <w:color w:val="FFFFFF"/>
                <w:sz w:val="12"/>
              </w:rPr>
            </w:pPr>
            <w:r>
              <w:rPr>
                <w:rFonts w:ascii="ARIAL" w:hAnsi="ARIAL"/>
                <w:b/>
                <w:color w:val="FFFFFF"/>
                <w:sz w:val="12"/>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05" w:type="dxa"/>
            <w:gridSpan w:val="4"/>
            <w:tcBorders/>
            <w:shd w:fill="0054BA" w:val="clear"/>
            <w:vAlign w:val="center"/>
          </w:tcPr>
          <w:p>
            <w:pPr>
              <w:pStyle w:val="TableContents"/>
              <w:bidi w:val="0"/>
              <w:spacing w:before="0" w:after="283"/>
              <w:jc w:val="center"/>
              <w:rPr>
                <w:b/>
                <w:color w:val="FFFFFF"/>
              </w:rPr>
            </w:pPr>
            <w:r>
              <w:rPr>
                <w:b/>
                <w:color w:val="FFFFFF"/>
              </w:rPr>
              <w:t>GRANT</w:t>
              <w:br/>
              <w:t>DATE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820" w:type="dxa"/>
            <w:gridSpan w:val="4"/>
            <w:tcBorders/>
            <w:shd w:fill="0054BA"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OPTIONS(1)</w:t>
              <w:br/>
              <w:t>(#)</w:t>
              <w:br/>
              <w:t>EXERCISABLE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150" w:type="dxa"/>
            <w:gridSpan w:val="4"/>
            <w:tcBorders/>
            <w:shd w:fill="0054BA"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OPTIONS(1)</w:t>
              <w:br/>
              <w:t>(#)</w:t>
              <w:br/>
              <w:t>UNEXERCISABLE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80" w:type="dxa"/>
            <w:gridSpan w:val="4"/>
            <w:tcBorders/>
            <w:shd w:fill="0054BA" w:val="clear"/>
            <w:vAlign w:val="center"/>
          </w:tcPr>
          <w:p>
            <w:pPr>
              <w:pStyle w:val="TableContents"/>
              <w:bidi w:val="0"/>
              <w:spacing w:before="0" w:after="283"/>
              <w:jc w:val="center"/>
              <w:rPr>
                <w:b/>
                <w:color w:val="FFFFFF"/>
              </w:rPr>
            </w:pPr>
            <w:r>
              <w:rPr>
                <w:b/>
                <w:color w:val="FFFFFF"/>
              </w:rPr>
              <w:t>OPTION</w:t>
              <w:br/>
              <w:t>EXERCISE</w:t>
              <w:br/>
              <w:t>PRICE</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80" w:type="dxa"/>
            <w:gridSpan w:val="4"/>
            <w:tcBorders/>
            <w:shd w:fill="0054BA" w:val="clear"/>
            <w:vAlign w:val="center"/>
          </w:tcPr>
          <w:p>
            <w:pPr>
              <w:pStyle w:val="TableContents"/>
              <w:bidi w:val="0"/>
              <w:spacing w:before="0" w:after="283"/>
              <w:jc w:val="center"/>
              <w:rPr>
                <w:b/>
                <w:color w:val="FFFFFF"/>
              </w:rPr>
            </w:pPr>
            <w:r>
              <w:rPr>
                <w:b/>
                <w:color w:val="FFFFFF"/>
              </w:rPr>
              <w:t>OPTION</w:t>
              <w:br/>
              <w:t>EXPIRATION</w:t>
              <w:br/>
              <w:t>DATE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6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15" w:type="dxa"/>
            <w:gridSpan w:val="4"/>
            <w:tcBorders/>
            <w:shd w:fill="0054BA" w:val="clear"/>
            <w:vAlign w:val="center"/>
          </w:tcPr>
          <w:p>
            <w:pPr>
              <w:pStyle w:val="TableContents"/>
              <w:bidi w:val="0"/>
              <w:spacing w:before="0" w:after="283"/>
              <w:jc w:val="center"/>
              <w:rPr>
                <w:b/>
                <w:color w:val="FFFFFF"/>
              </w:rPr>
            </w:pPr>
            <w:r>
              <w:rPr>
                <w:b/>
                <w:color w:val="FFFFFF"/>
              </w:rPr>
              <w:t>NUMBER</w:t>
              <w:br/>
              <w:t>OF</w:t>
              <w:br/>
              <w:t>SHARES</w:t>
              <w:br/>
              <w:t>OR</w:t>
              <w:br/>
              <w:t>UNITS OF</w:t>
              <w:br/>
              <w:t>STOCK</w:t>
              <w:br/>
              <w:t>THAT</w:t>
              <w:br/>
              <w:t>HAVE</w:t>
              <w:br/>
              <w:t>NOT</w:t>
              <w:br/>
              <w:t>VESTED(2)</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43" w:type="dxa"/>
            <w:gridSpan w:val="4"/>
            <w:tcBorders/>
            <w:shd w:fill="0054BA" w:val="clear"/>
            <w:vAlign w:val="center"/>
          </w:tcPr>
          <w:p>
            <w:pPr>
              <w:pStyle w:val="TableContents"/>
              <w:bidi w:val="0"/>
              <w:spacing w:before="0" w:after="283"/>
              <w:jc w:val="center"/>
              <w:rPr>
                <w:b/>
                <w:color w:val="FFFFFF"/>
              </w:rPr>
            </w:pPr>
            <w:r>
              <w:rPr>
                <w:b/>
                <w:color w:val="FFFFFF"/>
              </w:rPr>
              <w:t>MARKET</w:t>
              <w:br/>
              <w:t>VALUE OF</w:t>
              <w:br/>
              <w:t>SHARES OR</w:t>
              <w:br/>
              <w:t>UNITS OF</w:t>
              <w:br/>
              <w:t>STOCK THAT</w:t>
              <w:br/>
              <w:t>HAVE NOT</w:t>
              <w:br/>
              <w:t>VESTED(3)</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30" w:type="dxa"/>
            <w:gridSpan w:val="4"/>
            <w:tcBorders/>
            <w:shd w:fill="0054BA" w:val="clear"/>
            <w:vAlign w:val="center"/>
          </w:tcPr>
          <w:p>
            <w:pPr>
              <w:pStyle w:val="TableContents"/>
              <w:bidi w:val="0"/>
              <w:spacing w:before="0" w:after="283"/>
              <w:jc w:val="center"/>
              <w:rPr>
                <w:b/>
                <w:color w:val="FFFFFF"/>
              </w:rPr>
            </w:pPr>
            <w:r>
              <w:rPr>
                <w:b/>
                <w:color w:val="FFFFFF"/>
              </w:rPr>
              <w:t>EQUITY</w:t>
              <w:br/>
              <w:t>INCENTIVE</w:t>
              <w:br/>
              <w:t>PLAN</w:t>
              <w:br/>
              <w:t>AWARDS:</w:t>
              <w:br/>
              <w:t>NUMBER</w:t>
              <w:br/>
              <w:t>OF</w:t>
              <w:br/>
              <w:t>UNEARNED</w:t>
              <w:br/>
              <w:t>SHARES,</w:t>
              <w:br/>
              <w:t>UNITS</w:t>
              <w:br/>
              <w:t>OR OTHER</w:t>
              <w:br/>
              <w:t>RIGHTS</w:t>
              <w:br/>
              <w:t>THAT</w:t>
              <w:br/>
              <w:t>HAVE NOT</w:t>
              <w:br/>
              <w:t>VESTED(4)</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30" w:type="dxa"/>
            <w:gridSpan w:val="4"/>
            <w:tcBorders/>
            <w:shd w:fill="0054BA" w:val="clear"/>
            <w:vAlign w:val="center"/>
          </w:tcPr>
          <w:p>
            <w:pPr>
              <w:pStyle w:val="TableContents"/>
              <w:bidi w:val="0"/>
              <w:spacing w:before="0" w:after="283"/>
              <w:jc w:val="center"/>
              <w:rPr>
                <w:b/>
                <w:color w:val="FFFFFF"/>
              </w:rPr>
            </w:pPr>
            <w:r>
              <w:rPr>
                <w:b/>
                <w:color w:val="FFFFFF"/>
              </w:rPr>
              <w:t>EQUITY</w:t>
              <w:br/>
              <w:t>INCENTIVE</w:t>
              <w:br/>
              <w:t>PLAN</w:t>
              <w:br/>
              <w:t>AWARDS:</w:t>
              <w:br/>
              <w:t>MARKET OR</w:t>
              <w:br/>
              <w:t>PAYOUT</w:t>
              <w:br/>
              <w:t>VALUE</w:t>
              <w:br/>
              <w:t>OF</w:t>
              <w:br/>
              <w:t>UNEARNED</w:t>
              <w:br/>
              <w:t>SHARES,</w:t>
              <w:br/>
              <w:t>UNITS</w:t>
              <w:br/>
              <w:t>OR OTHER</w:t>
              <w:br/>
              <w:t>RIGHTS THAT</w:t>
              <w:br/>
              <w:t>HAVE NOT</w:t>
              <w:br/>
              <w:t>VESTED(3)</w:t>
              <w:b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2/22/2024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5,666</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11,334</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$82.47</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2/21/2034</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24,600</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$78.33</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2/19/2035</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2/14/2023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921" w:type="dxa"/>
            <w:tcBorders>
              <w:bottom w:val="single" w:sz="6" w:space="0" w:color="000000"/>
            </w:tcBorders>
            <w:tcMar>
              <w:bottom w:w="100" w:type="dxa"/>
            </w:tcMar>
            <w:vAlign w:val="center"/>
          </w:tcPr>
          <w:p>
            <w:pPr>
              <w:pStyle w:val="TableContents"/>
              <w:bidi w:val="0"/>
              <w:spacing w:before="0" w:after="283"/>
              <w:jc w:val="center"/>
              <w:rPr/>
            </w:pPr>
            <w:r>
              <w:rPr/>
              <w:t>7,700</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$517,748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100" w:type="dxa"/>
            </w:tcMar>
            <w:vAlign w:val="center"/>
          </w:tcPr>
          <w:p>
            <w:pPr>
              <w:pStyle w:val="TableContents"/>
              <w:bidi w:val="0"/>
              <w:spacing w:before="0" w:after="283"/>
              <w:jc w:val="left"/>
              <w:rPr/>
            </w:pPr>
            <w:r>
              <w:rPr/>
              <w:t> </w:t>
            </w:r>
          </w:p>
        </w:tc>
        <w:tc>
          <w:tcPr>
            <w:tcW w:w="1181" w:type="dxa"/>
            <w:tcBorders>
              <w:bottom w:val="single" w:sz="6" w:space="0" w:color="000000"/>
            </w:tcBorders>
            <w:tcMar>
              <w:bottom w:w="100" w:type="dxa"/>
            </w:tcMar>
            <w:vAlign w:val="center"/>
          </w:tcPr>
          <w:p>
            <w:pPr>
              <w:pStyle w:val="TableContents"/>
              <w:bidi w:val="0"/>
              <w:spacing w:before="0" w:after="283"/>
              <w:jc w:val="center"/>
              <w:rPr/>
            </w:pPr>
            <w:r>
              <w:rPr/>
              <w:t>10,300</w:t>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$692,572</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2/22/2024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921" w:type="dxa"/>
            <w:tcBorders>
              <w:bottom w:val="single" w:sz="6" w:space="0" w:color="000000"/>
            </w:tcBorders>
            <w:tcMar>
              <w:bottom w:w="100" w:type="dxa"/>
            </w:tcMar>
            <w:vAlign w:val="center"/>
          </w:tcPr>
          <w:p>
            <w:pPr>
              <w:pStyle w:val="TableContents"/>
              <w:bidi w:val="0"/>
              <w:spacing w:before="0" w:after="283"/>
              <w:jc w:val="center"/>
              <w:rPr/>
            </w:pPr>
            <w:r>
              <w:rPr/>
              <w:t>22,267</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$1,497,233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100" w:type="dxa"/>
            </w:tcMar>
            <w:vAlign w:val="center"/>
          </w:tcPr>
          <w:p>
            <w:pPr>
              <w:pStyle w:val="TableContents"/>
              <w:bidi w:val="0"/>
              <w:spacing w:before="0" w:after="283"/>
              <w:jc w:val="left"/>
              <w:rPr/>
            </w:pPr>
            <w:r>
              <w:rPr/>
              <w:t> </w:t>
            </w:r>
          </w:p>
        </w:tc>
        <w:tc>
          <w:tcPr>
            <w:tcW w:w="1181" w:type="dxa"/>
            <w:tcBorders>
              <w:bottom w:val="single" w:sz="6" w:space="0" w:color="000000"/>
            </w:tcBorders>
            <w:tcMar>
              <w:bottom w:w="100" w:type="dxa"/>
            </w:tcMar>
            <w:vAlign w:val="center"/>
          </w:tcPr>
          <w:p>
            <w:pPr>
              <w:pStyle w:val="TableContents"/>
              <w:bidi w:val="0"/>
              <w:spacing w:before="0" w:after="283"/>
              <w:jc w:val="center"/>
              <w:rPr/>
            </w:pPr>
            <w:r>
              <w:rPr/>
              <w:t>14,900</w:t>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$1,001,876</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7/26/2024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921" w:type="dxa"/>
            <w:tcBorders>
              <w:bottom w:val="single" w:sz="6" w:space="0" w:color="000000"/>
            </w:tcBorders>
            <w:tcMar>
              <w:bottom w:w="100" w:type="dxa"/>
            </w:tcMar>
            <w:vAlign w:val="center"/>
          </w:tcPr>
          <w:p>
            <w:pPr>
              <w:pStyle w:val="TableContents"/>
              <w:bidi w:val="0"/>
              <w:spacing w:before="0" w:after="283"/>
              <w:jc w:val="center"/>
              <w:rPr/>
            </w:pPr>
            <w:r>
              <w:rPr/>
              <w:t>9,554</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$642,411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100" w:type="dxa"/>
            </w:tcMar>
            <w:vAlign w:val="center"/>
          </w:tcPr>
          <w:p>
            <w:pPr>
              <w:pStyle w:val="TableContents"/>
              <w:bidi w:val="0"/>
              <w:spacing w:before="0" w:after="283"/>
              <w:jc w:val="left"/>
              <w:rPr/>
            </w:pPr>
            <w:r>
              <w:rPr/>
              <w:t> </w:t>
            </w:r>
          </w:p>
        </w:tc>
        <w:tc>
          <w:tcPr>
            <w:tcW w:w="1181" w:type="dxa"/>
            <w:tcBorders>
              <w:bottom w:val="single" w:sz="6" w:space="0" w:color="000000"/>
            </w:tcBorders>
            <w:tcMar>
              <w:bottom w:w="100" w:type="dxa"/>
            </w:tcMar>
            <w:vAlign w:val="center"/>
          </w:tcPr>
          <w:p>
            <w:pPr>
              <w:pStyle w:val="TableContents"/>
              <w:bidi w:val="0"/>
              <w:spacing w:before="0" w:after="283"/>
              <w:jc w:val="center"/>
              <w:rPr/>
            </w:pPr>
            <w:r>
              <w:rPr/>
              <w:t>—</w:t>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921" w:type="dxa"/>
            <w:tcBorders>
              <w:bottom w:val="single" w:sz="6" w:space="0" w:color="000000"/>
            </w:tcBorders>
            <w:tcMar>
              <w:bottom w:w="100" w:type="dxa"/>
            </w:tcMar>
            <w:vAlign w:val="center"/>
          </w:tcPr>
          <w:p>
            <w:pPr>
              <w:pStyle w:val="TableContents"/>
              <w:bidi w:val="0"/>
              <w:spacing w:before="0" w:after="283"/>
              <w:jc w:val="center"/>
              <w:rPr/>
            </w:pPr>
            <w:r>
              <w:rPr/>
              <w:t>47,200</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$3,173,728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100" w:type="dxa"/>
            </w:tcMar>
            <w:vAlign w:val="center"/>
          </w:tcPr>
          <w:p>
            <w:pPr>
              <w:pStyle w:val="TableContents"/>
              <w:bidi w:val="0"/>
              <w:spacing w:before="0" w:after="283"/>
              <w:jc w:val="left"/>
              <w:rPr/>
            </w:pPr>
            <w:r>
              <w:rPr/>
              <w:t> </w:t>
            </w:r>
          </w:p>
        </w:tc>
        <w:tc>
          <w:tcPr>
            <w:tcW w:w="1181" w:type="dxa"/>
            <w:tcBorders>
              <w:bottom w:val="single" w:sz="6" w:space="0" w:color="000000"/>
            </w:tcBorders>
            <w:tcMar>
              <w:bottom w:w="100" w:type="dxa"/>
            </w:tcMar>
            <w:vAlign w:val="center"/>
          </w:tcPr>
          <w:p>
            <w:pPr>
              <w:pStyle w:val="TableContents"/>
              <w:bidi w:val="0"/>
              <w:spacing w:before="0" w:after="283"/>
              <w:jc w:val="center"/>
              <w:rPr/>
            </w:pPr>
            <w:r>
              <w:rPr/>
              <w:t>50,400</w:t>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$3,388,896</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0"/>
              <w:jc w:val="left"/>
              <w:rPr>
                <w:rFonts w:ascii="ARIAL" w:hAnsi="ARIAL"/>
                <w:b/>
                <w:color w:val="0054BA"/>
                <w:sz w:val="16"/>
              </w:rPr>
            </w:pPr>
            <w:r>
              <w:rPr>
                <w:rFonts w:ascii="ARIAL" w:hAnsi="ARIAL"/>
                <w:b/>
                <w:color w:val="0054BA"/>
                <w:sz w:val="16"/>
              </w:rPr>
              <w:t>Simuro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2/28/2018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22,420</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$34.21</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2/27/2028</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2/7/2019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38,000</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$39.82</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2/6/2029</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2/6/2020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33,000</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$66.65</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2/5/2030</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2/18/2021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17,000</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$91.98</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2/17/2031</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2/16/2022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22,600</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$67.29</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2/15/2032</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2/14/2023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14,266</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7,134</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$76.78</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2/13/2033</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2/22/2024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10,400</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20,800</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$82.47</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2/21/2034</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3" w:type="dxa"/>
            <w:tcBorders>
              <w:bottom w:val="single" w:sz="6" w:space="0" w:color="000000"/>
            </w:tcBorders>
            <w:tcMar>
              <w:bottom w:w="100" w:type="dxa"/>
            </w:tcMar>
            <w:vAlign w:val="center"/>
          </w:tcPr>
          <w:p>
            <w:pPr>
              <w:pStyle w:val="TableContents"/>
              <w:bidi w:val="0"/>
              <w:spacing w:before="0" w:after="283"/>
              <w:jc w:val="center"/>
              <w:rPr/>
            </w:pPr>
            <w:r>
              <w:rPr/>
              <w:t>—</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100" w:type="dxa"/>
            </w:tcMar>
            <w:vAlign w:val="center"/>
          </w:tcPr>
          <w:p>
            <w:pPr>
              <w:pStyle w:val="TableContents"/>
              <w:bidi w:val="0"/>
              <w:spacing w:before="0" w:after="283"/>
              <w:jc w:val="left"/>
              <w:rPr/>
            </w:pPr>
            <w:r>
              <w:rPr/>
              <w:t> </w:t>
            </w:r>
          </w:p>
        </w:tc>
        <w:tc>
          <w:tcPr>
            <w:tcW w:w="1776" w:type="dxa"/>
            <w:tcBorders>
              <w:bottom w:val="single" w:sz="6" w:space="0" w:color="000000"/>
            </w:tcBorders>
            <w:tcMar>
              <w:bottom w:w="100" w:type="dxa"/>
            </w:tcMar>
            <w:vAlign w:val="center"/>
          </w:tcPr>
          <w:p>
            <w:pPr>
              <w:pStyle w:val="TableContents"/>
              <w:bidi w:val="0"/>
              <w:spacing w:before="0" w:after="283"/>
              <w:jc w:val="center"/>
              <w:rPr/>
            </w:pPr>
            <w:r>
              <w:rPr/>
              <w:t>33,000</w:t>
            </w:r>
          </w:p>
        </w:tc>
        <w:tc>
          <w:tcPr>
            <w:tcW w:w="15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100" w:type="dxa"/>
            </w:tcMar>
            <w:vAlign w:val="center"/>
          </w:tcPr>
          <w:p>
            <w:pPr>
              <w:pStyle w:val="TableContents"/>
              <w:bidi w:val="0"/>
              <w:spacing w:before="0" w:after="283"/>
              <w:jc w:val="left"/>
              <w:rPr/>
            </w:pPr>
            <w:r>
              <w:rPr/>
              <w:t> </w:t>
            </w:r>
          </w:p>
        </w:tc>
        <w:tc>
          <w:tcPr>
            <w:tcW w:w="1057" w:type="dxa"/>
            <w:tcBorders>
              <w:bottom w:val="single" w:sz="6" w:space="0" w:color="000000"/>
            </w:tcBorders>
            <w:tcMar>
              <w:bottom w:w="100" w:type="dxa"/>
            </w:tcMar>
            <w:vAlign w:val="center"/>
          </w:tcPr>
          <w:p>
            <w:pPr>
              <w:pStyle w:val="TableContents"/>
              <w:bidi w:val="0"/>
              <w:spacing w:before="0" w:after="283"/>
              <w:jc w:val="center"/>
              <w:rPr/>
            </w:pPr>
            <w:r>
              <w:rPr/>
              <w:t>$78.33</w:t>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8" w:type="dxa"/>
            <w:tcBorders>
              <w:bottom w:val="single" w:sz="6" w:space="0" w:color="000000"/>
            </w:tcBorders>
            <w:tcMar>
              <w:bottom w:w="100" w:type="dxa"/>
            </w:tcMar>
            <w:vAlign w:val="center"/>
          </w:tcPr>
          <w:p>
            <w:pPr>
              <w:pStyle w:val="TableContents"/>
              <w:bidi w:val="0"/>
              <w:spacing w:before="0" w:after="283"/>
              <w:jc w:val="center"/>
              <w:rPr/>
            </w:pPr>
            <w:r>
              <w:rPr/>
              <w:t>2/19/2035</w:t>
            </w:r>
          </w:p>
        </w:tc>
        <w:tc>
          <w:tcPr>
            <w:tcW w:w="14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3/15/2022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921" w:type="dxa"/>
            <w:tcBorders>
              <w:bottom w:val="single" w:sz="6" w:space="0" w:color="000000"/>
            </w:tcBorders>
            <w:tcMar>
              <w:bottom w:w="100" w:type="dxa"/>
            </w:tcMar>
            <w:vAlign w:val="center"/>
          </w:tcPr>
          <w:p>
            <w:pPr>
              <w:pStyle w:val="TableContents"/>
              <w:bidi w:val="0"/>
              <w:spacing w:before="0" w:after="283"/>
              <w:jc w:val="center"/>
              <w:rPr/>
            </w:pPr>
            <w:r>
              <w:rPr/>
              <w:t>12,641</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$849,981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2/14/2023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921" w:type="dxa"/>
            <w:tcBorders>
              <w:bottom w:val="single" w:sz="6" w:space="0" w:color="000000"/>
            </w:tcBorders>
            <w:tcMar>
              <w:bottom w:w="100" w:type="dxa"/>
            </w:tcMar>
            <w:vAlign w:val="center"/>
          </w:tcPr>
          <w:p>
            <w:pPr>
              <w:pStyle w:val="TableContents"/>
              <w:bidi w:val="0"/>
              <w:spacing w:before="0" w:after="283"/>
              <w:jc w:val="center"/>
              <w:rPr/>
            </w:pPr>
            <w:r>
              <w:rPr/>
              <w:t>13,467</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$905,521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100" w:type="dxa"/>
            </w:tcMar>
            <w:vAlign w:val="center"/>
          </w:tcPr>
          <w:p>
            <w:pPr>
              <w:pStyle w:val="TableContents"/>
              <w:bidi w:val="0"/>
              <w:spacing w:before="0" w:after="283"/>
              <w:jc w:val="left"/>
              <w:rPr/>
            </w:pPr>
            <w:r>
              <w:rPr/>
              <w:t> </w:t>
            </w:r>
          </w:p>
        </w:tc>
        <w:tc>
          <w:tcPr>
            <w:tcW w:w="1181" w:type="dxa"/>
            <w:tcBorders>
              <w:bottom w:val="single" w:sz="6" w:space="0" w:color="000000"/>
            </w:tcBorders>
            <w:tcMar>
              <w:bottom w:w="100" w:type="dxa"/>
            </w:tcMar>
            <w:vAlign w:val="center"/>
          </w:tcPr>
          <w:p>
            <w:pPr>
              <w:pStyle w:val="TableContents"/>
              <w:bidi w:val="0"/>
              <w:spacing w:before="0" w:after="283"/>
              <w:jc w:val="center"/>
              <w:rPr/>
            </w:pPr>
            <w:r>
              <w:rPr/>
              <w:t>18,000</w:t>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$1,210,320</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2/22/2024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921" w:type="dxa"/>
            <w:tcBorders>
              <w:bottom w:val="single" w:sz="6" w:space="0" w:color="000000"/>
            </w:tcBorders>
            <w:tcMar>
              <w:bottom w:w="100" w:type="dxa"/>
            </w:tcMar>
            <w:vAlign w:val="center"/>
          </w:tcPr>
          <w:p>
            <w:pPr>
              <w:pStyle w:val="TableContents"/>
              <w:bidi w:val="0"/>
              <w:spacing w:before="0" w:after="283"/>
              <w:jc w:val="center"/>
              <w:rPr/>
            </w:pPr>
            <w:r>
              <w:rPr/>
              <w:t>40,800</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$2,743,392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100" w:type="dxa"/>
            </w:tcMar>
            <w:vAlign w:val="center"/>
          </w:tcPr>
          <w:p>
            <w:pPr>
              <w:pStyle w:val="TableContents"/>
              <w:bidi w:val="0"/>
              <w:spacing w:before="0" w:after="283"/>
              <w:jc w:val="left"/>
              <w:rPr/>
            </w:pPr>
            <w:r>
              <w:rPr/>
              <w:t> </w:t>
            </w:r>
          </w:p>
        </w:tc>
        <w:tc>
          <w:tcPr>
            <w:tcW w:w="1181" w:type="dxa"/>
            <w:tcBorders>
              <w:bottom w:val="single" w:sz="6" w:space="0" w:color="000000"/>
            </w:tcBorders>
            <w:tcMar>
              <w:bottom w:w="100" w:type="dxa"/>
            </w:tcMar>
            <w:vAlign w:val="center"/>
          </w:tcPr>
          <w:p>
            <w:pPr>
              <w:pStyle w:val="TableContents"/>
              <w:bidi w:val="0"/>
              <w:spacing w:before="0" w:after="283"/>
              <w:jc w:val="center"/>
              <w:rPr/>
            </w:pPr>
            <w:r>
              <w:rPr/>
              <w:t>27,200</w:t>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$1,828,928</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sz w:val="4"/>
                <w:szCs w:val="4"/>
              </w:rPr>
            </w:pPr>
            <w:r>
              <w:rPr>
                <w:sz w:val="4"/>
                <w:szCs w:val="4"/>
              </w:rPr>
            </w:r>
          </w:p>
        </w:tc>
        <w:tc>
          <w:tcPr>
            <w:tcW w:w="928"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762" w:type="dxa"/>
            <w:tcBorders>
              <w:bottom w:val="single" w:sz="6" w:space="0" w:color="000000"/>
            </w:tcBorders>
            <w:tcMar>
              <w:bottom w:w="100" w:type="dxa"/>
            </w:tcMar>
            <w:vAlign w:val="center"/>
          </w:tcPr>
          <w:p>
            <w:pPr>
              <w:pStyle w:val="TableContents"/>
              <w:bidi w:val="0"/>
              <w:spacing w:before="0" w:after="283"/>
              <w:jc w:val="center"/>
              <w:rPr/>
            </w:pPr>
            <w:r>
              <w:rPr/>
              <w:t>2/20/2025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921" w:type="dxa"/>
            <w:tcBorders>
              <w:bottom w:val="single" w:sz="6" w:space="0" w:color="000000"/>
            </w:tcBorders>
            <w:tcMar>
              <w:bottom w:w="100" w:type="dxa"/>
            </w:tcMar>
            <w:vAlign w:val="center"/>
          </w:tcPr>
          <w:p>
            <w:pPr>
              <w:pStyle w:val="TableContents"/>
              <w:bidi w:val="0"/>
              <w:spacing w:before="0" w:after="283"/>
              <w:jc w:val="center"/>
              <w:rPr/>
            </w:pPr>
            <w:r>
              <w:rPr/>
              <w:t>63,200</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$4,249,568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000000"/>
            </w:tcBorders>
            <w:tcMar>
              <w:bottom w:w="100" w:type="dxa"/>
            </w:tcMar>
            <w:vAlign w:val="center"/>
          </w:tcPr>
          <w:p>
            <w:pPr>
              <w:pStyle w:val="TableContents"/>
              <w:bidi w:val="0"/>
              <w:spacing w:before="0" w:after="283"/>
              <w:jc w:val="left"/>
              <w:rPr/>
            </w:pPr>
            <w:r>
              <w:rPr/>
              <w:t> </w:t>
            </w:r>
          </w:p>
        </w:tc>
        <w:tc>
          <w:tcPr>
            <w:tcW w:w="1181" w:type="dxa"/>
            <w:tcBorders>
              <w:bottom w:val="single" w:sz="6" w:space="0" w:color="000000"/>
            </w:tcBorders>
            <w:tcMar>
              <w:bottom w:w="100" w:type="dxa"/>
            </w:tcMar>
            <w:vAlign w:val="center"/>
          </w:tcPr>
          <w:p>
            <w:pPr>
              <w:pStyle w:val="TableContents"/>
              <w:bidi w:val="0"/>
              <w:spacing w:before="0" w:after="283"/>
              <w:jc w:val="center"/>
              <w:rPr/>
            </w:pPr>
            <w:r>
              <w:rPr/>
              <w:t>67,440</w:t>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1265" w:type="dxa"/>
            <w:tcBorders>
              <w:bottom w:val="single" w:sz="6" w:space="0" w:color="000000"/>
            </w:tcBorders>
            <w:tcMar>
              <w:bottom w:w="100" w:type="dxa"/>
            </w:tcMar>
            <w:vAlign w:val="center"/>
          </w:tcPr>
          <w:p>
            <w:pPr>
              <w:pStyle w:val="TableContents"/>
              <w:bidi w:val="0"/>
              <w:spacing w:before="0" w:after="283"/>
              <w:jc w:val="center"/>
              <w:rPr/>
            </w:pPr>
            <w:r>
              <w:rPr/>
              <w:t>$4,534,666</w:t>
            </w:r>
          </w:p>
        </w:tc>
        <w:tc>
          <w:tcPr>
            <w:tcW w:w="7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i/>
              </w:rPr>
            </w:pPr>
            <w:r>
              <w:rPr>
                <w:i/>
              </w:rPr>
              <w:t>(1) </w:t>
            </w:r>
          </w:p>
        </w:tc>
        <w:tc>
          <w:tcPr>
            <w:tcW w:w="9935" w:type="dxa"/>
            <w:tcBorders/>
            <w:vAlign w:val="center"/>
          </w:tcPr>
          <w:p>
            <w:pPr>
              <w:pStyle w:val="TableContents"/>
              <w:bidi w:val="0"/>
              <w:spacing w:before="0" w:after="0"/>
              <w:jc w:val="left"/>
              <w:rPr>
                <w:rFonts w:ascii="ARIAL" w:hAnsi="ARIAL"/>
                <w:i/>
                <w:sz w:val="16"/>
              </w:rPr>
            </w:pPr>
            <w:r>
              <w:rPr>
                <w:rFonts w:ascii="ARIAL" w:hAnsi="ARIAL"/>
                <w:i/>
                <w:sz w:val="16"/>
              </w:rPr>
              <w:t xml:space="preserve">Stock option awards vest one-third annually, with awards granted between the 1st and 15th of any month vesting on the 15th day of the month during which the anniversary of the grant falls, assuming continued employment and awards granted between the 16th day of the month and the end of the month vesting on the 1st day of the month following during which the anniversary of the grant falls, assuming continued employment.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i/>
              </w:rPr>
            </w:pPr>
            <w:r>
              <w:rPr>
                <w:i/>
              </w:rPr>
              <w:t>(2) </w:t>
            </w:r>
          </w:p>
        </w:tc>
        <w:tc>
          <w:tcPr>
            <w:tcW w:w="9948" w:type="dxa"/>
            <w:tcBorders/>
            <w:vAlign w:val="center"/>
          </w:tcPr>
          <w:p>
            <w:pPr>
              <w:pStyle w:val="TableContents"/>
              <w:bidi w:val="0"/>
              <w:spacing w:before="0" w:after="0"/>
              <w:jc w:val="left"/>
              <w:rPr>
                <w:rFonts w:ascii="ARIAL" w:hAnsi="ARIAL"/>
                <w:i/>
                <w:sz w:val="16"/>
              </w:rPr>
            </w:pPr>
            <w:r>
              <w:rPr>
                <w:rFonts w:ascii="ARIAL" w:hAnsi="ARIAL"/>
                <w:i/>
                <w:sz w:val="16"/>
              </w:rPr>
              <w:t xml:space="preserve">Performance-based restricted stock awards in this column vest one-third annually, with awards granted between the 1st and 15th of any month vesting on the 15th day of the month during which the anniversary of the grant falls, assuming continued employment and awards granted between the 16th day of the month and the end of the month vesting on the 1st day of the following month, assuming continued employment. Matching RSUs granted to Mr. Florance on March 5, 2025 pursuant to his deferral of annual incentive compensation under the MSPP cliff vest four years from the date of grant.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i/>
              </w:rPr>
            </w:pPr>
            <w:r>
              <w:rPr>
                <w:i/>
              </w:rPr>
              <w:t>(3) </w:t>
            </w:r>
          </w:p>
        </w:tc>
        <w:tc>
          <w:tcPr>
            <w:tcW w:w="9864" w:type="dxa"/>
            <w:tcBorders/>
            <w:vAlign w:val="center"/>
          </w:tcPr>
          <w:p>
            <w:pPr>
              <w:pStyle w:val="TableContents"/>
              <w:bidi w:val="0"/>
              <w:spacing w:before="0" w:after="0"/>
              <w:jc w:val="left"/>
              <w:rPr>
                <w:rFonts w:ascii="ARIAL" w:hAnsi="ARIAL"/>
                <w:i/>
                <w:sz w:val="16"/>
              </w:rPr>
            </w:pPr>
            <w:r>
              <w:rPr>
                <w:rFonts w:ascii="ARIAL" w:hAnsi="ARIAL"/>
                <w:i/>
                <w:sz w:val="16"/>
              </w:rPr>
              <w:t xml:space="preserve">Market value based on the closing price of the Company’s common stock as of December 31, 2025 of $67.24 per share, the last trading day of fiscal year 2025.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i/>
              </w:rPr>
            </w:pPr>
            <w:r>
              <w:rPr>
                <w:i/>
              </w:rPr>
              <w:t>(4) </w:t>
            </w:r>
          </w:p>
        </w:tc>
        <w:tc>
          <w:tcPr>
            <w:tcW w:w="9949" w:type="dxa"/>
            <w:tcBorders/>
            <w:vAlign w:val="center"/>
          </w:tcPr>
          <w:p>
            <w:pPr>
              <w:pStyle w:val="TableContents"/>
              <w:bidi w:val="0"/>
              <w:spacing w:before="0" w:after="0"/>
              <w:jc w:val="left"/>
              <w:rPr>
                <w:rFonts w:ascii="ARIAL" w:hAnsi="ARIAL"/>
                <w:i/>
                <w:sz w:val="16"/>
              </w:rPr>
            </w:pPr>
            <w:r>
              <w:rPr>
                <w:rFonts w:ascii="ARIAL" w:hAnsi="ARIAL"/>
                <w:i/>
                <w:sz w:val="16"/>
              </w:rPr>
              <w:t xml:space="preserve">Outstanding Three-Year Performance Stock Awards granted in 2025, 2024, and 2023 vest based on performance for the three-year performance period ending on December 31, 2027, 2026, and 2025, respectively, subject to the Compensation Committee’s certification of the applicable performance results following the end of each performance period. The amounts shown for the 2025 and 2024 Three-Year Performance Stock Awards reflect maximum and target level performance assumptions, respectively, and do not represent actual performance results, and may differ materially from the number of shares ultimately earned.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i/>
                <w:sz w:val="16"/>
              </w:rPr>
            </w:pPr>
            <w:r>
              <w:rPr>
                <w:rFonts w:ascii="ARIAL" w:hAnsi="ARIAL"/>
                <w:i/>
                <w:sz w:val="16"/>
              </w:rPr>
              <w:t xml:space="preserve">The 2023 Three-Year Performance Stock Awards vested in February 2026 upon the Compensation Committee’s certification of performance. The actual number of shares earned by each NEO in February 2026 as a result of the vesting was as follows: </w:t>
            </w:r>
          </w:p>
        </w:tc>
      </w:tr>
    </w:tbl>
    <w:p>
      <w:pPr>
        <w:pStyle w:val="TextBody"/>
        <w:bidi w:val="0"/>
        <w:spacing w:before="0" w:after="0"/>
        <w:jc w:val="left"/>
        <w:rPr/>
      </w:pPr>
      <w:r>
        <w:rPr/>
        <w:t> </w:t>
      </w:r>
    </w:p>
    <w:tbl>
      <w:tblPr>
        <w:tblW w:w="4878" w:type="dxa"/>
        <w:jc w:val="left"/>
        <w:tblInd w:w="0" w:type="dxa"/>
        <w:tblLayout w:type="fixed"/>
        <w:tblCellMar>
          <w:top w:w="0" w:type="dxa"/>
          <w:left w:w="0" w:type="dxa"/>
          <w:bottom w:w="0" w:type="dxa"/>
          <w:right w:w="0" w:type="dxa"/>
        </w:tblCellMar>
      </w:tblPr>
      <w:tblGrid>
        <w:gridCol w:w="1010"/>
        <w:gridCol w:w="23"/>
        <w:gridCol w:w="105"/>
        <w:gridCol w:w="275"/>
        <w:gridCol w:w="3120"/>
        <w:gridCol w:w="345"/>
      </w:tblGrid>
      <w:tr>
        <w:trPr/>
        <w:tc>
          <w:tcPr>
            <w:tcW w:w="10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0054BA" w:val="clear"/>
            <w:vAlign w:val="center"/>
          </w:tcPr>
          <w:p>
            <w:pPr>
              <w:pStyle w:val="TableContents"/>
              <w:bidi w:val="0"/>
              <w:spacing w:before="0" w:after="283"/>
              <w:jc w:val="left"/>
              <w:rPr>
                <w:sz w:val="4"/>
                <w:szCs w:val="4"/>
              </w:rPr>
            </w:pPr>
            <w:r>
              <w:rPr>
                <w:sz w:val="4"/>
                <w:szCs w:val="4"/>
              </w:rPr>
            </w:r>
          </w:p>
        </w:tc>
        <w:tc>
          <w:tcPr>
            <w:tcW w:w="3868"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010"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3845" w:type="dxa"/>
            <w:gridSpan w:val="4"/>
            <w:tcBorders/>
            <w:shd w:fill="0054BA" w:val="clear"/>
            <w:vAlign w:val="center"/>
          </w:tcPr>
          <w:p>
            <w:pPr>
              <w:pStyle w:val="TableContents"/>
              <w:bidi w:val="0"/>
              <w:spacing w:before="0" w:after="283"/>
              <w:jc w:val="center"/>
              <w:rPr>
                <w:b/>
                <w:color w:val="FFFFFF"/>
              </w:rPr>
            </w:pPr>
            <w:r>
              <w:rPr>
                <w:b/>
                <w:color w:val="FFFFFF"/>
              </w:rPr>
              <w:t>ACTUAL SHARES EARNED (#)  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3868" w:type="dxa"/>
            <w:gridSpan w:val="5"/>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Mr.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3120" w:type="dxa"/>
            <w:tcBorders>
              <w:bottom w:val="single" w:sz="6" w:space="0" w:color="000000"/>
            </w:tcBorders>
            <w:tcMar>
              <w:bottom w:w="100" w:type="dxa"/>
            </w:tcMar>
            <w:vAlign w:val="center"/>
          </w:tcPr>
          <w:p>
            <w:pPr>
              <w:pStyle w:val="TableContents"/>
              <w:bidi w:val="0"/>
              <w:spacing w:before="0" w:after="283"/>
              <w:jc w:val="center"/>
              <w:rPr/>
            </w:pPr>
            <w:r>
              <w:rPr/>
              <w:t>42,617  </w:t>
            </w:r>
          </w:p>
        </w:tc>
        <w:tc>
          <w:tcPr>
            <w:tcW w:w="34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3868" w:type="dxa"/>
            <w:gridSpan w:val="5"/>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Ms. Ruggles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3120" w:type="dxa"/>
            <w:tcBorders>
              <w:bottom w:val="single" w:sz="6" w:space="0" w:color="000000"/>
            </w:tcBorders>
            <w:tcMar>
              <w:bottom w:w="100" w:type="dxa"/>
            </w:tcMar>
            <w:vAlign w:val="center"/>
          </w:tcPr>
          <w:p>
            <w:pPr>
              <w:pStyle w:val="TableContents"/>
              <w:bidi w:val="0"/>
              <w:spacing w:before="0" w:after="283"/>
              <w:jc w:val="center"/>
              <w:rPr/>
            </w:pPr>
            <w:r>
              <w:rPr/>
              <w:t>7,137  </w:t>
            </w:r>
          </w:p>
        </w:tc>
        <w:tc>
          <w:tcPr>
            <w:tcW w:w="34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3868" w:type="dxa"/>
            <w:gridSpan w:val="5"/>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Mr. Saint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3120" w:type="dxa"/>
            <w:tcBorders>
              <w:bottom w:val="single" w:sz="6" w:space="0" w:color="000000"/>
            </w:tcBorders>
            <w:tcMar>
              <w:bottom w:w="100" w:type="dxa"/>
            </w:tcMar>
            <w:vAlign w:val="center"/>
          </w:tcPr>
          <w:p>
            <w:pPr>
              <w:pStyle w:val="TableContents"/>
              <w:bidi w:val="0"/>
              <w:spacing w:before="0" w:after="283"/>
              <w:jc w:val="center"/>
              <w:rPr/>
            </w:pPr>
            <w:r>
              <w:rPr/>
              <w:t>7,137  </w:t>
            </w:r>
          </w:p>
        </w:tc>
        <w:tc>
          <w:tcPr>
            <w:tcW w:w="34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3868" w:type="dxa"/>
            <w:gridSpan w:val="5"/>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Mr. Simuro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3120" w:type="dxa"/>
            <w:tcBorders>
              <w:bottom w:val="single" w:sz="6" w:space="0" w:color="000000"/>
            </w:tcBorders>
            <w:tcMar>
              <w:bottom w:w="100" w:type="dxa"/>
            </w:tcMar>
            <w:vAlign w:val="center"/>
          </w:tcPr>
          <w:p>
            <w:pPr>
              <w:pStyle w:val="TableContents"/>
              <w:bidi w:val="0"/>
              <w:spacing w:before="0" w:after="283"/>
              <w:jc w:val="center"/>
              <w:rPr/>
            </w:pPr>
            <w:r>
              <w:rPr/>
              <w:t>12,473  </w:t>
            </w:r>
          </w:p>
        </w:tc>
        <w:tc>
          <w:tcPr>
            <w:tcW w:w="34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59"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34" descr=""/>
                          <pic:cNvPicPr>
                            <a:picLocks noChangeAspect="1" noChangeArrowheads="1"/>
                          </pic:cNvPicPr>
                        </pic:nvPicPr>
                        <pic:blipFill>
                          <a:blip r:embed="rId34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50" w:name="tx903159_115"/>
      <w:bookmarkStart w:id="51" w:name="toc903159_36"/>
      <w:bookmarkEnd w:id="50"/>
      <w:bookmarkEnd w:id="51"/>
      <w:r>
        <w:rPr>
          <w:rFonts w:ascii="ARIAL" w:hAnsi="ARIAL"/>
          <w:b/>
          <w:sz w:val="24"/>
        </w:rPr>
        <w:t xml:space="preserve">Option Exercises and Stock Vested in 2025 </w:t>
      </w:r>
    </w:p>
    <w:p>
      <w:pPr>
        <w:pStyle w:val="TextBody"/>
        <w:bidi w:val="0"/>
        <w:spacing w:before="80" w:after="0"/>
        <w:jc w:val="left"/>
        <w:rPr>
          <w:rFonts w:ascii="ARIAL" w:hAnsi="ARIAL"/>
          <w:sz w:val="18"/>
        </w:rPr>
      </w:pPr>
      <w:r>
        <w:rPr>
          <w:rFonts w:ascii="ARIAL" w:hAnsi="ARIAL"/>
          <w:sz w:val="18"/>
        </w:rPr>
        <w:t xml:space="preserve">The following Option Exercises and Stock Vested table provides information about the value realized by the NEOs upon option award exercises and stock award vesting during the year ended December 31, 2025. </w:t>
      </w:r>
    </w:p>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1595"/>
        <w:gridCol w:w="23"/>
        <w:gridCol w:w="67"/>
        <w:gridCol w:w="178"/>
        <w:gridCol w:w="780"/>
        <w:gridCol w:w="180"/>
        <w:gridCol w:w="57"/>
        <w:gridCol w:w="62"/>
        <w:gridCol w:w="167"/>
        <w:gridCol w:w="731"/>
        <w:gridCol w:w="185"/>
        <w:gridCol w:w="23"/>
        <w:gridCol w:w="60"/>
        <w:gridCol w:w="23"/>
        <w:gridCol w:w="29"/>
        <w:gridCol w:w="76"/>
        <w:gridCol w:w="1022"/>
        <w:gridCol w:w="78"/>
        <w:gridCol w:w="23"/>
        <w:gridCol w:w="23"/>
        <w:gridCol w:w="60"/>
        <w:gridCol w:w="1505"/>
        <w:gridCol w:w="60"/>
        <w:gridCol w:w="23"/>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0054BA" w:val="clear"/>
            <w:vAlign w:val="center"/>
          </w:tcPr>
          <w:p>
            <w:pPr>
              <w:pStyle w:val="TableContents"/>
              <w:bidi w:val="0"/>
              <w:spacing w:before="0" w:after="283"/>
              <w:jc w:val="left"/>
              <w:rPr>
                <w:sz w:val="4"/>
                <w:szCs w:val="4"/>
              </w:rPr>
            </w:pPr>
            <w:r>
              <w:rPr>
                <w:sz w:val="4"/>
                <w:szCs w:val="4"/>
              </w:rPr>
            </w:r>
          </w:p>
        </w:tc>
        <w:tc>
          <w:tcPr>
            <w:tcW w:w="2430" w:type="dxa"/>
            <w:gridSpan w:val="10"/>
            <w:tcBorders/>
            <w:shd w:fill="0054BA" w:val="clear"/>
            <w:vAlign w:val="center"/>
          </w:tcPr>
          <w:p>
            <w:pPr>
              <w:pStyle w:val="TableContents"/>
              <w:bidi w:val="0"/>
              <w:spacing w:before="0" w:after="283"/>
              <w:jc w:val="left"/>
              <w:rPr>
                <w:sz w:val="4"/>
                <w:szCs w:val="4"/>
              </w:rPr>
            </w:pPr>
            <w:r>
              <w:rPr>
                <w:sz w:val="4"/>
                <w:szCs w:val="4"/>
              </w:rPr>
            </w:r>
          </w:p>
        </w:tc>
        <w:tc>
          <w:tcPr>
            <w:tcW w:w="83" w:type="dxa"/>
            <w:gridSpan w:val="2"/>
            <w:tcBorders/>
            <w:shd w:fill="0054BA" w:val="clear"/>
            <w:vAlign w:val="center"/>
          </w:tcPr>
          <w:p>
            <w:pPr>
              <w:pStyle w:val="TableContents"/>
              <w:bidi w:val="0"/>
              <w:spacing w:before="0" w:after="283"/>
              <w:jc w:val="left"/>
              <w:rPr>
                <w:sz w:val="4"/>
                <w:szCs w:val="4"/>
              </w:rPr>
            </w:pPr>
            <w:r>
              <w:rPr>
                <w:sz w:val="4"/>
                <w:szCs w:val="4"/>
              </w:rPr>
            </w:r>
          </w:p>
        </w:tc>
        <w:tc>
          <w:tcPr>
            <w:tcW w:w="2899" w:type="dxa"/>
            <w:gridSpan w:val="10"/>
            <w:tcBorders/>
            <w:shd w:fill="0054BA" w:val="clear"/>
            <w:vAlign w:val="center"/>
          </w:tcPr>
          <w:p>
            <w:pPr>
              <w:pStyle w:val="TableContents"/>
              <w:bidi w:val="0"/>
              <w:spacing w:before="0" w:after="283"/>
              <w:jc w:val="left"/>
              <w:rPr>
                <w:sz w:val="4"/>
                <w:szCs w:val="4"/>
              </w:rPr>
            </w:pPr>
            <w:r>
              <w:rPr>
                <w:sz w:val="4"/>
                <w:szCs w:val="4"/>
              </w:rPr>
            </w:r>
          </w:p>
        </w:tc>
        <w:tc>
          <w:tcPr>
            <w:tcW w:w="98"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1595" w:type="dxa"/>
            <w:vMerge w:val="restart"/>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2407" w:type="dxa"/>
            <w:gridSpan w:val="9"/>
            <w:tcBorders>
              <w:bottom w:val="single" w:sz="6" w:space="0" w:color="FFFFFF"/>
            </w:tcBorders>
            <w:shd w:fill="0054BA" w:val="clear"/>
            <w:tcMar>
              <w:bottom w:w="60" w:type="dxa"/>
            </w:tcMar>
            <w:vAlign w:val="center"/>
          </w:tcPr>
          <w:p>
            <w:pPr>
              <w:pStyle w:val="TableContents"/>
              <w:bidi w:val="0"/>
              <w:spacing w:before="0" w:after="283"/>
              <w:jc w:val="center"/>
              <w:rPr>
                <w:b/>
                <w:color w:val="FFFFFF"/>
              </w:rPr>
            </w:pPr>
            <w:r>
              <w:rPr>
                <w:b/>
                <w:color w:val="FFFFFF"/>
              </w:rPr>
              <w:t>OPTION AWARDS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6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2876" w:type="dxa"/>
            <w:gridSpan w:val="9"/>
            <w:tcBorders>
              <w:bottom w:val="single" w:sz="6" w:space="0" w:color="FFFFFF"/>
            </w:tcBorders>
            <w:shd w:fill="0054BA" w:val="clear"/>
            <w:tcMar>
              <w:bottom w:w="60" w:type="dxa"/>
            </w:tcMar>
            <w:vAlign w:val="center"/>
          </w:tcPr>
          <w:p>
            <w:pPr>
              <w:pStyle w:val="TableContents"/>
              <w:bidi w:val="0"/>
              <w:spacing w:before="0" w:after="283"/>
              <w:jc w:val="center"/>
              <w:rPr>
                <w:b/>
                <w:color w:val="FFFFFF"/>
              </w:rPr>
            </w:pPr>
            <w:r>
              <w:rPr>
                <w:b/>
                <w:color w:val="FFFFFF"/>
              </w:rPr>
              <w:t>STOCK AWARDS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r>
      <w:tr>
        <w:trPr/>
        <w:tc>
          <w:tcPr>
            <w:tcW w:w="1595" w:type="dxa"/>
            <w:vMerge w:val="continue"/>
            <w:tcBorders/>
            <w:shd w:fill="0054BA" w:val="clear"/>
            <w:vAlign w:val="center"/>
          </w:tcPr>
          <w:p>
            <w:pPr>
              <w:pStyle w:val="Normal"/>
              <w:bidi w:val="0"/>
              <w:jc w:val="left"/>
              <w:rPr/>
            </w:pPr>
            <w:r>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05"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SHARES</w:t>
            </w:r>
          </w:p>
          <w:p>
            <w:pPr>
              <w:pStyle w:val="TableContents"/>
              <w:bidi w:val="0"/>
              <w:spacing w:before="0" w:after="0"/>
              <w:jc w:val="center"/>
              <w:rPr>
                <w:rFonts w:ascii="ARIAL" w:hAnsi="ARIAL"/>
                <w:b/>
                <w:color w:val="FFFFFF"/>
                <w:sz w:val="16"/>
              </w:rPr>
            </w:pPr>
            <w:r>
              <w:rPr>
                <w:rFonts w:ascii="ARIAL" w:hAnsi="ARIAL"/>
                <w:b/>
                <w:color w:val="FFFFFF"/>
                <w:sz w:val="16"/>
              </w:rPr>
              <w:t>ACQUIRED ON</w:t>
            </w:r>
          </w:p>
          <w:p>
            <w:pPr>
              <w:pStyle w:val="TableContents"/>
              <w:bidi w:val="0"/>
              <w:spacing w:before="0" w:after="0"/>
              <w:jc w:val="center"/>
              <w:rPr>
                <w:rFonts w:ascii="ARIAL" w:hAnsi="ARIAL"/>
                <w:b/>
                <w:color w:val="FFFFFF"/>
                <w:sz w:val="16"/>
              </w:rPr>
            </w:pPr>
            <w:r>
              <w:rPr>
                <w:rFonts w:ascii="ARIAL" w:hAnsi="ARIAL"/>
                <w:b/>
                <w:color w:val="FFFFFF"/>
                <w:sz w:val="16"/>
              </w:rPr>
              <w:t>EXERCISE</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57" w:type="dxa"/>
            <w:tcBorders/>
            <w:shd w:fill="0054BA" w:val="clear"/>
            <w:vAlign w:val="center"/>
          </w:tcPr>
          <w:p>
            <w:pPr>
              <w:pStyle w:val="TableContents"/>
              <w:bidi w:val="0"/>
              <w:spacing w:before="0" w:after="283"/>
              <w:jc w:val="left"/>
              <w:rPr>
                <w:sz w:val="4"/>
                <w:szCs w:val="4"/>
              </w:rPr>
            </w:pPr>
            <w:r>
              <w:rPr>
                <w:sz w:val="4"/>
                <w:szCs w:val="4"/>
              </w:rPr>
            </w:r>
          </w:p>
        </w:tc>
        <w:tc>
          <w:tcPr>
            <w:tcW w:w="1145"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VALUE</w:t>
            </w:r>
          </w:p>
          <w:p>
            <w:pPr>
              <w:pStyle w:val="TableContents"/>
              <w:bidi w:val="0"/>
              <w:spacing w:before="0" w:after="0"/>
              <w:jc w:val="center"/>
              <w:rPr>
                <w:rFonts w:ascii="ARIAL" w:hAnsi="ARIAL"/>
                <w:b/>
                <w:color w:val="FFFFFF"/>
                <w:sz w:val="16"/>
              </w:rPr>
            </w:pPr>
            <w:r>
              <w:rPr>
                <w:rFonts w:ascii="ARIAL" w:hAnsi="ARIAL"/>
                <w:b/>
                <w:color w:val="FFFFFF"/>
                <w:sz w:val="16"/>
              </w:rPr>
              <w:t>REALIZED ON</w:t>
            </w:r>
          </w:p>
          <w:p>
            <w:pPr>
              <w:pStyle w:val="TableContents"/>
              <w:bidi w:val="0"/>
              <w:spacing w:before="0" w:after="0"/>
              <w:jc w:val="center"/>
              <w:rPr>
                <w:rFonts w:ascii="ARIAL" w:hAnsi="ARIAL"/>
                <w:b/>
                <w:color w:val="FFFFFF"/>
                <w:sz w:val="16"/>
              </w:rPr>
            </w:pPr>
            <w:r>
              <w:rPr>
                <w:rFonts w:ascii="ARIAL" w:hAnsi="ARIAL"/>
                <w:b/>
                <w:color w:val="FFFFFF"/>
                <w:sz w:val="16"/>
              </w:rPr>
              <w:t>EXERCISE</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6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05"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SHARES</w:t>
            </w:r>
          </w:p>
          <w:p>
            <w:pPr>
              <w:pStyle w:val="TableContents"/>
              <w:bidi w:val="0"/>
              <w:spacing w:before="0" w:after="0"/>
              <w:jc w:val="center"/>
              <w:rPr>
                <w:rFonts w:ascii="ARIAL" w:hAnsi="ARIAL"/>
                <w:b/>
                <w:color w:val="FFFFFF"/>
                <w:sz w:val="16"/>
              </w:rPr>
            </w:pPr>
            <w:r>
              <w:rPr>
                <w:rFonts w:ascii="ARIAL" w:hAnsi="ARIAL"/>
                <w:b/>
                <w:color w:val="FFFFFF"/>
                <w:sz w:val="16"/>
              </w:rPr>
              <w:t>ACQUIRED ON</w:t>
            </w:r>
          </w:p>
          <w:p>
            <w:pPr>
              <w:pStyle w:val="TableContents"/>
              <w:bidi w:val="0"/>
              <w:spacing w:before="0" w:after="0"/>
              <w:jc w:val="center"/>
              <w:rPr>
                <w:rFonts w:ascii="ARIAL" w:hAnsi="ARIAL"/>
                <w:b/>
                <w:color w:val="FFFFFF"/>
                <w:sz w:val="16"/>
              </w:rPr>
            </w:pPr>
            <w:r>
              <w:rPr>
                <w:rFonts w:ascii="ARIAL" w:hAnsi="ARIAL"/>
                <w:b/>
                <w:color w:val="FFFFFF"/>
                <w:sz w:val="16"/>
              </w:rPr>
              <w:t>VESTING</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648"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VALUE  </w:t>
            </w:r>
          </w:p>
          <w:p>
            <w:pPr>
              <w:pStyle w:val="TableContents"/>
              <w:bidi w:val="0"/>
              <w:spacing w:before="0" w:after="0"/>
              <w:jc w:val="center"/>
              <w:rPr>
                <w:rFonts w:ascii="ARIAL" w:hAnsi="ARIAL"/>
                <w:b/>
                <w:color w:val="FFFFFF"/>
                <w:sz w:val="16"/>
              </w:rPr>
            </w:pPr>
            <w:r>
              <w:rPr>
                <w:rFonts w:ascii="ARIAL" w:hAnsi="ARIAL"/>
                <w:b/>
                <w:color w:val="FFFFFF"/>
                <w:sz w:val="16"/>
              </w:rPr>
              <w:t>REALIZED ON  </w:t>
            </w:r>
          </w:p>
          <w:p>
            <w:pPr>
              <w:pStyle w:val="TableContents"/>
              <w:bidi w:val="0"/>
              <w:spacing w:before="0" w:after="0"/>
              <w:jc w:val="center"/>
              <w:rPr>
                <w:rFonts w:ascii="ARIAL" w:hAnsi="ARIAL"/>
                <w:b/>
                <w:color w:val="FFFFFF"/>
                <w:sz w:val="16"/>
              </w:rPr>
            </w:pPr>
            <w:r>
              <w:rPr>
                <w:rFonts w:ascii="ARIAL" w:hAnsi="ARIAL"/>
                <w:b/>
                <w:color w:val="FFFFFF"/>
                <w:sz w:val="16"/>
              </w:rPr>
              <w:t>VESTING(1)  </w:t>
            </w:r>
          </w:p>
          <w:p>
            <w:pPr>
              <w:pStyle w:val="TableContents"/>
              <w:bidi w:val="0"/>
              <w:spacing w:before="0" w:after="20"/>
              <w:jc w:val="center"/>
              <w:rPr>
                <w:rFonts w:ascii="ARIAL" w:hAnsi="ARIAL"/>
                <w:b/>
                <w:color w:val="FFFFFF"/>
                <w:sz w:val="16"/>
              </w:rPr>
            </w:pPr>
            <w:r>
              <w:rPr>
                <w:rFonts w:ascii="ARIAL" w:hAnsi="ARIAL"/>
                <w:b/>
                <w:color w:val="FFFFFF"/>
                <w:sz w:val="16"/>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5"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20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671"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000000"/>
            </w:tcBorders>
            <w:tcMar>
              <w:bottom w:w="100" w:type="dxa"/>
            </w:tcMar>
            <w:vAlign w:val="center"/>
          </w:tcPr>
          <w:p>
            <w:pPr>
              <w:pStyle w:val="TableContents"/>
              <w:bidi w:val="0"/>
              <w:spacing w:before="0" w:after="283"/>
              <w:jc w:val="left"/>
              <w:rPr/>
            </w:pPr>
            <w:r>
              <w:rPr/>
              <w:t> </w:t>
            </w:r>
          </w:p>
        </w:tc>
        <w:tc>
          <w:tcPr>
            <w:tcW w:w="780" w:type="dxa"/>
            <w:tcBorders>
              <w:bottom w:val="single" w:sz="6" w:space="0" w:color="000000"/>
            </w:tcBorders>
            <w:tcMar>
              <w:bottom w:w="100" w:type="dxa"/>
            </w:tcMar>
            <w:vAlign w:val="center"/>
          </w:tcPr>
          <w:p>
            <w:pPr>
              <w:pStyle w:val="TableContents"/>
              <w:bidi w:val="0"/>
              <w:spacing w:before="0" w:after="283"/>
              <w:jc w:val="center"/>
              <w:rPr/>
            </w:pPr>
            <w:r>
              <w:rPr/>
              <w:t>—</w:t>
            </w:r>
          </w:p>
        </w:tc>
        <w:tc>
          <w:tcPr>
            <w:tcW w:w="180" w:type="dxa"/>
            <w:tcBorders>
              <w:bottom w:val="single" w:sz="6" w:space="0" w:color="000000"/>
            </w:tcBorders>
            <w:tcMar>
              <w:bottom w:w="100" w:type="dxa"/>
            </w:tcMar>
            <w:vAlign w:val="center"/>
          </w:tcPr>
          <w:p>
            <w:pPr>
              <w:pStyle w:val="TableContents"/>
              <w:bidi w:val="0"/>
              <w:spacing w:before="0" w:after="283"/>
              <w:jc w:val="left"/>
              <w:rPr/>
            </w:pPr>
            <w:r>
              <w:rPr/>
              <w:t> </w:t>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31"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c>
          <w:tcPr>
            <w:tcW w:w="1022" w:type="dxa"/>
            <w:tcBorders>
              <w:bottom w:val="single" w:sz="6" w:space="0" w:color="000000"/>
            </w:tcBorders>
            <w:tcMar>
              <w:bottom w:w="100" w:type="dxa"/>
            </w:tcMar>
            <w:vAlign w:val="center"/>
          </w:tcPr>
          <w:p>
            <w:pPr>
              <w:pStyle w:val="TableContents"/>
              <w:bidi w:val="0"/>
              <w:spacing w:before="0" w:after="283"/>
              <w:jc w:val="center"/>
              <w:rPr/>
            </w:pPr>
            <w:r>
              <w:rPr/>
              <w:t>212,081</w:t>
            </w:r>
          </w:p>
        </w:tc>
        <w:tc>
          <w:tcPr>
            <w:tcW w:w="7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5" w:type="dxa"/>
            <w:tcBorders>
              <w:bottom w:val="single" w:sz="6" w:space="0" w:color="000000"/>
            </w:tcBorders>
            <w:tcMar>
              <w:bottom w:w="100" w:type="dxa"/>
            </w:tcMar>
            <w:vAlign w:val="center"/>
          </w:tcPr>
          <w:p>
            <w:pPr>
              <w:pStyle w:val="TableContents"/>
              <w:bidi w:val="0"/>
              <w:spacing w:before="0" w:after="283"/>
              <w:jc w:val="center"/>
              <w:rPr/>
            </w:pPr>
            <w:r>
              <w:rPr/>
              <w:t>$15,843,488  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20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671"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Christian M. Lown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000000"/>
            </w:tcBorders>
            <w:tcMar>
              <w:bottom w:w="100" w:type="dxa"/>
            </w:tcMar>
            <w:vAlign w:val="center"/>
          </w:tcPr>
          <w:p>
            <w:pPr>
              <w:pStyle w:val="TableContents"/>
              <w:bidi w:val="0"/>
              <w:spacing w:before="0" w:after="283"/>
              <w:jc w:val="left"/>
              <w:rPr/>
            </w:pPr>
            <w:r>
              <w:rPr/>
              <w:t> </w:t>
            </w:r>
          </w:p>
        </w:tc>
        <w:tc>
          <w:tcPr>
            <w:tcW w:w="780" w:type="dxa"/>
            <w:tcBorders>
              <w:bottom w:val="single" w:sz="6" w:space="0" w:color="000000"/>
            </w:tcBorders>
            <w:tcMar>
              <w:bottom w:w="100" w:type="dxa"/>
            </w:tcMar>
            <w:vAlign w:val="center"/>
          </w:tcPr>
          <w:p>
            <w:pPr>
              <w:pStyle w:val="TableContents"/>
              <w:bidi w:val="0"/>
              <w:spacing w:before="0" w:after="283"/>
              <w:jc w:val="center"/>
              <w:rPr/>
            </w:pPr>
            <w:r>
              <w:rPr/>
              <w:t>—</w:t>
            </w:r>
          </w:p>
        </w:tc>
        <w:tc>
          <w:tcPr>
            <w:tcW w:w="180" w:type="dxa"/>
            <w:tcBorders>
              <w:bottom w:val="single" w:sz="6" w:space="0" w:color="000000"/>
            </w:tcBorders>
            <w:tcMar>
              <w:bottom w:w="100" w:type="dxa"/>
            </w:tcMar>
            <w:vAlign w:val="center"/>
          </w:tcPr>
          <w:p>
            <w:pPr>
              <w:pStyle w:val="TableContents"/>
              <w:bidi w:val="0"/>
              <w:spacing w:before="0" w:after="283"/>
              <w:jc w:val="left"/>
              <w:rPr/>
            </w:pPr>
            <w:r>
              <w:rPr/>
              <w:t> </w:t>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31"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c>
          <w:tcPr>
            <w:tcW w:w="1022" w:type="dxa"/>
            <w:tcBorders>
              <w:bottom w:val="single" w:sz="6" w:space="0" w:color="000000"/>
            </w:tcBorders>
            <w:tcMar>
              <w:bottom w:w="100" w:type="dxa"/>
            </w:tcMar>
            <w:vAlign w:val="center"/>
          </w:tcPr>
          <w:p>
            <w:pPr>
              <w:pStyle w:val="TableContents"/>
              <w:bidi w:val="0"/>
              <w:spacing w:before="0" w:after="283"/>
              <w:jc w:val="center"/>
              <w:rPr/>
            </w:pPr>
            <w:r>
              <w:rPr/>
              <w:t>12,407</w:t>
            </w:r>
          </w:p>
        </w:tc>
        <w:tc>
          <w:tcPr>
            <w:tcW w:w="7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5" w:type="dxa"/>
            <w:tcBorders>
              <w:bottom w:val="single" w:sz="6" w:space="0" w:color="000000"/>
            </w:tcBorders>
            <w:tcMar>
              <w:bottom w:w="100" w:type="dxa"/>
            </w:tcMar>
            <w:vAlign w:val="center"/>
          </w:tcPr>
          <w:p>
            <w:pPr>
              <w:pStyle w:val="TableContents"/>
              <w:bidi w:val="0"/>
              <w:spacing w:before="0" w:after="283"/>
              <w:jc w:val="center"/>
              <w:rPr/>
            </w:pPr>
            <w:r>
              <w:rPr/>
              <w:t>$997,523  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20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671"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Lisa C. Ruggles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000000"/>
            </w:tcBorders>
            <w:tcMar>
              <w:bottom w:w="100" w:type="dxa"/>
            </w:tcMar>
            <w:vAlign w:val="center"/>
          </w:tcPr>
          <w:p>
            <w:pPr>
              <w:pStyle w:val="TableContents"/>
              <w:bidi w:val="0"/>
              <w:spacing w:before="0" w:after="283"/>
              <w:jc w:val="left"/>
              <w:rPr/>
            </w:pPr>
            <w:r>
              <w:rPr/>
              <w:t> </w:t>
            </w:r>
          </w:p>
        </w:tc>
        <w:tc>
          <w:tcPr>
            <w:tcW w:w="780" w:type="dxa"/>
            <w:tcBorders>
              <w:bottom w:val="single" w:sz="6" w:space="0" w:color="000000"/>
            </w:tcBorders>
            <w:tcMar>
              <w:bottom w:w="100" w:type="dxa"/>
            </w:tcMar>
            <w:vAlign w:val="center"/>
          </w:tcPr>
          <w:p>
            <w:pPr>
              <w:pStyle w:val="TableContents"/>
              <w:bidi w:val="0"/>
              <w:spacing w:before="0" w:after="283"/>
              <w:jc w:val="center"/>
              <w:rPr/>
            </w:pPr>
            <w:r>
              <w:rPr/>
              <w:t>—</w:t>
            </w:r>
          </w:p>
        </w:tc>
        <w:tc>
          <w:tcPr>
            <w:tcW w:w="180" w:type="dxa"/>
            <w:tcBorders>
              <w:bottom w:val="single" w:sz="6" w:space="0" w:color="000000"/>
            </w:tcBorders>
            <w:tcMar>
              <w:bottom w:w="100" w:type="dxa"/>
            </w:tcMar>
            <w:vAlign w:val="center"/>
          </w:tcPr>
          <w:p>
            <w:pPr>
              <w:pStyle w:val="TableContents"/>
              <w:bidi w:val="0"/>
              <w:spacing w:before="0" w:after="283"/>
              <w:jc w:val="left"/>
              <w:rPr/>
            </w:pPr>
            <w:r>
              <w:rPr/>
              <w:t> </w:t>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31"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c>
          <w:tcPr>
            <w:tcW w:w="1022" w:type="dxa"/>
            <w:tcBorders>
              <w:bottom w:val="single" w:sz="6" w:space="0" w:color="000000"/>
            </w:tcBorders>
            <w:tcMar>
              <w:bottom w:w="100" w:type="dxa"/>
            </w:tcMar>
            <w:vAlign w:val="center"/>
          </w:tcPr>
          <w:p>
            <w:pPr>
              <w:pStyle w:val="TableContents"/>
              <w:bidi w:val="0"/>
              <w:spacing w:before="0" w:after="283"/>
              <w:jc w:val="center"/>
              <w:rPr/>
            </w:pPr>
            <w:r>
              <w:rPr/>
              <w:t>43,016</w:t>
            </w:r>
          </w:p>
        </w:tc>
        <w:tc>
          <w:tcPr>
            <w:tcW w:w="7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5" w:type="dxa"/>
            <w:tcBorders>
              <w:bottom w:val="single" w:sz="6" w:space="0" w:color="000000"/>
            </w:tcBorders>
            <w:tcMar>
              <w:bottom w:w="100" w:type="dxa"/>
            </w:tcMar>
            <w:vAlign w:val="center"/>
          </w:tcPr>
          <w:p>
            <w:pPr>
              <w:pStyle w:val="TableContents"/>
              <w:bidi w:val="0"/>
              <w:spacing w:before="0" w:after="283"/>
              <w:jc w:val="center"/>
              <w:rPr/>
            </w:pPr>
            <w:r>
              <w:rPr/>
              <w:t>$3,218,280  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20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671"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Frederick G. Saint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000000"/>
            </w:tcBorders>
            <w:tcMar>
              <w:bottom w:w="100" w:type="dxa"/>
            </w:tcMar>
            <w:vAlign w:val="center"/>
          </w:tcPr>
          <w:p>
            <w:pPr>
              <w:pStyle w:val="TableContents"/>
              <w:bidi w:val="0"/>
              <w:spacing w:before="0" w:after="283"/>
              <w:jc w:val="left"/>
              <w:rPr/>
            </w:pPr>
            <w:r>
              <w:rPr/>
              <w:t> </w:t>
            </w:r>
          </w:p>
        </w:tc>
        <w:tc>
          <w:tcPr>
            <w:tcW w:w="780" w:type="dxa"/>
            <w:tcBorders>
              <w:bottom w:val="single" w:sz="6" w:space="0" w:color="000000"/>
            </w:tcBorders>
            <w:tcMar>
              <w:bottom w:w="100" w:type="dxa"/>
            </w:tcMar>
            <w:vAlign w:val="center"/>
          </w:tcPr>
          <w:p>
            <w:pPr>
              <w:pStyle w:val="TableContents"/>
              <w:bidi w:val="0"/>
              <w:spacing w:before="0" w:after="283"/>
              <w:jc w:val="center"/>
              <w:rPr/>
            </w:pPr>
            <w:r>
              <w:rPr/>
              <w:t>—</w:t>
            </w:r>
          </w:p>
        </w:tc>
        <w:tc>
          <w:tcPr>
            <w:tcW w:w="180" w:type="dxa"/>
            <w:tcBorders>
              <w:bottom w:val="single" w:sz="6" w:space="0" w:color="000000"/>
            </w:tcBorders>
            <w:tcMar>
              <w:bottom w:w="100" w:type="dxa"/>
            </w:tcMar>
            <w:vAlign w:val="center"/>
          </w:tcPr>
          <w:p>
            <w:pPr>
              <w:pStyle w:val="TableContents"/>
              <w:bidi w:val="0"/>
              <w:spacing w:before="0" w:after="283"/>
              <w:jc w:val="left"/>
              <w:rPr/>
            </w:pPr>
            <w:r>
              <w:rPr/>
              <w:t> </w:t>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31"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c>
          <w:tcPr>
            <w:tcW w:w="1022" w:type="dxa"/>
            <w:tcBorders>
              <w:bottom w:val="single" w:sz="6" w:space="0" w:color="000000"/>
            </w:tcBorders>
            <w:tcMar>
              <w:bottom w:w="100" w:type="dxa"/>
            </w:tcMar>
            <w:vAlign w:val="center"/>
          </w:tcPr>
          <w:p>
            <w:pPr>
              <w:pStyle w:val="TableContents"/>
              <w:bidi w:val="0"/>
              <w:spacing w:before="0" w:after="283"/>
              <w:jc w:val="center"/>
              <w:rPr/>
            </w:pPr>
            <w:r>
              <w:rPr/>
              <w:t>45,802</w:t>
            </w:r>
          </w:p>
        </w:tc>
        <w:tc>
          <w:tcPr>
            <w:tcW w:w="7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5" w:type="dxa"/>
            <w:tcBorders>
              <w:bottom w:val="single" w:sz="6" w:space="0" w:color="000000"/>
            </w:tcBorders>
            <w:tcMar>
              <w:bottom w:w="100" w:type="dxa"/>
            </w:tcMar>
            <w:vAlign w:val="center"/>
          </w:tcPr>
          <w:p>
            <w:pPr>
              <w:pStyle w:val="TableContents"/>
              <w:bidi w:val="0"/>
              <w:spacing w:before="0" w:after="283"/>
              <w:jc w:val="center"/>
              <w:rPr/>
            </w:pPr>
            <w:r>
              <w:rPr/>
              <w:t>$3,486,246  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20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28" w:type="dxa"/>
            <w:gridSpan w:val="5"/>
            <w:tcBorders/>
            <w:vAlign w:val="center"/>
          </w:tcPr>
          <w:p>
            <w:pPr>
              <w:pStyle w:val="TableContents"/>
              <w:bidi w:val="0"/>
              <w:spacing w:before="0" w:after="283"/>
              <w:jc w:val="left"/>
              <w:rPr>
                <w:sz w:val="4"/>
                <w:szCs w:val="4"/>
              </w:rPr>
            </w:pPr>
            <w:r>
              <w:rPr>
                <w:sz w:val="4"/>
                <w:szCs w:val="4"/>
              </w:rPr>
            </w:r>
          </w:p>
        </w:tc>
        <w:tc>
          <w:tcPr>
            <w:tcW w:w="1671" w:type="dxa"/>
            <w:gridSpan w:val="5"/>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Frank A. Simuro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000000"/>
            </w:tcBorders>
            <w:tcMar>
              <w:bottom w:w="100" w:type="dxa"/>
            </w:tcMar>
            <w:vAlign w:val="center"/>
          </w:tcPr>
          <w:p>
            <w:pPr>
              <w:pStyle w:val="TableContents"/>
              <w:bidi w:val="0"/>
              <w:spacing w:before="0" w:after="283"/>
              <w:jc w:val="left"/>
              <w:rPr/>
            </w:pPr>
            <w:r>
              <w:rPr/>
              <w:t> </w:t>
            </w:r>
          </w:p>
        </w:tc>
        <w:tc>
          <w:tcPr>
            <w:tcW w:w="780" w:type="dxa"/>
            <w:tcBorders>
              <w:bottom w:val="single" w:sz="6" w:space="0" w:color="000000"/>
            </w:tcBorders>
            <w:tcMar>
              <w:bottom w:w="100" w:type="dxa"/>
            </w:tcMar>
            <w:vAlign w:val="center"/>
          </w:tcPr>
          <w:p>
            <w:pPr>
              <w:pStyle w:val="TableContents"/>
              <w:bidi w:val="0"/>
              <w:spacing w:before="0" w:after="283"/>
              <w:jc w:val="center"/>
              <w:rPr/>
            </w:pPr>
            <w:r>
              <w:rPr/>
              <w:t>—</w:t>
            </w:r>
          </w:p>
        </w:tc>
        <w:tc>
          <w:tcPr>
            <w:tcW w:w="180" w:type="dxa"/>
            <w:tcBorders>
              <w:bottom w:val="single" w:sz="6" w:space="0" w:color="000000"/>
            </w:tcBorders>
            <w:tcMar>
              <w:bottom w:w="100" w:type="dxa"/>
            </w:tcMar>
            <w:vAlign w:val="center"/>
          </w:tcPr>
          <w:p>
            <w:pPr>
              <w:pStyle w:val="TableContents"/>
              <w:bidi w:val="0"/>
              <w:spacing w:before="0" w:after="283"/>
              <w:jc w:val="left"/>
              <w:rPr/>
            </w:pPr>
            <w:r>
              <w:rPr/>
              <w:t> </w:t>
            </w:r>
          </w:p>
        </w:tc>
        <w:tc>
          <w:tcPr>
            <w:tcW w:w="5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0000"/>
            </w:tcBorders>
            <w:tcMar>
              <w:bottom w:w="100" w:type="dxa"/>
            </w:tcMar>
            <w:vAlign w:val="center"/>
          </w:tcPr>
          <w:p>
            <w:pPr>
              <w:pStyle w:val="TableContents"/>
              <w:bidi w:val="0"/>
              <w:spacing w:before="0" w:after="283"/>
              <w:jc w:val="left"/>
              <w:rPr/>
            </w:pPr>
            <w:r>
              <w:rPr/>
              <w:t> </w:t>
            </w:r>
          </w:p>
        </w:tc>
        <w:tc>
          <w:tcPr>
            <w:tcW w:w="731" w:type="dxa"/>
            <w:tcBorders>
              <w:bottom w:val="single" w:sz="6" w:space="0" w:color="000000"/>
            </w:tcBorders>
            <w:tcMar>
              <w:bottom w:w="100" w:type="dxa"/>
            </w:tcMar>
            <w:vAlign w:val="center"/>
          </w:tcPr>
          <w:p>
            <w:pPr>
              <w:pStyle w:val="TableContents"/>
              <w:bidi w:val="0"/>
              <w:spacing w:before="0" w:after="283"/>
              <w:jc w:val="center"/>
              <w:rPr/>
            </w:pPr>
            <w:r>
              <w:rPr/>
              <w:t>$0</w:t>
            </w:r>
          </w:p>
        </w:tc>
        <w:tc>
          <w:tcPr>
            <w:tcW w:w="185"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c>
          <w:tcPr>
            <w:tcW w:w="1022" w:type="dxa"/>
            <w:tcBorders>
              <w:bottom w:val="single" w:sz="6" w:space="0" w:color="000000"/>
            </w:tcBorders>
            <w:tcMar>
              <w:bottom w:w="100" w:type="dxa"/>
            </w:tcMar>
            <w:vAlign w:val="center"/>
          </w:tcPr>
          <w:p>
            <w:pPr>
              <w:pStyle w:val="TableContents"/>
              <w:bidi w:val="0"/>
              <w:spacing w:before="0" w:after="283"/>
              <w:jc w:val="center"/>
              <w:rPr/>
            </w:pPr>
            <w:r>
              <w:rPr/>
              <w:t>64,152</w:t>
            </w:r>
          </w:p>
        </w:tc>
        <w:tc>
          <w:tcPr>
            <w:tcW w:w="78"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505" w:type="dxa"/>
            <w:tcBorders>
              <w:bottom w:val="single" w:sz="6" w:space="0" w:color="000000"/>
            </w:tcBorders>
            <w:tcMar>
              <w:bottom w:w="100" w:type="dxa"/>
            </w:tcMar>
            <w:vAlign w:val="center"/>
          </w:tcPr>
          <w:p>
            <w:pPr>
              <w:pStyle w:val="TableContents"/>
              <w:bidi w:val="0"/>
              <w:spacing w:before="0" w:after="283"/>
              <w:jc w:val="center"/>
              <w:rPr/>
            </w:pPr>
            <w:r>
              <w:rPr/>
              <w:t>$4,828,033  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i/>
              </w:rPr>
            </w:pPr>
            <w:r>
              <w:rPr>
                <w:i/>
              </w:rPr>
              <w:t>(1) </w:t>
            </w:r>
          </w:p>
        </w:tc>
        <w:tc>
          <w:tcPr>
            <w:tcW w:w="9875" w:type="dxa"/>
            <w:tcBorders/>
            <w:vAlign w:val="center"/>
          </w:tcPr>
          <w:p>
            <w:pPr>
              <w:pStyle w:val="TableContents"/>
              <w:bidi w:val="0"/>
              <w:spacing w:before="0" w:after="0"/>
              <w:jc w:val="left"/>
              <w:rPr>
                <w:rFonts w:ascii="ARIAL" w:hAnsi="ARIAL"/>
                <w:i/>
                <w:sz w:val="16"/>
              </w:rPr>
            </w:pPr>
            <w:r>
              <w:rPr>
                <w:rFonts w:ascii="ARIAL" w:hAnsi="ARIAL"/>
                <w:i/>
                <w:sz w:val="16"/>
              </w:rPr>
              <w:t xml:space="preserve">Reflects the product of the number of shares acquired upon vesting multiplied by the closing price of our common stock on the trading day immediately preceding the vesting date. </w:t>
            </w:r>
          </w:p>
        </w:tc>
      </w:tr>
    </w:tbl>
    <w:p>
      <w:pPr>
        <w:pStyle w:val="TextBody"/>
        <w:bidi w:val="0"/>
        <w:spacing w:before="360" w:after="0"/>
        <w:jc w:val="left"/>
        <w:rPr>
          <w:rFonts w:ascii="ARIAL" w:hAnsi="ARIAL"/>
          <w:b/>
          <w:sz w:val="24"/>
        </w:rPr>
      </w:pPr>
      <w:bookmarkStart w:id="52" w:name="tx903159_116"/>
      <w:bookmarkStart w:id="53" w:name="toc903159_37"/>
      <w:bookmarkEnd w:id="52"/>
      <w:bookmarkEnd w:id="53"/>
      <w:r>
        <w:rPr>
          <w:rFonts w:ascii="ARIAL" w:hAnsi="ARIAL"/>
          <w:b/>
          <w:sz w:val="24"/>
        </w:rPr>
        <w:t xml:space="preserve">Non-Qualified Deferred Compensation in 2025 </w:t>
      </w:r>
    </w:p>
    <w:p>
      <w:pPr>
        <w:pStyle w:val="TextBody"/>
        <w:bidi w:val="0"/>
        <w:spacing w:before="0" w:after="0"/>
        <w:jc w:val="left"/>
        <w:rPr/>
      </w:pPr>
      <w:r>
        <w:rPr/>
        <w:t> </w:t>
      </w:r>
    </w:p>
    <w:tbl>
      <w:tblPr>
        <w:tblW w:w="8701" w:type="dxa"/>
        <w:jc w:val="left"/>
        <w:tblInd w:w="0" w:type="dxa"/>
        <w:tblLayout w:type="fixed"/>
        <w:tblCellMar>
          <w:top w:w="0" w:type="dxa"/>
          <w:left w:w="0" w:type="dxa"/>
          <w:bottom w:w="0" w:type="dxa"/>
          <w:right w:w="0" w:type="dxa"/>
        </w:tblCellMar>
      </w:tblPr>
      <w:tblGrid>
        <w:gridCol w:w="1595"/>
        <w:gridCol w:w="23"/>
        <w:gridCol w:w="26"/>
        <w:gridCol w:w="68"/>
        <w:gridCol w:w="1252"/>
        <w:gridCol w:w="69"/>
        <w:gridCol w:w="23"/>
        <w:gridCol w:w="80"/>
        <w:gridCol w:w="210"/>
        <w:gridCol w:w="912"/>
        <w:gridCol w:w="213"/>
        <w:gridCol w:w="23"/>
        <w:gridCol w:w="62"/>
        <w:gridCol w:w="163"/>
        <w:gridCol w:w="709"/>
        <w:gridCol w:w="166"/>
        <w:gridCol w:w="23"/>
        <w:gridCol w:w="29"/>
        <w:gridCol w:w="79"/>
        <w:gridCol w:w="1328"/>
        <w:gridCol w:w="82"/>
        <w:gridCol w:w="23"/>
        <w:gridCol w:w="23"/>
        <w:gridCol w:w="60"/>
        <w:gridCol w:w="1385"/>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0054BA" w:val="clear"/>
            <w:vAlign w:val="center"/>
          </w:tcPr>
          <w:p>
            <w:pPr>
              <w:pStyle w:val="TableContents"/>
              <w:bidi w:val="0"/>
              <w:spacing w:before="0" w:after="283"/>
              <w:jc w:val="left"/>
              <w:rPr>
                <w:sz w:val="4"/>
                <w:szCs w:val="4"/>
              </w:rPr>
            </w:pPr>
            <w:r>
              <w:rPr>
                <w:sz w:val="4"/>
                <w:szCs w:val="4"/>
              </w:rPr>
            </w:r>
          </w:p>
        </w:tc>
        <w:tc>
          <w:tcPr>
            <w:tcW w:w="1438" w:type="dxa"/>
            <w:gridSpan w:val="5"/>
            <w:tcBorders/>
            <w:shd w:fill="0054BA" w:val="clear"/>
            <w:vAlign w:val="center"/>
          </w:tcPr>
          <w:p>
            <w:pPr>
              <w:pStyle w:val="TableContents"/>
              <w:bidi w:val="0"/>
              <w:spacing w:before="0" w:after="283"/>
              <w:jc w:val="left"/>
              <w:rPr>
                <w:sz w:val="4"/>
                <w:szCs w:val="4"/>
              </w:rPr>
            </w:pPr>
            <w:r>
              <w:rPr>
                <w:sz w:val="4"/>
                <w:szCs w:val="4"/>
              </w:rPr>
            </w:r>
          </w:p>
        </w:tc>
        <w:tc>
          <w:tcPr>
            <w:tcW w:w="1438" w:type="dxa"/>
            <w:gridSpan w:val="5"/>
            <w:tcBorders/>
            <w:shd w:fill="0054BA" w:val="clear"/>
            <w:vAlign w:val="center"/>
          </w:tcPr>
          <w:p>
            <w:pPr>
              <w:pStyle w:val="TableContents"/>
              <w:bidi w:val="0"/>
              <w:spacing w:before="0" w:after="283"/>
              <w:jc w:val="left"/>
              <w:rPr>
                <w:sz w:val="4"/>
                <w:szCs w:val="4"/>
              </w:rPr>
            </w:pPr>
            <w:r>
              <w:rPr>
                <w:sz w:val="4"/>
                <w:szCs w:val="4"/>
              </w:rPr>
            </w:r>
          </w:p>
        </w:tc>
        <w:tc>
          <w:tcPr>
            <w:tcW w:w="1123" w:type="dxa"/>
            <w:gridSpan w:val="5"/>
            <w:tcBorders/>
            <w:shd w:fill="0054BA" w:val="clear"/>
            <w:vAlign w:val="center"/>
          </w:tcPr>
          <w:p>
            <w:pPr>
              <w:pStyle w:val="TableContents"/>
              <w:bidi w:val="0"/>
              <w:spacing w:before="0" w:after="283"/>
              <w:jc w:val="left"/>
              <w:rPr>
                <w:sz w:val="4"/>
                <w:szCs w:val="4"/>
              </w:rPr>
            </w:pPr>
            <w:r>
              <w:rPr>
                <w:sz w:val="4"/>
                <w:szCs w:val="4"/>
              </w:rPr>
            </w:r>
          </w:p>
        </w:tc>
        <w:tc>
          <w:tcPr>
            <w:tcW w:w="1541" w:type="dxa"/>
            <w:gridSpan w:val="5"/>
            <w:tcBorders/>
            <w:shd w:fill="0054BA" w:val="clear"/>
            <w:vAlign w:val="center"/>
          </w:tcPr>
          <w:p>
            <w:pPr>
              <w:pStyle w:val="TableContents"/>
              <w:bidi w:val="0"/>
              <w:spacing w:before="0" w:after="283"/>
              <w:jc w:val="left"/>
              <w:rPr>
                <w:sz w:val="4"/>
                <w:szCs w:val="4"/>
              </w:rPr>
            </w:pPr>
            <w:r>
              <w:rPr>
                <w:sz w:val="4"/>
                <w:szCs w:val="4"/>
              </w:rPr>
            </w:r>
          </w:p>
        </w:tc>
        <w:tc>
          <w:tcPr>
            <w:tcW w:w="1566"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595"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15"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EXECUTIVE</w:t>
            </w:r>
          </w:p>
          <w:p>
            <w:pPr>
              <w:pStyle w:val="TableContents"/>
              <w:bidi w:val="0"/>
              <w:spacing w:before="0" w:after="0"/>
              <w:jc w:val="center"/>
              <w:rPr>
                <w:rFonts w:ascii="ARIAL" w:hAnsi="ARIAL"/>
                <w:b/>
                <w:color w:val="FFFFFF"/>
                <w:sz w:val="16"/>
              </w:rPr>
            </w:pPr>
            <w:r>
              <w:rPr>
                <w:rFonts w:ascii="ARIAL" w:hAnsi="ARIAL"/>
                <w:b/>
                <w:color w:val="FFFFFF"/>
                <w:sz w:val="16"/>
              </w:rPr>
              <w:t>CONTRIBUTIONS</w:t>
            </w:r>
          </w:p>
          <w:p>
            <w:pPr>
              <w:pStyle w:val="TableContents"/>
              <w:bidi w:val="0"/>
              <w:spacing w:before="0" w:after="0"/>
              <w:jc w:val="center"/>
              <w:rPr>
                <w:rFonts w:ascii="ARIAL" w:hAnsi="ARIAL"/>
                <w:b/>
                <w:color w:val="FFFFFF"/>
                <w:sz w:val="16"/>
              </w:rPr>
            </w:pPr>
            <w:r>
              <w:rPr>
                <w:rFonts w:ascii="ARIAL" w:hAnsi="ARIAL"/>
                <w:b/>
                <w:color w:val="FFFFFF"/>
                <w:sz w:val="16"/>
              </w:rPr>
              <w:t>IN LAST FISCAL</w:t>
            </w:r>
          </w:p>
          <w:p>
            <w:pPr>
              <w:pStyle w:val="TableContents"/>
              <w:bidi w:val="0"/>
              <w:spacing w:before="0" w:after="0"/>
              <w:jc w:val="center"/>
              <w:rPr>
                <w:rFonts w:ascii="ARIAL" w:hAnsi="ARIAL"/>
                <w:b/>
                <w:color w:val="FFFFFF"/>
                <w:sz w:val="16"/>
              </w:rPr>
            </w:pPr>
            <w:r>
              <w:rPr>
                <w:rFonts w:ascii="ARIAL" w:hAnsi="ARIAL"/>
                <w:b/>
                <w:color w:val="FFFFFF"/>
                <w:sz w:val="16"/>
              </w:rPr>
              <w:t>YEAR</w:t>
            </w:r>
          </w:p>
          <w:p>
            <w:pPr>
              <w:pStyle w:val="TableContents"/>
              <w:bidi w:val="0"/>
              <w:spacing w:before="0" w:after="20"/>
              <w:jc w:val="center"/>
              <w:rPr>
                <w:rFonts w:ascii="ARIAL" w:hAnsi="ARIAL"/>
                <w:b/>
                <w:color w:val="FFFFFF"/>
                <w:sz w:val="16"/>
              </w:rPr>
            </w:pPr>
            <w:r>
              <w:rPr>
                <w:rFonts w:ascii="ARIAL" w:hAnsi="ARIAL"/>
                <w:b/>
                <w:color w:val="FFFFFF"/>
                <w:sz w:val="16"/>
              </w:rPr>
              <w:t xml:space="preserve">($)(1)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15"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REGISTRANT</w:t>
            </w:r>
          </w:p>
          <w:p>
            <w:pPr>
              <w:pStyle w:val="TableContents"/>
              <w:bidi w:val="0"/>
              <w:spacing w:before="0" w:after="0"/>
              <w:jc w:val="center"/>
              <w:rPr>
                <w:rFonts w:ascii="ARIAL" w:hAnsi="ARIAL"/>
                <w:b/>
                <w:color w:val="FFFFFF"/>
                <w:sz w:val="16"/>
              </w:rPr>
            </w:pPr>
            <w:r>
              <w:rPr>
                <w:rFonts w:ascii="ARIAL" w:hAnsi="ARIAL"/>
                <w:b/>
                <w:color w:val="FFFFFF"/>
                <w:sz w:val="16"/>
              </w:rPr>
              <w:t>CONTRIBUTIONS</w:t>
            </w:r>
          </w:p>
          <w:p>
            <w:pPr>
              <w:pStyle w:val="TableContents"/>
              <w:bidi w:val="0"/>
              <w:spacing w:before="0" w:after="0"/>
              <w:jc w:val="center"/>
              <w:rPr>
                <w:rFonts w:ascii="ARIAL" w:hAnsi="ARIAL"/>
                <w:b/>
                <w:color w:val="FFFFFF"/>
                <w:sz w:val="16"/>
              </w:rPr>
            </w:pPr>
            <w:r>
              <w:rPr>
                <w:rFonts w:ascii="ARIAL" w:hAnsi="ARIAL"/>
                <w:b/>
                <w:color w:val="FFFFFF"/>
                <w:sz w:val="16"/>
              </w:rPr>
              <w:t>IN LAST FISCAL</w:t>
            </w:r>
          </w:p>
          <w:p>
            <w:pPr>
              <w:pStyle w:val="TableContents"/>
              <w:bidi w:val="0"/>
              <w:spacing w:before="0" w:after="0"/>
              <w:jc w:val="center"/>
              <w:rPr>
                <w:rFonts w:ascii="ARIAL" w:hAnsi="ARIAL"/>
                <w:b/>
                <w:color w:val="FFFFFF"/>
                <w:sz w:val="16"/>
              </w:rPr>
            </w:pPr>
            <w:r>
              <w:rPr>
                <w:rFonts w:ascii="ARIAL" w:hAnsi="ARIAL"/>
                <w:b/>
                <w:color w:val="FFFFFF"/>
                <w:sz w:val="16"/>
              </w:rPr>
              <w:t>YEAR</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00"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AGGREGATE</w:t>
            </w:r>
          </w:p>
          <w:p>
            <w:pPr>
              <w:pStyle w:val="TableContents"/>
              <w:bidi w:val="0"/>
              <w:spacing w:before="0" w:after="0"/>
              <w:jc w:val="center"/>
              <w:rPr>
                <w:rFonts w:ascii="ARIAL" w:hAnsi="ARIAL"/>
                <w:b/>
                <w:color w:val="FFFFFF"/>
                <w:sz w:val="16"/>
              </w:rPr>
            </w:pPr>
            <w:r>
              <w:rPr>
                <w:rFonts w:ascii="ARIAL" w:hAnsi="ARIAL"/>
                <w:b/>
                <w:color w:val="FFFFFF"/>
                <w:sz w:val="16"/>
              </w:rPr>
              <w:t>EARNINGS IN</w:t>
            </w:r>
          </w:p>
          <w:p>
            <w:pPr>
              <w:pStyle w:val="TableContents"/>
              <w:bidi w:val="0"/>
              <w:spacing w:before="0" w:after="0"/>
              <w:jc w:val="center"/>
              <w:rPr>
                <w:rFonts w:ascii="ARIAL" w:hAnsi="ARIAL"/>
                <w:b/>
                <w:color w:val="FFFFFF"/>
                <w:sz w:val="16"/>
              </w:rPr>
            </w:pPr>
            <w:r>
              <w:rPr>
                <w:rFonts w:ascii="ARIAL" w:hAnsi="ARIAL"/>
                <w:b/>
                <w:color w:val="FFFFFF"/>
                <w:sz w:val="16"/>
              </w:rPr>
              <w:t>LAST FISCAL</w:t>
            </w:r>
          </w:p>
          <w:p>
            <w:pPr>
              <w:pStyle w:val="TableContents"/>
              <w:bidi w:val="0"/>
              <w:spacing w:before="0" w:after="0"/>
              <w:jc w:val="center"/>
              <w:rPr>
                <w:rFonts w:ascii="ARIAL" w:hAnsi="ARIAL"/>
                <w:b/>
                <w:color w:val="FFFFFF"/>
                <w:sz w:val="16"/>
              </w:rPr>
            </w:pPr>
            <w:r>
              <w:rPr>
                <w:rFonts w:ascii="ARIAL" w:hAnsi="ARIAL"/>
                <w:b/>
                <w:color w:val="FFFFFF"/>
                <w:sz w:val="16"/>
              </w:rPr>
              <w:t>YEAR</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18"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AGGREGATE</w:t>
            </w:r>
          </w:p>
          <w:p>
            <w:pPr>
              <w:pStyle w:val="TableContents"/>
              <w:bidi w:val="0"/>
              <w:spacing w:before="0" w:after="0"/>
              <w:jc w:val="center"/>
              <w:rPr>
                <w:rFonts w:ascii="ARIAL" w:hAnsi="ARIAL"/>
                <w:b/>
                <w:color w:val="FFFFFF"/>
                <w:sz w:val="16"/>
              </w:rPr>
            </w:pPr>
            <w:r>
              <w:rPr>
                <w:rFonts w:ascii="ARIAL" w:hAnsi="ARIAL"/>
                <w:b/>
                <w:color w:val="FFFFFF"/>
                <w:sz w:val="16"/>
              </w:rPr>
              <w:t>WITHDRAWALS/</w:t>
            </w:r>
          </w:p>
          <w:p>
            <w:pPr>
              <w:pStyle w:val="TableContents"/>
              <w:bidi w:val="0"/>
              <w:spacing w:before="0" w:after="0"/>
              <w:jc w:val="center"/>
              <w:rPr>
                <w:rFonts w:ascii="ARIAL" w:hAnsi="ARIAL"/>
                <w:b/>
                <w:color w:val="FFFFFF"/>
                <w:sz w:val="16"/>
              </w:rPr>
            </w:pPr>
            <w:r>
              <w:rPr>
                <w:rFonts w:ascii="ARIAL" w:hAnsi="ARIAL"/>
                <w:b/>
                <w:color w:val="FFFFFF"/>
                <w:sz w:val="16"/>
              </w:rPr>
              <w:t>DISTRIBUTIONS(2)</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4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AGGREGATE  </w:t>
            </w:r>
          </w:p>
          <w:p>
            <w:pPr>
              <w:pStyle w:val="TableContents"/>
              <w:bidi w:val="0"/>
              <w:spacing w:before="0" w:after="0"/>
              <w:jc w:val="center"/>
              <w:rPr>
                <w:rFonts w:ascii="ARIAL" w:hAnsi="ARIAL"/>
                <w:b/>
                <w:color w:val="FFFFFF"/>
                <w:sz w:val="16"/>
              </w:rPr>
            </w:pPr>
            <w:r>
              <w:rPr>
                <w:rFonts w:ascii="ARIAL" w:hAnsi="ARIAL"/>
                <w:b/>
                <w:color w:val="FFFFFF"/>
                <w:sz w:val="16"/>
              </w:rPr>
              <w:t>BALANCE AT  </w:t>
            </w:r>
          </w:p>
          <w:p>
            <w:pPr>
              <w:pStyle w:val="TableContents"/>
              <w:bidi w:val="0"/>
              <w:spacing w:before="0" w:after="0"/>
              <w:jc w:val="center"/>
              <w:rPr>
                <w:rFonts w:ascii="ARIAL" w:hAnsi="ARIAL"/>
                <w:b/>
                <w:color w:val="FFFFFF"/>
                <w:sz w:val="16"/>
              </w:rPr>
            </w:pPr>
            <w:r>
              <w:rPr>
                <w:rFonts w:ascii="ARIAL" w:hAnsi="ARIAL"/>
                <w:b/>
                <w:color w:val="FFFFFF"/>
                <w:sz w:val="16"/>
              </w:rPr>
              <w:t>LAST FISCAL  </w:t>
            </w:r>
          </w:p>
          <w:p>
            <w:pPr>
              <w:pStyle w:val="TableContents"/>
              <w:bidi w:val="0"/>
              <w:spacing w:before="0" w:after="0"/>
              <w:jc w:val="center"/>
              <w:rPr>
                <w:rFonts w:ascii="ARIAL" w:hAnsi="ARIAL"/>
                <w:b/>
                <w:color w:val="FFFFFF"/>
                <w:sz w:val="16"/>
              </w:rPr>
            </w:pPr>
            <w:r>
              <w:rPr>
                <w:rFonts w:ascii="ARIAL" w:hAnsi="ARIAL"/>
                <w:b/>
                <w:color w:val="FFFFFF"/>
                <w:sz w:val="16"/>
              </w:rPr>
              <w:t>YEAR END(3)  </w:t>
            </w:r>
          </w:p>
          <w:p>
            <w:pPr>
              <w:pStyle w:val="TableContents"/>
              <w:bidi w:val="0"/>
              <w:spacing w:before="0" w:after="20"/>
              <w:jc w:val="center"/>
              <w:rPr>
                <w:rFonts w:ascii="ARIAL" w:hAnsi="ARIAL"/>
                <w:b/>
                <w:color w:val="FFFFFF"/>
                <w:sz w:val="16"/>
              </w:rPr>
            </w:pPr>
            <w:r>
              <w:rPr>
                <w:rFonts w:ascii="ARIAL" w:hAnsi="ARIAL"/>
                <w:b/>
                <w:color w:val="FFFFFF"/>
                <w:sz w:val="16"/>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66" w:type="dxa"/>
            <w:gridSpan w:val="5"/>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100" w:type="dxa"/>
            </w:tcMar>
            <w:vAlign w:val="center"/>
          </w:tcPr>
          <w:p>
            <w:pPr>
              <w:pStyle w:val="TableContents"/>
              <w:bidi w:val="0"/>
              <w:spacing w:before="0" w:after="283"/>
              <w:jc w:val="left"/>
              <w:rPr/>
            </w:pPr>
            <w:r>
              <w:rPr/>
              <w:t> </w:t>
            </w:r>
          </w:p>
        </w:tc>
        <w:tc>
          <w:tcPr>
            <w:tcW w:w="1252" w:type="dxa"/>
            <w:tcBorders>
              <w:bottom w:val="single" w:sz="6" w:space="0" w:color="000000"/>
            </w:tcBorders>
            <w:tcMar>
              <w:bottom w:w="100" w:type="dxa"/>
            </w:tcMar>
            <w:vAlign w:val="center"/>
          </w:tcPr>
          <w:p>
            <w:pPr>
              <w:pStyle w:val="TableContents"/>
              <w:bidi w:val="0"/>
              <w:spacing w:before="0" w:after="283"/>
              <w:jc w:val="center"/>
              <w:rPr/>
            </w:pPr>
            <w:r>
              <w:rPr/>
              <w:t>$2,929,469</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0" w:type="dxa"/>
            <w:tcBorders>
              <w:bottom w:val="single" w:sz="6" w:space="0" w:color="000000"/>
            </w:tcBorders>
            <w:tcMar>
              <w:bottom w:w="100" w:type="dxa"/>
            </w:tcMar>
            <w:vAlign w:val="center"/>
          </w:tcPr>
          <w:p>
            <w:pPr>
              <w:pStyle w:val="TableContents"/>
              <w:bidi w:val="0"/>
              <w:spacing w:before="0" w:after="283"/>
              <w:jc w:val="left"/>
              <w:rPr/>
            </w:pPr>
            <w:r>
              <w:rPr/>
              <w:t> </w:t>
            </w:r>
          </w:p>
        </w:tc>
        <w:tc>
          <w:tcPr>
            <w:tcW w:w="912" w:type="dxa"/>
            <w:tcBorders>
              <w:bottom w:val="single" w:sz="6" w:space="0" w:color="000000"/>
            </w:tcBorders>
            <w:tcMar>
              <w:bottom w:w="100" w:type="dxa"/>
            </w:tcMar>
            <w:vAlign w:val="center"/>
          </w:tcPr>
          <w:p>
            <w:pPr>
              <w:pStyle w:val="TableContents"/>
              <w:bidi w:val="0"/>
              <w:spacing w:before="0" w:after="283"/>
              <w:jc w:val="center"/>
              <w:rPr/>
            </w:pPr>
            <w:r>
              <w:rPr/>
              <w:t>—</w:t>
            </w:r>
          </w:p>
        </w:tc>
        <w:tc>
          <w:tcPr>
            <w:tcW w:w="2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 w:type="dxa"/>
            <w:tcBorders>
              <w:bottom w:val="single" w:sz="6" w:space="0" w:color="000000"/>
            </w:tcBorders>
            <w:tcMar>
              <w:bottom w:w="100" w:type="dxa"/>
            </w:tcMar>
            <w:vAlign w:val="center"/>
          </w:tcPr>
          <w:p>
            <w:pPr>
              <w:pStyle w:val="TableContents"/>
              <w:bidi w:val="0"/>
              <w:spacing w:before="0" w:after="283"/>
              <w:jc w:val="left"/>
              <w:rPr/>
            </w:pPr>
            <w:r>
              <w:rPr/>
              <w:t> </w:t>
            </w:r>
          </w:p>
        </w:tc>
        <w:tc>
          <w:tcPr>
            <w:tcW w:w="709" w:type="dxa"/>
            <w:tcBorders>
              <w:bottom w:val="single" w:sz="6" w:space="0" w:color="000000"/>
            </w:tcBorders>
            <w:tcMar>
              <w:bottom w:w="100" w:type="dxa"/>
            </w:tcMar>
            <w:vAlign w:val="center"/>
          </w:tcPr>
          <w:p>
            <w:pPr>
              <w:pStyle w:val="TableContents"/>
              <w:bidi w:val="0"/>
              <w:spacing w:before="0" w:after="283"/>
              <w:jc w:val="center"/>
              <w:rPr/>
            </w:pPr>
            <w:r>
              <w:rPr/>
              <w:t>—</w:t>
            </w:r>
          </w:p>
        </w:tc>
        <w:tc>
          <w:tcPr>
            <w:tcW w:w="16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28" w:type="dxa"/>
            <w:tcBorders>
              <w:bottom w:val="single" w:sz="6" w:space="0" w:color="000000"/>
            </w:tcBorders>
            <w:tcMar>
              <w:bottom w:w="100" w:type="dxa"/>
            </w:tcMar>
            <w:vAlign w:val="center"/>
          </w:tcPr>
          <w:p>
            <w:pPr>
              <w:pStyle w:val="TableContents"/>
              <w:bidi w:val="0"/>
              <w:spacing w:before="0" w:after="283"/>
              <w:jc w:val="center"/>
              <w:rPr/>
            </w:pPr>
            <w:r>
              <w:rPr/>
              <w:t>—</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85" w:type="dxa"/>
            <w:tcBorders>
              <w:bottom w:val="single" w:sz="6" w:space="0" w:color="000000"/>
            </w:tcBorders>
            <w:tcMar>
              <w:bottom w:w="100" w:type="dxa"/>
            </w:tcMar>
            <w:vAlign w:val="center"/>
          </w:tcPr>
          <w:p>
            <w:pPr>
              <w:pStyle w:val="TableContents"/>
              <w:bidi w:val="0"/>
              <w:spacing w:before="0" w:after="283"/>
              <w:jc w:val="center"/>
              <w:rPr/>
            </w:pPr>
            <w:r>
              <w:rPr/>
              <w:t>$3,803,834  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66" w:type="dxa"/>
            <w:gridSpan w:val="5"/>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Christian M. Lown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100" w:type="dxa"/>
            </w:tcMar>
            <w:vAlign w:val="center"/>
          </w:tcPr>
          <w:p>
            <w:pPr>
              <w:pStyle w:val="TableContents"/>
              <w:bidi w:val="0"/>
              <w:spacing w:before="0" w:after="283"/>
              <w:jc w:val="left"/>
              <w:rPr/>
            </w:pPr>
            <w:r>
              <w:rPr/>
              <w:t> </w:t>
            </w:r>
          </w:p>
        </w:tc>
        <w:tc>
          <w:tcPr>
            <w:tcW w:w="1252" w:type="dxa"/>
            <w:tcBorders>
              <w:bottom w:val="single" w:sz="6" w:space="0" w:color="000000"/>
            </w:tcBorders>
            <w:tcMar>
              <w:bottom w:w="100" w:type="dxa"/>
            </w:tcMar>
            <w:vAlign w:val="center"/>
          </w:tcPr>
          <w:p>
            <w:pPr>
              <w:pStyle w:val="TableContents"/>
              <w:bidi w:val="0"/>
              <w:spacing w:before="0" w:after="283"/>
              <w:jc w:val="center"/>
              <w:rPr/>
            </w:pPr>
            <w:r>
              <w:rPr/>
              <w:t>—</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0" w:type="dxa"/>
            <w:tcBorders>
              <w:bottom w:val="single" w:sz="6" w:space="0" w:color="000000"/>
            </w:tcBorders>
            <w:tcMar>
              <w:bottom w:w="100" w:type="dxa"/>
            </w:tcMar>
            <w:vAlign w:val="center"/>
          </w:tcPr>
          <w:p>
            <w:pPr>
              <w:pStyle w:val="TableContents"/>
              <w:bidi w:val="0"/>
              <w:spacing w:before="0" w:after="283"/>
              <w:jc w:val="left"/>
              <w:rPr/>
            </w:pPr>
            <w:r>
              <w:rPr/>
              <w:t> </w:t>
            </w:r>
          </w:p>
        </w:tc>
        <w:tc>
          <w:tcPr>
            <w:tcW w:w="912" w:type="dxa"/>
            <w:tcBorders>
              <w:bottom w:val="single" w:sz="6" w:space="0" w:color="000000"/>
            </w:tcBorders>
            <w:tcMar>
              <w:bottom w:w="100" w:type="dxa"/>
            </w:tcMar>
            <w:vAlign w:val="center"/>
          </w:tcPr>
          <w:p>
            <w:pPr>
              <w:pStyle w:val="TableContents"/>
              <w:bidi w:val="0"/>
              <w:spacing w:before="0" w:after="283"/>
              <w:jc w:val="center"/>
              <w:rPr/>
            </w:pPr>
            <w:r>
              <w:rPr/>
              <w:t>—</w:t>
            </w:r>
          </w:p>
        </w:tc>
        <w:tc>
          <w:tcPr>
            <w:tcW w:w="2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 w:type="dxa"/>
            <w:tcBorders>
              <w:bottom w:val="single" w:sz="6" w:space="0" w:color="000000"/>
            </w:tcBorders>
            <w:tcMar>
              <w:bottom w:w="100" w:type="dxa"/>
            </w:tcMar>
            <w:vAlign w:val="center"/>
          </w:tcPr>
          <w:p>
            <w:pPr>
              <w:pStyle w:val="TableContents"/>
              <w:bidi w:val="0"/>
              <w:spacing w:before="0" w:after="283"/>
              <w:jc w:val="left"/>
              <w:rPr/>
            </w:pPr>
            <w:r>
              <w:rPr/>
              <w:t> </w:t>
            </w:r>
          </w:p>
        </w:tc>
        <w:tc>
          <w:tcPr>
            <w:tcW w:w="709" w:type="dxa"/>
            <w:tcBorders>
              <w:bottom w:val="single" w:sz="6" w:space="0" w:color="000000"/>
            </w:tcBorders>
            <w:tcMar>
              <w:bottom w:w="100" w:type="dxa"/>
            </w:tcMar>
            <w:vAlign w:val="center"/>
          </w:tcPr>
          <w:p>
            <w:pPr>
              <w:pStyle w:val="TableContents"/>
              <w:bidi w:val="0"/>
              <w:spacing w:before="0" w:after="283"/>
              <w:jc w:val="center"/>
              <w:rPr/>
            </w:pPr>
            <w:r>
              <w:rPr/>
              <w:t>—</w:t>
            </w:r>
          </w:p>
        </w:tc>
        <w:tc>
          <w:tcPr>
            <w:tcW w:w="16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28" w:type="dxa"/>
            <w:tcBorders>
              <w:bottom w:val="single" w:sz="6" w:space="0" w:color="000000"/>
            </w:tcBorders>
            <w:tcMar>
              <w:bottom w:w="100" w:type="dxa"/>
            </w:tcMar>
            <w:vAlign w:val="center"/>
          </w:tcPr>
          <w:p>
            <w:pPr>
              <w:pStyle w:val="TableContents"/>
              <w:bidi w:val="0"/>
              <w:spacing w:before="0" w:after="283"/>
              <w:jc w:val="center"/>
              <w:rPr/>
            </w:pPr>
            <w:r>
              <w:rPr/>
              <w:t>—</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85"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66" w:type="dxa"/>
            <w:gridSpan w:val="5"/>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Lisa C. Ruggles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100" w:type="dxa"/>
            </w:tcMar>
            <w:vAlign w:val="center"/>
          </w:tcPr>
          <w:p>
            <w:pPr>
              <w:pStyle w:val="TableContents"/>
              <w:bidi w:val="0"/>
              <w:spacing w:before="0" w:after="283"/>
              <w:jc w:val="left"/>
              <w:rPr/>
            </w:pPr>
            <w:r>
              <w:rPr/>
              <w:t> </w:t>
            </w:r>
          </w:p>
        </w:tc>
        <w:tc>
          <w:tcPr>
            <w:tcW w:w="1252"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0" w:type="dxa"/>
            <w:tcBorders>
              <w:bottom w:val="single" w:sz="6" w:space="0" w:color="000000"/>
            </w:tcBorders>
            <w:tcMar>
              <w:bottom w:w="100" w:type="dxa"/>
            </w:tcMar>
            <w:vAlign w:val="center"/>
          </w:tcPr>
          <w:p>
            <w:pPr>
              <w:pStyle w:val="TableContents"/>
              <w:bidi w:val="0"/>
              <w:spacing w:before="0" w:after="283"/>
              <w:jc w:val="left"/>
              <w:rPr/>
            </w:pPr>
            <w:r>
              <w:rPr/>
              <w:t> </w:t>
            </w:r>
          </w:p>
        </w:tc>
        <w:tc>
          <w:tcPr>
            <w:tcW w:w="912" w:type="dxa"/>
            <w:tcBorders>
              <w:bottom w:val="single" w:sz="6" w:space="0" w:color="000000"/>
            </w:tcBorders>
            <w:tcMar>
              <w:bottom w:w="100" w:type="dxa"/>
            </w:tcMar>
            <w:vAlign w:val="center"/>
          </w:tcPr>
          <w:p>
            <w:pPr>
              <w:pStyle w:val="TableContents"/>
              <w:bidi w:val="0"/>
              <w:spacing w:before="0" w:after="283"/>
              <w:jc w:val="center"/>
              <w:rPr/>
            </w:pPr>
            <w:r>
              <w:rPr/>
              <w:t>—</w:t>
            </w:r>
          </w:p>
        </w:tc>
        <w:tc>
          <w:tcPr>
            <w:tcW w:w="2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28" w:type="dxa"/>
            <w:tcBorders>
              <w:bottom w:val="single" w:sz="6" w:space="0" w:color="000000"/>
            </w:tcBorders>
            <w:tcMar>
              <w:bottom w:w="100" w:type="dxa"/>
            </w:tcMar>
            <w:vAlign w:val="center"/>
          </w:tcPr>
          <w:p>
            <w:pPr>
              <w:pStyle w:val="TableContents"/>
              <w:bidi w:val="0"/>
              <w:spacing w:before="0" w:after="283"/>
              <w:jc w:val="center"/>
              <w:rPr/>
            </w:pPr>
            <w:r>
              <w:rPr/>
              <w:t>($175,568)</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85" w:type="dxa"/>
            <w:tcBorders>
              <w:bottom w:val="single" w:sz="6" w:space="0" w:color="000000"/>
            </w:tcBorders>
            <w:tcMar>
              <w:bottom w:w="100" w:type="dxa"/>
            </w:tcMar>
            <w:vAlign w:val="center"/>
          </w:tcPr>
          <w:p>
            <w:pPr>
              <w:pStyle w:val="TableContents"/>
              <w:bidi w:val="0"/>
              <w:spacing w:before="0" w:after="283"/>
              <w:jc w:val="center"/>
              <w:rPr/>
            </w:pPr>
            <w:r>
              <w:rPr/>
              <w:t>$227,809  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66" w:type="dxa"/>
            <w:gridSpan w:val="5"/>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Frederick G. Saint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100" w:type="dxa"/>
            </w:tcMar>
            <w:vAlign w:val="center"/>
          </w:tcPr>
          <w:p>
            <w:pPr>
              <w:pStyle w:val="TableContents"/>
              <w:bidi w:val="0"/>
              <w:spacing w:before="0" w:after="283"/>
              <w:jc w:val="left"/>
              <w:rPr/>
            </w:pPr>
            <w:r>
              <w:rPr/>
              <w:t> </w:t>
            </w:r>
          </w:p>
        </w:tc>
        <w:tc>
          <w:tcPr>
            <w:tcW w:w="1252"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0" w:type="dxa"/>
            <w:tcBorders>
              <w:bottom w:val="single" w:sz="6" w:space="0" w:color="000000"/>
            </w:tcBorders>
            <w:tcMar>
              <w:bottom w:w="100" w:type="dxa"/>
            </w:tcMar>
            <w:vAlign w:val="center"/>
          </w:tcPr>
          <w:p>
            <w:pPr>
              <w:pStyle w:val="TableContents"/>
              <w:bidi w:val="0"/>
              <w:spacing w:before="0" w:after="283"/>
              <w:jc w:val="left"/>
              <w:rPr/>
            </w:pPr>
            <w:r>
              <w:rPr/>
              <w:t> </w:t>
            </w:r>
          </w:p>
        </w:tc>
        <w:tc>
          <w:tcPr>
            <w:tcW w:w="912" w:type="dxa"/>
            <w:tcBorders>
              <w:bottom w:val="single" w:sz="6" w:space="0" w:color="000000"/>
            </w:tcBorders>
            <w:tcMar>
              <w:bottom w:w="100" w:type="dxa"/>
            </w:tcMar>
            <w:vAlign w:val="center"/>
          </w:tcPr>
          <w:p>
            <w:pPr>
              <w:pStyle w:val="TableContents"/>
              <w:bidi w:val="0"/>
              <w:spacing w:before="0" w:after="283"/>
              <w:jc w:val="center"/>
              <w:rPr/>
            </w:pPr>
            <w:r>
              <w:rPr/>
              <w:t>—</w:t>
            </w:r>
          </w:p>
        </w:tc>
        <w:tc>
          <w:tcPr>
            <w:tcW w:w="2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 w:type="dxa"/>
            <w:tcBorders>
              <w:bottom w:val="single" w:sz="6" w:space="0" w:color="000000"/>
            </w:tcBorders>
            <w:tcMar>
              <w:bottom w:w="100" w:type="dxa"/>
            </w:tcMar>
            <w:vAlign w:val="center"/>
          </w:tcPr>
          <w:p>
            <w:pPr>
              <w:pStyle w:val="TableContents"/>
              <w:bidi w:val="0"/>
              <w:spacing w:before="0" w:after="283"/>
              <w:jc w:val="left"/>
              <w:rPr/>
            </w:pPr>
            <w:r>
              <w:rPr/>
              <w:t> </w:t>
            </w:r>
          </w:p>
        </w:tc>
        <w:tc>
          <w:tcPr>
            <w:tcW w:w="709" w:type="dxa"/>
            <w:tcBorders>
              <w:bottom w:val="single" w:sz="6" w:space="0" w:color="000000"/>
            </w:tcBorders>
            <w:tcMar>
              <w:bottom w:w="100" w:type="dxa"/>
            </w:tcMar>
            <w:vAlign w:val="center"/>
          </w:tcPr>
          <w:p>
            <w:pPr>
              <w:pStyle w:val="TableContents"/>
              <w:bidi w:val="0"/>
              <w:spacing w:before="0" w:after="283"/>
              <w:jc w:val="center"/>
              <w:rPr/>
            </w:pPr>
            <w:r>
              <w:rPr/>
              <w:t>—</w:t>
            </w:r>
          </w:p>
        </w:tc>
        <w:tc>
          <w:tcPr>
            <w:tcW w:w="16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28" w:type="dxa"/>
            <w:tcBorders>
              <w:bottom w:val="single" w:sz="6" w:space="0" w:color="000000"/>
            </w:tcBorders>
            <w:tcMar>
              <w:bottom w:w="100" w:type="dxa"/>
            </w:tcMar>
            <w:vAlign w:val="center"/>
          </w:tcPr>
          <w:p>
            <w:pPr>
              <w:pStyle w:val="TableContents"/>
              <w:bidi w:val="0"/>
              <w:spacing w:before="0" w:after="283"/>
              <w:jc w:val="center"/>
              <w:rPr/>
            </w:pPr>
            <w:r>
              <w:rPr/>
              <w:t>—</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85"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c>
          <w:tcPr>
            <w:tcW w:w="1123"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66" w:type="dxa"/>
            <w:gridSpan w:val="5"/>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Frank A. Simuro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100" w:type="dxa"/>
            </w:tcMar>
            <w:vAlign w:val="center"/>
          </w:tcPr>
          <w:p>
            <w:pPr>
              <w:pStyle w:val="TableContents"/>
              <w:bidi w:val="0"/>
              <w:spacing w:before="0" w:after="283"/>
              <w:jc w:val="left"/>
              <w:rPr/>
            </w:pPr>
            <w:r>
              <w:rPr/>
              <w:t> </w:t>
            </w:r>
          </w:p>
        </w:tc>
        <w:tc>
          <w:tcPr>
            <w:tcW w:w="1252"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0" w:type="dxa"/>
            <w:tcBorders>
              <w:bottom w:val="single" w:sz="6" w:space="0" w:color="000000"/>
            </w:tcBorders>
            <w:tcMar>
              <w:bottom w:w="100" w:type="dxa"/>
            </w:tcMar>
            <w:vAlign w:val="center"/>
          </w:tcPr>
          <w:p>
            <w:pPr>
              <w:pStyle w:val="TableContents"/>
              <w:bidi w:val="0"/>
              <w:spacing w:before="0" w:after="283"/>
              <w:jc w:val="left"/>
              <w:rPr/>
            </w:pPr>
            <w:r>
              <w:rPr/>
              <w:t> </w:t>
            </w:r>
          </w:p>
        </w:tc>
        <w:tc>
          <w:tcPr>
            <w:tcW w:w="912" w:type="dxa"/>
            <w:tcBorders>
              <w:bottom w:val="single" w:sz="6" w:space="0" w:color="000000"/>
            </w:tcBorders>
            <w:tcMar>
              <w:bottom w:w="100" w:type="dxa"/>
            </w:tcMar>
            <w:vAlign w:val="center"/>
          </w:tcPr>
          <w:p>
            <w:pPr>
              <w:pStyle w:val="TableContents"/>
              <w:bidi w:val="0"/>
              <w:spacing w:before="0" w:after="283"/>
              <w:jc w:val="center"/>
              <w:rPr/>
            </w:pPr>
            <w:r>
              <w:rPr/>
              <w:t>—</w:t>
            </w:r>
          </w:p>
        </w:tc>
        <w:tc>
          <w:tcPr>
            <w:tcW w:w="21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28" w:type="dxa"/>
            <w:tcBorders>
              <w:bottom w:val="single" w:sz="6" w:space="0" w:color="000000"/>
            </w:tcBorders>
            <w:tcMar>
              <w:bottom w:w="100" w:type="dxa"/>
            </w:tcMar>
            <w:vAlign w:val="center"/>
          </w:tcPr>
          <w:p>
            <w:pPr>
              <w:pStyle w:val="TableContents"/>
              <w:bidi w:val="0"/>
              <w:spacing w:before="0" w:after="283"/>
              <w:jc w:val="center"/>
              <w:rPr/>
            </w:pPr>
            <w:r>
              <w:rPr/>
              <w:t>($510,958)</w:t>
            </w:r>
          </w:p>
        </w:tc>
        <w:tc>
          <w:tcPr>
            <w:tcW w:w="8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85" w:type="dxa"/>
            <w:tcBorders>
              <w:bottom w:val="single" w:sz="6" w:space="0" w:color="000000"/>
            </w:tcBorders>
            <w:tcMar>
              <w:bottom w:w="100" w:type="dxa"/>
            </w:tcMar>
            <w:vAlign w:val="center"/>
          </w:tcPr>
          <w:p>
            <w:pPr>
              <w:pStyle w:val="TableContents"/>
              <w:bidi w:val="0"/>
              <w:spacing w:before="0" w:after="283"/>
              <w:jc w:val="center"/>
              <w:rPr/>
            </w:pPr>
            <w:r>
              <w:rPr/>
              <w:t>$849,981  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i/>
              </w:rPr>
            </w:pPr>
            <w:r>
              <w:rPr>
                <w:i/>
              </w:rPr>
              <w:t>(1) </w:t>
            </w:r>
          </w:p>
        </w:tc>
        <w:tc>
          <w:tcPr>
            <w:tcW w:w="9946" w:type="dxa"/>
            <w:tcBorders/>
            <w:vAlign w:val="center"/>
          </w:tcPr>
          <w:p>
            <w:pPr>
              <w:pStyle w:val="TableContents"/>
              <w:bidi w:val="0"/>
              <w:spacing w:before="0" w:after="0"/>
              <w:jc w:val="left"/>
              <w:rPr>
                <w:rFonts w:ascii="ARIAL" w:hAnsi="ARIAL"/>
                <w:i/>
                <w:sz w:val="16"/>
              </w:rPr>
            </w:pPr>
            <w:r>
              <w:rPr>
                <w:rFonts w:ascii="ARIAL" w:hAnsi="ARIAL"/>
                <w:i/>
                <w:sz w:val="16"/>
              </w:rPr>
              <w:t xml:space="preserve">These contributions were made by deferring a portion of the 2024 annual cash incentive award under our MSPP and represent the value of DSUs purchased in 2025 based on the closing share price of our common stock on the purchase date. All of the amounts shown in this column were included as compensation in the “Summary Compensation Table” for 2024 in accordance with SEC rules because they represent a portion of the annual cash incentive award earned for 2024 performance that would have been paid out in 2025 if the deferral election had not been made. </w:t>
            </w:r>
          </w:p>
        </w:tc>
      </w:tr>
    </w:tbl>
    <w:tbl>
      <w:tblPr>
        <w:tblW w:w="5200" w:type="dxa"/>
        <w:jc w:val="left"/>
        <w:tblInd w:w="0" w:type="dxa"/>
        <w:tblLayout w:type="fixed"/>
        <w:tblCellMar>
          <w:top w:w="0" w:type="dxa"/>
          <w:left w:w="0" w:type="dxa"/>
          <w:bottom w:w="0" w:type="dxa"/>
          <w:right w:w="0" w:type="dxa"/>
        </w:tblCellMar>
      </w:tblPr>
      <w:tblGrid>
        <w:gridCol w:w="365"/>
        <w:gridCol w:w="4835"/>
      </w:tblGrid>
      <w:tr>
        <w:trPr/>
        <w:tc>
          <w:tcPr>
            <w:tcW w:w="365" w:type="dxa"/>
            <w:tcBorders/>
            <w:vAlign w:val="center"/>
          </w:tcPr>
          <w:p>
            <w:pPr>
              <w:pStyle w:val="TableContents"/>
              <w:bidi w:val="0"/>
              <w:spacing w:before="0" w:after="283"/>
              <w:jc w:val="left"/>
              <w:rPr>
                <w:i/>
              </w:rPr>
            </w:pPr>
            <w:r>
              <w:rPr>
                <w:i/>
              </w:rPr>
              <w:t>(2) </w:t>
            </w:r>
          </w:p>
        </w:tc>
        <w:tc>
          <w:tcPr>
            <w:tcW w:w="4835" w:type="dxa"/>
            <w:tcBorders/>
            <w:vAlign w:val="center"/>
          </w:tcPr>
          <w:p>
            <w:pPr>
              <w:pStyle w:val="TableContents"/>
              <w:bidi w:val="0"/>
              <w:spacing w:before="0" w:after="0"/>
              <w:jc w:val="left"/>
              <w:rPr>
                <w:rFonts w:ascii="ARIAL" w:hAnsi="ARIAL"/>
                <w:i/>
                <w:sz w:val="16"/>
              </w:rPr>
            </w:pPr>
            <w:r>
              <w:rPr>
                <w:rFonts w:ascii="ARIAL" w:hAnsi="ARIAL"/>
                <w:i/>
                <w:sz w:val="16"/>
              </w:rPr>
              <w:t xml:space="preserve">Represents the value of the DSUs vested and distributed in 2025.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i/>
              </w:rPr>
            </w:pPr>
            <w:r>
              <w:rPr>
                <w:i/>
              </w:rPr>
              <w:t>(3) </w:t>
            </w:r>
          </w:p>
        </w:tc>
        <w:tc>
          <w:tcPr>
            <w:tcW w:w="9879" w:type="dxa"/>
            <w:tcBorders/>
            <w:vAlign w:val="center"/>
          </w:tcPr>
          <w:p>
            <w:pPr>
              <w:pStyle w:val="TableContents"/>
              <w:bidi w:val="0"/>
              <w:spacing w:before="0" w:after="0"/>
              <w:jc w:val="left"/>
              <w:rPr>
                <w:rFonts w:ascii="ARIAL" w:hAnsi="ARIAL"/>
                <w:i/>
                <w:sz w:val="16"/>
              </w:rPr>
            </w:pPr>
            <w:r>
              <w:rPr>
                <w:rFonts w:ascii="ARIAL" w:hAnsi="ARIAL"/>
                <w:i/>
                <w:sz w:val="16"/>
              </w:rPr>
              <w:t xml:space="preserve">Represents the value of the DSUs held as of December 31, 2025, multiplied by $67.24, the closing stock price of our common stock on December 31, 2025, the last trading day of 2025. </w:t>
            </w:r>
          </w:p>
        </w:tc>
      </w:tr>
    </w:tbl>
    <w:p>
      <w:pPr>
        <w:pStyle w:val="TextBody"/>
        <w:bidi w:val="0"/>
        <w:spacing w:before="360" w:after="0"/>
        <w:jc w:val="left"/>
        <w:rPr>
          <w:rFonts w:ascii="ARIAL" w:hAnsi="ARIAL"/>
          <w:b/>
          <w:sz w:val="24"/>
        </w:rPr>
      </w:pPr>
      <w:bookmarkStart w:id="54" w:name="tx903159_117"/>
      <w:bookmarkStart w:id="55" w:name="toc903159_38"/>
      <w:bookmarkEnd w:id="54"/>
      <w:bookmarkEnd w:id="55"/>
      <w:r>
        <w:rPr>
          <w:rFonts w:ascii="ARIAL" w:hAnsi="ARIAL"/>
          <w:b/>
          <w:sz w:val="24"/>
        </w:rPr>
        <w:t xml:space="preserve">Potential Payments Upon Termination or Change of Control </w:t>
      </w:r>
    </w:p>
    <w:p>
      <w:pPr>
        <w:pStyle w:val="TextBody"/>
        <w:bidi w:val="0"/>
        <w:spacing w:before="80" w:after="0"/>
        <w:jc w:val="left"/>
        <w:rPr>
          <w:rFonts w:ascii="ARIAL" w:hAnsi="ARIAL"/>
          <w:sz w:val="18"/>
        </w:rPr>
      </w:pPr>
      <w:r>
        <w:rPr>
          <w:rFonts w:ascii="ARIAL" w:hAnsi="ARIAL"/>
          <w:sz w:val="18"/>
        </w:rPr>
        <w:t xml:space="preserve">This section discusses the incremental compensation that would be payable by the Company to each NEO in the event of a change of control of the Company or a termination of the NEO’s employment with the Company for various reasons described below, sometimes referred to herein as a “triggering event.” </w:t>
      </w:r>
    </w:p>
    <w:p>
      <w:pPr>
        <w:pStyle w:val="TextBody"/>
        <w:bidi w:val="0"/>
        <w:spacing w:before="120" w:after="0"/>
        <w:jc w:val="left"/>
        <w:rPr>
          <w:rFonts w:ascii="ARIAL" w:hAnsi="ARIAL"/>
          <w:sz w:val="18"/>
        </w:rPr>
      </w:pPr>
      <w:r>
        <w:rPr>
          <w:rFonts w:ascii="ARIAL" w:hAnsi="ARIAL"/>
          <w:sz w:val="18"/>
        </w:rPr>
        <w:t xml:space="preserve">The actual amounts that would be paid upon a NEO’s termination of employment or change of control can only be determined at the time of the applicable event.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60"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35" descr=""/>
                          <pic:cNvPicPr>
                            <a:picLocks noChangeAspect="1" noChangeArrowheads="1"/>
                          </pic:cNvPicPr>
                        </pic:nvPicPr>
                        <pic:blipFill>
                          <a:blip r:embed="rId34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56" w:name="toc903159_39"/>
      <w:bookmarkEnd w:id="56"/>
      <w:r>
        <w:rPr>
          <w:rFonts w:ascii="ARIAL" w:hAnsi="ARIAL"/>
          <w:b/>
          <w:sz w:val="24"/>
        </w:rPr>
        <w:t xml:space="preserve">Termination and Change of Control Provisions Pursuant to Employment Agreements </w:t>
      </w:r>
    </w:p>
    <w:p>
      <w:pPr>
        <w:pStyle w:val="TextBody"/>
        <w:bidi w:val="0"/>
        <w:spacing w:before="160" w:after="0"/>
        <w:jc w:val="left"/>
        <w:rPr>
          <w:rFonts w:ascii="ARIAL" w:hAnsi="ARIAL"/>
          <w:b/>
          <w:sz w:val="20"/>
        </w:rPr>
      </w:pPr>
      <w:r>
        <w:rPr>
          <w:rFonts w:ascii="ARIAL" w:hAnsi="ARIAL"/>
          <w:b/>
          <w:sz w:val="20"/>
        </w:rPr>
        <w:t xml:space="preserve">MR. FLORANCE </w:t>
      </w:r>
    </w:p>
    <w:p>
      <w:pPr>
        <w:pStyle w:val="TextBody"/>
        <w:bidi w:val="0"/>
        <w:spacing w:before="80" w:after="0"/>
        <w:jc w:val="left"/>
        <w:rPr>
          <w:rFonts w:ascii="ARIAL" w:hAnsi="ARIAL"/>
          <w:sz w:val="18"/>
        </w:rPr>
      </w:pPr>
      <w:r>
        <w:rPr>
          <w:rFonts w:ascii="ARIAL" w:hAnsi="ARIAL"/>
          <w:sz w:val="18"/>
        </w:rPr>
        <w:t xml:space="preserve">The Company is permitted to terminate Mr. Florance’s employment at any time, without “cause”, upon 60 days’ written notice, and Mr. Florance may voluntarily terminate his employment for “good reason” upon at least 60 days’ written notice, with each of “cause” and “good reason” as defined in Mr. Florance’s employment agreement. For example, “good reason” includes an acquisition or change of control of the Company occurring and Mr. Florance terminating his employment within one year after such event. </w:t>
      </w:r>
    </w:p>
    <w:p>
      <w:pPr>
        <w:pStyle w:val="TextBody"/>
        <w:bidi w:val="0"/>
        <w:spacing w:before="120" w:after="0"/>
        <w:jc w:val="left"/>
        <w:rPr>
          <w:rFonts w:ascii="ARIAL" w:hAnsi="ARIAL"/>
          <w:sz w:val="18"/>
        </w:rPr>
      </w:pPr>
      <w:r>
        <w:rPr>
          <w:rFonts w:ascii="ARIAL" w:hAnsi="ARIAL"/>
          <w:sz w:val="18"/>
        </w:rPr>
        <w:t xml:space="preserve">As of December 31, 2025, in the event that the Company terminated Mr. Florance’s employment without cause or if he terminates his employment for good reason, Mr. Florance was entitled to receive his base salary for one year payable in installments in accordance with the Company’s payroll practices, his bonus for the year in which the termination occurred, the immediate vesting of all of his unvested stock options and a gross-up payment, if any, to cover any taxes assessed under Section 4999 of the Code. Upon termination by the Company without cause or by Mr. Florance for good reason, all of his unvested stock options would have become immediately exercisable and he would have 180 days to exercise all vested options. If all or any portion of Mr. Florance’s stock options could not be accelerated under the terms of the applicable stock incentive plan, Mr. Florance was entitled to receive cash consideration in lieu of acceleration for each share underlying that portion of his stock options that could not be so accelerated equal to the excess (if any) of the highest closing price of the Company’s common stock during the 180 days following the executive’s date of termination (or, if the Company was no longer publicly traded as of the date of termination, the per-share price in connection with the transaction(s) that resulted in the Company no longer being publicly traded) over the exercise price of such option. </w:t>
      </w:r>
    </w:p>
    <w:p>
      <w:pPr>
        <w:pStyle w:val="TextBody"/>
        <w:bidi w:val="0"/>
        <w:spacing w:before="120" w:after="0"/>
        <w:jc w:val="left"/>
        <w:rPr>
          <w:rFonts w:ascii="ARIAL" w:hAnsi="ARIAL"/>
          <w:sz w:val="18"/>
        </w:rPr>
      </w:pPr>
      <w:r>
        <w:rPr>
          <w:rFonts w:ascii="ARIAL" w:hAnsi="ARIAL"/>
          <w:sz w:val="18"/>
        </w:rPr>
        <w:t xml:space="preserve">Mr. Florance’s employment agreement also provided that in the event of his termination due to his disability or death, he (or his estate) would be entitled to receive (i) a prorated portion of his unvested stock options due to vest during the calendar year of his disability or death, and (ii) a prorated share of his bonus for the year of his disability or death. In the event of termination due to disability or his death, Mr. Florance (or his estate) would have one year to exercise all vested options. </w:t>
      </w:r>
    </w:p>
    <w:p>
      <w:pPr>
        <w:pStyle w:val="TextBody"/>
        <w:bidi w:val="0"/>
        <w:spacing w:before="120" w:after="0"/>
        <w:jc w:val="left"/>
        <w:rPr>
          <w:rFonts w:ascii="ARIAL" w:hAnsi="ARIAL"/>
          <w:sz w:val="18"/>
        </w:rPr>
      </w:pPr>
      <w:r>
        <w:rPr>
          <w:rFonts w:ascii="ARIAL" w:hAnsi="ARIAL"/>
          <w:sz w:val="18"/>
        </w:rPr>
        <w:t xml:space="preserve">As discussed in the section titled “Compensation Discussion and Analysis—Company Compensation Policies and Practices” within this Proxy Statement, in January 2026, Mr. Florance’s employment agreement was amended to solely eliminate the gross-up entitlement related to Sections 280G and 4999 of the Code and the Company adopted an Executive Severance Plan which covers Mr. Florance. For the purposes of this analysis, which assumes a triggering event on December 31, 2025, values have been calculated without accounting for the amendment to Mr. Florance’s employment agreement or the adoption of the Executive Severance Plan. We also assume he (or his estate) would be entitled to the full amount of his bonus for 2025. </w:t>
      </w:r>
    </w:p>
    <w:p>
      <w:pPr>
        <w:pStyle w:val="TextBody"/>
        <w:bidi w:val="0"/>
        <w:spacing w:before="120" w:after="0"/>
        <w:jc w:val="left"/>
        <w:rPr>
          <w:rFonts w:ascii="ARIAL" w:hAnsi="ARIAL"/>
          <w:sz w:val="18"/>
        </w:rPr>
      </w:pPr>
      <w:r>
        <w:rPr>
          <w:rFonts w:ascii="ARIAL" w:hAnsi="ARIAL"/>
          <w:sz w:val="18"/>
        </w:rPr>
        <w:t xml:space="preserve">Mr. Florance also has the right at any time to terminate his employment without good reason upon 180 days’ written notice to the Company, and the Company has the right at any time to terminate Mr. Florance for cause. In either such event, Mr. Florance would not be entitled to any base salary or fringe benefits for any period after termination, and he would forfeit any unvested stock options and his right to participate in the Company’s cash incentive program. These provisions are unchanged by the Executive Severance Plan. </w:t>
      </w:r>
    </w:p>
    <w:p>
      <w:pPr>
        <w:pStyle w:val="TextBody"/>
        <w:bidi w:val="0"/>
        <w:spacing w:before="360" w:after="0"/>
        <w:jc w:val="left"/>
        <w:rPr>
          <w:rFonts w:ascii="ARIAL" w:hAnsi="ARIAL"/>
          <w:b/>
          <w:sz w:val="20"/>
        </w:rPr>
      </w:pPr>
      <w:r>
        <w:rPr>
          <w:rFonts w:ascii="ARIAL" w:hAnsi="ARIAL"/>
          <w:b/>
          <w:sz w:val="20"/>
        </w:rPr>
        <w:t xml:space="preserve">OTHER NEOS </w:t>
      </w:r>
    </w:p>
    <w:p>
      <w:pPr>
        <w:pStyle w:val="TextBody"/>
        <w:bidi w:val="0"/>
        <w:spacing w:before="80" w:after="0"/>
        <w:jc w:val="left"/>
        <w:rPr>
          <w:rFonts w:ascii="ARIAL" w:hAnsi="ARIAL"/>
          <w:sz w:val="18"/>
        </w:rPr>
      </w:pPr>
      <w:r>
        <w:rPr>
          <w:rFonts w:ascii="ARIAL" w:hAnsi="ARIAL"/>
          <w:sz w:val="18"/>
        </w:rPr>
        <w:t xml:space="preserve">Pursuant to Mr. Lown’s offer letter, for any termination by the Company without “cause” (within the meaning of his offer letter) which occurs after the first anniversary of the commencement of his employment, Mr. Lown is eligible to receive six months of base salary and Company-paid COBRA benefits, subject to the execution of a release. For additional information, see the “Employment Agreements” discussion in the “Compensation Discussion and Analysis” section of this Proxy Statement </w:t>
      </w:r>
    </w:p>
    <w:p>
      <w:pPr>
        <w:pStyle w:val="TextBody"/>
        <w:bidi w:val="0"/>
        <w:spacing w:before="120" w:after="0"/>
        <w:jc w:val="left"/>
        <w:rPr>
          <w:rFonts w:ascii="ARIAL" w:hAnsi="ARIAL"/>
          <w:sz w:val="18"/>
        </w:rPr>
      </w:pPr>
      <w:r>
        <w:rPr>
          <w:rFonts w:ascii="ARIAL" w:hAnsi="ARIAL"/>
          <w:sz w:val="18"/>
        </w:rPr>
        <w:t xml:space="preserve">As of December 31, 2025, except as may be provided to all employees of the Company generally and as provided pursuant to the Company’s stock incentive plans (as described below), Ms. Ruggles, Mr. Saint, and Mr. Simuro were not entitled to any post-employment compensation if their employment was terminated. </w:t>
      </w:r>
    </w:p>
    <w:p>
      <w:pPr>
        <w:pStyle w:val="TextBody"/>
        <w:bidi w:val="0"/>
        <w:spacing w:before="120" w:after="0"/>
        <w:jc w:val="left"/>
        <w:rPr>
          <w:rFonts w:ascii="ARIAL" w:hAnsi="ARIAL"/>
          <w:sz w:val="18"/>
        </w:rPr>
      </w:pPr>
      <w:r>
        <w:rPr>
          <w:rFonts w:ascii="ARIAL" w:hAnsi="ARIAL"/>
          <w:sz w:val="18"/>
        </w:rPr>
        <w:t xml:space="preserve">Pursuant to the company-wide severance policy, full-time staff who are part of a position reduction may receive severance pay equal to two weeks current base pay for the first year or less of employment, plus one week current base pay for each completed additional year of continuous service (up to a 16-week maximum payout) in exchange for a full release of claims. </w:t>
      </w:r>
    </w:p>
    <w:p>
      <w:pPr>
        <w:pStyle w:val="TextBody"/>
        <w:bidi w:val="0"/>
        <w:spacing w:before="360" w:after="0"/>
        <w:jc w:val="left"/>
        <w:rPr>
          <w:rFonts w:ascii="ARIAL" w:hAnsi="ARIAL"/>
          <w:b/>
          <w:sz w:val="20"/>
        </w:rPr>
      </w:pPr>
      <w:bookmarkStart w:id="57" w:name="toc903159_40ab"/>
      <w:bookmarkEnd w:id="57"/>
      <w:r>
        <w:rPr>
          <w:rFonts w:ascii="ARIAL" w:hAnsi="ARIAL"/>
          <w:b/>
          <w:sz w:val="20"/>
        </w:rPr>
        <w:t xml:space="preserve">CHANGE OF CONTROL PROVISIONS UNDER THE COMPANY’S 2016 PLAN AND 2025 PLAN </w:t>
      </w:r>
    </w:p>
    <w:p>
      <w:pPr>
        <w:pStyle w:val="TextBody"/>
        <w:bidi w:val="0"/>
        <w:spacing w:before="80" w:after="0"/>
        <w:jc w:val="left"/>
        <w:rPr>
          <w:rFonts w:ascii="ARIAL" w:hAnsi="ARIAL"/>
          <w:sz w:val="18"/>
        </w:rPr>
      </w:pPr>
      <w:r>
        <w:rPr>
          <w:rFonts w:ascii="ARIAL" w:hAnsi="ARIAL"/>
          <w:sz w:val="18"/>
        </w:rPr>
        <w:t xml:space="preserve">Pursuant to the Company’s 2016 Plan and related award agreements, upon a change of control (as defined in the Company’s 2016 Plan), all options will immediately vest and all restrictions on stock grants, including any Matching RSUs issued when DSUs are awarded under the MSPP, will lapse (except in the event that the awards are assumed or substitute grants are awarded pursuant to the terms of the grant). Pursuant to the MSPP, although fully vested, all DSUs that have not yet settled will be settled upon a change in control of the Company that qualifies as a change in the ownership or effective control of the Company within the meaning of Section 409A of the Code.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61"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36" descr=""/>
                          <pic:cNvPicPr>
                            <a:picLocks noChangeAspect="1" noChangeArrowheads="1"/>
                          </pic:cNvPicPr>
                        </pic:nvPicPr>
                        <pic:blipFill>
                          <a:blip r:embed="rId34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Pursuant to the RSU and PSU award agreements under the Company’s 2025 Plan, upon a change in control (as defined in the Company’s 2025 Plan) in which such awards are assumed, continued, or substituted in connection with the change in control, they will vest only if the holder experiences a termination of service without cause within twelve months following the change in control (and such awards will vest upon a change in control if such awards are not assumed, continued or substituted). </w:t>
      </w:r>
    </w:p>
    <w:p>
      <w:pPr>
        <w:pStyle w:val="TextBody"/>
        <w:bidi w:val="0"/>
        <w:spacing w:before="120" w:after="0"/>
        <w:jc w:val="left"/>
        <w:rPr>
          <w:rFonts w:ascii="ARIAL" w:hAnsi="ARIAL"/>
          <w:sz w:val="18"/>
        </w:rPr>
      </w:pPr>
      <w:r>
        <w:rPr>
          <w:rFonts w:ascii="ARIAL" w:hAnsi="ARIAL"/>
          <w:sz w:val="18"/>
        </w:rPr>
        <w:t xml:space="preserve">In January 2026 the Company adopted a new Executive Severance Plan, which will govern the terms and values of payments to our NEOs in the event of termination or change in control. Please refer to the section titled “Compensation Discussion and Analysis—Company Compensation Policies and Practices” within this Proxy Statement for a discussion of the Executive Severance Plan. </w:t>
      </w:r>
    </w:p>
    <w:p>
      <w:pPr>
        <w:pStyle w:val="TextBody"/>
        <w:bidi w:val="0"/>
        <w:spacing w:before="360" w:after="0"/>
        <w:jc w:val="left"/>
        <w:rPr>
          <w:rFonts w:ascii="ARIAL" w:hAnsi="ARIAL"/>
          <w:b/>
          <w:sz w:val="24"/>
        </w:rPr>
      </w:pPr>
      <w:r>
        <w:rPr>
          <w:rFonts w:ascii="ARIAL" w:hAnsi="ARIAL"/>
          <w:b/>
          <w:sz w:val="24"/>
        </w:rPr>
        <w:t xml:space="preserve">Payments at Termination of Employment </w:t>
      </w:r>
    </w:p>
    <w:p>
      <w:pPr>
        <w:pStyle w:val="TextBody"/>
        <w:bidi w:val="0"/>
        <w:spacing w:before="120" w:after="0"/>
        <w:jc w:val="left"/>
        <w:rPr>
          <w:rFonts w:ascii="ARIAL" w:hAnsi="ARIAL"/>
          <w:sz w:val="18"/>
        </w:rPr>
      </w:pPr>
      <w:r>
        <w:rPr>
          <w:rFonts w:ascii="ARIAL" w:hAnsi="ARIAL"/>
          <w:sz w:val="18"/>
        </w:rPr>
        <w:t xml:space="preserve">The table below summarizes the potential termination and change of control payments described above for each of the NEOs as of December 31, 2025. The equity values presented in the table below were valued using the closing stock price as of December 31, 2025 ($67.24). Since this table reflects potential termination as of December 31, 2025, it does not reflect change of control payments that would be paid under the Executive Severance Plan adopted by the Board in January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37"/>
        <w:gridCol w:w="23"/>
        <w:gridCol w:w="103"/>
        <w:gridCol w:w="270"/>
        <w:gridCol w:w="1174"/>
        <w:gridCol w:w="273"/>
        <w:gridCol w:w="23"/>
        <w:gridCol w:w="33"/>
        <w:gridCol w:w="87"/>
        <w:gridCol w:w="1610"/>
        <w:gridCol w:w="90"/>
        <w:gridCol w:w="23"/>
        <w:gridCol w:w="33"/>
        <w:gridCol w:w="87"/>
        <w:gridCol w:w="1610"/>
        <w:gridCol w:w="90"/>
        <w:gridCol w:w="23"/>
        <w:gridCol w:w="30"/>
        <w:gridCol w:w="80"/>
        <w:gridCol w:w="1629"/>
        <w:gridCol w:w="81"/>
        <w:gridCol w:w="23"/>
        <w:gridCol w:w="23"/>
        <w:gridCol w:w="60"/>
        <w:gridCol w:w="1314"/>
        <w:gridCol w:w="76"/>
      </w:tblGrid>
      <w:tr>
        <w:trPr/>
        <w:tc>
          <w:tcPr>
            <w:tcW w:w="13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337" w:type="dxa"/>
            <w:tcBorders/>
            <w:shd w:fill="0054BA" w:val="clear"/>
            <w:vAlign w:val="center"/>
          </w:tcPr>
          <w:p>
            <w:pPr>
              <w:pStyle w:val="TableContents"/>
              <w:bidi w:val="0"/>
              <w:spacing w:before="0" w:after="283"/>
              <w:jc w:val="left"/>
              <w:rPr>
                <w:sz w:val="4"/>
                <w:szCs w:val="4"/>
              </w:rPr>
            </w:pPr>
            <w:r>
              <w:rPr>
                <w:sz w:val="4"/>
                <w:szCs w:val="4"/>
              </w:rPr>
            </w:r>
          </w:p>
        </w:tc>
        <w:tc>
          <w:tcPr>
            <w:tcW w:w="1843" w:type="dxa"/>
            <w:gridSpan w:val="5"/>
            <w:tcBorders/>
            <w:shd w:fill="0054BA" w:val="clear"/>
            <w:vAlign w:val="center"/>
          </w:tcPr>
          <w:p>
            <w:pPr>
              <w:pStyle w:val="TableContents"/>
              <w:bidi w:val="0"/>
              <w:spacing w:before="0" w:after="283"/>
              <w:jc w:val="left"/>
              <w:rPr>
                <w:sz w:val="4"/>
                <w:szCs w:val="4"/>
              </w:rPr>
            </w:pPr>
            <w:r>
              <w:rPr>
                <w:sz w:val="4"/>
                <w:szCs w:val="4"/>
              </w:rPr>
            </w:r>
          </w:p>
        </w:tc>
        <w:tc>
          <w:tcPr>
            <w:tcW w:w="1843" w:type="dxa"/>
            <w:gridSpan w:val="5"/>
            <w:tcBorders/>
            <w:shd w:fill="0054BA" w:val="clear"/>
            <w:vAlign w:val="center"/>
          </w:tcPr>
          <w:p>
            <w:pPr>
              <w:pStyle w:val="TableContents"/>
              <w:bidi w:val="0"/>
              <w:spacing w:before="0" w:after="283"/>
              <w:jc w:val="left"/>
              <w:rPr>
                <w:sz w:val="4"/>
                <w:szCs w:val="4"/>
              </w:rPr>
            </w:pPr>
            <w:r>
              <w:rPr>
                <w:sz w:val="4"/>
                <w:szCs w:val="4"/>
              </w:rPr>
            </w:r>
          </w:p>
        </w:tc>
        <w:tc>
          <w:tcPr>
            <w:tcW w:w="1843" w:type="dxa"/>
            <w:gridSpan w:val="5"/>
            <w:tcBorders/>
            <w:shd w:fill="0054BA" w:val="clear"/>
            <w:vAlign w:val="center"/>
          </w:tcPr>
          <w:p>
            <w:pPr>
              <w:pStyle w:val="TableContents"/>
              <w:bidi w:val="0"/>
              <w:spacing w:before="0" w:after="283"/>
              <w:jc w:val="left"/>
              <w:rPr>
                <w:sz w:val="4"/>
                <w:szCs w:val="4"/>
              </w:rPr>
            </w:pPr>
            <w:r>
              <w:rPr>
                <w:sz w:val="4"/>
                <w:szCs w:val="4"/>
              </w:rPr>
            </w:r>
          </w:p>
        </w:tc>
        <w:tc>
          <w:tcPr>
            <w:tcW w:w="1843" w:type="dxa"/>
            <w:gridSpan w:val="5"/>
            <w:tcBorders/>
            <w:shd w:fill="0054BA" w:val="clear"/>
            <w:vAlign w:val="center"/>
          </w:tcPr>
          <w:p>
            <w:pPr>
              <w:pStyle w:val="TableContents"/>
              <w:bidi w:val="0"/>
              <w:spacing w:before="0" w:after="283"/>
              <w:jc w:val="left"/>
              <w:rPr>
                <w:sz w:val="4"/>
                <w:szCs w:val="4"/>
              </w:rPr>
            </w:pPr>
            <w:r>
              <w:rPr>
                <w:sz w:val="4"/>
                <w:szCs w:val="4"/>
              </w:rPr>
            </w:r>
          </w:p>
        </w:tc>
        <w:tc>
          <w:tcPr>
            <w:tcW w:w="1496"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1337"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820" w:type="dxa"/>
            <w:gridSpan w:val="4"/>
            <w:tcBorders/>
            <w:shd w:fill="0054BA" w:val="clear"/>
            <w:vAlign w:val="center"/>
          </w:tcPr>
          <w:p>
            <w:pPr>
              <w:pStyle w:val="TableContents"/>
              <w:bidi w:val="0"/>
              <w:spacing w:before="0" w:after="283"/>
              <w:jc w:val="center"/>
              <w:rPr>
                <w:b/>
                <w:color w:val="FFFFFF"/>
              </w:rPr>
            </w:pPr>
            <w:r>
              <w:rPr>
                <w:b/>
                <w:color w:val="FFFFFF"/>
              </w:rPr>
              <w:t>TERMINATION</w:t>
              <w:br/>
              <w:t>BY COMPANY</w:t>
              <w:br/>
              <w:t>FOR CAUSE</w:t>
              <w:br/>
              <w:t>OR</w:t>
              <w:br/>
              <w:t>VOLUNTARY</w:t>
              <w:br/>
              <w:t>TERMINATION</w:t>
              <w:br/>
              <w:t>BY</w:t>
              <w:br/>
              <w:t>EXECUTIVE</w:t>
              <w:br/>
              <w:t>(EXCEPT,</w:t>
              <w:br/>
              <w:t>FOR CEO</w:t>
              <w:br/>
              <w:t>ONLY,</w:t>
              <w:br/>
              <w:t>RESIGNATION</w:t>
              <w:br/>
              <w:t>FOR “GOOD</w:t>
              <w:br/>
              <w:t>REASON”)</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820" w:type="dxa"/>
            <w:gridSpan w:val="4"/>
            <w:tcBorders/>
            <w:shd w:fill="0054BA" w:val="clear"/>
            <w:vAlign w:val="center"/>
          </w:tcPr>
          <w:p>
            <w:pPr>
              <w:pStyle w:val="TableContents"/>
              <w:bidi w:val="0"/>
              <w:spacing w:before="0" w:after="283"/>
              <w:jc w:val="center"/>
              <w:rPr>
                <w:b/>
                <w:color w:val="FFFFFF"/>
              </w:rPr>
            </w:pPr>
            <w:r>
              <w:rPr>
                <w:b/>
                <w:color w:val="FFFFFF"/>
              </w:rPr>
              <w:t>TERMINATION</w:t>
              <w:br/>
              <w:t>BY COMPANY</w:t>
              <w:br/>
              <w:t>“WITHOUT</w:t>
              <w:br/>
              <w:t>CAUSE” OR</w:t>
              <w:br/>
              <w:t>(FOR CEO</w:t>
              <w:br/>
              <w:t>ONLY)</w:t>
              <w:br/>
              <w:t>VOLUNTARY</w:t>
              <w:br/>
              <w:t>TERMINATION</w:t>
              <w:br/>
              <w:t>FOR “GOOD</w:t>
              <w:br/>
              <w:t>REASON”</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820" w:type="dxa"/>
            <w:gridSpan w:val="4"/>
            <w:tcBorders/>
            <w:shd w:fill="0054BA" w:val="clear"/>
            <w:vAlign w:val="center"/>
          </w:tcPr>
          <w:p>
            <w:pPr>
              <w:pStyle w:val="TableContents"/>
              <w:bidi w:val="0"/>
              <w:spacing w:before="0" w:after="283"/>
              <w:jc w:val="center"/>
              <w:rPr>
                <w:b/>
                <w:color w:val="FFFFFF"/>
              </w:rPr>
            </w:pPr>
            <w:r>
              <w:rPr>
                <w:b/>
                <w:color w:val="FFFFFF"/>
              </w:rPr>
              <w:t>TERMINATION</w:t>
              <w:br/>
              <w:t>DUE TO</w:t>
              <w:br/>
              <w:t>DEATH OR</w:t>
              <w:br/>
              <w:t>DISABILITY</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820" w:type="dxa"/>
            <w:gridSpan w:val="4"/>
            <w:tcBorders/>
            <w:shd w:fill="0054BA" w:val="clear"/>
            <w:vAlign w:val="center"/>
          </w:tcPr>
          <w:p>
            <w:pPr>
              <w:pStyle w:val="TableContents"/>
              <w:bidi w:val="0"/>
              <w:spacing w:before="0" w:after="283"/>
              <w:jc w:val="center"/>
              <w:rPr>
                <w:b/>
                <w:color w:val="FFFFFF"/>
              </w:rPr>
            </w:pPr>
            <w:r>
              <w:rPr>
                <w:b/>
                <w:color w:val="FFFFFF"/>
              </w:rPr>
              <w:t>TERMINATION</w:t>
              <w:br/>
              <w:t>UPON</w:t>
              <w:br/>
              <w:t>CHANGE OF</w:t>
              <w:br/>
              <w:t>CONTROL</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7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CHANGE OF  </w:t>
            </w:r>
          </w:p>
          <w:p>
            <w:pPr>
              <w:pStyle w:val="TableContents"/>
              <w:bidi w:val="0"/>
              <w:spacing w:before="0" w:after="0"/>
              <w:jc w:val="center"/>
              <w:rPr>
                <w:rFonts w:ascii="ARIAL" w:hAnsi="ARIAL"/>
                <w:b/>
                <w:color w:val="FFFFFF"/>
                <w:sz w:val="16"/>
              </w:rPr>
            </w:pPr>
            <w:r>
              <w:rPr>
                <w:rFonts w:ascii="ARIAL" w:hAnsi="ARIAL"/>
                <w:b/>
                <w:color w:val="FFFFFF"/>
                <w:sz w:val="16"/>
              </w:rPr>
              <w:t>CONTROL  </w:t>
            </w:r>
          </w:p>
          <w:p>
            <w:pPr>
              <w:pStyle w:val="TableContents"/>
              <w:bidi w:val="0"/>
              <w:spacing w:before="0" w:after="0"/>
              <w:jc w:val="center"/>
              <w:rPr>
                <w:rFonts w:ascii="ARIAL" w:hAnsi="ARIAL"/>
                <w:b/>
                <w:color w:val="FFFFFF"/>
                <w:sz w:val="16"/>
              </w:rPr>
            </w:pPr>
            <w:r>
              <w:rPr>
                <w:rFonts w:ascii="ARIAL" w:hAnsi="ARIAL"/>
                <w:b/>
                <w:color w:val="FFFFFF"/>
                <w:sz w:val="16"/>
              </w:rPr>
              <w:t>WITHOUT  </w:t>
            </w:r>
          </w:p>
          <w:p>
            <w:pPr>
              <w:pStyle w:val="TableContents"/>
              <w:bidi w:val="0"/>
              <w:spacing w:before="0" w:after="20"/>
              <w:jc w:val="center"/>
              <w:rPr>
                <w:rFonts w:ascii="ARIAL" w:hAnsi="ARIAL"/>
                <w:b/>
                <w:color w:val="FFFFFF"/>
                <w:sz w:val="16"/>
              </w:rPr>
            </w:pPr>
            <w:r>
              <w:rPr>
                <w:rFonts w:ascii="ARIAL" w:hAnsi="ARIAL"/>
                <w:b/>
                <w:color w:val="FFFFFF"/>
                <w:sz w:val="16"/>
              </w:rPr>
              <w:t>TERMINATION  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Cash Severance(1)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$1,000,000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$1,000,000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Bonus(2)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$3,000,000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$3,000,000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$3,000,000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Accelerated Equity Awards(3)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$67,927,058</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$67,927,058  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$4,000,000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$3,000,000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b/>
              </w:rPr>
            </w:pPr>
            <w:r>
              <w:rPr>
                <w:b/>
              </w:rPr>
              <w:t>$71,927,058</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b/>
              </w:rPr>
            </w:pPr>
            <w:r>
              <w:rPr>
                <w:b/>
              </w:rPr>
              <w:t>$67,927,058  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Christian M. Lown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Cash Severance(1)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$300,000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$300,000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Bonus(2)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Accelerated Equity Awards(3)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$8,231,252</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$8,231,252  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$300,000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b/>
              </w:rPr>
            </w:pPr>
            <w:r>
              <w:rPr>
                <w:b/>
              </w:rPr>
              <w:t>$8,531,252</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b/>
              </w:rPr>
            </w:pPr>
            <w:r>
              <w:rPr>
                <w:b/>
              </w:rPr>
              <w:t>$8,231,252  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Lisa C. Ruggles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Cash Severance(1)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$183,077</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Bonus(2)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Accelerated Equity Awards(3)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$10,055,204</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$10,055,204  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$183,077</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b/>
              </w:rPr>
            </w:pPr>
            <w:r>
              <w:rPr>
                <w:b/>
              </w:rPr>
              <w:t>$10,055,204</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b/>
              </w:rPr>
            </w:pPr>
            <w:r>
              <w:rPr>
                <w:b/>
              </w:rPr>
              <w:t>$10,055,204  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Frederick G. Saint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Cash Severance(1)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$183,077</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Bonus(2)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Accelerated Equity Awards(3)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$13,286,691</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$13,286,691  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$183,077</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b/>
              </w:rPr>
            </w:pPr>
            <w:r>
              <w:rPr>
                <w:b/>
              </w:rPr>
              <w:t>$13,286,691</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b/>
              </w:rPr>
            </w:pPr>
            <w:r>
              <w:rPr>
                <w:b/>
              </w:rPr>
              <w:t>$13,286,691  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color w:val="0054BA"/>
                <w:sz w:val="16"/>
              </w:rPr>
            </w:pPr>
            <w:r>
              <w:rPr>
                <w:rFonts w:ascii="ARIAL" w:hAnsi="ARIAL"/>
                <w:b/>
                <w:color w:val="0054BA"/>
                <w:sz w:val="16"/>
              </w:rPr>
              <w:t>Frank A. Simuro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Cash Severance(1)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$200,000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Bonus(2)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$0</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$0  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Accelerated Equity Awards(3)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pPr>
            <w:r>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pPr>
            <w:r>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pPr>
            <w:r>
              <w:rPr/>
              <w:t>$20,577,323</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pPr>
            <w:r>
              <w:rPr/>
              <w:t>$20,577,323  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37" w:type="dxa"/>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843" w:type="dxa"/>
            <w:gridSpan w:val="5"/>
            <w:tcBorders/>
            <w:vAlign w:val="center"/>
          </w:tcPr>
          <w:p>
            <w:pPr>
              <w:pStyle w:val="TableContents"/>
              <w:bidi w:val="0"/>
              <w:spacing w:before="0" w:after="283"/>
              <w:jc w:val="left"/>
              <w:rPr>
                <w:sz w:val="4"/>
                <w:szCs w:val="4"/>
              </w:rPr>
            </w:pPr>
            <w:r>
              <w:rPr>
                <w:sz w:val="4"/>
                <w:szCs w:val="4"/>
              </w:rPr>
            </w:r>
          </w:p>
        </w:tc>
        <w:tc>
          <w:tcPr>
            <w:tcW w:w="1496" w:type="dxa"/>
            <w:gridSpan w:val="5"/>
            <w:tcBorders/>
            <w:vAlign w:val="center"/>
          </w:tcPr>
          <w:p>
            <w:pPr>
              <w:pStyle w:val="TableContents"/>
              <w:bidi w:val="0"/>
              <w:spacing w:before="0" w:after="283"/>
              <w:jc w:val="left"/>
              <w:rPr>
                <w:sz w:val="4"/>
                <w:szCs w:val="4"/>
              </w:rPr>
            </w:pPr>
            <w:r>
              <w:rPr>
                <w:sz w:val="4"/>
                <w:szCs w:val="4"/>
              </w:rPr>
            </w:r>
          </w:p>
        </w:tc>
      </w:tr>
      <w:tr>
        <w:trPr/>
        <w:tc>
          <w:tcPr>
            <w:tcW w:w="1337" w:type="dxa"/>
            <w:tcBorders>
              <w:bottom w:val="single" w:sz="6" w:space="0" w:color="000000"/>
            </w:tcBorders>
            <w:tcMar>
              <w:bottom w:w="10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74"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273"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$200,000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0000"/>
            </w:tcBorders>
            <w:tcMar>
              <w:bottom w:w="100"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center"/>
              <w:rPr>
                <w:b/>
              </w:rPr>
            </w:pPr>
            <w:r>
              <w:rPr>
                <w:b/>
              </w:rPr>
              <w:t>$0</w:t>
            </w:r>
          </w:p>
        </w:tc>
        <w:tc>
          <w:tcPr>
            <w:tcW w:w="9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100" w:type="dxa"/>
            </w:tcMar>
            <w:vAlign w:val="center"/>
          </w:tcPr>
          <w:p>
            <w:pPr>
              <w:pStyle w:val="TableContents"/>
              <w:bidi w:val="0"/>
              <w:spacing w:before="0" w:after="283"/>
              <w:jc w:val="left"/>
              <w:rPr/>
            </w:pPr>
            <w:r>
              <w:rPr/>
              <w:t> </w:t>
            </w:r>
          </w:p>
        </w:tc>
        <w:tc>
          <w:tcPr>
            <w:tcW w:w="1629" w:type="dxa"/>
            <w:tcBorders>
              <w:bottom w:val="single" w:sz="6" w:space="0" w:color="000000"/>
            </w:tcBorders>
            <w:tcMar>
              <w:bottom w:w="100" w:type="dxa"/>
            </w:tcMar>
            <w:vAlign w:val="center"/>
          </w:tcPr>
          <w:p>
            <w:pPr>
              <w:pStyle w:val="TableContents"/>
              <w:bidi w:val="0"/>
              <w:spacing w:before="0" w:after="283"/>
              <w:jc w:val="center"/>
              <w:rPr>
                <w:b/>
              </w:rPr>
            </w:pPr>
            <w:r>
              <w:rPr>
                <w:b/>
              </w:rPr>
              <w:t>$20,577,323</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14" w:type="dxa"/>
            <w:tcBorders>
              <w:bottom w:val="single" w:sz="6" w:space="0" w:color="000000"/>
            </w:tcBorders>
            <w:tcMar>
              <w:bottom w:w="100" w:type="dxa"/>
            </w:tcMar>
            <w:vAlign w:val="center"/>
          </w:tcPr>
          <w:p>
            <w:pPr>
              <w:pStyle w:val="TableContents"/>
              <w:bidi w:val="0"/>
              <w:spacing w:before="0" w:after="283"/>
              <w:jc w:val="center"/>
              <w:rPr>
                <w:b/>
              </w:rPr>
            </w:pPr>
            <w:r>
              <w:rPr>
                <w:b/>
              </w:rPr>
              <w:t>$20,577,323  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62"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37" descr=""/>
                          <pic:cNvPicPr>
                            <a:picLocks noChangeAspect="1" noChangeArrowheads="1"/>
                          </pic:cNvPicPr>
                        </pic:nvPicPr>
                        <pic:blipFill>
                          <a:blip r:embed="rId34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i/>
              </w:rPr>
            </w:pPr>
            <w:r>
              <w:rPr>
                <w:i/>
              </w:rPr>
              <w:t>(1) </w:t>
            </w:r>
          </w:p>
        </w:tc>
        <w:tc>
          <w:tcPr>
            <w:tcW w:w="9943" w:type="dxa"/>
            <w:tcBorders/>
            <w:vAlign w:val="center"/>
          </w:tcPr>
          <w:p>
            <w:pPr>
              <w:pStyle w:val="TableContents"/>
              <w:bidi w:val="0"/>
              <w:spacing w:before="0" w:after="0"/>
              <w:jc w:val="left"/>
              <w:rPr>
                <w:rFonts w:ascii="ARIAL" w:hAnsi="ARIAL"/>
                <w:i/>
                <w:sz w:val="16"/>
              </w:rPr>
            </w:pPr>
            <w:r>
              <w:rPr>
                <w:rFonts w:ascii="ARIAL" w:hAnsi="ARIAL"/>
                <w:i/>
                <w:sz w:val="16"/>
              </w:rPr>
              <w:t xml:space="preserve">For Mr. Florance, amounts reflect one year of base salary in accordance with the terms of his employment agreement. For Mr. Lown, amounts reflect six months of base salary in accordance with the terms of his offer letter. For all other NEOs, amounts reflect payment under company-wide severance policy, equal to two weeks of current base pay for the first year or less of employment, plus one week of current base pay for each completed additional year of continuous service (up to a 16-week maximum payout).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i/>
              </w:rPr>
            </w:pPr>
            <w:r>
              <w:rPr>
                <w:i/>
              </w:rPr>
              <w:t>(2) </w:t>
            </w:r>
          </w:p>
        </w:tc>
        <w:tc>
          <w:tcPr>
            <w:tcW w:w="9843" w:type="dxa"/>
            <w:tcBorders/>
            <w:vAlign w:val="center"/>
          </w:tcPr>
          <w:p>
            <w:pPr>
              <w:pStyle w:val="TableContents"/>
              <w:bidi w:val="0"/>
              <w:spacing w:before="0" w:after="0"/>
              <w:jc w:val="left"/>
              <w:rPr>
                <w:rFonts w:ascii="ARIAL" w:hAnsi="ARIAL"/>
                <w:i/>
                <w:sz w:val="16"/>
              </w:rPr>
            </w:pPr>
            <w:r>
              <w:rPr>
                <w:rFonts w:ascii="ARIAL" w:hAnsi="ARIAL"/>
                <w:i/>
                <w:sz w:val="16"/>
              </w:rPr>
              <w:t xml:space="preserve">For Mr. Florance, amounts reflect payment of the 2025 cash incentive bonus in accordance with the terms of his employment agreement.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i/>
              </w:rPr>
            </w:pPr>
            <w:r>
              <w:rPr>
                <w:i/>
              </w:rPr>
              <w:t>(3) </w:t>
            </w:r>
          </w:p>
        </w:tc>
        <w:tc>
          <w:tcPr>
            <w:tcW w:w="9963" w:type="dxa"/>
            <w:tcBorders/>
            <w:vAlign w:val="center"/>
          </w:tcPr>
          <w:p>
            <w:pPr>
              <w:pStyle w:val="TableContents"/>
              <w:bidi w:val="0"/>
              <w:spacing w:before="0" w:after="0"/>
              <w:jc w:val="left"/>
              <w:rPr>
                <w:rFonts w:ascii="ARIAL" w:hAnsi="ARIAL"/>
                <w:i/>
                <w:sz w:val="16"/>
              </w:rPr>
            </w:pPr>
            <w:r>
              <w:rPr>
                <w:rFonts w:ascii="ARIAL" w:hAnsi="ARIAL"/>
                <w:i/>
                <w:sz w:val="16"/>
              </w:rPr>
              <w:t>Consists of values realizable by the NEOs with respect to unvested stock options in the money as of December 31, 2025 and restricted stock under the Company’s 2016 Plan. The intrinsic value of stock options was calculated by multiplying the number of shares underlying the unvested options by the difference between the exercise price of each unvested option and the closing price of the Company’s common stock on December 31, 2025 ($67.24), excluding options with an exercise price greater than such price (such options referred to as “underwater”). As of December 31, 2025, all unvested stock options were underwater. The intrinsic value of restricted stock was calculated by multiplying the full number of shares underlying such restricted stock outstanding (at maximum performance for performance-based restricted stock awards) by the closing price of the Company’s common stock on December 31, 2025 ($67.24). All Accelerated Equity Awards reflect treatment under the legacy 2016 Plan. As noted previously, the 2016 Plan was replaced by the 2025 Stock Incentive Plan. Following the Annual Meeting of Stockholders in 2025, all awards granted under the 2025 Stock Incentive Plan to our NEOs in 2025 require a qualifying termination in the change in control protection period in order to be eligible for benefits.</w:t>
            </w:r>
          </w:p>
        </w:tc>
      </w:tr>
    </w:tbl>
    <w:p>
      <w:pPr>
        <w:pStyle w:val="TextBody"/>
        <w:bidi w:val="0"/>
        <w:spacing w:before="360" w:after="0"/>
        <w:jc w:val="left"/>
        <w:rPr>
          <w:rFonts w:ascii="ARIAL" w:hAnsi="ARIAL"/>
          <w:b/>
          <w:sz w:val="24"/>
        </w:rPr>
      </w:pPr>
      <w:bookmarkStart w:id="58" w:name="toc903159_43"/>
      <w:bookmarkEnd w:id="58"/>
      <w:r>
        <w:rPr>
          <w:rFonts w:ascii="ARIAL" w:hAnsi="ARIAL"/>
          <w:b/>
          <w:sz w:val="24"/>
        </w:rPr>
        <w:t xml:space="preserve">Equity Compensation Plan Information </w:t>
      </w:r>
    </w:p>
    <w:p>
      <w:pPr>
        <w:pStyle w:val="TextBody"/>
        <w:bidi w:val="0"/>
        <w:spacing w:before="80" w:after="0"/>
        <w:jc w:val="left"/>
        <w:rPr>
          <w:rFonts w:ascii="ARIAL" w:hAnsi="ARIAL"/>
          <w:sz w:val="18"/>
        </w:rPr>
      </w:pPr>
      <w:r>
        <w:rPr>
          <w:rFonts w:ascii="ARIAL" w:hAnsi="ARIAL"/>
          <w:sz w:val="18"/>
        </w:rPr>
        <w:t xml:space="preserve">The following table sets forth information with respect to the Company’s equity compensation plans under which our equity securities are authorized for issuance as of December 31, 2025. </w:t>
      </w:r>
    </w:p>
    <w:p>
      <w:pPr>
        <w:pStyle w:val="TextBody"/>
        <w:bidi w:val="0"/>
        <w:spacing w:before="0" w:after="0"/>
        <w:jc w:val="left"/>
        <w:rPr/>
      </w:pPr>
      <w:r>
        <w:rPr/>
        <w:t> </w:t>
      </w:r>
    </w:p>
    <w:tbl>
      <w:tblPr>
        <w:tblW w:w="9695" w:type="dxa"/>
        <w:jc w:val="left"/>
        <w:tblInd w:w="0" w:type="dxa"/>
        <w:tblLayout w:type="fixed"/>
        <w:tblCellMar>
          <w:top w:w="0" w:type="dxa"/>
          <w:left w:w="0" w:type="dxa"/>
          <w:bottom w:w="0" w:type="dxa"/>
          <w:right w:w="0" w:type="dxa"/>
        </w:tblCellMar>
      </w:tblPr>
      <w:tblGrid>
        <w:gridCol w:w="4640"/>
        <w:gridCol w:w="23"/>
        <w:gridCol w:w="23"/>
        <w:gridCol w:w="60"/>
        <w:gridCol w:w="1250"/>
        <w:gridCol w:w="60"/>
        <w:gridCol w:w="23"/>
        <w:gridCol w:w="36"/>
        <w:gridCol w:w="95"/>
        <w:gridCol w:w="1202"/>
        <w:gridCol w:w="97"/>
        <w:gridCol w:w="23"/>
        <w:gridCol w:w="40"/>
        <w:gridCol w:w="106"/>
        <w:gridCol w:w="1882"/>
        <w:gridCol w:w="135"/>
      </w:tblGrid>
      <w:tr>
        <w:trPr/>
        <w:tc>
          <w:tcPr>
            <w:tcW w:w="46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4640" w:type="dxa"/>
            <w:tcBorders/>
            <w:shd w:fill="0054BA" w:val="clear"/>
            <w:vAlign w:val="center"/>
          </w:tcPr>
          <w:p>
            <w:pPr>
              <w:pStyle w:val="TableContents"/>
              <w:bidi w:val="0"/>
              <w:spacing w:before="0" w:after="283"/>
              <w:jc w:val="left"/>
              <w:rPr>
                <w:sz w:val="4"/>
                <w:szCs w:val="4"/>
              </w:rPr>
            </w:pPr>
            <w:r>
              <w:rPr>
                <w:sz w:val="4"/>
                <w:szCs w:val="4"/>
              </w:rPr>
            </w:r>
          </w:p>
        </w:tc>
        <w:tc>
          <w:tcPr>
            <w:tcW w:w="1416" w:type="dxa"/>
            <w:gridSpan w:val="5"/>
            <w:tcBorders/>
            <w:shd w:fill="0054BA" w:val="clear"/>
            <w:vAlign w:val="center"/>
          </w:tcPr>
          <w:p>
            <w:pPr>
              <w:pStyle w:val="TableContents"/>
              <w:bidi w:val="0"/>
              <w:spacing w:before="0" w:after="283"/>
              <w:jc w:val="left"/>
              <w:rPr>
                <w:sz w:val="4"/>
                <w:szCs w:val="4"/>
              </w:rPr>
            </w:pPr>
            <w:r>
              <w:rPr>
                <w:sz w:val="4"/>
                <w:szCs w:val="4"/>
              </w:rPr>
            </w:r>
          </w:p>
        </w:tc>
        <w:tc>
          <w:tcPr>
            <w:tcW w:w="1453" w:type="dxa"/>
            <w:gridSpan w:val="5"/>
            <w:tcBorders/>
            <w:shd w:fill="0054BA" w:val="clear"/>
            <w:vAlign w:val="center"/>
          </w:tcPr>
          <w:p>
            <w:pPr>
              <w:pStyle w:val="TableContents"/>
              <w:bidi w:val="0"/>
              <w:spacing w:before="0" w:after="283"/>
              <w:jc w:val="left"/>
              <w:rPr>
                <w:sz w:val="4"/>
                <w:szCs w:val="4"/>
              </w:rPr>
            </w:pPr>
            <w:r>
              <w:rPr>
                <w:sz w:val="4"/>
                <w:szCs w:val="4"/>
              </w:rPr>
            </w:r>
          </w:p>
        </w:tc>
        <w:tc>
          <w:tcPr>
            <w:tcW w:w="2186"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4640" w:type="dxa"/>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PLAN CATEGORY</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9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SECURITIES</w:t>
            </w:r>
          </w:p>
          <w:p>
            <w:pPr>
              <w:pStyle w:val="TableContents"/>
              <w:bidi w:val="0"/>
              <w:spacing w:before="0" w:after="0"/>
              <w:jc w:val="center"/>
              <w:rPr>
                <w:rFonts w:ascii="ARIAL" w:hAnsi="ARIAL"/>
                <w:b/>
                <w:color w:val="FFFFFF"/>
                <w:sz w:val="16"/>
              </w:rPr>
            </w:pPr>
            <w:r>
              <w:rPr>
                <w:rFonts w:ascii="ARIAL" w:hAnsi="ARIAL"/>
                <w:b/>
                <w:color w:val="FFFFFF"/>
                <w:sz w:val="16"/>
              </w:rPr>
              <w:t>TO BE</w:t>
            </w:r>
          </w:p>
          <w:p>
            <w:pPr>
              <w:pStyle w:val="TableContents"/>
              <w:bidi w:val="0"/>
              <w:spacing w:before="0" w:after="0"/>
              <w:jc w:val="center"/>
              <w:rPr>
                <w:rFonts w:ascii="ARIAL" w:hAnsi="ARIAL"/>
                <w:b/>
                <w:color w:val="FFFFFF"/>
                <w:sz w:val="16"/>
              </w:rPr>
            </w:pPr>
            <w:r>
              <w:rPr>
                <w:rFonts w:ascii="ARIAL" w:hAnsi="ARIAL"/>
                <w:b/>
                <w:color w:val="FFFFFF"/>
                <w:sz w:val="16"/>
              </w:rPr>
              <w:t>ISSUED UPON</w:t>
            </w:r>
          </w:p>
          <w:p>
            <w:pPr>
              <w:pStyle w:val="TableContents"/>
              <w:bidi w:val="0"/>
              <w:spacing w:before="0" w:after="0"/>
              <w:jc w:val="center"/>
              <w:rPr>
                <w:rFonts w:ascii="ARIAL" w:hAnsi="ARIAL"/>
                <w:b/>
                <w:color w:val="FFFFFF"/>
                <w:sz w:val="16"/>
              </w:rPr>
            </w:pPr>
            <w:r>
              <w:rPr>
                <w:rFonts w:ascii="ARIAL" w:hAnsi="ARIAL"/>
                <w:b/>
                <w:color w:val="FFFFFF"/>
                <w:sz w:val="16"/>
              </w:rPr>
              <w:t>EXERCISE OF</w:t>
            </w:r>
          </w:p>
          <w:p>
            <w:pPr>
              <w:pStyle w:val="TableContents"/>
              <w:bidi w:val="0"/>
              <w:spacing w:before="0" w:after="0"/>
              <w:jc w:val="center"/>
              <w:rPr>
                <w:rFonts w:ascii="ARIAL" w:hAnsi="ARIAL"/>
                <w:b/>
                <w:color w:val="FFFFFF"/>
                <w:sz w:val="16"/>
              </w:rPr>
            </w:pPr>
            <w:r>
              <w:rPr>
                <w:rFonts w:ascii="ARIAL" w:hAnsi="ARIAL"/>
                <w:b/>
                <w:color w:val="FFFFFF"/>
                <w:sz w:val="16"/>
              </w:rPr>
              <w:t>OUTSTANDING</w:t>
            </w:r>
          </w:p>
          <w:p>
            <w:pPr>
              <w:pStyle w:val="TableContents"/>
              <w:bidi w:val="0"/>
              <w:spacing w:before="0" w:after="0"/>
              <w:jc w:val="center"/>
              <w:rPr>
                <w:rFonts w:ascii="ARIAL" w:hAnsi="ARIAL"/>
                <w:b/>
                <w:color w:val="FFFFFF"/>
                <w:sz w:val="16"/>
              </w:rPr>
            </w:pPr>
            <w:r>
              <w:rPr>
                <w:rFonts w:ascii="ARIAL" w:hAnsi="ARIAL"/>
                <w:b/>
                <w:color w:val="FFFFFF"/>
                <w:sz w:val="16"/>
              </w:rPr>
              <w:t>OPTIONS,</w:t>
            </w:r>
          </w:p>
          <w:p>
            <w:pPr>
              <w:pStyle w:val="TableContents"/>
              <w:bidi w:val="0"/>
              <w:spacing w:before="0" w:after="0"/>
              <w:jc w:val="center"/>
              <w:rPr>
                <w:rFonts w:ascii="ARIAL" w:hAnsi="ARIAL"/>
                <w:b/>
                <w:color w:val="FFFFFF"/>
                <w:sz w:val="16"/>
              </w:rPr>
            </w:pPr>
            <w:r>
              <w:rPr>
                <w:rFonts w:ascii="ARIAL" w:hAnsi="ARIAL"/>
                <w:b/>
                <w:color w:val="FFFFFF"/>
                <w:sz w:val="16"/>
              </w:rPr>
              <w:t>WARRANTS,</w:t>
            </w:r>
          </w:p>
          <w:p>
            <w:pPr>
              <w:pStyle w:val="TableContents"/>
              <w:bidi w:val="0"/>
              <w:spacing w:before="0" w:after="20"/>
              <w:jc w:val="center"/>
              <w:rPr>
                <w:rFonts w:ascii="ARIAL" w:hAnsi="ARIAL"/>
                <w:b/>
                <w:color w:val="FFFFFF"/>
                <w:sz w:val="16"/>
              </w:rPr>
            </w:pPr>
            <w:r>
              <w:rPr>
                <w:rFonts w:ascii="ARIAL" w:hAnsi="ARIAL"/>
                <w:b/>
                <w:color w:val="FFFFFF"/>
                <w:sz w:val="16"/>
              </w:rPr>
              <w:t>AND RIGHTS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430"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WEIGHTED-</w:t>
              <w:br/>
              <w:t>AVERAGE</w:t>
            </w:r>
          </w:p>
          <w:p>
            <w:pPr>
              <w:pStyle w:val="TableContents"/>
              <w:bidi w:val="0"/>
              <w:spacing w:before="0" w:after="0"/>
              <w:jc w:val="center"/>
              <w:rPr>
                <w:rFonts w:ascii="ARIAL" w:hAnsi="ARIAL"/>
                <w:b/>
                <w:color w:val="FFFFFF"/>
                <w:sz w:val="16"/>
              </w:rPr>
            </w:pPr>
            <w:r>
              <w:rPr>
                <w:rFonts w:ascii="ARIAL" w:hAnsi="ARIAL"/>
                <w:b/>
                <w:color w:val="FFFFFF"/>
                <w:sz w:val="16"/>
              </w:rPr>
              <w:t>EXERCISE</w:t>
            </w:r>
          </w:p>
          <w:p>
            <w:pPr>
              <w:pStyle w:val="TableContents"/>
              <w:bidi w:val="0"/>
              <w:spacing w:before="0" w:after="0"/>
              <w:jc w:val="center"/>
              <w:rPr>
                <w:rFonts w:ascii="ARIAL" w:hAnsi="ARIAL"/>
                <w:b/>
                <w:color w:val="FFFFFF"/>
                <w:sz w:val="16"/>
              </w:rPr>
            </w:pPr>
            <w:r>
              <w:rPr>
                <w:rFonts w:ascii="ARIAL" w:hAnsi="ARIAL"/>
                <w:b/>
                <w:color w:val="FFFFFF"/>
                <w:sz w:val="16"/>
              </w:rPr>
              <w:t>PRICE OF</w:t>
            </w:r>
          </w:p>
          <w:p>
            <w:pPr>
              <w:pStyle w:val="TableContents"/>
              <w:bidi w:val="0"/>
              <w:spacing w:before="0" w:after="0"/>
              <w:jc w:val="center"/>
              <w:rPr>
                <w:rFonts w:ascii="ARIAL" w:hAnsi="ARIAL"/>
                <w:b/>
                <w:color w:val="FFFFFF"/>
                <w:sz w:val="16"/>
              </w:rPr>
            </w:pPr>
            <w:r>
              <w:rPr>
                <w:rFonts w:ascii="ARIAL" w:hAnsi="ARIAL"/>
                <w:b/>
                <w:color w:val="FFFFFF"/>
                <w:sz w:val="16"/>
              </w:rPr>
              <w:t>OUTSTANDING</w:t>
            </w:r>
          </w:p>
          <w:p>
            <w:pPr>
              <w:pStyle w:val="TableContents"/>
              <w:bidi w:val="0"/>
              <w:spacing w:before="0" w:after="0"/>
              <w:jc w:val="center"/>
              <w:rPr>
                <w:rFonts w:ascii="ARIAL" w:hAnsi="ARIAL"/>
                <w:b/>
                <w:color w:val="FFFFFF"/>
                <w:sz w:val="16"/>
              </w:rPr>
            </w:pPr>
            <w:r>
              <w:rPr>
                <w:rFonts w:ascii="ARIAL" w:hAnsi="ARIAL"/>
                <w:b/>
                <w:color w:val="FFFFFF"/>
                <w:sz w:val="16"/>
              </w:rPr>
              <w:t>OPTIONS,</w:t>
            </w:r>
          </w:p>
          <w:p>
            <w:pPr>
              <w:pStyle w:val="TableContents"/>
              <w:bidi w:val="0"/>
              <w:spacing w:before="0" w:after="0"/>
              <w:jc w:val="center"/>
              <w:rPr>
                <w:rFonts w:ascii="ARIAL" w:hAnsi="ARIAL"/>
                <w:b/>
                <w:color w:val="FFFFFF"/>
                <w:sz w:val="16"/>
              </w:rPr>
            </w:pPr>
            <w:r>
              <w:rPr>
                <w:rFonts w:ascii="ARIAL" w:hAnsi="ARIAL"/>
                <w:b/>
                <w:color w:val="FFFFFF"/>
                <w:sz w:val="16"/>
              </w:rPr>
              <w:t>WARRANTS, AND</w:t>
            </w:r>
          </w:p>
          <w:p>
            <w:pPr>
              <w:pStyle w:val="TableContents"/>
              <w:bidi w:val="0"/>
              <w:spacing w:before="0" w:after="20"/>
              <w:jc w:val="center"/>
              <w:rPr>
                <w:rFonts w:ascii="ARIAL" w:hAnsi="ARIAL"/>
                <w:b/>
                <w:color w:val="FFFFFF"/>
                <w:sz w:val="16"/>
              </w:rPr>
            </w:pPr>
            <w:r>
              <w:rPr>
                <w:rFonts w:ascii="ARIAL" w:hAnsi="ARIAL"/>
                <w:b/>
                <w:color w:val="FFFFFF"/>
                <w:sz w:val="16"/>
              </w:rPr>
              <w:t>RIGHTS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16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 SECURITIES  </w:t>
            </w:r>
          </w:p>
          <w:p>
            <w:pPr>
              <w:pStyle w:val="TableContents"/>
              <w:bidi w:val="0"/>
              <w:spacing w:before="0" w:after="0"/>
              <w:jc w:val="center"/>
              <w:rPr>
                <w:rFonts w:ascii="ARIAL" w:hAnsi="ARIAL"/>
                <w:b/>
                <w:color w:val="FFFFFF"/>
                <w:sz w:val="16"/>
              </w:rPr>
            </w:pPr>
            <w:r>
              <w:rPr>
                <w:rFonts w:ascii="ARIAL" w:hAnsi="ARIAL"/>
                <w:b/>
                <w:color w:val="FFFFFF"/>
                <w:sz w:val="16"/>
              </w:rPr>
              <w:t>REMAINING</w:t>
              <w:br/>
              <w:t>AVAILABLE  </w:t>
            </w:r>
          </w:p>
          <w:p>
            <w:pPr>
              <w:pStyle w:val="TableContents"/>
              <w:bidi w:val="0"/>
              <w:spacing w:before="0" w:after="0"/>
              <w:jc w:val="center"/>
              <w:rPr>
                <w:rFonts w:ascii="ARIAL" w:hAnsi="ARIAL"/>
                <w:b/>
                <w:color w:val="FFFFFF"/>
                <w:sz w:val="16"/>
              </w:rPr>
            </w:pPr>
            <w:r>
              <w:rPr>
                <w:rFonts w:ascii="ARIAL" w:hAnsi="ARIAL"/>
                <w:b/>
                <w:color w:val="FFFFFF"/>
                <w:sz w:val="16"/>
              </w:rPr>
              <w:t>FOR FUTURE  </w:t>
            </w:r>
          </w:p>
          <w:p>
            <w:pPr>
              <w:pStyle w:val="TableContents"/>
              <w:bidi w:val="0"/>
              <w:spacing w:before="0" w:after="0"/>
              <w:jc w:val="center"/>
              <w:rPr>
                <w:rFonts w:ascii="ARIAL" w:hAnsi="ARIAL"/>
                <w:b/>
                <w:color w:val="FFFFFF"/>
                <w:sz w:val="16"/>
              </w:rPr>
            </w:pPr>
            <w:r>
              <w:rPr>
                <w:rFonts w:ascii="ARIAL" w:hAnsi="ARIAL"/>
                <w:b/>
                <w:color w:val="FFFFFF"/>
                <w:sz w:val="16"/>
              </w:rPr>
              <w:t>ISSUANCE UNDER  </w:t>
            </w:r>
          </w:p>
          <w:p>
            <w:pPr>
              <w:pStyle w:val="TableContents"/>
              <w:bidi w:val="0"/>
              <w:spacing w:before="0" w:after="0"/>
              <w:jc w:val="center"/>
              <w:rPr>
                <w:rFonts w:ascii="ARIAL" w:hAnsi="ARIAL"/>
                <w:b/>
                <w:color w:val="FFFFFF"/>
                <w:sz w:val="16"/>
              </w:rPr>
            </w:pPr>
            <w:r>
              <w:rPr>
                <w:rFonts w:ascii="ARIAL" w:hAnsi="ARIAL"/>
                <w:b/>
                <w:color w:val="FFFFFF"/>
                <w:sz w:val="16"/>
              </w:rPr>
              <w:t>EQUITY  </w:t>
            </w:r>
          </w:p>
          <w:p>
            <w:pPr>
              <w:pStyle w:val="TableContents"/>
              <w:bidi w:val="0"/>
              <w:spacing w:before="0" w:after="0"/>
              <w:jc w:val="center"/>
              <w:rPr>
                <w:rFonts w:ascii="ARIAL" w:hAnsi="ARIAL"/>
                <w:b/>
                <w:color w:val="FFFFFF"/>
                <w:sz w:val="16"/>
              </w:rPr>
            </w:pPr>
            <w:r>
              <w:rPr>
                <w:rFonts w:ascii="ARIAL" w:hAnsi="ARIAL"/>
                <w:b/>
                <w:color w:val="FFFFFF"/>
                <w:sz w:val="16"/>
              </w:rPr>
              <w:t>COMPENSATION PLANS  </w:t>
            </w:r>
          </w:p>
          <w:p>
            <w:pPr>
              <w:pStyle w:val="TableContents"/>
              <w:bidi w:val="0"/>
              <w:spacing w:before="0" w:after="0"/>
              <w:jc w:val="center"/>
              <w:rPr>
                <w:rFonts w:ascii="ARIAL" w:hAnsi="ARIAL"/>
                <w:b/>
                <w:color w:val="FFFFFF"/>
                <w:sz w:val="16"/>
              </w:rPr>
            </w:pPr>
            <w:r>
              <w:rPr>
                <w:rFonts w:ascii="ARIAL" w:hAnsi="ARIAL"/>
                <w:b/>
                <w:color w:val="FFFFFF"/>
                <w:sz w:val="16"/>
              </w:rPr>
              <w:t>(EXCLUDING  </w:t>
            </w:r>
          </w:p>
          <w:p>
            <w:pPr>
              <w:pStyle w:val="TableContents"/>
              <w:bidi w:val="0"/>
              <w:spacing w:before="0" w:after="0"/>
              <w:jc w:val="center"/>
              <w:rPr>
                <w:rFonts w:ascii="ARIAL" w:hAnsi="ARIAL"/>
                <w:b/>
                <w:color w:val="FFFFFF"/>
                <w:sz w:val="16"/>
              </w:rPr>
            </w:pPr>
            <w:r>
              <w:rPr>
                <w:rFonts w:ascii="ARIAL" w:hAnsi="ARIAL"/>
                <w:b/>
                <w:color w:val="FFFFFF"/>
                <w:sz w:val="16"/>
              </w:rPr>
              <w:t>SECURITIES REFLECTED  </w:t>
            </w:r>
          </w:p>
          <w:p>
            <w:pPr>
              <w:pStyle w:val="TableContents"/>
              <w:bidi w:val="0"/>
              <w:spacing w:before="0" w:after="20"/>
              <w:jc w:val="center"/>
              <w:rPr>
                <w:rFonts w:ascii="ARIAL" w:hAnsi="ARIAL"/>
                <w:b/>
                <w:color w:val="FFFFFF"/>
                <w:sz w:val="16"/>
              </w:rPr>
            </w:pPr>
            <w:r>
              <w:rPr>
                <w:rFonts w:ascii="ARIAL" w:hAnsi="ARIAL"/>
                <w:b/>
                <w:color w:val="FFFFFF"/>
                <w:sz w:val="16"/>
              </w:rPr>
              <w:t>IN THE FIRST COLUMN)  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41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2186" w:type="dxa"/>
            <w:gridSpan w:val="5"/>
            <w:tcBorders/>
            <w:vAlign w:val="center"/>
          </w:tcPr>
          <w:p>
            <w:pPr>
              <w:pStyle w:val="TableContents"/>
              <w:bidi w:val="0"/>
              <w:spacing w:before="0" w:after="283"/>
              <w:jc w:val="left"/>
              <w:rPr>
                <w:sz w:val="4"/>
                <w:szCs w:val="4"/>
              </w:rPr>
            </w:pPr>
            <w:r>
              <w:rPr>
                <w:sz w:val="4"/>
                <w:szCs w:val="4"/>
              </w:rPr>
            </w:r>
          </w:p>
        </w:tc>
      </w:tr>
      <w:tr>
        <w:trPr/>
        <w:tc>
          <w:tcPr>
            <w:tcW w:w="464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Equity compensation plans approved by security holders(1)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00" w:type="dxa"/>
            </w:tcMar>
            <w:vAlign w:val="center"/>
          </w:tcPr>
          <w:p>
            <w:pPr>
              <w:pStyle w:val="TableContents"/>
              <w:bidi w:val="0"/>
              <w:spacing w:before="0" w:after="283"/>
              <w:jc w:val="center"/>
              <w:rPr/>
            </w:pPr>
            <w:r>
              <w:rPr/>
              <w:t>2,218,073(3)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2" w:type="dxa"/>
            <w:tcBorders>
              <w:bottom w:val="single" w:sz="6" w:space="0" w:color="000000"/>
            </w:tcBorders>
            <w:tcMar>
              <w:bottom w:w="100" w:type="dxa"/>
            </w:tcMar>
            <w:vAlign w:val="center"/>
          </w:tcPr>
          <w:p>
            <w:pPr>
              <w:pStyle w:val="TableContents"/>
              <w:bidi w:val="0"/>
              <w:spacing w:before="0" w:after="283"/>
              <w:jc w:val="center"/>
              <w:rPr/>
            </w:pPr>
            <w:r>
              <w:rPr/>
              <w:t>$53.71(5)</w:t>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82" w:type="dxa"/>
            <w:tcBorders>
              <w:bottom w:val="single" w:sz="6" w:space="0" w:color="000000"/>
            </w:tcBorders>
            <w:tcMar>
              <w:bottom w:w="100" w:type="dxa"/>
            </w:tcMar>
            <w:vAlign w:val="center"/>
          </w:tcPr>
          <w:p>
            <w:pPr>
              <w:pStyle w:val="TableContents"/>
              <w:bidi w:val="0"/>
              <w:spacing w:before="0" w:after="283"/>
              <w:jc w:val="center"/>
              <w:rPr/>
            </w:pPr>
            <w:r>
              <w:rPr/>
              <w:t>9,993,771(6)</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41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2186" w:type="dxa"/>
            <w:gridSpan w:val="5"/>
            <w:tcBorders/>
            <w:vAlign w:val="center"/>
          </w:tcPr>
          <w:p>
            <w:pPr>
              <w:pStyle w:val="TableContents"/>
              <w:bidi w:val="0"/>
              <w:spacing w:before="0" w:after="283"/>
              <w:jc w:val="left"/>
              <w:rPr>
                <w:sz w:val="4"/>
                <w:szCs w:val="4"/>
              </w:rPr>
            </w:pPr>
            <w:r>
              <w:rPr>
                <w:sz w:val="4"/>
                <w:szCs w:val="4"/>
              </w:rPr>
            </w:r>
          </w:p>
        </w:tc>
      </w:tr>
      <w:tr>
        <w:trPr/>
        <w:tc>
          <w:tcPr>
            <w:tcW w:w="464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Matterport Equity Compensation Plan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00" w:type="dxa"/>
            </w:tcMar>
            <w:vAlign w:val="center"/>
          </w:tcPr>
          <w:p>
            <w:pPr>
              <w:pStyle w:val="TableContents"/>
              <w:bidi w:val="0"/>
              <w:spacing w:before="0" w:after="283"/>
              <w:jc w:val="center"/>
              <w:rPr/>
            </w:pPr>
            <w:r>
              <w:rPr/>
              <w:t>1,701,357(4)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2" w:type="dxa"/>
            <w:tcBorders>
              <w:bottom w:val="single" w:sz="6" w:space="0" w:color="000000"/>
            </w:tcBorders>
            <w:tcMar>
              <w:bottom w:w="100" w:type="dxa"/>
            </w:tcMar>
            <w:vAlign w:val="center"/>
          </w:tcPr>
          <w:p>
            <w:pPr>
              <w:pStyle w:val="TableContents"/>
              <w:bidi w:val="0"/>
              <w:spacing w:before="0" w:after="283"/>
              <w:jc w:val="center"/>
              <w:rPr/>
            </w:pPr>
            <w:r>
              <w:rPr/>
              <w:t>$9.40(5)</w:t>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283"/>
              <w:jc w:val="left"/>
              <w:rPr>
                <w:sz w:val="4"/>
                <w:szCs w:val="4"/>
              </w:rPr>
            </w:pPr>
            <w:r>
              <w:rPr>
                <w:sz w:val="4"/>
                <w:szCs w:val="4"/>
              </w:rPr>
            </w:r>
          </w:p>
        </w:tc>
        <w:tc>
          <w:tcPr>
            <w:tcW w:w="1416" w:type="dxa"/>
            <w:gridSpan w:val="5"/>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before="0" w:after="283"/>
              <w:jc w:val="left"/>
              <w:rPr>
                <w:sz w:val="4"/>
                <w:szCs w:val="4"/>
              </w:rPr>
            </w:pPr>
            <w:r>
              <w:rPr>
                <w:sz w:val="4"/>
                <w:szCs w:val="4"/>
              </w:rPr>
            </w:r>
          </w:p>
        </w:tc>
        <w:tc>
          <w:tcPr>
            <w:tcW w:w="2186" w:type="dxa"/>
            <w:gridSpan w:val="5"/>
            <w:tcBorders/>
            <w:vAlign w:val="center"/>
          </w:tcPr>
          <w:p>
            <w:pPr>
              <w:pStyle w:val="TableContents"/>
              <w:bidi w:val="0"/>
              <w:spacing w:before="0" w:after="283"/>
              <w:jc w:val="left"/>
              <w:rPr>
                <w:sz w:val="4"/>
                <w:szCs w:val="4"/>
              </w:rPr>
            </w:pPr>
            <w:r>
              <w:rPr>
                <w:sz w:val="4"/>
                <w:szCs w:val="4"/>
              </w:rPr>
            </w:r>
          </w:p>
        </w:tc>
      </w:tr>
      <w:tr>
        <w:trPr/>
        <w:tc>
          <w:tcPr>
            <w:tcW w:w="464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Equity compensation plans not approved by security holders(2)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00" w:type="dxa"/>
            </w:tcMar>
            <w:vAlign w:val="center"/>
          </w:tcPr>
          <w:p>
            <w:pPr>
              <w:pStyle w:val="TableContents"/>
              <w:bidi w:val="0"/>
              <w:spacing w:before="0" w:after="283"/>
              <w:jc w:val="center"/>
              <w:rPr/>
            </w:pPr>
            <w:r>
              <w:rPr/>
              <w:t>244,565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2" w:type="dxa"/>
            <w:tcBorders>
              <w:bottom w:val="single" w:sz="6" w:space="0" w:color="000000"/>
            </w:tcBorders>
            <w:tcMar>
              <w:bottom w:w="100" w:type="dxa"/>
            </w:tcMar>
            <w:vAlign w:val="center"/>
          </w:tcPr>
          <w:p>
            <w:pPr>
              <w:pStyle w:val="TableContents"/>
              <w:bidi w:val="0"/>
              <w:spacing w:before="0" w:after="283"/>
              <w:jc w:val="center"/>
              <w:rPr/>
            </w:pPr>
            <w:r>
              <w:rPr/>
              <w:t>—</w:t>
            </w:r>
          </w:p>
        </w:tc>
        <w:tc>
          <w:tcPr>
            <w:tcW w:w="97"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0000"/>
            </w:tcBorders>
            <w:tcMar>
              <w:bottom w:w="100" w:type="dxa"/>
            </w:tcMar>
            <w:vAlign w:val="center"/>
          </w:tcPr>
          <w:p>
            <w:pPr>
              <w:pStyle w:val="TableContents"/>
              <w:bidi w:val="0"/>
              <w:spacing w:before="0" w:after="283"/>
              <w:jc w:val="left"/>
              <w:rPr/>
            </w:pPr>
            <w:r>
              <w:rPr/>
              <w:t> </w:t>
            </w:r>
          </w:p>
        </w:tc>
        <w:tc>
          <w:tcPr>
            <w:tcW w:w="1882" w:type="dxa"/>
            <w:tcBorders>
              <w:bottom w:val="single" w:sz="6" w:space="0" w:color="000000"/>
            </w:tcBorders>
            <w:tcMar>
              <w:bottom w:w="100" w:type="dxa"/>
            </w:tcMar>
            <w:vAlign w:val="center"/>
          </w:tcPr>
          <w:p>
            <w:pPr>
              <w:pStyle w:val="TableContents"/>
              <w:bidi w:val="0"/>
              <w:spacing w:before="0" w:after="283"/>
              <w:jc w:val="center"/>
              <w:rPr/>
            </w:pPr>
            <w:r>
              <w:rPr/>
              <w:t>1,039,503</w:t>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365"/>
        <w:gridCol w:w="8315"/>
      </w:tblGrid>
      <w:tr>
        <w:trPr/>
        <w:tc>
          <w:tcPr>
            <w:tcW w:w="365" w:type="dxa"/>
            <w:tcBorders/>
            <w:vAlign w:val="center"/>
          </w:tcPr>
          <w:p>
            <w:pPr>
              <w:pStyle w:val="TableContents"/>
              <w:bidi w:val="0"/>
              <w:spacing w:before="0" w:after="283"/>
              <w:jc w:val="left"/>
              <w:rPr>
                <w:i/>
              </w:rPr>
            </w:pPr>
            <w:r>
              <w:rPr>
                <w:i/>
              </w:rPr>
              <w:t>(1) </w:t>
            </w:r>
          </w:p>
        </w:tc>
        <w:tc>
          <w:tcPr>
            <w:tcW w:w="8315" w:type="dxa"/>
            <w:tcBorders/>
            <w:vAlign w:val="center"/>
          </w:tcPr>
          <w:p>
            <w:pPr>
              <w:pStyle w:val="TableContents"/>
              <w:bidi w:val="0"/>
              <w:spacing w:before="0" w:after="0"/>
              <w:jc w:val="left"/>
              <w:rPr>
                <w:rFonts w:ascii="ARIAL" w:hAnsi="ARIAL"/>
                <w:i/>
                <w:sz w:val="16"/>
              </w:rPr>
            </w:pPr>
            <w:r>
              <w:rPr>
                <w:rFonts w:ascii="ARIAL" w:hAnsi="ARIAL"/>
                <w:i/>
                <w:sz w:val="16"/>
              </w:rPr>
              <w:t xml:space="preserve">Consists of the following plans: the 2016 Plan, the 2025 Plan, and the Company’s Employee Stock Purchase Plan.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i/>
              </w:rPr>
            </w:pPr>
            <w:r>
              <w:rPr>
                <w:i/>
              </w:rPr>
              <w:t>(2) </w:t>
            </w:r>
          </w:p>
        </w:tc>
        <w:tc>
          <w:tcPr>
            <w:tcW w:w="9966" w:type="dxa"/>
            <w:tcBorders/>
            <w:vAlign w:val="center"/>
          </w:tcPr>
          <w:p>
            <w:pPr>
              <w:pStyle w:val="TableContents"/>
              <w:bidi w:val="0"/>
              <w:spacing w:before="0" w:after="0"/>
              <w:jc w:val="left"/>
              <w:rPr>
                <w:rFonts w:ascii="ARIAL" w:hAnsi="ARIAL"/>
                <w:i/>
                <w:sz w:val="16"/>
              </w:rPr>
            </w:pPr>
            <w:r>
              <w:rPr>
                <w:rFonts w:ascii="ARIAL" w:hAnsi="ARIAL"/>
                <w:i/>
                <w:sz w:val="16"/>
              </w:rPr>
              <w:t xml:space="preserve">Consists of the Company’s MSPP. The MSPP was approved by the Board of Directors on December 7, 2017 and was not subject to approval by the Company’s stockholders. The MSPP provides selected employees of the Company the opportunity to defer a portion of their bonus and commission compensation, and enables the Company to align management and stockholder interests, through awards of DSUs, with an aggregate grant date value equal to the deferred compensation, issued under the MSPP and awards of matching restricted stock units issued under the 2016 Plan and 2025 Plan. DSUs issued under the MSPP are fully vested at grant and are settled upon the earliest of (i) four years after the date of grant; (ii) the participant’s death; (iii) the participant’s disability; (iv) the participant’s separation from service from the Company; or (v) a change in control (as defined in the MSPP) of the Company. Matching RSUs issued under the 2016 Plan vest four years after the date of grant, subject to the participant’s continued employment through that date, or upon a change in control of the Company that occurs prior to such date. Matching RSUs issued under the 2025 Plan vest four years after the date of grant, subject to the participant’s continued employment through that date; provided, the Matching RSUs will fully vest upon a change in control of the Company in which the Matching RSUs are assumed, continued, or substituted and the participant experiences a termination of service without cause within twelve months following the change in control (and such Matching RSUs will fully vest upon a change in control if they are not assumed, continued or substituted).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i/>
              </w:rPr>
            </w:pPr>
            <w:r>
              <w:rPr>
                <w:i/>
              </w:rPr>
              <w:t>(3) </w:t>
            </w:r>
          </w:p>
        </w:tc>
        <w:tc>
          <w:tcPr>
            <w:tcW w:w="9895" w:type="dxa"/>
            <w:tcBorders/>
            <w:vAlign w:val="center"/>
          </w:tcPr>
          <w:p>
            <w:pPr>
              <w:pStyle w:val="TableContents"/>
              <w:bidi w:val="0"/>
              <w:spacing w:before="0" w:after="0"/>
              <w:jc w:val="left"/>
              <w:rPr>
                <w:rFonts w:ascii="ARIAL" w:hAnsi="ARIAL"/>
                <w:i/>
                <w:sz w:val="16"/>
              </w:rPr>
            </w:pPr>
            <w:r>
              <w:rPr>
                <w:rFonts w:ascii="ARIAL" w:hAnsi="ARIAL"/>
                <w:i/>
                <w:sz w:val="16"/>
              </w:rPr>
              <w:t xml:space="preserve">Includes 126,783 shares of common stock subject to restricted stock unit awards that vest over time. The actual number of shares issued with respect to these awards depends on whether the vesting conditions are met.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i/>
              </w:rPr>
            </w:pPr>
            <w:r>
              <w:rPr>
                <w:i/>
              </w:rPr>
              <w:t>(4) </w:t>
            </w:r>
          </w:p>
        </w:tc>
        <w:tc>
          <w:tcPr>
            <w:tcW w:w="9895" w:type="dxa"/>
            <w:tcBorders/>
            <w:vAlign w:val="center"/>
          </w:tcPr>
          <w:p>
            <w:pPr>
              <w:pStyle w:val="TableContents"/>
              <w:bidi w:val="0"/>
              <w:spacing w:before="0" w:after="0"/>
              <w:jc w:val="left"/>
              <w:rPr>
                <w:rFonts w:ascii="ARIAL" w:hAnsi="ARIAL"/>
                <w:i/>
                <w:sz w:val="16"/>
              </w:rPr>
            </w:pPr>
            <w:r>
              <w:rPr>
                <w:rFonts w:ascii="ARIAL" w:hAnsi="ARIAL"/>
                <w:i/>
                <w:sz w:val="16"/>
              </w:rPr>
              <w:t xml:space="preserve">Includes 588,922 shares of common stock subject to restricted stock unit awards that vest over time. The actual number of shares issued with respect to these awards depends on whether the vesting conditions are met. </w:t>
            </w:r>
          </w:p>
        </w:tc>
      </w:tr>
    </w:tbl>
    <w:tbl>
      <w:tblPr>
        <w:tblW w:w="4285" w:type="dxa"/>
        <w:jc w:val="left"/>
        <w:tblInd w:w="0" w:type="dxa"/>
        <w:tblLayout w:type="fixed"/>
        <w:tblCellMar>
          <w:top w:w="0" w:type="dxa"/>
          <w:left w:w="0" w:type="dxa"/>
          <w:bottom w:w="0" w:type="dxa"/>
          <w:right w:w="0" w:type="dxa"/>
        </w:tblCellMar>
      </w:tblPr>
      <w:tblGrid>
        <w:gridCol w:w="305"/>
        <w:gridCol w:w="3980"/>
      </w:tblGrid>
      <w:tr>
        <w:trPr/>
        <w:tc>
          <w:tcPr>
            <w:tcW w:w="305" w:type="dxa"/>
            <w:tcBorders/>
            <w:vAlign w:val="center"/>
          </w:tcPr>
          <w:p>
            <w:pPr>
              <w:pStyle w:val="TableContents"/>
              <w:bidi w:val="0"/>
              <w:spacing w:before="0" w:after="283"/>
              <w:jc w:val="left"/>
              <w:rPr>
                <w:i/>
              </w:rPr>
            </w:pPr>
            <w:r>
              <w:rPr>
                <w:i/>
              </w:rPr>
              <w:t>(5)</w:t>
            </w:r>
          </w:p>
        </w:tc>
        <w:tc>
          <w:tcPr>
            <w:tcW w:w="3980" w:type="dxa"/>
            <w:tcBorders/>
            <w:vAlign w:val="center"/>
          </w:tcPr>
          <w:p>
            <w:pPr>
              <w:pStyle w:val="TableContents"/>
              <w:bidi w:val="0"/>
              <w:spacing w:before="0" w:after="0"/>
              <w:jc w:val="left"/>
              <w:rPr>
                <w:rFonts w:ascii="ARIAL" w:hAnsi="ARIAL"/>
                <w:i/>
                <w:sz w:val="16"/>
              </w:rPr>
            </w:pPr>
            <w:r>
              <w:rPr>
                <w:rFonts w:ascii="ARIAL" w:hAnsi="ARIAL"/>
                <w:i/>
                <w:sz w:val="16"/>
              </w:rPr>
              <w:t xml:space="preserve">Calculated solely based on outstanding stock options.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i/>
              </w:rPr>
            </w:pPr>
            <w:r>
              <w:rPr>
                <w:i/>
              </w:rPr>
              <w:t>(6)</w:t>
            </w:r>
          </w:p>
        </w:tc>
        <w:tc>
          <w:tcPr>
            <w:tcW w:w="9938" w:type="dxa"/>
            <w:tcBorders/>
            <w:vAlign w:val="center"/>
          </w:tcPr>
          <w:p>
            <w:pPr>
              <w:pStyle w:val="TableContents"/>
              <w:bidi w:val="0"/>
              <w:spacing w:before="0" w:after="0"/>
              <w:jc w:val="left"/>
              <w:rPr>
                <w:rFonts w:ascii="ARIAL" w:hAnsi="ARIAL"/>
                <w:i/>
                <w:sz w:val="16"/>
              </w:rPr>
            </w:pPr>
            <w:r>
              <w:rPr>
                <w:rFonts w:ascii="ARIAL" w:hAnsi="ARIAL"/>
                <w:i/>
                <w:sz w:val="16"/>
              </w:rPr>
              <w:t xml:space="preserve">Includes 292,559 shares of common stock available for future issuance under the Company’s stockholder-approved Employee Stock Purchase Plan, which amount includes 13,268 shares subject to purchase during the then-current purchase period. </w:t>
            </w:r>
          </w:p>
        </w:tc>
      </w:tr>
    </w:tbl>
    <w:p>
      <w:pPr>
        <w:pStyle w:val="TextBody"/>
        <w:bidi w:val="0"/>
        <w:spacing w:before="360" w:after="0"/>
        <w:jc w:val="left"/>
        <w:rPr>
          <w:rFonts w:ascii="ARIAL" w:hAnsi="ARIAL"/>
          <w:b/>
          <w:sz w:val="24"/>
        </w:rPr>
      </w:pPr>
      <w:bookmarkStart w:id="59" w:name="tx903159_118"/>
      <w:bookmarkStart w:id="60" w:name="toc903159_44"/>
      <w:bookmarkEnd w:id="59"/>
      <w:bookmarkEnd w:id="60"/>
      <w:r>
        <w:rPr>
          <w:rFonts w:ascii="ARIAL" w:hAnsi="ARIAL"/>
          <w:b/>
          <w:sz w:val="24"/>
        </w:rPr>
        <w:t xml:space="preserve">CEO Pay Ratio </w:t>
      </w:r>
    </w:p>
    <w:p>
      <w:pPr>
        <w:pStyle w:val="TextBody"/>
        <w:bidi w:val="0"/>
        <w:spacing w:before="80" w:after="0"/>
        <w:jc w:val="left"/>
        <w:rPr>
          <w:rFonts w:ascii="ARIAL" w:hAnsi="ARIAL"/>
          <w:sz w:val="18"/>
        </w:rPr>
      </w:pPr>
      <w:r>
        <w:rPr>
          <w:rFonts w:ascii="ARIAL" w:hAnsi="ARIAL"/>
          <w:sz w:val="18"/>
        </w:rPr>
        <w:t xml:space="preserve">The 2025 annual total compensation for the median compensated employee of the Company, other than our CEO was $120,170 and the annual total compensation of our CEO was $36,431,936. Based on this information, for fiscal year 2025 the ratio of the annual total compensation of our CEO to the annual total compensation of the median employee was 303 to 1. We believe this ratio is a reasonable estimate, calculated in a manner consistent with Item 402(u) of Regulation S-K under the Securities Exchange Act of 1934. </w:t>
      </w:r>
    </w:p>
    <w:p>
      <w:pPr>
        <w:pStyle w:val="TextBody"/>
        <w:bidi w:val="0"/>
        <w:spacing w:before="120" w:after="0"/>
        <w:jc w:val="left"/>
        <w:rPr>
          <w:rFonts w:ascii="ARIAL" w:hAnsi="ARIAL"/>
          <w:sz w:val="18"/>
        </w:rPr>
      </w:pPr>
      <w:r>
        <w:rPr>
          <w:rFonts w:ascii="ARIAL" w:hAnsi="ARIAL"/>
          <w:sz w:val="18"/>
        </w:rPr>
        <w:t xml:space="preserve">As a result of large acquisitions completed in 2025, including Domain, which significantly changed the size and composition of the Company’s employee population, the Company re-identified its median employee for fiscal year 2025, as permitted under SEC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63"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38" descr=""/>
                          <pic:cNvPicPr>
                            <a:picLocks noChangeAspect="1" noChangeArrowheads="1"/>
                          </pic:cNvPicPr>
                        </pic:nvPicPr>
                        <pic:blipFill>
                          <a:blip r:embed="rId35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79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rules. The Company believes that re-identifying the median employee was appropriate given the impact of the acquisitions on employee demographics and compensation distribution. </w:t>
      </w:r>
    </w:p>
    <w:p>
      <w:pPr>
        <w:pStyle w:val="TextBody"/>
        <w:bidi w:val="0"/>
        <w:spacing w:before="120" w:after="0"/>
        <w:jc w:val="left"/>
        <w:rPr>
          <w:rFonts w:ascii="ARIAL" w:hAnsi="ARIAL"/>
          <w:sz w:val="18"/>
        </w:rPr>
      </w:pPr>
      <w:r>
        <w:rPr>
          <w:rFonts w:ascii="ARIAL" w:hAnsi="ARIAL"/>
          <w:sz w:val="18"/>
        </w:rPr>
        <w:t xml:space="preserve">Our CEO pay ratio is based on the following methodology: </w:t>
      </w:r>
    </w:p>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125"/>
        <w:gridCol w:w="60"/>
        <w:gridCol w:w="983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ARIAL" w:hAnsi="ARIAL"/>
                <w:sz w:val="18"/>
              </w:rPr>
            </w:pPr>
            <w:r>
              <w:rPr>
                <w:rFonts w:ascii="ARIAL" w:hAnsi="ARIAL"/>
                <w:sz w:val="18"/>
              </w:rPr>
              <w:t xml:space="preserve">We identified our median employee from among our employees as of December 31, 2025, based on our payroll records.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As permitted by SEC rules under a de minimis exemption, we excluded 408 employees, who in the aggregate represented less than 5% of our 8,429 employees as of December 31, 2025. These exclusions consisted of all employees located in Philippines (249 employees), Germany (56 employees), Spain (29 employees), Singapore (27 employees), Japan (12 employees), China (11 employees), Indonesia (9 employees), Colombia (4 employees), Malaysia (3 employees), United Arab Emirates (3 employees), and Italy, Netherlands, Norway, Sweden, and Taiwan (1 employee each). The application of this de minimis exception results in an employee population of 8,021 including the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We used a consistently applied total direct compensation measure consisting of (i) fiscal year 2025 base pay, which we annualized for any permanent employees who commenced work during the year, (ii) cash bonuses paid in fiscal year 2025, excluding allowances and relocation payments, (iii) sales incentive compensation and overtime pay, and (iv) the dollar value of annual equity awards granted during fiscal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We calculated the total compensation of our median employee for purposes of computing the pay ratio using the same criteria that were used for determining the total annual compensation of our CEO. </w:t>
            </w:r>
          </w:p>
        </w:tc>
      </w:tr>
    </w:tbl>
    <w:p>
      <w:pPr>
        <w:pStyle w:val="TextBody"/>
        <w:bidi w:val="0"/>
        <w:spacing w:before="120" w:after="0"/>
        <w:jc w:val="left"/>
        <w:rPr>
          <w:rFonts w:ascii="ARIAL" w:hAnsi="ARIAL"/>
          <w:sz w:val="18"/>
        </w:rPr>
      </w:pPr>
      <w:r>
        <w:rPr>
          <w:rFonts w:ascii="ARIAL" w:hAnsi="ARIAL"/>
          <w:sz w:val="18"/>
        </w:rPr>
        <w:t xml:space="preserve">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64"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39" descr=""/>
                          <pic:cNvPicPr>
                            <a:picLocks noChangeAspect="1" noChangeArrowheads="1"/>
                          </pic:cNvPicPr>
                        </pic:nvPicPr>
                        <pic:blipFill>
                          <a:blip r:embed="rId35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80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0"/>
              <w:jc w:val="center"/>
              <w:rPr>
                <w:b/>
              </w:rPr>
            </w:pPr>
            <w:r>
              <w:rPr>
                <w:b/>
              </w:rPr>
              <w:t>EXECUTIVE COMPENSATION</w:t>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0"/>
        <w:jc w:val="left"/>
        <w:rPr>
          <w:rFonts w:ascii="ARIAL" w:hAnsi="ARIAL"/>
          <w:sz w:val="18"/>
        </w:rPr>
      </w:pPr>
      <w:r>
        <w:rPr>
          <w:rFonts w:ascii="ARIAL" w:hAnsi="ARIAL"/>
          <w:sz w:val="18"/>
        </w:rPr>
        <w:t xml:space="preserve">As required by Section 953(a) of the Dodd-Frank Act, we are providing the information below to illustrate the relationship between the </w:t>
      </w:r>
    </w:p>
    <w:p>
      <w:pPr>
        <w:pStyle w:val="TextBody"/>
        <w:bidi w:val="0"/>
        <w:spacing w:before="80" w:after="0"/>
        <w:jc w:val="left"/>
        <w:rPr>
          <w:rFonts w:ascii="ARIAL" w:hAnsi="ARIAL"/>
          <w:sz w:val="18"/>
        </w:rPr>
      </w:pPr>
      <w:r>
        <w:rPr>
          <w:rFonts w:ascii="ARIAL" w:hAnsi="ARIAL"/>
          <w:sz w:val="18"/>
        </w:rPr>
        <w:t>SEC-defined</w:t>
      </w:r>
    </w:p>
    <w:p>
      <w:pPr>
        <w:pStyle w:val="TextBody"/>
        <w:bidi w:val="0"/>
        <w:spacing w:before="80" w:after="0"/>
        <w:jc w:val="left"/>
        <w:rPr>
          <w:rFonts w:ascii="ARIAL" w:hAnsi="ARIAL"/>
          <w:sz w:val="18"/>
        </w:rPr>
      </w:pPr>
      <w:r>
        <w:rPr>
          <w:rFonts w:ascii="ARIAL" w:hAnsi="ARIAL"/>
          <w:sz w:val="18"/>
        </w:rPr>
        <w:t xml:space="preserve">compensation actually paid (“CAP”) and various measures used to gauge the Company’s financial performance in conformance with Item 402(v) of Regulation </w:t>
      </w:r>
    </w:p>
    <w:p>
      <w:pPr>
        <w:pStyle w:val="TextBody"/>
        <w:bidi w:val="0"/>
        <w:spacing w:before="80" w:after="0"/>
        <w:jc w:val="left"/>
        <w:rPr>
          <w:rFonts w:ascii="ARIAL" w:hAnsi="ARIAL"/>
          <w:sz w:val="18"/>
        </w:rPr>
      </w:pPr>
      <w:r>
        <w:rPr>
          <w:rFonts w:ascii="ARIAL" w:hAnsi="ARIAL"/>
          <w:sz w:val="18"/>
        </w:rPr>
        <w:t>S-K.</w:t>
      </w:r>
    </w:p>
    <w:p>
      <w:pPr>
        <w:pStyle w:val="TextBody"/>
        <w:bidi w:val="0"/>
        <w:spacing w:before="80" w:after="0"/>
        <w:jc w:val="left"/>
        <w:rPr>
          <w:rFonts w:ascii="ARIAL" w:hAnsi="ARIAL"/>
          <w:sz w:val="18"/>
        </w:rPr>
      </w:pPr>
      <w:r>
        <w:rPr>
          <w:rFonts w:ascii="ARIAL" w:hAnsi="ARIAL"/>
          <w:sz w:val="18"/>
        </w:rPr>
        <w:t xml:space="preserve">CAP is calculated in accordance with Item 402(v) of </w:t>
      </w:r>
    </w:p>
    <w:p>
      <w:pPr>
        <w:pStyle w:val="TextBody"/>
        <w:bidi w:val="0"/>
        <w:spacing w:before="80" w:after="0"/>
        <w:jc w:val="left"/>
        <w:rPr>
          <w:rFonts w:ascii="ARIAL" w:hAnsi="ARIAL"/>
          <w:sz w:val="18"/>
        </w:rPr>
      </w:pPr>
      <w:r>
        <w:rPr>
          <w:rFonts w:ascii="ARIAL" w:hAnsi="ARIAL"/>
          <w:sz w:val="18"/>
        </w:rPr>
        <w:t>Regulation S-K</w:t>
      </w:r>
    </w:p>
    <w:p>
      <w:pPr>
        <w:pStyle w:val="TextBody"/>
        <w:bidi w:val="0"/>
        <w:spacing w:before="80" w:after="0"/>
        <w:jc w:val="left"/>
        <w:rPr>
          <w:rFonts w:ascii="ARIAL" w:hAnsi="ARIAL"/>
          <w:sz w:val="18"/>
        </w:rPr>
      </w:pPr>
      <w:r>
        <w:rPr>
          <w:rFonts w:ascii="ARIAL" w:hAnsi="ARIAL"/>
          <w:sz w:val="18"/>
        </w:rPr>
        <w:t xml:space="preserve">and differs from compensation shown in the Summary Compensation Table for the Chief Executive Officer and other NEOs. See below for a reconciliation of the total compensation shown in the Summary Compensation Table to CAP. The Compensation Committee does not utilize CAP as the basis for making compensation decisions. For further information concerning our compensation philosophy and how we align executive compensation with our performance, please review the “Compensation Discussion and Analysis” section of this Proxy Statement. </w:t>
      </w:r>
    </w:p>
    <w:p>
      <w:pPr>
        <w:pStyle w:val="TextBody"/>
        <w:bidi w:val="0"/>
        <w:spacing w:before="120" w:after="0"/>
        <w:jc w:val="left"/>
        <w:rPr>
          <w:rFonts w:ascii="ARIAL" w:hAnsi="ARIAL"/>
          <w:sz w:val="18"/>
        </w:rPr>
      </w:pPr>
      <w:r>
        <w:rPr>
          <w:rFonts w:ascii="ARIAL" w:hAnsi="ARIAL"/>
          <w:sz w:val="18"/>
        </w:rPr>
        <w:t xml:space="preserve">The following table sets forth information concerning the compensation of our NEOs and our financial performance for each of the five years in the period ended December 31, 2025: </w:t>
      </w:r>
    </w:p>
    <w:p>
      <w:pPr>
        <w:pStyle w:val="TextBody"/>
        <w:bidi w:val="0"/>
        <w:spacing w:before="0" w:after="0"/>
        <w:jc w:val="left"/>
        <w:rPr/>
      </w:pPr>
      <w:r>
        <w:rPr/>
        <w:t> </w:t>
      </w:r>
    </w:p>
    <w:tbl>
      <w:tblPr>
        <w:tblW w:w="9733" w:type="dxa"/>
        <w:jc w:val="left"/>
        <w:tblInd w:w="0" w:type="dxa"/>
        <w:tblLayout w:type="fixed"/>
        <w:tblCellMar>
          <w:top w:w="0" w:type="dxa"/>
          <w:left w:w="0" w:type="dxa"/>
          <w:bottom w:w="0" w:type="dxa"/>
          <w:right w:w="0" w:type="dxa"/>
        </w:tblCellMar>
      </w:tblPr>
      <w:tblGrid>
        <w:gridCol w:w="395"/>
        <w:gridCol w:w="23"/>
        <w:gridCol w:w="23"/>
        <w:gridCol w:w="60"/>
        <w:gridCol w:w="1220"/>
        <w:gridCol w:w="60"/>
        <w:gridCol w:w="23"/>
        <w:gridCol w:w="23"/>
        <w:gridCol w:w="60"/>
        <w:gridCol w:w="1220"/>
        <w:gridCol w:w="60"/>
        <w:gridCol w:w="23"/>
        <w:gridCol w:w="23"/>
        <w:gridCol w:w="60"/>
        <w:gridCol w:w="1100"/>
        <w:gridCol w:w="60"/>
        <w:gridCol w:w="23"/>
        <w:gridCol w:w="23"/>
        <w:gridCol w:w="60"/>
        <w:gridCol w:w="1100"/>
        <w:gridCol w:w="60"/>
        <w:gridCol w:w="23"/>
        <w:gridCol w:w="23"/>
        <w:gridCol w:w="60"/>
        <w:gridCol w:w="805"/>
        <w:gridCol w:w="62"/>
        <w:gridCol w:w="23"/>
        <w:gridCol w:w="23"/>
        <w:gridCol w:w="60"/>
        <w:gridCol w:w="805"/>
        <w:gridCol w:w="62"/>
        <w:gridCol w:w="23"/>
        <w:gridCol w:w="25"/>
        <w:gridCol w:w="66"/>
        <w:gridCol w:w="759"/>
        <w:gridCol w:w="69"/>
        <w:gridCol w:w="23"/>
        <w:gridCol w:w="23"/>
        <w:gridCol w:w="60"/>
        <w:gridCol w:w="965"/>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shd w:fill="0054BA" w:val="clear"/>
            <w:vAlign w:val="center"/>
          </w:tcPr>
          <w:p>
            <w:pPr>
              <w:pStyle w:val="TableContents"/>
              <w:bidi w:val="0"/>
              <w:spacing w:before="0" w:after="283"/>
              <w:jc w:val="left"/>
              <w:rPr>
                <w:sz w:val="4"/>
                <w:szCs w:val="4"/>
              </w:rPr>
            </w:pPr>
            <w:r>
              <w:rPr>
                <w:sz w:val="4"/>
                <w:szCs w:val="4"/>
              </w:rPr>
            </w:r>
          </w:p>
        </w:tc>
        <w:tc>
          <w:tcPr>
            <w:tcW w:w="1386" w:type="dxa"/>
            <w:gridSpan w:val="5"/>
            <w:tcBorders/>
            <w:shd w:fill="0054BA" w:val="clear"/>
            <w:vAlign w:val="center"/>
          </w:tcPr>
          <w:p>
            <w:pPr>
              <w:pStyle w:val="TableContents"/>
              <w:bidi w:val="0"/>
              <w:spacing w:before="0" w:after="283"/>
              <w:jc w:val="left"/>
              <w:rPr>
                <w:sz w:val="4"/>
                <w:szCs w:val="4"/>
              </w:rPr>
            </w:pPr>
            <w:r>
              <w:rPr>
                <w:sz w:val="4"/>
                <w:szCs w:val="4"/>
              </w:rPr>
            </w:r>
          </w:p>
        </w:tc>
        <w:tc>
          <w:tcPr>
            <w:tcW w:w="1386" w:type="dxa"/>
            <w:gridSpan w:val="5"/>
            <w:tcBorders/>
            <w:shd w:fill="0054BA" w:val="clear"/>
            <w:vAlign w:val="center"/>
          </w:tcPr>
          <w:p>
            <w:pPr>
              <w:pStyle w:val="TableContents"/>
              <w:bidi w:val="0"/>
              <w:spacing w:before="0" w:after="283"/>
              <w:jc w:val="left"/>
              <w:rPr>
                <w:sz w:val="4"/>
                <w:szCs w:val="4"/>
              </w:rPr>
            </w:pPr>
            <w:r>
              <w:rPr>
                <w:sz w:val="4"/>
                <w:szCs w:val="4"/>
              </w:rPr>
            </w:r>
          </w:p>
        </w:tc>
        <w:tc>
          <w:tcPr>
            <w:tcW w:w="1266" w:type="dxa"/>
            <w:gridSpan w:val="5"/>
            <w:tcBorders/>
            <w:shd w:fill="0054BA" w:val="clear"/>
            <w:vAlign w:val="center"/>
          </w:tcPr>
          <w:p>
            <w:pPr>
              <w:pStyle w:val="TableContents"/>
              <w:bidi w:val="0"/>
              <w:spacing w:before="0" w:after="283"/>
              <w:jc w:val="left"/>
              <w:rPr>
                <w:sz w:val="4"/>
                <w:szCs w:val="4"/>
              </w:rPr>
            </w:pPr>
            <w:r>
              <w:rPr>
                <w:sz w:val="4"/>
                <w:szCs w:val="4"/>
              </w:rPr>
            </w:r>
          </w:p>
        </w:tc>
        <w:tc>
          <w:tcPr>
            <w:tcW w:w="1266" w:type="dxa"/>
            <w:gridSpan w:val="5"/>
            <w:tcBorders/>
            <w:shd w:fill="0054BA" w:val="clear"/>
            <w:vAlign w:val="center"/>
          </w:tcPr>
          <w:p>
            <w:pPr>
              <w:pStyle w:val="TableContents"/>
              <w:bidi w:val="0"/>
              <w:spacing w:before="0" w:after="283"/>
              <w:jc w:val="left"/>
              <w:rPr>
                <w:sz w:val="4"/>
                <w:szCs w:val="4"/>
              </w:rPr>
            </w:pPr>
            <w:r>
              <w:rPr>
                <w:sz w:val="4"/>
                <w:szCs w:val="4"/>
              </w:rPr>
            </w:r>
          </w:p>
        </w:tc>
        <w:tc>
          <w:tcPr>
            <w:tcW w:w="1946" w:type="dxa"/>
            <w:gridSpan w:val="10"/>
            <w:tcBorders/>
            <w:shd w:fill="0054BA" w:val="clear"/>
            <w:vAlign w:val="center"/>
          </w:tcPr>
          <w:p>
            <w:pPr>
              <w:pStyle w:val="TableContents"/>
              <w:bidi w:val="0"/>
              <w:spacing w:before="0" w:after="283"/>
              <w:jc w:val="left"/>
              <w:rPr>
                <w:sz w:val="4"/>
                <w:szCs w:val="4"/>
              </w:rPr>
            </w:pPr>
            <w:r>
              <w:rPr>
                <w:sz w:val="4"/>
                <w:szCs w:val="4"/>
              </w:rPr>
            </w:r>
          </w:p>
        </w:tc>
        <w:tc>
          <w:tcPr>
            <w:tcW w:w="942" w:type="dxa"/>
            <w:gridSpan w:val="5"/>
            <w:tcBorders/>
            <w:shd w:fill="0054BA" w:val="clear"/>
            <w:vAlign w:val="center"/>
          </w:tcPr>
          <w:p>
            <w:pPr>
              <w:pStyle w:val="TableContents"/>
              <w:bidi w:val="0"/>
              <w:spacing w:before="0" w:after="283"/>
              <w:jc w:val="left"/>
              <w:rPr>
                <w:sz w:val="4"/>
                <w:szCs w:val="4"/>
              </w:rPr>
            </w:pPr>
            <w:r>
              <w:rPr>
                <w:sz w:val="4"/>
                <w:szCs w:val="4"/>
              </w:rPr>
            </w:r>
          </w:p>
        </w:tc>
        <w:tc>
          <w:tcPr>
            <w:tcW w:w="1146"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395" w:type="dxa"/>
            <w:vMerge w:val="restart"/>
            <w:tcBorders/>
            <w:shd w:fill="0054BA" w:val="clear"/>
            <w:vAlign w:val="center"/>
          </w:tcPr>
          <w:p>
            <w:pPr>
              <w:pStyle w:val="TableContents"/>
              <w:bidi w:val="0"/>
              <w:spacing w:before="0" w:after="0"/>
              <w:jc w:val="left"/>
              <w:rPr>
                <w:rFonts w:ascii="ARIAL" w:hAnsi="ARIAL"/>
                <w:b/>
                <w:color w:val="FFFFFF"/>
                <w:sz w:val="12"/>
              </w:rPr>
            </w:pPr>
            <w:r>
              <w:rPr>
                <w:rFonts w:ascii="ARIAL" w:hAnsi="ARIAL"/>
                <w:b/>
                <w:color w:val="FFFFFF"/>
                <w:sz w:val="12"/>
              </w:rPr>
              <w:t>YEAR</w:t>
            </w:r>
          </w:p>
        </w:tc>
        <w:tc>
          <w:tcPr>
            <w:tcW w:w="23" w:type="dxa"/>
            <w:vMerge w:val="restart"/>
            <w:tcBorders/>
            <w:shd w:fill="0054BA" w:val="clear"/>
            <w:vAlign w:val="center"/>
          </w:tcPr>
          <w:p>
            <w:pPr>
              <w:pStyle w:val="TableContents"/>
              <w:bidi w:val="0"/>
              <w:spacing w:before="0" w:after="283"/>
              <w:jc w:val="left"/>
              <w:rPr>
                <w:sz w:val="4"/>
                <w:szCs w:val="4"/>
              </w:rPr>
            </w:pPr>
            <w:r>
              <w:rPr>
                <w:sz w:val="4"/>
                <w:szCs w:val="4"/>
              </w:rPr>
            </w:r>
          </w:p>
        </w:tc>
        <w:tc>
          <w:tcPr>
            <w:tcW w:w="1363" w:type="dxa"/>
            <w:gridSpan w:val="4"/>
            <w:vMerge w:val="restart"/>
            <w:tcBorders/>
            <w:shd w:fill="0054BA"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SUMMARY</w:t>
              <w:br/>
              <w:t>COMPENSATION</w:t>
              <w:br/>
              <w:t>TABLE TOTAL</w:t>
              <w:br/>
              <w:t>FOR PEO</w:t>
            </w:r>
          </w:p>
          <w:p>
            <w:pPr>
              <w:pStyle w:val="TableContents"/>
              <w:bidi w:val="0"/>
              <w:spacing w:before="0" w:after="20"/>
              <w:jc w:val="center"/>
              <w:rPr>
                <w:rFonts w:ascii="ARIAL" w:hAnsi="ARIAL"/>
                <w:b/>
                <w:color w:val="FFFFFF"/>
                <w:sz w:val="12"/>
              </w:rPr>
            </w:pPr>
            <w:r>
              <w:rPr>
                <w:rFonts w:ascii="ARIAL" w:hAnsi="ARIAL"/>
                <w:b/>
                <w:color w:val="FFFFFF"/>
                <w:sz w:val="12"/>
              </w:rPr>
              <w:t>($)</w:t>
            </w:r>
          </w:p>
        </w:tc>
        <w:tc>
          <w:tcPr>
            <w:tcW w:w="23" w:type="dxa"/>
            <w:vMerge w:val="restart"/>
            <w:tcBorders/>
            <w:shd w:fill="0054BA" w:val="clear"/>
            <w:vAlign w:val="center"/>
          </w:tcPr>
          <w:p>
            <w:pPr>
              <w:pStyle w:val="TableContents"/>
              <w:bidi w:val="0"/>
              <w:spacing w:before="0" w:after="283"/>
              <w:jc w:val="left"/>
              <w:rPr>
                <w:sz w:val="4"/>
                <w:szCs w:val="4"/>
              </w:rPr>
            </w:pPr>
            <w:r>
              <w:rPr>
                <w:sz w:val="4"/>
                <w:szCs w:val="4"/>
              </w:rPr>
            </w:r>
          </w:p>
        </w:tc>
        <w:tc>
          <w:tcPr>
            <w:tcW w:w="1363" w:type="dxa"/>
            <w:gridSpan w:val="4"/>
            <w:vMerge w:val="restart"/>
            <w:tcBorders/>
            <w:shd w:fill="0054BA"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COMPENSATION</w:t>
              <w:br/>
              <w:t>ACTUALLY</w:t>
              <w:br/>
              <w:t>PAID</w:t>
              <w:br/>
              <w:t>TO PEO</w:t>
            </w:r>
          </w:p>
          <w:p>
            <w:pPr>
              <w:pStyle w:val="TableContents"/>
              <w:bidi w:val="0"/>
              <w:spacing w:before="0" w:after="0"/>
              <w:jc w:val="center"/>
              <w:rPr>
                <w:rFonts w:ascii="ARIAL" w:hAnsi="ARIAL"/>
                <w:b/>
                <w:color w:val="FFFFFF"/>
                <w:sz w:val="8"/>
              </w:rPr>
            </w:pPr>
            <w:r>
              <w:rPr>
                <w:rFonts w:ascii="ARIAL" w:hAnsi="ARIAL"/>
                <w:b/>
                <w:color w:val="FFFFFF"/>
                <w:sz w:val="8"/>
              </w:rPr>
              <w:t>(1)</w:t>
            </w:r>
          </w:p>
          <w:p>
            <w:pPr>
              <w:pStyle w:val="TableContents"/>
              <w:bidi w:val="0"/>
              <w:spacing w:before="0" w:after="20"/>
              <w:jc w:val="center"/>
              <w:rPr>
                <w:rFonts w:ascii="ARIAL" w:hAnsi="ARIAL"/>
                <w:b/>
                <w:color w:val="FFFFFF"/>
                <w:sz w:val="12"/>
              </w:rPr>
            </w:pPr>
            <w:r>
              <w:rPr>
                <w:rFonts w:ascii="ARIAL" w:hAnsi="ARIAL"/>
                <w:b/>
                <w:color w:val="FFFFFF"/>
                <w:sz w:val="12"/>
              </w:rPr>
              <w:t>($)</w:t>
            </w:r>
          </w:p>
        </w:tc>
        <w:tc>
          <w:tcPr>
            <w:tcW w:w="23" w:type="dxa"/>
            <w:vMerge w:val="restart"/>
            <w:tcBorders/>
            <w:shd w:fill="0054BA" w:val="clear"/>
            <w:vAlign w:val="center"/>
          </w:tcPr>
          <w:p>
            <w:pPr>
              <w:pStyle w:val="TableContents"/>
              <w:bidi w:val="0"/>
              <w:spacing w:before="0" w:after="283"/>
              <w:jc w:val="left"/>
              <w:rPr>
                <w:sz w:val="4"/>
                <w:szCs w:val="4"/>
              </w:rPr>
            </w:pPr>
            <w:r>
              <w:rPr>
                <w:sz w:val="4"/>
                <w:szCs w:val="4"/>
              </w:rPr>
            </w:r>
          </w:p>
        </w:tc>
        <w:tc>
          <w:tcPr>
            <w:tcW w:w="1243" w:type="dxa"/>
            <w:gridSpan w:val="4"/>
            <w:vMerge w:val="restart"/>
            <w:tcBorders/>
            <w:shd w:fill="0054BA"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AVERAGE</w:t>
            </w:r>
          </w:p>
          <w:p>
            <w:pPr>
              <w:pStyle w:val="TableContents"/>
              <w:bidi w:val="0"/>
              <w:spacing w:before="0" w:after="0"/>
              <w:jc w:val="center"/>
              <w:rPr>
                <w:rFonts w:ascii="ARIAL" w:hAnsi="ARIAL"/>
                <w:b/>
                <w:color w:val="FFFFFF"/>
                <w:sz w:val="12"/>
              </w:rPr>
            </w:pPr>
            <w:r>
              <w:rPr>
                <w:rFonts w:ascii="ARIAL" w:hAnsi="ARIAL"/>
                <w:b/>
                <w:color w:val="FFFFFF"/>
                <w:sz w:val="12"/>
              </w:rPr>
              <w:t>SUMMARY</w:t>
            </w:r>
          </w:p>
          <w:p>
            <w:pPr>
              <w:pStyle w:val="TableContents"/>
              <w:bidi w:val="0"/>
              <w:spacing w:before="0" w:after="0"/>
              <w:jc w:val="center"/>
              <w:rPr>
                <w:rFonts w:ascii="ARIAL" w:hAnsi="ARIAL"/>
                <w:b/>
                <w:color w:val="FFFFFF"/>
                <w:sz w:val="12"/>
              </w:rPr>
            </w:pPr>
            <w:r>
              <w:rPr>
                <w:rFonts w:ascii="ARIAL" w:hAnsi="ARIAL"/>
                <w:b/>
                <w:color w:val="FFFFFF"/>
                <w:sz w:val="12"/>
              </w:rPr>
              <w:t>COMPENSATION</w:t>
            </w:r>
          </w:p>
          <w:p>
            <w:pPr>
              <w:pStyle w:val="TableContents"/>
              <w:bidi w:val="0"/>
              <w:spacing w:before="0" w:after="0"/>
              <w:jc w:val="center"/>
              <w:rPr>
                <w:rFonts w:ascii="ARIAL" w:hAnsi="ARIAL"/>
                <w:b/>
                <w:color w:val="FFFFFF"/>
                <w:sz w:val="12"/>
              </w:rPr>
            </w:pPr>
            <w:r>
              <w:rPr>
                <w:rFonts w:ascii="ARIAL" w:hAnsi="ARIAL"/>
                <w:b/>
                <w:color w:val="FFFFFF"/>
                <w:sz w:val="12"/>
              </w:rPr>
              <w:t>TABLE TOTAL</w:t>
            </w:r>
          </w:p>
          <w:p>
            <w:pPr>
              <w:pStyle w:val="TableContents"/>
              <w:bidi w:val="0"/>
              <w:spacing w:before="0" w:after="0"/>
              <w:jc w:val="center"/>
              <w:rPr>
                <w:rFonts w:ascii="ARIAL" w:hAnsi="ARIAL"/>
                <w:b/>
                <w:color w:val="FFFFFF"/>
                <w:sz w:val="12"/>
              </w:rPr>
            </w:pPr>
            <w:r>
              <w:rPr>
                <w:rFonts w:ascii="ARIAL" w:hAnsi="ARIAL"/>
                <w:b/>
                <w:color w:val="FFFFFF"/>
                <w:sz w:val="12"/>
              </w:rPr>
              <w:t xml:space="preserve">FOR </w:t>
            </w:r>
          </w:p>
          <w:p>
            <w:pPr>
              <w:pStyle w:val="TableContents"/>
              <w:bidi w:val="0"/>
              <w:spacing w:before="0" w:after="0"/>
              <w:jc w:val="center"/>
              <w:rPr>
                <w:rFonts w:ascii="ARIAL" w:hAnsi="ARIAL"/>
                <w:b/>
                <w:color w:val="FFFFFF"/>
                <w:sz w:val="12"/>
              </w:rPr>
            </w:pPr>
            <w:r>
              <w:rPr>
                <w:rFonts w:ascii="ARIAL" w:hAnsi="ARIAL"/>
                <w:b/>
                <w:color w:val="FFFFFF"/>
                <w:sz w:val="12"/>
              </w:rPr>
              <w:t>NON-PEO</w:t>
            </w:r>
          </w:p>
          <w:p>
            <w:pPr>
              <w:pStyle w:val="TableContents"/>
              <w:bidi w:val="0"/>
              <w:spacing w:before="0" w:after="20"/>
              <w:jc w:val="center"/>
              <w:rPr>
                <w:rFonts w:ascii="ARIAL" w:hAnsi="ARIAL"/>
                <w:b/>
                <w:color w:val="FFFFFF"/>
                <w:sz w:val="12"/>
              </w:rPr>
            </w:pPr>
            <w:r>
              <w:rPr>
                <w:rFonts w:ascii="ARIAL" w:hAnsi="ARIAL"/>
                <w:b/>
                <w:color w:val="FFFFFF"/>
                <w:sz w:val="12"/>
              </w:rPr>
              <w:t>NEOS ($)</w:t>
            </w:r>
          </w:p>
        </w:tc>
        <w:tc>
          <w:tcPr>
            <w:tcW w:w="23" w:type="dxa"/>
            <w:vMerge w:val="restart"/>
            <w:tcBorders/>
            <w:shd w:fill="0054BA" w:val="clear"/>
            <w:vAlign w:val="center"/>
          </w:tcPr>
          <w:p>
            <w:pPr>
              <w:pStyle w:val="TableContents"/>
              <w:bidi w:val="0"/>
              <w:spacing w:before="0" w:after="283"/>
              <w:jc w:val="left"/>
              <w:rPr>
                <w:sz w:val="4"/>
                <w:szCs w:val="4"/>
              </w:rPr>
            </w:pPr>
            <w:r>
              <w:rPr>
                <w:sz w:val="4"/>
                <w:szCs w:val="4"/>
              </w:rPr>
            </w:r>
          </w:p>
        </w:tc>
        <w:tc>
          <w:tcPr>
            <w:tcW w:w="1243" w:type="dxa"/>
            <w:gridSpan w:val="4"/>
            <w:vMerge w:val="restart"/>
            <w:tcBorders/>
            <w:shd w:fill="0054BA"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AVERAGE</w:t>
            </w:r>
          </w:p>
          <w:p>
            <w:pPr>
              <w:pStyle w:val="TableContents"/>
              <w:bidi w:val="0"/>
              <w:spacing w:before="0" w:after="0"/>
              <w:jc w:val="center"/>
              <w:rPr>
                <w:color w:val="FFFFFF"/>
              </w:rPr>
            </w:pPr>
            <w:r>
              <w:rPr>
                <w:color w:val="FFFFFF"/>
              </w:rPr>
              <w:t> </w:t>
            </w:r>
          </w:p>
          <w:p>
            <w:pPr>
              <w:pStyle w:val="TableContents"/>
              <w:bidi w:val="0"/>
              <w:spacing w:before="0" w:after="0"/>
              <w:jc w:val="center"/>
              <w:rPr>
                <w:rFonts w:ascii="ARIAL" w:hAnsi="ARIAL"/>
                <w:b/>
                <w:color w:val="FFFFFF"/>
                <w:sz w:val="12"/>
              </w:rPr>
            </w:pPr>
            <w:r>
              <w:rPr>
                <w:rFonts w:ascii="ARIAL" w:hAnsi="ARIAL"/>
                <w:b/>
                <w:color w:val="FFFFFF"/>
                <w:sz w:val="12"/>
              </w:rPr>
              <w:t>COMPENSATION</w:t>
            </w:r>
          </w:p>
          <w:p>
            <w:pPr>
              <w:pStyle w:val="TableContents"/>
              <w:bidi w:val="0"/>
              <w:spacing w:before="0" w:after="0"/>
              <w:jc w:val="center"/>
              <w:rPr>
                <w:color w:val="FFFFFF"/>
              </w:rPr>
            </w:pPr>
            <w:r>
              <w:rPr>
                <w:color w:val="FFFFFF"/>
              </w:rPr>
              <w:t> </w:t>
            </w:r>
          </w:p>
          <w:p>
            <w:pPr>
              <w:pStyle w:val="TableContents"/>
              <w:bidi w:val="0"/>
              <w:spacing w:before="0" w:after="0"/>
              <w:jc w:val="center"/>
              <w:rPr>
                <w:rFonts w:ascii="ARIAL" w:hAnsi="ARIAL"/>
                <w:b/>
                <w:color w:val="FFFFFF"/>
                <w:sz w:val="12"/>
              </w:rPr>
            </w:pPr>
            <w:r>
              <w:rPr>
                <w:rFonts w:ascii="ARIAL" w:hAnsi="ARIAL"/>
                <w:b/>
                <w:color w:val="FFFFFF"/>
                <w:sz w:val="12"/>
              </w:rPr>
              <w:t>ACTUALLY PAID</w:t>
            </w:r>
          </w:p>
          <w:p>
            <w:pPr>
              <w:pStyle w:val="TableContents"/>
              <w:bidi w:val="0"/>
              <w:spacing w:before="0" w:after="0"/>
              <w:jc w:val="center"/>
              <w:rPr>
                <w:color w:val="FFFFFF"/>
              </w:rPr>
            </w:pPr>
            <w:r>
              <w:rPr>
                <w:color w:val="FFFFFF"/>
              </w:rPr>
              <w:t> </w:t>
            </w:r>
          </w:p>
          <w:p>
            <w:pPr>
              <w:pStyle w:val="TableContents"/>
              <w:bidi w:val="0"/>
              <w:spacing w:before="0" w:after="0"/>
              <w:jc w:val="center"/>
              <w:rPr>
                <w:rFonts w:ascii="ARIAL" w:hAnsi="ARIAL"/>
                <w:b/>
                <w:color w:val="FFFFFF"/>
                <w:sz w:val="12"/>
              </w:rPr>
            </w:pPr>
            <w:r>
              <w:rPr>
                <w:rFonts w:ascii="ARIAL" w:hAnsi="ARIAL"/>
                <w:b/>
                <w:color w:val="FFFFFF"/>
                <w:sz w:val="12"/>
              </w:rPr>
              <w:t xml:space="preserve">TO </w:t>
            </w:r>
          </w:p>
          <w:p>
            <w:pPr>
              <w:pStyle w:val="TableContents"/>
              <w:bidi w:val="0"/>
              <w:spacing w:before="0" w:after="0"/>
              <w:jc w:val="center"/>
              <w:rPr>
                <w:rFonts w:ascii="ARIAL" w:hAnsi="ARIAL"/>
                <w:b/>
                <w:color w:val="FFFFFF"/>
                <w:sz w:val="12"/>
              </w:rPr>
            </w:pPr>
            <w:r>
              <w:rPr>
                <w:rFonts w:ascii="ARIAL" w:hAnsi="ARIAL"/>
                <w:b/>
                <w:color w:val="FFFFFF"/>
                <w:sz w:val="12"/>
              </w:rPr>
              <w:t>NON-PEO</w:t>
            </w:r>
          </w:p>
          <w:p>
            <w:pPr>
              <w:pStyle w:val="TableContents"/>
              <w:bidi w:val="0"/>
              <w:spacing w:before="0" w:after="0"/>
              <w:jc w:val="center"/>
              <w:rPr>
                <w:rFonts w:ascii="ARIAL" w:hAnsi="ARIAL"/>
                <w:b/>
                <w:color w:val="FFFFFF"/>
                <w:sz w:val="8"/>
              </w:rPr>
            </w:pPr>
            <w:r>
              <w:rPr>
                <w:rFonts w:ascii="ARIAL" w:hAnsi="ARIAL"/>
                <w:b/>
                <w:color w:val="FFFFFF"/>
                <w:sz w:val="8"/>
              </w:rPr>
              <w:t>(1)</w:t>
            </w:r>
          </w:p>
          <w:p>
            <w:pPr>
              <w:pStyle w:val="TableContents"/>
              <w:bidi w:val="0"/>
              <w:spacing w:before="0" w:after="0"/>
              <w:jc w:val="center"/>
              <w:rPr>
                <w:color w:val="FFFFFF"/>
              </w:rPr>
            </w:pPr>
            <w:r>
              <w:rPr>
                <w:color w:val="FFFFFF"/>
              </w:rPr>
              <w:t> </w:t>
            </w:r>
          </w:p>
          <w:p>
            <w:pPr>
              <w:pStyle w:val="TableContents"/>
              <w:bidi w:val="0"/>
              <w:spacing w:before="0" w:after="20"/>
              <w:jc w:val="center"/>
              <w:rPr>
                <w:rFonts w:ascii="ARIAL" w:hAnsi="ARIAL"/>
                <w:b/>
                <w:color w:val="FFFFFF"/>
                <w:sz w:val="12"/>
              </w:rPr>
            </w:pPr>
            <w:r>
              <w:rPr>
                <w:rFonts w:ascii="ARIAL" w:hAnsi="ARIAL"/>
                <w:b/>
                <w:color w:val="FFFFFF"/>
                <w:sz w:val="12"/>
              </w:rPr>
              <w:t>NEOS ($)</w:t>
            </w:r>
          </w:p>
          <w:p>
            <w:pPr>
              <w:pStyle w:val="TableContents"/>
              <w:bidi w:val="0"/>
              <w:spacing w:before="0" w:after="20"/>
              <w:jc w:val="center"/>
              <w:rPr>
                <w:color w:val="FFFFFF"/>
              </w:rPr>
            </w:pPr>
            <w:r>
              <w:rPr>
                <w:color w:val="FFFFFF"/>
              </w:rPr>
              <w:t> </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1923" w:type="dxa"/>
            <w:gridSpan w:val="9"/>
            <w:tcBorders>
              <w:bottom w:val="single" w:sz="6" w:space="0" w:color="FFFFFF"/>
            </w:tcBorders>
            <w:shd w:fill="0054BA" w:val="clear"/>
            <w:tcMar>
              <w:bottom w:w="60" w:type="dxa"/>
            </w:tcMar>
            <w:vAlign w:val="center"/>
          </w:tcPr>
          <w:p>
            <w:pPr>
              <w:pStyle w:val="TableContents"/>
              <w:bidi w:val="0"/>
              <w:spacing w:before="0" w:after="0"/>
              <w:jc w:val="center"/>
              <w:rPr>
                <w:rFonts w:ascii="ARIAL" w:hAnsi="ARIAL"/>
                <w:b/>
                <w:color w:val="FFFFFF"/>
                <w:sz w:val="12"/>
              </w:rPr>
            </w:pPr>
            <w:r>
              <w:rPr>
                <w:rFonts w:ascii="ARIAL" w:hAnsi="ARIAL"/>
                <w:b/>
                <w:color w:val="FFFFFF"/>
                <w:sz w:val="12"/>
              </w:rPr>
              <w:t>VALUE OF INITIAL FIXED $100</w:t>
            </w:r>
          </w:p>
          <w:p>
            <w:pPr>
              <w:pStyle w:val="TableContents"/>
              <w:bidi w:val="0"/>
              <w:spacing w:before="0" w:after="20"/>
              <w:jc w:val="center"/>
              <w:rPr>
                <w:rFonts w:ascii="ARIAL" w:hAnsi="ARIAL"/>
                <w:b/>
                <w:color w:val="FFFFFF"/>
                <w:sz w:val="12"/>
              </w:rPr>
            </w:pPr>
            <w:r>
              <w:rPr>
                <w:rFonts w:ascii="ARIAL" w:hAnsi="ARIAL"/>
                <w:b/>
                <w:color w:val="FFFFFF"/>
                <w:sz w:val="12"/>
              </w:rPr>
              <w:t>INVESTMENT BASED ON:</w:t>
            </w:r>
          </w:p>
        </w:tc>
        <w:tc>
          <w:tcPr>
            <w:tcW w:w="23" w:type="dxa"/>
            <w:vMerge w:val="restart"/>
            <w:tcBorders/>
            <w:shd w:fill="0054BA" w:val="clear"/>
            <w:vAlign w:val="center"/>
          </w:tcPr>
          <w:p>
            <w:pPr>
              <w:pStyle w:val="TableContents"/>
              <w:bidi w:val="0"/>
              <w:spacing w:before="0" w:after="283"/>
              <w:jc w:val="left"/>
              <w:rPr>
                <w:sz w:val="4"/>
                <w:szCs w:val="4"/>
              </w:rPr>
            </w:pPr>
            <w:r>
              <w:rPr>
                <w:sz w:val="4"/>
                <w:szCs w:val="4"/>
              </w:rPr>
            </w:r>
          </w:p>
        </w:tc>
        <w:tc>
          <w:tcPr>
            <w:tcW w:w="919" w:type="dxa"/>
            <w:gridSpan w:val="4"/>
            <w:vMerge w:val="restart"/>
            <w:tcBorders/>
            <w:shd w:fill="0054BA"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NET</w:t>
            </w:r>
          </w:p>
          <w:p>
            <w:pPr>
              <w:pStyle w:val="TableContents"/>
              <w:bidi w:val="0"/>
              <w:spacing w:before="0" w:after="0"/>
              <w:jc w:val="center"/>
              <w:rPr>
                <w:rFonts w:ascii="ARIAL" w:hAnsi="ARIAL"/>
                <w:b/>
                <w:color w:val="FFFFFF"/>
                <w:sz w:val="12"/>
              </w:rPr>
            </w:pPr>
            <w:r>
              <w:rPr>
                <w:rFonts w:ascii="ARIAL" w:hAnsi="ARIAL"/>
                <w:b/>
                <w:color w:val="FFFFFF"/>
                <w:sz w:val="12"/>
              </w:rPr>
              <w:t>INCOME</w:t>
            </w:r>
          </w:p>
          <w:p>
            <w:pPr>
              <w:pStyle w:val="TableContents"/>
              <w:bidi w:val="0"/>
              <w:spacing w:before="0" w:after="20"/>
              <w:jc w:val="center"/>
              <w:rPr>
                <w:rFonts w:ascii="ARIAL" w:hAnsi="ARIAL"/>
                <w:b/>
                <w:color w:val="FFFFFF"/>
                <w:sz w:val="12"/>
              </w:rPr>
            </w:pPr>
            <w:r>
              <w:rPr>
                <w:rFonts w:ascii="ARIAL" w:hAnsi="ARIAL"/>
                <w:b/>
                <w:color w:val="FFFFFF"/>
                <w:sz w:val="12"/>
              </w:rPr>
              <w:t>($ IN MILLIONS)</w:t>
            </w:r>
          </w:p>
        </w:tc>
        <w:tc>
          <w:tcPr>
            <w:tcW w:w="23" w:type="dxa"/>
            <w:vMerge w:val="restart"/>
            <w:tcBorders/>
            <w:shd w:fill="0054BA" w:val="clear"/>
            <w:vAlign w:val="center"/>
          </w:tcPr>
          <w:p>
            <w:pPr>
              <w:pStyle w:val="TableContents"/>
              <w:bidi w:val="0"/>
              <w:spacing w:before="0" w:after="283"/>
              <w:jc w:val="left"/>
              <w:rPr>
                <w:sz w:val="4"/>
                <w:szCs w:val="4"/>
              </w:rPr>
            </w:pPr>
            <w:r>
              <w:rPr>
                <w:sz w:val="4"/>
                <w:szCs w:val="4"/>
              </w:rPr>
            </w:r>
          </w:p>
        </w:tc>
        <w:tc>
          <w:tcPr>
            <w:tcW w:w="1123" w:type="dxa"/>
            <w:gridSpan w:val="4"/>
            <w:vMerge w:val="restart"/>
            <w:tcBorders/>
            <w:shd w:fill="0054BA"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EBITDA</w:t>
            </w:r>
          </w:p>
          <w:p>
            <w:pPr>
              <w:pStyle w:val="TableContents"/>
              <w:bidi w:val="0"/>
              <w:spacing w:before="0" w:after="0"/>
              <w:jc w:val="center"/>
              <w:rPr>
                <w:color w:val="FFFFFF"/>
              </w:rPr>
            </w:pPr>
            <w:r>
              <w:rPr>
                <w:color w:val="FFFFFF"/>
              </w:rPr>
              <w:t>   </w:t>
            </w:r>
          </w:p>
          <w:p>
            <w:pPr>
              <w:pStyle w:val="TableContents"/>
              <w:bidi w:val="0"/>
              <w:spacing w:before="0" w:after="20"/>
              <w:jc w:val="center"/>
              <w:rPr>
                <w:rFonts w:ascii="ARIAL" w:hAnsi="ARIAL"/>
                <w:b/>
                <w:color w:val="FFFFFF"/>
                <w:sz w:val="12"/>
              </w:rPr>
            </w:pPr>
            <w:r>
              <w:rPr>
                <w:rFonts w:ascii="ARIAL" w:hAnsi="ARIAL"/>
                <w:b/>
                <w:color w:val="FFFFFF"/>
                <w:sz w:val="12"/>
              </w:rPr>
              <w:t>($ IN MILLIONS)</w:t>
            </w:r>
          </w:p>
          <w:p>
            <w:pPr>
              <w:pStyle w:val="TableContents"/>
              <w:bidi w:val="0"/>
              <w:spacing w:before="0" w:after="20"/>
              <w:jc w:val="center"/>
              <w:rPr>
                <w:color w:val="FFFFFF"/>
              </w:rPr>
            </w:pPr>
            <w:r>
              <w:rPr>
                <w:color w:val="FFFFFF"/>
              </w:rPr>
              <w:t>   </w:t>
            </w:r>
          </w:p>
        </w:tc>
      </w:tr>
      <w:tr>
        <w:trPr/>
        <w:tc>
          <w:tcPr>
            <w:tcW w:w="395" w:type="dxa"/>
            <w:vMerge w:val="continue"/>
            <w:tcBorders/>
            <w:shd w:fill="0054BA" w:val="clear"/>
            <w:vAlign w:val="center"/>
          </w:tcPr>
          <w:p>
            <w:pPr>
              <w:pStyle w:val="Normal"/>
              <w:bidi w:val="0"/>
              <w:jc w:val="left"/>
              <w:rPr/>
            </w:pPr>
            <w:r>
              <w:rPr/>
            </w:r>
          </w:p>
        </w:tc>
        <w:tc>
          <w:tcPr>
            <w:tcW w:w="23" w:type="dxa"/>
            <w:vMerge w:val="continue"/>
            <w:tcBorders/>
            <w:shd w:fill="0054BA" w:val="clear"/>
            <w:vAlign w:val="center"/>
          </w:tcPr>
          <w:p>
            <w:pPr>
              <w:pStyle w:val="Normal"/>
              <w:bidi w:val="0"/>
              <w:jc w:val="left"/>
              <w:rPr/>
            </w:pPr>
            <w:r>
              <w:rPr/>
            </w:r>
          </w:p>
        </w:tc>
        <w:tc>
          <w:tcPr>
            <w:tcW w:w="1363" w:type="dxa"/>
            <w:gridSpan w:val="4"/>
            <w:vMerge w:val="continue"/>
            <w:tcBorders/>
            <w:shd w:fill="0054BA" w:val="clear"/>
            <w:vAlign w:val="center"/>
          </w:tcPr>
          <w:p>
            <w:pPr>
              <w:pStyle w:val="Normal"/>
              <w:bidi w:val="0"/>
              <w:jc w:val="left"/>
              <w:rPr/>
            </w:pPr>
            <w:r>
              <w:rPr/>
            </w:r>
          </w:p>
        </w:tc>
        <w:tc>
          <w:tcPr>
            <w:tcW w:w="23" w:type="dxa"/>
            <w:vMerge w:val="continue"/>
            <w:tcBorders/>
            <w:shd w:fill="0054BA" w:val="clear"/>
            <w:vAlign w:val="center"/>
          </w:tcPr>
          <w:p>
            <w:pPr>
              <w:pStyle w:val="Normal"/>
              <w:bidi w:val="0"/>
              <w:jc w:val="left"/>
              <w:rPr/>
            </w:pPr>
            <w:r>
              <w:rPr/>
            </w:r>
          </w:p>
        </w:tc>
        <w:tc>
          <w:tcPr>
            <w:tcW w:w="1363" w:type="dxa"/>
            <w:gridSpan w:val="4"/>
            <w:vMerge w:val="continue"/>
            <w:tcBorders/>
            <w:shd w:fill="0054BA" w:val="clear"/>
            <w:vAlign w:val="center"/>
          </w:tcPr>
          <w:p>
            <w:pPr>
              <w:pStyle w:val="Normal"/>
              <w:bidi w:val="0"/>
              <w:jc w:val="left"/>
              <w:rPr/>
            </w:pPr>
            <w:r>
              <w:rPr/>
            </w:r>
          </w:p>
        </w:tc>
        <w:tc>
          <w:tcPr>
            <w:tcW w:w="23" w:type="dxa"/>
            <w:vMerge w:val="continue"/>
            <w:tcBorders/>
            <w:shd w:fill="0054BA" w:val="clear"/>
            <w:vAlign w:val="center"/>
          </w:tcPr>
          <w:p>
            <w:pPr>
              <w:pStyle w:val="Normal"/>
              <w:bidi w:val="0"/>
              <w:jc w:val="left"/>
              <w:rPr/>
            </w:pPr>
            <w:r>
              <w:rPr/>
            </w:r>
          </w:p>
        </w:tc>
        <w:tc>
          <w:tcPr>
            <w:tcW w:w="1243" w:type="dxa"/>
            <w:gridSpan w:val="4"/>
            <w:vMerge w:val="continue"/>
            <w:tcBorders/>
            <w:shd w:fill="0054BA" w:val="clear"/>
            <w:vAlign w:val="center"/>
          </w:tcPr>
          <w:p>
            <w:pPr>
              <w:pStyle w:val="Normal"/>
              <w:bidi w:val="0"/>
              <w:jc w:val="left"/>
              <w:rPr/>
            </w:pPr>
            <w:r>
              <w:rPr/>
            </w:r>
          </w:p>
        </w:tc>
        <w:tc>
          <w:tcPr>
            <w:tcW w:w="23" w:type="dxa"/>
            <w:vMerge w:val="continue"/>
            <w:tcBorders/>
            <w:shd w:fill="0054BA" w:val="clear"/>
            <w:vAlign w:val="center"/>
          </w:tcPr>
          <w:p>
            <w:pPr>
              <w:pStyle w:val="Normal"/>
              <w:bidi w:val="0"/>
              <w:jc w:val="left"/>
              <w:rPr/>
            </w:pPr>
            <w:r>
              <w:rPr/>
            </w:r>
          </w:p>
        </w:tc>
        <w:tc>
          <w:tcPr>
            <w:tcW w:w="1243" w:type="dxa"/>
            <w:gridSpan w:val="4"/>
            <w:vMerge w:val="continue"/>
            <w:tcBorders/>
            <w:shd w:fill="0054BA" w:val="clear"/>
            <w:vAlign w:val="center"/>
          </w:tcPr>
          <w:p>
            <w:pPr>
              <w:pStyle w:val="Normal"/>
              <w:bidi w:val="0"/>
              <w:jc w:val="left"/>
              <w:rPr/>
            </w:pPr>
            <w:r>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50" w:type="dxa"/>
            <w:gridSpan w:val="4"/>
            <w:tcBorders/>
            <w:shd w:fill="0054BA"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TOTAL</w:t>
            </w:r>
          </w:p>
          <w:p>
            <w:pPr>
              <w:pStyle w:val="TableContents"/>
              <w:bidi w:val="0"/>
              <w:spacing w:before="0" w:after="0"/>
              <w:jc w:val="center"/>
              <w:rPr>
                <w:rFonts w:ascii="ARIAL" w:hAnsi="ARIAL"/>
                <w:b/>
                <w:color w:val="FFFFFF"/>
                <w:sz w:val="12"/>
              </w:rPr>
            </w:pPr>
            <w:r>
              <w:rPr>
                <w:rFonts w:ascii="ARIAL" w:hAnsi="ARIAL"/>
                <w:b/>
                <w:color w:val="FFFFFF"/>
                <w:sz w:val="12"/>
              </w:rPr>
              <w:t>SHAREHOLDER</w:t>
            </w:r>
          </w:p>
          <w:p>
            <w:pPr>
              <w:pStyle w:val="TableContents"/>
              <w:bidi w:val="0"/>
              <w:spacing w:before="0" w:after="0"/>
              <w:jc w:val="center"/>
              <w:rPr>
                <w:rFonts w:ascii="ARIAL" w:hAnsi="ARIAL"/>
                <w:b/>
                <w:color w:val="FFFFFF"/>
                <w:sz w:val="12"/>
              </w:rPr>
            </w:pPr>
            <w:r>
              <w:rPr>
                <w:rFonts w:ascii="ARIAL" w:hAnsi="ARIAL"/>
                <w:b/>
                <w:color w:val="FFFFFF"/>
                <w:sz w:val="12"/>
              </w:rPr>
              <w:t>RETURN</w:t>
            </w:r>
          </w:p>
          <w:p>
            <w:pPr>
              <w:pStyle w:val="TableContents"/>
              <w:bidi w:val="0"/>
              <w:spacing w:before="0" w:after="20"/>
              <w:jc w:val="center"/>
              <w:rPr>
                <w:rFonts w:ascii="ARIAL" w:hAnsi="ARIAL"/>
                <w:b/>
                <w:color w:val="FFFFFF"/>
                <w:sz w:val="12"/>
              </w:rPr>
            </w:pPr>
            <w:r>
              <w:rPr>
                <w:rFonts w:ascii="ARIAL" w:hAnsi="ARIAL"/>
                <w:b/>
                <w:color w:val="FFFFFF"/>
                <w:sz w:val="12"/>
              </w:rPr>
              <w:t>($)</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950" w:type="dxa"/>
            <w:gridSpan w:val="4"/>
            <w:tcBorders/>
            <w:shd w:fill="0054BA"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2"/>
              </w:rPr>
            </w:pPr>
            <w:r>
              <w:rPr>
                <w:rFonts w:ascii="ARIAL" w:hAnsi="ARIAL"/>
                <w:b/>
                <w:color w:val="FFFFFF"/>
                <w:sz w:val="12"/>
              </w:rPr>
              <w:t>PEER GROUP</w:t>
            </w:r>
          </w:p>
          <w:p>
            <w:pPr>
              <w:pStyle w:val="TableContents"/>
              <w:bidi w:val="0"/>
              <w:spacing w:before="0" w:after="0"/>
              <w:jc w:val="center"/>
              <w:rPr>
                <w:rFonts w:ascii="ARIAL" w:hAnsi="ARIAL"/>
                <w:b/>
                <w:color w:val="FFFFFF"/>
                <w:sz w:val="12"/>
              </w:rPr>
            </w:pPr>
            <w:r>
              <w:rPr>
                <w:rFonts w:ascii="ARIAL" w:hAnsi="ARIAL"/>
                <w:b/>
                <w:color w:val="FFFFFF"/>
                <w:sz w:val="12"/>
              </w:rPr>
              <w:t>TOTAL</w:t>
            </w:r>
          </w:p>
          <w:p>
            <w:pPr>
              <w:pStyle w:val="TableContents"/>
              <w:bidi w:val="0"/>
              <w:spacing w:before="0" w:after="0"/>
              <w:jc w:val="center"/>
              <w:rPr>
                <w:rFonts w:ascii="ARIAL" w:hAnsi="ARIAL"/>
                <w:b/>
                <w:color w:val="FFFFFF"/>
                <w:sz w:val="12"/>
              </w:rPr>
            </w:pPr>
            <w:r>
              <w:rPr>
                <w:rFonts w:ascii="ARIAL" w:hAnsi="ARIAL"/>
                <w:b/>
                <w:color w:val="FFFFFF"/>
                <w:sz w:val="12"/>
              </w:rPr>
              <w:t>SHAREHOLDER</w:t>
            </w:r>
          </w:p>
          <w:p>
            <w:pPr>
              <w:pStyle w:val="TableContents"/>
              <w:bidi w:val="0"/>
              <w:spacing w:before="0" w:after="0"/>
              <w:jc w:val="center"/>
              <w:rPr>
                <w:rFonts w:ascii="ARIAL" w:hAnsi="ARIAL"/>
                <w:b/>
                <w:color w:val="FFFFFF"/>
                <w:sz w:val="12"/>
              </w:rPr>
            </w:pPr>
            <w:r>
              <w:rPr>
                <w:rFonts w:ascii="ARIAL" w:hAnsi="ARIAL"/>
                <w:b/>
                <w:color w:val="FFFFFF"/>
                <w:sz w:val="12"/>
              </w:rPr>
              <w:t>RETURN</w:t>
            </w:r>
          </w:p>
          <w:p>
            <w:pPr>
              <w:pStyle w:val="TableContents"/>
              <w:bidi w:val="0"/>
              <w:spacing w:before="0" w:after="0"/>
              <w:jc w:val="center"/>
              <w:rPr>
                <w:rFonts w:ascii="ARIAL" w:hAnsi="ARIAL"/>
                <w:b/>
                <w:color w:val="FFFFFF"/>
                <w:sz w:val="8"/>
              </w:rPr>
            </w:pPr>
            <w:r>
              <w:rPr>
                <w:rFonts w:ascii="ARIAL" w:hAnsi="ARIAL"/>
                <w:b/>
                <w:color w:val="FFFFFF"/>
                <w:sz w:val="8"/>
              </w:rPr>
              <w:t>(2)</w:t>
            </w:r>
          </w:p>
          <w:p>
            <w:pPr>
              <w:pStyle w:val="TableContents"/>
              <w:bidi w:val="0"/>
              <w:spacing w:before="0" w:after="20"/>
              <w:jc w:val="center"/>
              <w:rPr>
                <w:rFonts w:ascii="ARIAL" w:hAnsi="ARIAL"/>
                <w:b/>
                <w:color w:val="FFFFFF"/>
                <w:sz w:val="12"/>
              </w:rPr>
            </w:pPr>
            <w:r>
              <w:rPr>
                <w:rFonts w:ascii="ARIAL" w:hAnsi="ARIAL"/>
                <w:b/>
                <w:color w:val="FFFFFF"/>
                <w:sz w:val="12"/>
              </w:rPr>
              <w:t>($)</w:t>
            </w:r>
          </w:p>
        </w:tc>
        <w:tc>
          <w:tcPr>
            <w:tcW w:w="23" w:type="dxa"/>
            <w:vMerge w:val="continue"/>
            <w:tcBorders/>
            <w:shd w:fill="0054BA" w:val="clear"/>
            <w:vAlign w:val="center"/>
          </w:tcPr>
          <w:p>
            <w:pPr>
              <w:pStyle w:val="Normal"/>
              <w:bidi w:val="0"/>
              <w:jc w:val="left"/>
              <w:rPr/>
            </w:pPr>
            <w:r>
              <w:rPr/>
            </w:r>
          </w:p>
        </w:tc>
        <w:tc>
          <w:tcPr>
            <w:tcW w:w="919" w:type="dxa"/>
            <w:gridSpan w:val="4"/>
            <w:vMerge w:val="continue"/>
            <w:tcBorders/>
            <w:shd w:fill="0054BA" w:val="clear"/>
            <w:vAlign w:val="center"/>
          </w:tcPr>
          <w:p>
            <w:pPr>
              <w:pStyle w:val="Normal"/>
              <w:bidi w:val="0"/>
              <w:jc w:val="left"/>
              <w:rPr/>
            </w:pPr>
            <w:r>
              <w:rPr/>
            </w:r>
          </w:p>
        </w:tc>
        <w:tc>
          <w:tcPr>
            <w:tcW w:w="23" w:type="dxa"/>
            <w:vMerge w:val="continue"/>
            <w:tcBorders/>
            <w:shd w:fill="0054BA" w:val="clear"/>
            <w:vAlign w:val="center"/>
          </w:tcPr>
          <w:p>
            <w:pPr>
              <w:pStyle w:val="Normal"/>
              <w:bidi w:val="0"/>
              <w:jc w:val="left"/>
              <w:rPr/>
            </w:pPr>
            <w:r>
              <w:rPr/>
            </w:r>
          </w:p>
        </w:tc>
        <w:tc>
          <w:tcPr>
            <w:tcW w:w="1123" w:type="dxa"/>
            <w:gridSpan w:val="4"/>
            <w:vMerge w:val="continue"/>
            <w:tcBorders/>
            <w:shd w:fill="0054BA" w:val="clear"/>
            <w:vAlign w:val="center"/>
          </w:tcPr>
          <w:p>
            <w:pPr>
              <w:pStyle w:val="Normal"/>
              <w:bidi w:val="0"/>
              <w:jc w:val="left"/>
              <w:rPr/>
            </w:pPr>
            <w:r>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42"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2025</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$36,431,936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$33,174,602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$8,072,724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$5,593,138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$112.39</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$122.51</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100" w:type="dxa"/>
            </w:tcMar>
            <w:vAlign w:val="center"/>
          </w:tcPr>
          <w:p>
            <w:pPr>
              <w:pStyle w:val="TableContents"/>
              <w:bidi w:val="0"/>
              <w:spacing w:before="0" w:after="283"/>
              <w:jc w:val="left"/>
              <w:rPr/>
            </w:pPr>
            <w:r>
              <w:rPr/>
              <w:t> </w:t>
            </w:r>
          </w:p>
        </w:tc>
        <w:tc>
          <w:tcPr>
            <w:tcW w:w="759" w:type="dxa"/>
            <w:tcBorders>
              <w:bottom w:val="single" w:sz="6" w:space="0" w:color="000000"/>
            </w:tcBorders>
            <w:tcMar>
              <w:bottom w:w="100" w:type="dxa"/>
            </w:tcMar>
            <w:vAlign w:val="center"/>
          </w:tcPr>
          <w:p>
            <w:pPr>
              <w:pStyle w:val="TableContents"/>
              <w:bidi w:val="0"/>
              <w:spacing w:before="0" w:after="283"/>
              <w:jc w:val="center"/>
              <w:rPr/>
            </w:pPr>
            <w:r>
              <w:rPr/>
              <w:t>$6.5</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65" w:type="dxa"/>
            <w:tcBorders>
              <w:bottom w:val="single" w:sz="6" w:space="0" w:color="000000"/>
            </w:tcBorders>
            <w:tcMar>
              <w:bottom w:w="100" w:type="dxa"/>
            </w:tcMar>
            <w:vAlign w:val="center"/>
          </w:tcPr>
          <w:p>
            <w:pPr>
              <w:pStyle w:val="TableContents"/>
              <w:bidi w:val="0"/>
              <w:spacing w:before="0" w:after="283"/>
              <w:jc w:val="center"/>
              <w:rPr/>
            </w:pPr>
            <w:r>
              <w:rPr/>
              <w:t>$170.1  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42"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2024</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$37,393,960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$8,220,790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$8,229,951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$2,855,473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$119.66</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$118.76</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100" w:type="dxa"/>
            </w:tcMar>
            <w:vAlign w:val="center"/>
          </w:tcPr>
          <w:p>
            <w:pPr>
              <w:pStyle w:val="TableContents"/>
              <w:bidi w:val="0"/>
              <w:spacing w:before="0" w:after="283"/>
              <w:jc w:val="left"/>
              <w:rPr/>
            </w:pPr>
            <w:r>
              <w:rPr/>
              <w:t> </w:t>
            </w:r>
          </w:p>
        </w:tc>
        <w:tc>
          <w:tcPr>
            <w:tcW w:w="759" w:type="dxa"/>
            <w:tcBorders>
              <w:bottom w:val="single" w:sz="6" w:space="0" w:color="000000"/>
            </w:tcBorders>
            <w:tcMar>
              <w:bottom w:w="100" w:type="dxa"/>
            </w:tcMar>
            <w:vAlign w:val="center"/>
          </w:tcPr>
          <w:p>
            <w:pPr>
              <w:pStyle w:val="TableContents"/>
              <w:bidi w:val="0"/>
              <w:spacing w:before="0" w:after="283"/>
              <w:jc w:val="center"/>
              <w:rPr/>
            </w:pPr>
            <w:r>
              <w:rPr/>
              <w:t>$138.7</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65" w:type="dxa"/>
            <w:tcBorders>
              <w:bottom w:val="single" w:sz="6" w:space="0" w:color="000000"/>
            </w:tcBorders>
            <w:tcMar>
              <w:bottom w:w="100" w:type="dxa"/>
            </w:tcMar>
            <w:vAlign w:val="center"/>
          </w:tcPr>
          <w:p>
            <w:pPr>
              <w:pStyle w:val="TableContents"/>
              <w:bidi w:val="0"/>
              <w:spacing w:before="0" w:after="283"/>
              <w:jc w:val="center"/>
              <w:rPr/>
            </w:pPr>
            <w:r>
              <w:rPr/>
              <w:t>$123.0  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42"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2023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$29,176,180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$28,622,960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$7,289,696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$7,416,214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$146.06</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$112.65</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100" w:type="dxa"/>
            </w:tcMar>
            <w:vAlign w:val="center"/>
          </w:tcPr>
          <w:p>
            <w:pPr>
              <w:pStyle w:val="TableContents"/>
              <w:bidi w:val="0"/>
              <w:spacing w:before="0" w:after="283"/>
              <w:jc w:val="left"/>
              <w:rPr/>
            </w:pPr>
            <w:r>
              <w:rPr/>
              <w:t> </w:t>
            </w:r>
          </w:p>
        </w:tc>
        <w:tc>
          <w:tcPr>
            <w:tcW w:w="759" w:type="dxa"/>
            <w:tcBorders>
              <w:bottom w:val="single" w:sz="6" w:space="0" w:color="000000"/>
            </w:tcBorders>
            <w:tcMar>
              <w:bottom w:w="100" w:type="dxa"/>
            </w:tcMar>
            <w:vAlign w:val="center"/>
          </w:tcPr>
          <w:p>
            <w:pPr>
              <w:pStyle w:val="TableContents"/>
              <w:bidi w:val="0"/>
              <w:spacing w:before="0" w:after="283"/>
              <w:jc w:val="center"/>
              <w:rPr/>
            </w:pPr>
            <w:r>
              <w:rPr/>
              <w:t>$374.7</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65" w:type="dxa"/>
            <w:tcBorders>
              <w:bottom w:val="single" w:sz="6" w:space="0" w:color="000000"/>
            </w:tcBorders>
            <w:tcMar>
              <w:bottom w:w="100" w:type="dxa"/>
            </w:tcMar>
            <w:vAlign w:val="center"/>
          </w:tcPr>
          <w:p>
            <w:pPr>
              <w:pStyle w:val="TableContents"/>
              <w:bidi w:val="0"/>
              <w:spacing w:before="0" w:after="283"/>
              <w:jc w:val="center"/>
              <w:rPr/>
            </w:pPr>
            <w:r>
              <w:rPr/>
              <w:t>$389.8  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42"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2022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$19,420,514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$16,180,113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$5,633,566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$4,583,956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$129.17</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$101.00</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100" w:type="dxa"/>
            </w:tcMar>
            <w:vAlign w:val="center"/>
          </w:tcPr>
          <w:p>
            <w:pPr>
              <w:pStyle w:val="TableContents"/>
              <w:bidi w:val="0"/>
              <w:spacing w:before="0" w:after="283"/>
              <w:jc w:val="left"/>
              <w:rPr/>
            </w:pPr>
            <w:r>
              <w:rPr/>
              <w:t> </w:t>
            </w:r>
          </w:p>
        </w:tc>
        <w:tc>
          <w:tcPr>
            <w:tcW w:w="759" w:type="dxa"/>
            <w:tcBorders>
              <w:bottom w:val="single" w:sz="6" w:space="0" w:color="000000"/>
            </w:tcBorders>
            <w:tcMar>
              <w:bottom w:w="100" w:type="dxa"/>
            </w:tcMar>
            <w:vAlign w:val="center"/>
          </w:tcPr>
          <w:p>
            <w:pPr>
              <w:pStyle w:val="TableContents"/>
              <w:bidi w:val="0"/>
              <w:spacing w:before="0" w:after="283"/>
              <w:jc w:val="center"/>
              <w:rPr/>
            </w:pPr>
            <w:r>
              <w:rPr/>
              <w:t>$369.5</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65" w:type="dxa"/>
            <w:tcBorders>
              <w:bottom w:val="single" w:sz="6" w:space="0" w:color="000000"/>
            </w:tcBorders>
            <w:tcMar>
              <w:bottom w:w="100" w:type="dxa"/>
            </w:tcMar>
            <w:vAlign w:val="center"/>
          </w:tcPr>
          <w:p>
            <w:pPr>
              <w:pStyle w:val="TableContents"/>
              <w:bidi w:val="0"/>
              <w:spacing w:before="0" w:after="283"/>
              <w:jc w:val="center"/>
              <w:rPr/>
            </w:pPr>
            <w:r>
              <w:rPr/>
              <w:t>$582.7  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38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1266"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942"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2021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$22,164,341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20" w:type="dxa"/>
            <w:tcBorders>
              <w:bottom w:val="single" w:sz="6" w:space="0" w:color="000000"/>
            </w:tcBorders>
            <w:tcMar>
              <w:bottom w:w="100" w:type="dxa"/>
            </w:tcMar>
            <w:vAlign w:val="center"/>
          </w:tcPr>
          <w:p>
            <w:pPr>
              <w:pStyle w:val="TableContents"/>
              <w:bidi w:val="0"/>
              <w:spacing w:before="0" w:after="283"/>
              <w:jc w:val="center"/>
              <w:rPr/>
            </w:pPr>
            <w:r>
              <w:rPr/>
              <w:t>$11,430,937</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$6,616,193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center"/>
              <w:rPr/>
            </w:pPr>
            <w:r>
              <w:rPr/>
              <w:t>$3,506,869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$132.09</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5" w:type="dxa"/>
            <w:tcBorders>
              <w:bottom w:val="single" w:sz="6" w:space="0" w:color="000000"/>
            </w:tcBorders>
            <w:tcMar>
              <w:bottom w:w="100" w:type="dxa"/>
            </w:tcMar>
            <w:vAlign w:val="center"/>
          </w:tcPr>
          <w:p>
            <w:pPr>
              <w:pStyle w:val="TableContents"/>
              <w:bidi w:val="0"/>
              <w:spacing w:before="0" w:after="283"/>
              <w:jc w:val="center"/>
              <w:rPr/>
            </w:pPr>
            <w:r>
              <w:rPr/>
              <w:t>$137.09</w:t>
            </w:r>
          </w:p>
        </w:tc>
        <w:tc>
          <w:tcPr>
            <w:tcW w:w="6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100" w:type="dxa"/>
            </w:tcMar>
            <w:vAlign w:val="center"/>
          </w:tcPr>
          <w:p>
            <w:pPr>
              <w:pStyle w:val="TableContents"/>
              <w:bidi w:val="0"/>
              <w:spacing w:before="0" w:after="283"/>
              <w:jc w:val="left"/>
              <w:rPr/>
            </w:pPr>
            <w:r>
              <w:rPr/>
              <w:t> </w:t>
            </w:r>
          </w:p>
        </w:tc>
        <w:tc>
          <w:tcPr>
            <w:tcW w:w="759" w:type="dxa"/>
            <w:tcBorders>
              <w:bottom w:val="single" w:sz="6" w:space="0" w:color="000000"/>
            </w:tcBorders>
            <w:tcMar>
              <w:bottom w:w="100" w:type="dxa"/>
            </w:tcMar>
            <w:vAlign w:val="center"/>
          </w:tcPr>
          <w:p>
            <w:pPr>
              <w:pStyle w:val="TableContents"/>
              <w:bidi w:val="0"/>
              <w:spacing w:before="0" w:after="283"/>
              <w:jc w:val="center"/>
              <w:rPr/>
            </w:pPr>
            <w:r>
              <w:rPr/>
              <w:t>$292.6</w:t>
            </w:r>
          </w:p>
        </w:tc>
        <w:tc>
          <w:tcPr>
            <w:tcW w:w="69"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65" w:type="dxa"/>
            <w:tcBorders>
              <w:bottom w:val="single" w:sz="6" w:space="0" w:color="000000"/>
            </w:tcBorders>
            <w:tcMar>
              <w:bottom w:w="100" w:type="dxa"/>
            </w:tcMar>
            <w:vAlign w:val="center"/>
          </w:tcPr>
          <w:p>
            <w:pPr>
              <w:pStyle w:val="TableContents"/>
              <w:bidi w:val="0"/>
              <w:spacing w:before="0" w:after="283"/>
              <w:jc w:val="center"/>
              <w:rPr/>
            </w:pPr>
            <w:r>
              <w:rPr/>
              <w:t>$565.0  </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i/>
                <w:sz w:val="9"/>
              </w:rPr>
            </w:pPr>
            <w:r>
              <w:rPr>
                <w:i/>
                <w:sz w:val="9"/>
              </w:rPr>
              <w:t>(1)</w:t>
            </w:r>
          </w:p>
          <w:p>
            <w:pPr>
              <w:pStyle w:val="TableContents"/>
              <w:bidi w:val="0"/>
              <w:spacing w:before="0" w:after="0"/>
              <w:jc w:val="left"/>
              <w:rPr/>
            </w:pPr>
            <w:r>
              <w:rPr/>
              <w:t> </w:t>
            </w:r>
          </w:p>
        </w:tc>
        <w:tc>
          <w:tcPr>
            <w:tcW w:w="10082" w:type="dxa"/>
            <w:tcBorders/>
            <w:vAlign w:val="center"/>
          </w:tcPr>
          <w:p>
            <w:pPr>
              <w:pStyle w:val="TableContents"/>
              <w:bidi w:val="0"/>
              <w:spacing w:before="0" w:after="0"/>
              <w:jc w:val="left"/>
              <w:rPr>
                <w:rFonts w:ascii="ARIAL" w:hAnsi="ARIAL"/>
                <w:i/>
                <w:sz w:val="16"/>
              </w:rPr>
            </w:pPr>
            <w:r>
              <w:rPr>
                <w:rFonts w:ascii="ARIAL" w:hAnsi="ARIAL"/>
                <w:i/>
                <w:sz w:val="16"/>
              </w:rPr>
              <w:t xml:space="preserve">The amounts shown represent CAP to our Principal Executive Officer (“PEO”) and the average CAP to our remaining NEOs for the relevant fiscal year, as determined under SEC rules (and described below), which includes the individuals indicated in the table below for each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500"/>
        <w:gridCol w:w="60"/>
        <w:gridCol w:w="23"/>
        <w:gridCol w:w="1768"/>
        <w:gridCol w:w="23"/>
        <w:gridCol w:w="7733"/>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733" w:type="dxa"/>
            <w:tcBorders/>
            <w:vAlign w:val="center"/>
          </w:tcPr>
          <w:p>
            <w:pPr>
              <w:pStyle w:val="TableContents"/>
              <w:bidi w:val="0"/>
              <w:spacing w:before="0" w:after="283"/>
              <w:jc w:val="left"/>
              <w:rPr>
                <w:sz w:val="4"/>
                <w:szCs w:val="4"/>
              </w:rPr>
            </w:pPr>
            <w:r>
              <w:rPr>
                <w:sz w:val="4"/>
                <w:szCs w:val="4"/>
              </w:rPr>
            </w:r>
          </w:p>
        </w:tc>
      </w:tr>
      <w:tr>
        <w:trPr/>
        <w:tc>
          <w:tcPr>
            <w:tcW w:w="658" w:type="dxa"/>
            <w:gridSpan w:val="4"/>
            <w:tcBorders/>
            <w:shd w:fill="0054BA" w:val="clear"/>
            <w:vAlign w:val="center"/>
          </w:tcPr>
          <w:p>
            <w:pPr>
              <w:pStyle w:val="TableContents"/>
              <w:bidi w:val="0"/>
              <w:spacing w:before="0" w:after="283"/>
              <w:jc w:val="left"/>
              <w:rPr>
                <w:sz w:val="4"/>
                <w:szCs w:val="4"/>
              </w:rPr>
            </w:pPr>
            <w:r>
              <w:rPr>
                <w:sz w:val="4"/>
                <w:szCs w:val="4"/>
              </w:rPr>
            </w:r>
          </w:p>
        </w:tc>
        <w:tc>
          <w:tcPr>
            <w:tcW w:w="1791" w:type="dxa"/>
            <w:gridSpan w:val="2"/>
            <w:tcBorders/>
            <w:shd w:fill="0054BA" w:val="clear"/>
            <w:vAlign w:val="center"/>
          </w:tcPr>
          <w:p>
            <w:pPr>
              <w:pStyle w:val="TableContents"/>
              <w:bidi w:val="0"/>
              <w:spacing w:before="0" w:after="283"/>
              <w:jc w:val="left"/>
              <w:rPr>
                <w:sz w:val="4"/>
                <w:szCs w:val="4"/>
              </w:rPr>
            </w:pPr>
            <w:r>
              <w:rPr>
                <w:sz w:val="4"/>
                <w:szCs w:val="4"/>
              </w:rPr>
            </w:r>
          </w:p>
        </w:tc>
        <w:tc>
          <w:tcPr>
            <w:tcW w:w="7756"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658" w:type="dxa"/>
            <w:gridSpan w:val="4"/>
            <w:tcBorders/>
            <w:shd w:fill="0054BA" w:val="clear"/>
            <w:vAlign w:val="center"/>
          </w:tcPr>
          <w:p>
            <w:pPr>
              <w:pStyle w:val="TableContents"/>
              <w:bidi w:val="0"/>
              <w:spacing w:before="0" w:after="20"/>
              <w:jc w:val="left"/>
              <w:rPr>
                <w:rFonts w:ascii="ARIAL" w:hAnsi="ARIAL"/>
                <w:b/>
                <w:color w:val="FFFFFF"/>
                <w:sz w:val="16"/>
              </w:rPr>
            </w:pPr>
            <w:r>
              <w:rPr>
                <w:rFonts w:ascii="ARIAL" w:hAnsi="ARIAL"/>
                <w:b/>
                <w:color w:val="FFFFFF"/>
                <w:sz w:val="16"/>
              </w:rPr>
              <w:t>YEAR</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768" w:type="dxa"/>
            <w:tcBorders/>
            <w:shd w:fill="0054BA" w:val="clear"/>
            <w:vAlign w:val="center"/>
          </w:tcPr>
          <w:p>
            <w:pPr>
              <w:pStyle w:val="TableContents"/>
              <w:bidi w:val="0"/>
              <w:spacing w:before="0" w:after="20"/>
              <w:jc w:val="center"/>
              <w:rPr>
                <w:rFonts w:ascii="ARIAL" w:hAnsi="ARIAL"/>
                <w:b/>
                <w:color w:val="FFFFFF"/>
                <w:sz w:val="16"/>
              </w:rPr>
            </w:pPr>
            <w:r>
              <w:rPr>
                <w:rFonts w:ascii="ARIAL" w:hAnsi="ARIAL"/>
                <w:b/>
                <w:color w:val="FFFFFF"/>
                <w:sz w:val="16"/>
              </w:rPr>
              <w:t>PEO</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733" w:type="dxa"/>
            <w:tcBorders/>
            <w:shd w:fill="0054BA" w:val="clear"/>
            <w:vAlign w:val="center"/>
          </w:tcPr>
          <w:p>
            <w:pPr>
              <w:pStyle w:val="TableContents"/>
              <w:bidi w:val="0"/>
              <w:spacing w:before="0" w:after="20"/>
              <w:jc w:val="center"/>
              <w:rPr>
                <w:rFonts w:ascii="ARIAL" w:hAnsi="ARIAL"/>
                <w:b/>
                <w:color w:val="FFFFFF"/>
                <w:sz w:val="16"/>
              </w:rPr>
            </w:pPr>
            <w:r>
              <w:rPr>
                <w:rFonts w:ascii="ARIAL" w:hAnsi="ARIAL"/>
                <w:b/>
                <w:color w:val="FFFFFF"/>
                <w:sz w:val="16"/>
              </w:rPr>
              <w:t>NON-PEO</w:t>
            </w:r>
          </w:p>
          <w:p>
            <w:pPr>
              <w:pStyle w:val="TableContents"/>
              <w:bidi w:val="0"/>
              <w:spacing w:before="0" w:after="20"/>
              <w:jc w:val="center"/>
              <w:rPr>
                <w:rFonts w:ascii="ARIAL" w:hAnsi="ARIAL"/>
                <w:b/>
                <w:color w:val="FFFFFF"/>
                <w:sz w:val="16"/>
              </w:rPr>
            </w:pPr>
            <w:r>
              <w:rPr>
                <w:rFonts w:ascii="ARIAL" w:hAnsi="ARIAL"/>
                <w:b/>
                <w:color w:val="FFFFFF"/>
                <w:sz w:val="16"/>
              </w:rPr>
              <w:t>NEOS</w:t>
            </w:r>
          </w:p>
        </w:tc>
      </w:tr>
      <w:tr>
        <w:trPr/>
        <w:tc>
          <w:tcPr>
            <w:tcW w:w="658" w:type="dxa"/>
            <w:gridSpan w:val="4"/>
            <w:tcBorders/>
            <w:vAlign w:val="center"/>
          </w:tcPr>
          <w:p>
            <w:pPr>
              <w:pStyle w:val="TableContents"/>
              <w:bidi w:val="0"/>
              <w:spacing w:before="0" w:after="283"/>
              <w:jc w:val="left"/>
              <w:rPr>
                <w:sz w:val="4"/>
                <w:szCs w:val="4"/>
              </w:rPr>
            </w:pPr>
            <w:r>
              <w:rPr>
                <w:sz w:val="4"/>
                <w:szCs w:val="4"/>
              </w:rPr>
            </w:r>
          </w:p>
        </w:tc>
        <w:tc>
          <w:tcPr>
            <w:tcW w:w="1791" w:type="dxa"/>
            <w:gridSpan w:val="2"/>
            <w:tcBorders/>
            <w:vAlign w:val="center"/>
          </w:tcPr>
          <w:p>
            <w:pPr>
              <w:pStyle w:val="TableContents"/>
              <w:bidi w:val="0"/>
              <w:spacing w:before="0" w:after="283"/>
              <w:jc w:val="left"/>
              <w:rPr>
                <w:sz w:val="4"/>
                <w:szCs w:val="4"/>
              </w:rPr>
            </w:pPr>
            <w:r>
              <w:rPr>
                <w:sz w:val="4"/>
                <w:szCs w:val="4"/>
              </w:rPr>
            </w:r>
          </w:p>
        </w:tc>
        <w:tc>
          <w:tcPr>
            <w:tcW w:w="7756"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left"/>
              <w:rPr/>
            </w:pPr>
            <w:r>
              <w:rPr/>
              <w:t>2025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68" w:type="dxa"/>
            <w:tcBorders>
              <w:bottom w:val="single" w:sz="6" w:space="0" w:color="000000"/>
            </w:tcBorders>
            <w:tcMar>
              <w:bottom w:w="100" w:type="dxa"/>
            </w:tcMar>
            <w:vAlign w:val="center"/>
          </w:tcPr>
          <w:p>
            <w:pPr>
              <w:pStyle w:val="TableContents"/>
              <w:bidi w:val="0"/>
              <w:spacing w:before="0" w:after="283"/>
              <w:jc w:val="center"/>
              <w:rPr/>
            </w:pPr>
            <w:r>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3" w:type="dxa"/>
            <w:tcBorders>
              <w:bottom w:val="single" w:sz="6" w:space="0" w:color="000000"/>
            </w:tcBorders>
            <w:tcMar>
              <w:bottom w:w="100" w:type="dxa"/>
            </w:tcMar>
            <w:vAlign w:val="center"/>
          </w:tcPr>
          <w:p>
            <w:pPr>
              <w:pStyle w:val="TableContents"/>
              <w:bidi w:val="0"/>
              <w:spacing w:before="0" w:after="283"/>
              <w:jc w:val="left"/>
              <w:rPr/>
            </w:pPr>
            <w:r>
              <w:rPr/>
              <w:t>Christian M. Lown, Lisa C. Ruggles, Frederick G. Saint, and Frank A. Simuro</w:t>
            </w:r>
          </w:p>
        </w:tc>
      </w:tr>
      <w:tr>
        <w:trPr/>
        <w:tc>
          <w:tcPr>
            <w:tcW w:w="658" w:type="dxa"/>
            <w:gridSpan w:val="4"/>
            <w:tcBorders/>
            <w:vAlign w:val="center"/>
          </w:tcPr>
          <w:p>
            <w:pPr>
              <w:pStyle w:val="TableContents"/>
              <w:bidi w:val="0"/>
              <w:spacing w:before="0" w:after="283"/>
              <w:jc w:val="left"/>
              <w:rPr>
                <w:sz w:val="4"/>
                <w:szCs w:val="4"/>
              </w:rPr>
            </w:pPr>
            <w:r>
              <w:rPr>
                <w:sz w:val="4"/>
                <w:szCs w:val="4"/>
              </w:rPr>
            </w:r>
          </w:p>
        </w:tc>
        <w:tc>
          <w:tcPr>
            <w:tcW w:w="1791" w:type="dxa"/>
            <w:gridSpan w:val="2"/>
            <w:tcBorders/>
            <w:vAlign w:val="center"/>
          </w:tcPr>
          <w:p>
            <w:pPr>
              <w:pStyle w:val="TableContents"/>
              <w:bidi w:val="0"/>
              <w:spacing w:before="0" w:after="283"/>
              <w:jc w:val="left"/>
              <w:rPr>
                <w:sz w:val="4"/>
                <w:szCs w:val="4"/>
              </w:rPr>
            </w:pPr>
            <w:r>
              <w:rPr>
                <w:sz w:val="4"/>
                <w:szCs w:val="4"/>
              </w:rPr>
            </w:r>
          </w:p>
        </w:tc>
        <w:tc>
          <w:tcPr>
            <w:tcW w:w="7756"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left"/>
              <w:rPr/>
            </w:pPr>
            <w:r>
              <w:rPr/>
              <w:t>2024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68" w:type="dxa"/>
            <w:tcBorders>
              <w:bottom w:val="single" w:sz="6" w:space="0" w:color="000000"/>
            </w:tcBorders>
            <w:tcMar>
              <w:bottom w:w="100" w:type="dxa"/>
            </w:tcMar>
            <w:vAlign w:val="center"/>
          </w:tcPr>
          <w:p>
            <w:pPr>
              <w:pStyle w:val="TableContents"/>
              <w:bidi w:val="0"/>
              <w:spacing w:before="0" w:after="283"/>
              <w:jc w:val="center"/>
              <w:rPr/>
            </w:pPr>
            <w:r>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3" w:type="dxa"/>
            <w:tcBorders>
              <w:bottom w:val="single" w:sz="6" w:space="0" w:color="000000"/>
            </w:tcBorders>
            <w:tcMar>
              <w:bottom w:w="100" w:type="dxa"/>
            </w:tcMar>
            <w:vAlign w:val="center"/>
          </w:tcPr>
          <w:p>
            <w:pPr>
              <w:pStyle w:val="TableContents"/>
              <w:bidi w:val="0"/>
              <w:spacing w:before="0" w:after="283"/>
              <w:jc w:val="left"/>
              <w:rPr/>
            </w:pPr>
            <w:r>
              <w:rPr/>
              <w:t>Christian M. Lown, Scott T. Wheeler, Lisa C. Ruggles, Frederick G. Saint, and Frank A. Simuro</w:t>
            </w:r>
          </w:p>
        </w:tc>
      </w:tr>
      <w:tr>
        <w:trPr/>
        <w:tc>
          <w:tcPr>
            <w:tcW w:w="658" w:type="dxa"/>
            <w:gridSpan w:val="4"/>
            <w:tcBorders/>
            <w:vAlign w:val="center"/>
          </w:tcPr>
          <w:p>
            <w:pPr>
              <w:pStyle w:val="TableContents"/>
              <w:bidi w:val="0"/>
              <w:spacing w:before="0" w:after="283"/>
              <w:jc w:val="left"/>
              <w:rPr>
                <w:sz w:val="4"/>
                <w:szCs w:val="4"/>
              </w:rPr>
            </w:pPr>
            <w:r>
              <w:rPr>
                <w:sz w:val="4"/>
                <w:szCs w:val="4"/>
              </w:rPr>
            </w:r>
          </w:p>
        </w:tc>
        <w:tc>
          <w:tcPr>
            <w:tcW w:w="1791" w:type="dxa"/>
            <w:gridSpan w:val="2"/>
            <w:tcBorders/>
            <w:vAlign w:val="center"/>
          </w:tcPr>
          <w:p>
            <w:pPr>
              <w:pStyle w:val="TableContents"/>
              <w:bidi w:val="0"/>
              <w:spacing w:before="0" w:after="283"/>
              <w:jc w:val="left"/>
              <w:rPr>
                <w:sz w:val="4"/>
                <w:szCs w:val="4"/>
              </w:rPr>
            </w:pPr>
            <w:r>
              <w:rPr>
                <w:sz w:val="4"/>
                <w:szCs w:val="4"/>
              </w:rPr>
            </w:r>
          </w:p>
        </w:tc>
        <w:tc>
          <w:tcPr>
            <w:tcW w:w="7756"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left"/>
              <w:rPr/>
            </w:pPr>
            <w:r>
              <w:rPr/>
              <w:t>2023</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68" w:type="dxa"/>
            <w:tcBorders>
              <w:bottom w:val="single" w:sz="6" w:space="0" w:color="000000"/>
            </w:tcBorders>
            <w:tcMar>
              <w:bottom w:w="100" w:type="dxa"/>
            </w:tcMar>
            <w:vAlign w:val="center"/>
          </w:tcPr>
          <w:p>
            <w:pPr>
              <w:pStyle w:val="TableContents"/>
              <w:bidi w:val="0"/>
              <w:spacing w:before="0" w:after="283"/>
              <w:jc w:val="center"/>
              <w:rPr/>
            </w:pPr>
            <w:r>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3" w:type="dxa"/>
            <w:tcBorders>
              <w:bottom w:val="single" w:sz="6" w:space="0" w:color="000000"/>
            </w:tcBorders>
            <w:tcMar>
              <w:bottom w:w="100" w:type="dxa"/>
            </w:tcMar>
            <w:vAlign w:val="center"/>
          </w:tcPr>
          <w:p>
            <w:pPr>
              <w:pStyle w:val="TableContents"/>
              <w:bidi w:val="0"/>
              <w:spacing w:before="0" w:after="283"/>
              <w:jc w:val="left"/>
              <w:rPr/>
            </w:pPr>
            <w:r>
              <w:rPr/>
              <w:t>Scott T. Wheeler, Lisa C. Ruggles, Frederick G. Saint, and Frank A. Simuro</w:t>
            </w:r>
          </w:p>
        </w:tc>
      </w:tr>
      <w:tr>
        <w:trPr/>
        <w:tc>
          <w:tcPr>
            <w:tcW w:w="658" w:type="dxa"/>
            <w:gridSpan w:val="4"/>
            <w:tcBorders/>
            <w:vAlign w:val="center"/>
          </w:tcPr>
          <w:p>
            <w:pPr>
              <w:pStyle w:val="TableContents"/>
              <w:bidi w:val="0"/>
              <w:spacing w:before="0" w:after="283"/>
              <w:jc w:val="left"/>
              <w:rPr>
                <w:sz w:val="4"/>
                <w:szCs w:val="4"/>
              </w:rPr>
            </w:pPr>
            <w:r>
              <w:rPr>
                <w:sz w:val="4"/>
                <w:szCs w:val="4"/>
              </w:rPr>
            </w:r>
          </w:p>
        </w:tc>
        <w:tc>
          <w:tcPr>
            <w:tcW w:w="1791" w:type="dxa"/>
            <w:gridSpan w:val="2"/>
            <w:tcBorders/>
            <w:vAlign w:val="center"/>
          </w:tcPr>
          <w:p>
            <w:pPr>
              <w:pStyle w:val="TableContents"/>
              <w:bidi w:val="0"/>
              <w:spacing w:before="0" w:after="283"/>
              <w:jc w:val="left"/>
              <w:rPr>
                <w:sz w:val="4"/>
                <w:szCs w:val="4"/>
              </w:rPr>
            </w:pPr>
            <w:r>
              <w:rPr>
                <w:sz w:val="4"/>
                <w:szCs w:val="4"/>
              </w:rPr>
            </w:r>
          </w:p>
        </w:tc>
        <w:tc>
          <w:tcPr>
            <w:tcW w:w="7756"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left"/>
              <w:rPr/>
            </w:pPr>
            <w:r>
              <w:rPr/>
              <w:t>2022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68" w:type="dxa"/>
            <w:tcBorders>
              <w:bottom w:val="single" w:sz="6" w:space="0" w:color="000000"/>
            </w:tcBorders>
            <w:tcMar>
              <w:bottom w:w="100" w:type="dxa"/>
            </w:tcMar>
            <w:vAlign w:val="center"/>
          </w:tcPr>
          <w:p>
            <w:pPr>
              <w:pStyle w:val="TableContents"/>
              <w:bidi w:val="0"/>
              <w:spacing w:before="0" w:after="283"/>
              <w:jc w:val="center"/>
              <w:rPr/>
            </w:pPr>
            <w:r>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3" w:type="dxa"/>
            <w:tcBorders>
              <w:bottom w:val="single" w:sz="6" w:space="0" w:color="000000"/>
            </w:tcBorders>
            <w:tcMar>
              <w:bottom w:w="100" w:type="dxa"/>
            </w:tcMar>
            <w:vAlign w:val="center"/>
          </w:tcPr>
          <w:p>
            <w:pPr>
              <w:pStyle w:val="TableContents"/>
              <w:bidi w:val="0"/>
              <w:spacing w:before="0" w:after="283"/>
              <w:jc w:val="left"/>
              <w:rPr/>
            </w:pPr>
            <w:r>
              <w:rPr/>
              <w:t>Scott T. Wheeler, Lisa C. Ruggles, Frederick G. Saint, and Frank A. Simuro</w:t>
            </w:r>
          </w:p>
        </w:tc>
      </w:tr>
      <w:tr>
        <w:trPr/>
        <w:tc>
          <w:tcPr>
            <w:tcW w:w="658" w:type="dxa"/>
            <w:gridSpan w:val="4"/>
            <w:tcBorders/>
            <w:vAlign w:val="center"/>
          </w:tcPr>
          <w:p>
            <w:pPr>
              <w:pStyle w:val="TableContents"/>
              <w:bidi w:val="0"/>
              <w:spacing w:before="0" w:after="283"/>
              <w:jc w:val="left"/>
              <w:rPr>
                <w:sz w:val="4"/>
                <w:szCs w:val="4"/>
              </w:rPr>
            </w:pPr>
            <w:r>
              <w:rPr>
                <w:sz w:val="4"/>
                <w:szCs w:val="4"/>
              </w:rPr>
            </w:r>
          </w:p>
        </w:tc>
        <w:tc>
          <w:tcPr>
            <w:tcW w:w="1791" w:type="dxa"/>
            <w:gridSpan w:val="2"/>
            <w:tcBorders/>
            <w:vAlign w:val="center"/>
          </w:tcPr>
          <w:p>
            <w:pPr>
              <w:pStyle w:val="TableContents"/>
              <w:bidi w:val="0"/>
              <w:spacing w:before="0" w:after="283"/>
              <w:jc w:val="left"/>
              <w:rPr>
                <w:sz w:val="4"/>
                <w:szCs w:val="4"/>
              </w:rPr>
            </w:pPr>
            <w:r>
              <w:rPr>
                <w:sz w:val="4"/>
                <w:szCs w:val="4"/>
              </w:rPr>
            </w:r>
          </w:p>
        </w:tc>
        <w:tc>
          <w:tcPr>
            <w:tcW w:w="7756"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00" w:type="dxa"/>
            <w:tcBorders>
              <w:bottom w:val="single" w:sz="6" w:space="0" w:color="000000"/>
            </w:tcBorders>
            <w:tcMar>
              <w:bottom w:w="100" w:type="dxa"/>
            </w:tcMar>
            <w:vAlign w:val="center"/>
          </w:tcPr>
          <w:p>
            <w:pPr>
              <w:pStyle w:val="TableContents"/>
              <w:bidi w:val="0"/>
              <w:spacing w:before="0" w:after="283"/>
              <w:jc w:val="left"/>
              <w:rPr/>
            </w:pPr>
            <w:r>
              <w:rPr/>
              <w:t>2021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68" w:type="dxa"/>
            <w:tcBorders>
              <w:bottom w:val="single" w:sz="6" w:space="0" w:color="000000"/>
            </w:tcBorders>
            <w:tcMar>
              <w:bottom w:w="100" w:type="dxa"/>
            </w:tcMar>
            <w:vAlign w:val="center"/>
          </w:tcPr>
          <w:p>
            <w:pPr>
              <w:pStyle w:val="TableContents"/>
              <w:bidi w:val="0"/>
              <w:spacing w:before="0" w:after="283"/>
              <w:jc w:val="center"/>
              <w:rPr/>
            </w:pPr>
            <w:r>
              <w:rPr/>
              <w:t>Andrew C. Florance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3" w:type="dxa"/>
            <w:tcBorders>
              <w:bottom w:val="single" w:sz="6" w:space="0" w:color="000000"/>
            </w:tcBorders>
            <w:tcMar>
              <w:bottom w:w="100" w:type="dxa"/>
            </w:tcMar>
            <w:vAlign w:val="center"/>
          </w:tcPr>
          <w:p>
            <w:pPr>
              <w:pStyle w:val="TableContents"/>
              <w:bidi w:val="0"/>
              <w:spacing w:before="0" w:after="283"/>
              <w:jc w:val="left"/>
              <w:rPr/>
            </w:pPr>
            <w:r>
              <w:rPr/>
              <w:t>Scott T. Wheeler, Lisa C. Ruggles, and Frederick G. Saint</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505"/>
        <w:gridCol w:w="120"/>
        <w:gridCol w:w="167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65"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40" descr=""/>
                          <pic:cNvPicPr>
                            <a:picLocks noChangeAspect="1" noChangeArrowheads="1"/>
                          </pic:cNvPicPr>
                        </pic:nvPicPr>
                        <pic:blipFill>
                          <a:blip r:embed="rId35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right"/>
              <w:rPr>
                <w:rFonts w:ascii="ARIAL" w:hAnsi="ARIAL"/>
                <w:sz w:val="14"/>
              </w:rPr>
            </w:pPr>
            <w:r>
              <w:rPr>
                <w:rFonts w:ascii="ARIAL" w:hAnsi="ARIAL"/>
                <w:sz w:val="14"/>
              </w:rPr>
              <w:t>2026 PROXY STATEMENT</w:t>
            </w:r>
          </w:p>
          <w:p>
            <w:pPr>
              <w:pStyle w:val="TableContents"/>
              <w:bidi w:val="0"/>
              <w:spacing w:before="0" w:after="0"/>
              <w:jc w:val="right"/>
              <w:rPr/>
            </w:pPr>
            <w:r>
              <w:rPr/>
              <w:t> </w:t>
            </w:r>
          </w:p>
          <w:p>
            <w:pPr>
              <w:pStyle w:val="TableContents"/>
              <w:bidi w:val="0"/>
              <w:spacing w:before="0" w:after="0"/>
              <w:jc w:val="right"/>
              <w:rPr>
                <w:rFonts w:ascii="ARIAL" w:hAnsi="ARIAL"/>
                <w:b/>
                <w:color w:val="0054BA"/>
                <w:sz w:val="14"/>
              </w:rPr>
            </w:pPr>
            <w:r>
              <w:rPr>
                <w:rFonts w:ascii="ARIAL" w:hAnsi="ARIAL"/>
                <w:b/>
                <w:color w:val="0054BA"/>
                <w:sz w:val="14"/>
              </w:rPr>
              <w:t>81</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0"/>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CAP to our NEOs represents the “Total” compensation reported in the Summary Compensation Table for the applicable fiscal year, as adjusted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8"/>
        <w:gridCol w:w="23"/>
        <w:gridCol w:w="23"/>
        <w:gridCol w:w="60"/>
        <w:gridCol w:w="1375"/>
        <w:gridCol w:w="60"/>
        <w:gridCol w:w="23"/>
        <w:gridCol w:w="23"/>
        <w:gridCol w:w="60"/>
        <w:gridCol w:w="1375"/>
        <w:gridCol w:w="60"/>
        <w:gridCol w:w="23"/>
        <w:gridCol w:w="23"/>
        <w:gridCol w:w="60"/>
        <w:gridCol w:w="1375"/>
        <w:gridCol w:w="60"/>
        <w:gridCol w:w="23"/>
        <w:gridCol w:w="23"/>
        <w:gridCol w:w="60"/>
        <w:gridCol w:w="1375"/>
        <w:gridCol w:w="60"/>
        <w:gridCol w:w="23"/>
        <w:gridCol w:w="23"/>
        <w:gridCol w:w="60"/>
        <w:gridCol w:w="1375"/>
        <w:gridCol w:w="60"/>
        <w:gridCol w:w="23"/>
        <w:gridCol w:w="79"/>
      </w:tblGrid>
      <w:tr>
        <w:trPr/>
        <w:tc>
          <w:tcPr>
            <w:tcW w:w="239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8" w:type="dxa"/>
            <w:tcBorders/>
            <w:shd w:fill="0054BA" w:val="clear"/>
            <w:vAlign w:val="center"/>
          </w:tcPr>
          <w:p>
            <w:pPr>
              <w:pStyle w:val="TableContents"/>
              <w:bidi w:val="0"/>
              <w:spacing w:before="0" w:after="283"/>
              <w:jc w:val="left"/>
              <w:rPr>
                <w:sz w:val="4"/>
                <w:szCs w:val="4"/>
              </w:rPr>
            </w:pPr>
            <w:r>
              <w:rPr>
                <w:sz w:val="4"/>
                <w:szCs w:val="4"/>
              </w:rPr>
            </w:r>
          </w:p>
        </w:tc>
        <w:tc>
          <w:tcPr>
            <w:tcW w:w="7705" w:type="dxa"/>
            <w:gridSpan w:val="25"/>
            <w:tcBorders/>
            <w:shd w:fill="0054BA" w:val="clear"/>
            <w:vAlign w:val="center"/>
          </w:tcPr>
          <w:p>
            <w:pPr>
              <w:pStyle w:val="TableContents"/>
              <w:bidi w:val="0"/>
              <w:spacing w:before="0" w:after="283"/>
              <w:jc w:val="left"/>
              <w:rPr>
                <w:sz w:val="4"/>
                <w:szCs w:val="4"/>
              </w:rPr>
            </w:pPr>
            <w:r>
              <w:rPr>
                <w:sz w:val="4"/>
                <w:szCs w:val="4"/>
              </w:rPr>
            </w:r>
          </w:p>
        </w:tc>
        <w:tc>
          <w:tcPr>
            <w:tcW w:w="102"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2398" w:type="dxa"/>
            <w:vMerge w:val="restart"/>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ADJUSTMENTS</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7682" w:type="dxa"/>
            <w:gridSpan w:val="24"/>
            <w:tcBorders>
              <w:bottom w:val="single" w:sz="6" w:space="0" w:color="FFFFFF"/>
            </w:tcBorders>
            <w:shd w:fill="0054BA" w:val="clear"/>
            <w:tcMar>
              <w:bottom w:w="60" w:type="dxa"/>
            </w:tcMar>
            <w:vAlign w:val="center"/>
          </w:tcPr>
          <w:p>
            <w:pPr>
              <w:pStyle w:val="TableContents"/>
              <w:bidi w:val="0"/>
              <w:spacing w:before="0" w:after="0"/>
              <w:jc w:val="center"/>
              <w:rPr>
                <w:b/>
                <w:color w:val="FFFFFF"/>
              </w:rPr>
            </w:pPr>
            <w:r>
              <w:rPr>
                <w:b/>
                <w:color w:val="FFFFFF"/>
              </w:rPr>
              <w:t xml:space="preserve">PEO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9" w:type="dxa"/>
            <w:tcBorders/>
            <w:shd w:fill="0054BA" w:val="clear"/>
            <w:vAlign w:val="center"/>
          </w:tcPr>
          <w:p>
            <w:pPr>
              <w:pStyle w:val="TableContents"/>
              <w:bidi w:val="0"/>
              <w:spacing w:before="0" w:after="0"/>
              <w:jc w:val="left"/>
              <w:rPr/>
            </w:pPr>
            <w:r>
              <w:rPr/>
              <w:t> </w:t>
            </w:r>
          </w:p>
        </w:tc>
      </w:tr>
      <w:tr>
        <w:trPr/>
        <w:tc>
          <w:tcPr>
            <w:tcW w:w="2398" w:type="dxa"/>
            <w:vMerge w:val="continue"/>
            <w:tcBorders/>
            <w:shd w:fill="0054BA" w:val="clear"/>
            <w:vAlign w:val="center"/>
          </w:tcPr>
          <w:p>
            <w:pPr>
              <w:pStyle w:val="Normal"/>
              <w:bidi w:val="0"/>
              <w:jc w:val="left"/>
              <w:rPr/>
            </w:pPr>
            <w:r>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18" w:type="dxa"/>
            <w:gridSpan w:val="4"/>
            <w:tcBorders/>
            <w:shd w:fill="0054BA" w:val="clear"/>
            <w:vAlign w:val="center"/>
          </w:tcPr>
          <w:p>
            <w:pPr>
              <w:pStyle w:val="TableContents"/>
              <w:bidi w:val="0"/>
              <w:spacing w:before="0" w:after="0"/>
              <w:jc w:val="center"/>
              <w:rPr>
                <w:b/>
                <w:color w:val="FFFFFF"/>
              </w:rPr>
            </w:pPr>
            <w:r>
              <w:rPr>
                <w:b/>
                <w:color w:val="FFFFFF"/>
              </w:rPr>
              <w:t>2025</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18" w:type="dxa"/>
            <w:gridSpan w:val="4"/>
            <w:tcBorders/>
            <w:shd w:fill="0054BA" w:val="clear"/>
            <w:vAlign w:val="center"/>
          </w:tcPr>
          <w:p>
            <w:pPr>
              <w:pStyle w:val="TableContents"/>
              <w:bidi w:val="0"/>
              <w:spacing w:before="0" w:after="0"/>
              <w:jc w:val="center"/>
              <w:rPr>
                <w:b/>
                <w:color w:val="FFFFFF"/>
              </w:rPr>
            </w:pPr>
            <w:r>
              <w:rPr>
                <w:b/>
                <w:color w:val="FFFFFF"/>
              </w:rPr>
              <w:t>202</w:t>
            </w:r>
          </w:p>
          <w:p>
            <w:pPr>
              <w:pStyle w:val="TableContents"/>
              <w:bidi w:val="0"/>
              <w:spacing w:before="0" w:after="0"/>
              <w:jc w:val="center"/>
              <w:rPr>
                <w:b/>
                <w:color w:val="FFFFFF"/>
              </w:rPr>
            </w:pPr>
            <w:r>
              <w:rPr>
                <w:b/>
                <w:color w:val="FFFFFF"/>
              </w:rPr>
              <w:t>4</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18" w:type="dxa"/>
            <w:gridSpan w:val="4"/>
            <w:tcBorders/>
            <w:shd w:fill="0054BA" w:val="clear"/>
            <w:vAlign w:val="center"/>
          </w:tcPr>
          <w:p>
            <w:pPr>
              <w:pStyle w:val="TableContents"/>
              <w:bidi w:val="0"/>
              <w:spacing w:before="0" w:after="0"/>
              <w:jc w:val="center"/>
              <w:rPr>
                <w:b/>
                <w:color w:val="FFFFFF"/>
              </w:rPr>
            </w:pPr>
            <w:r>
              <w:rPr>
                <w:b/>
                <w:color w:val="FFFFFF"/>
              </w:rPr>
              <w:t>202</w:t>
            </w:r>
          </w:p>
          <w:p>
            <w:pPr>
              <w:pStyle w:val="TableContents"/>
              <w:bidi w:val="0"/>
              <w:spacing w:before="0" w:after="0"/>
              <w:jc w:val="center"/>
              <w:rPr>
                <w:b/>
                <w:color w:val="FFFFFF"/>
              </w:rPr>
            </w:pPr>
            <w:r>
              <w:rPr>
                <w:b/>
                <w:color w:val="FFFFFF"/>
              </w:rPr>
              <w:t>3</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18" w:type="dxa"/>
            <w:gridSpan w:val="4"/>
            <w:tcBorders/>
            <w:shd w:fill="0054BA" w:val="clear"/>
            <w:vAlign w:val="center"/>
          </w:tcPr>
          <w:p>
            <w:pPr>
              <w:pStyle w:val="TableContents"/>
              <w:bidi w:val="0"/>
              <w:spacing w:before="0" w:after="0"/>
              <w:jc w:val="center"/>
              <w:rPr>
                <w:b/>
                <w:color w:val="FFFFFF"/>
              </w:rPr>
            </w:pPr>
            <w:r>
              <w:rPr>
                <w:b/>
                <w:color w:val="FFFFFF"/>
              </w:rPr>
              <w:t>202</w:t>
            </w:r>
          </w:p>
          <w:p>
            <w:pPr>
              <w:pStyle w:val="TableContents"/>
              <w:bidi w:val="0"/>
              <w:spacing w:before="0" w:after="0"/>
              <w:jc w:val="center"/>
              <w:rPr>
                <w:b/>
                <w:color w:val="FFFFFF"/>
              </w:rPr>
            </w:pPr>
            <w:r>
              <w:rPr>
                <w:b/>
                <w:color w:val="FFFFFF"/>
              </w:rPr>
              <w:t>2</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518" w:type="dxa"/>
            <w:gridSpan w:val="4"/>
            <w:tcBorders/>
            <w:shd w:fill="0054BA" w:val="clear"/>
            <w:vAlign w:val="center"/>
          </w:tcPr>
          <w:p>
            <w:pPr>
              <w:pStyle w:val="TableContents"/>
              <w:bidi w:val="0"/>
              <w:spacing w:before="0" w:after="0"/>
              <w:jc w:val="center"/>
              <w:rPr>
                <w:b/>
                <w:color w:val="FFFFFF"/>
              </w:rPr>
            </w:pPr>
            <w:r>
              <w:rPr>
                <w:b/>
                <w:color w:val="FFFFFF"/>
              </w:rPr>
              <w:t>202</w:t>
            </w:r>
          </w:p>
          <w:p>
            <w:pPr>
              <w:pStyle w:val="TableContents"/>
              <w:bidi w:val="0"/>
              <w:spacing w:before="0" w:after="0"/>
              <w:jc w:val="center"/>
              <w:rPr>
                <w:b/>
                <w:color w:val="FFFFFF"/>
              </w:rPr>
            </w:pPr>
            <w:r>
              <w:rPr>
                <w:b/>
                <w:color w:val="FFFFFF"/>
              </w:rPr>
              <w:t>1</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79" w:type="dxa"/>
            <w:tcBorders/>
            <w:shd w:fill="0054BA" w:val="clear"/>
            <w:vAlign w:val="center"/>
          </w:tcPr>
          <w:p>
            <w:pPr>
              <w:pStyle w:val="TableContents"/>
              <w:bidi w:val="0"/>
              <w:spacing w:before="0" w:after="0"/>
              <w:jc w:val="left"/>
              <w:rPr/>
            </w:pPr>
            <w:r>
              <w:rPr/>
              <w:t> </w:t>
            </w:r>
          </w:p>
        </w:tc>
      </w:tr>
      <w:tr>
        <w:trPr/>
        <w:tc>
          <w:tcPr>
            <w:tcW w:w="2398" w:type="dxa"/>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02" w:type="dxa"/>
            <w:gridSpan w:val="2"/>
            <w:tcBorders/>
            <w:vAlign w:val="center"/>
          </w:tcPr>
          <w:p>
            <w:pPr>
              <w:pStyle w:val="TableContents"/>
              <w:bidi w:val="0"/>
              <w:spacing w:before="0" w:after="283"/>
              <w:jc w:val="left"/>
              <w:rPr>
                <w:sz w:val="4"/>
                <w:szCs w:val="4"/>
              </w:rPr>
            </w:pPr>
            <w:r>
              <w:rPr>
                <w:sz w:val="4"/>
                <w:szCs w:val="4"/>
              </w:rPr>
            </w:r>
          </w:p>
        </w:tc>
      </w:tr>
      <w:tr>
        <w:trPr/>
        <w:tc>
          <w:tcPr>
            <w:tcW w:w="2398"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Deduction for Amounts Reported under the “Stock Awards” and “Option Awards” Columns in the 2025 Summary Compensation Table for Applicable Year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-($31,743,782)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-($33,192,850)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-($25,345,219)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-($15,526,424)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-($18,710,768)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398" w:type="dxa"/>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02" w:type="dxa"/>
            <w:gridSpan w:val="2"/>
            <w:tcBorders/>
            <w:vAlign w:val="center"/>
          </w:tcPr>
          <w:p>
            <w:pPr>
              <w:pStyle w:val="TableContents"/>
              <w:bidi w:val="0"/>
              <w:spacing w:before="0" w:after="283"/>
              <w:jc w:val="left"/>
              <w:rPr>
                <w:sz w:val="4"/>
                <w:szCs w:val="4"/>
              </w:rPr>
            </w:pPr>
            <w:r>
              <w:rPr>
                <w:sz w:val="4"/>
                <w:szCs w:val="4"/>
              </w:rPr>
            </w:r>
          </w:p>
        </w:tc>
      </w:tr>
      <w:tr>
        <w:trPr/>
        <w:tc>
          <w:tcPr>
            <w:tcW w:w="2398"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Increase based on ASC 718 Fair Value of Awards Granted during Applicable Year that Remain Unvested as of Applicable Year End, determined as of Applicable Year End</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$33,304,624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$22,403,392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$24,240,807</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$18,416,210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$14,435,844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398" w:type="dxa"/>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02" w:type="dxa"/>
            <w:gridSpan w:val="2"/>
            <w:tcBorders/>
            <w:vAlign w:val="center"/>
          </w:tcPr>
          <w:p>
            <w:pPr>
              <w:pStyle w:val="TableContents"/>
              <w:bidi w:val="0"/>
              <w:spacing w:before="0" w:after="283"/>
              <w:jc w:val="left"/>
              <w:rPr>
                <w:sz w:val="4"/>
                <w:szCs w:val="4"/>
              </w:rPr>
            </w:pPr>
            <w:r>
              <w:rPr>
                <w:sz w:val="4"/>
                <w:szCs w:val="4"/>
              </w:rPr>
            </w:r>
          </w:p>
        </w:tc>
      </w:tr>
      <w:tr>
        <w:trPr/>
        <w:tc>
          <w:tcPr>
            <w:tcW w:w="2398"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Increase based on ASC 718 Fair Value of Awards Granted during Applicable Year that Vested during Applicable Year, determined as of Vesting Date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$3,551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398" w:type="dxa"/>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02" w:type="dxa"/>
            <w:gridSpan w:val="2"/>
            <w:tcBorders/>
            <w:vAlign w:val="center"/>
          </w:tcPr>
          <w:p>
            <w:pPr>
              <w:pStyle w:val="TableContents"/>
              <w:bidi w:val="0"/>
              <w:spacing w:before="0" w:after="283"/>
              <w:jc w:val="left"/>
              <w:rPr>
                <w:sz w:val="4"/>
                <w:szCs w:val="4"/>
              </w:rPr>
            </w:pPr>
            <w:r>
              <w:rPr>
                <w:sz w:val="4"/>
                <w:szCs w:val="4"/>
              </w:rPr>
            </w:r>
          </w:p>
        </w:tc>
      </w:tr>
      <w:tr>
        <w:trPr/>
        <w:tc>
          <w:tcPr>
            <w:tcW w:w="2398"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Increase/deduction for Awards Granted during Prior Year(s) that were Outstanding and Unvested as of Applicable Year End, determined based on change in ASC 718 Fair Value from Prior Year End to Applicable Year End</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-($5,247,515)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-($13,423,536)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$2,965,451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$756,384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$3,584,582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398" w:type="dxa"/>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02" w:type="dxa"/>
            <w:gridSpan w:val="2"/>
            <w:tcBorders/>
            <w:vAlign w:val="center"/>
          </w:tcPr>
          <w:p>
            <w:pPr>
              <w:pStyle w:val="TableContents"/>
              <w:bidi w:val="0"/>
              <w:spacing w:before="0" w:after="283"/>
              <w:jc w:val="left"/>
              <w:rPr>
                <w:sz w:val="4"/>
                <w:szCs w:val="4"/>
              </w:rPr>
            </w:pPr>
            <w:r>
              <w:rPr>
                <w:sz w:val="4"/>
                <w:szCs w:val="4"/>
              </w:rPr>
            </w:r>
          </w:p>
        </w:tc>
      </w:tr>
      <w:tr>
        <w:trPr/>
        <w:tc>
          <w:tcPr>
            <w:tcW w:w="2398"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Increase/deduction for Awards Granted during Prior Year(s) that Vested During Applicable Year, determined based on change in ASC 718 Fair Value from Prior Year End to Vesting Date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$429,339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-($4,960,176)</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-($2,414,259)</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-($6,890,122)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-($2,873,898)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398" w:type="dxa"/>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02" w:type="dxa"/>
            <w:gridSpan w:val="2"/>
            <w:tcBorders/>
            <w:vAlign w:val="center"/>
          </w:tcPr>
          <w:p>
            <w:pPr>
              <w:pStyle w:val="TableContents"/>
              <w:bidi w:val="0"/>
              <w:spacing w:before="0" w:after="283"/>
              <w:jc w:val="left"/>
              <w:rPr>
                <w:sz w:val="4"/>
                <w:szCs w:val="4"/>
              </w:rPr>
            </w:pPr>
            <w:r>
              <w:rPr>
                <w:sz w:val="4"/>
                <w:szCs w:val="4"/>
              </w:rPr>
            </w:r>
          </w:p>
        </w:tc>
      </w:tr>
      <w:tr>
        <w:trPr/>
        <w:tc>
          <w:tcPr>
            <w:tcW w:w="2398"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Total Adjustments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-($3,257,334)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-($29,173,170)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-($553,220)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-($3,240,401)</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375" w:type="dxa"/>
            <w:tcBorders>
              <w:bottom w:val="single" w:sz="6" w:space="0" w:color="000000"/>
            </w:tcBorders>
            <w:tcMar>
              <w:bottom w:w="100" w:type="dxa"/>
            </w:tcMar>
            <w:vAlign w:val="center"/>
          </w:tcPr>
          <w:p>
            <w:pPr>
              <w:pStyle w:val="TableContents"/>
              <w:bidi w:val="0"/>
              <w:spacing w:before="0" w:after="283"/>
              <w:jc w:val="center"/>
              <w:rPr/>
            </w:pPr>
            <w:r>
              <w:rPr/>
              <w:t>-($10,733,404)</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505"/>
        <w:gridCol w:w="120"/>
        <w:gridCol w:w="167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66"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41" descr=""/>
                          <pic:cNvPicPr>
                            <a:picLocks noChangeAspect="1" noChangeArrowheads="1"/>
                          </pic:cNvPicPr>
                        </pic:nvPicPr>
                        <pic:blipFill>
                          <a:blip r:embed="rId35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right"/>
              <w:rPr>
                <w:rFonts w:ascii="ARIAL" w:hAnsi="ARIAL"/>
                <w:sz w:val="14"/>
              </w:rPr>
            </w:pPr>
            <w:r>
              <w:rPr>
                <w:rFonts w:ascii="ARIAL" w:hAnsi="ARIAL"/>
                <w:sz w:val="14"/>
              </w:rPr>
              <w:t>2026 PROXY STATEMENT</w:t>
            </w:r>
          </w:p>
          <w:p>
            <w:pPr>
              <w:pStyle w:val="TableContents"/>
              <w:bidi w:val="0"/>
              <w:spacing w:before="0" w:after="0"/>
              <w:jc w:val="right"/>
              <w:rPr/>
            </w:pPr>
            <w:r>
              <w:rPr/>
              <w:t> </w:t>
            </w:r>
          </w:p>
          <w:p>
            <w:pPr>
              <w:pStyle w:val="TableContents"/>
              <w:bidi w:val="0"/>
              <w:spacing w:before="0" w:after="0"/>
              <w:jc w:val="right"/>
              <w:rPr>
                <w:rFonts w:ascii="ARIAL" w:hAnsi="ARIAL"/>
                <w:b/>
                <w:color w:val="0054BA"/>
                <w:sz w:val="14"/>
              </w:rPr>
            </w:pPr>
            <w:r>
              <w:rPr>
                <w:rFonts w:ascii="ARIAL" w:hAnsi="ARIAL"/>
                <w:b/>
                <w:color w:val="0054BA"/>
                <w:sz w:val="14"/>
              </w:rPr>
              <w:t>82</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0"/>
              <w:jc w:val="center"/>
              <w:rPr>
                <w:b/>
              </w:rPr>
            </w:pPr>
            <w:r>
              <w:rPr>
                <w:b/>
              </w:rPr>
              <w:t>EXECUTIVE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62"/>
        <w:gridCol w:w="23"/>
        <w:gridCol w:w="23"/>
        <w:gridCol w:w="60"/>
        <w:gridCol w:w="962"/>
        <w:gridCol w:w="60"/>
        <w:gridCol w:w="23"/>
        <w:gridCol w:w="23"/>
        <w:gridCol w:w="60"/>
        <w:gridCol w:w="962"/>
        <w:gridCol w:w="60"/>
        <w:gridCol w:w="23"/>
        <w:gridCol w:w="23"/>
        <w:gridCol w:w="60"/>
        <w:gridCol w:w="962"/>
        <w:gridCol w:w="60"/>
        <w:gridCol w:w="23"/>
        <w:gridCol w:w="23"/>
        <w:gridCol w:w="60"/>
        <w:gridCol w:w="962"/>
        <w:gridCol w:w="60"/>
        <w:gridCol w:w="23"/>
        <w:gridCol w:w="23"/>
        <w:gridCol w:w="60"/>
        <w:gridCol w:w="962"/>
        <w:gridCol w:w="60"/>
        <w:gridCol w:w="23"/>
        <w:gridCol w:w="80"/>
      </w:tblGrid>
      <w:tr>
        <w:trPr/>
        <w:tc>
          <w:tcPr>
            <w:tcW w:w="44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4462" w:type="dxa"/>
            <w:tcBorders/>
            <w:shd w:fill="0054BA" w:val="clear"/>
            <w:vAlign w:val="center"/>
          </w:tcPr>
          <w:p>
            <w:pPr>
              <w:pStyle w:val="TableContents"/>
              <w:bidi w:val="0"/>
              <w:spacing w:before="0" w:after="283"/>
              <w:jc w:val="left"/>
              <w:rPr>
                <w:sz w:val="4"/>
                <w:szCs w:val="4"/>
              </w:rPr>
            </w:pPr>
            <w:r>
              <w:rPr>
                <w:sz w:val="4"/>
                <w:szCs w:val="4"/>
              </w:rPr>
            </w:r>
          </w:p>
        </w:tc>
        <w:tc>
          <w:tcPr>
            <w:tcW w:w="5640" w:type="dxa"/>
            <w:gridSpan w:val="25"/>
            <w:tcBorders/>
            <w:shd w:fill="0054BA" w:val="clear"/>
            <w:vAlign w:val="center"/>
          </w:tcPr>
          <w:p>
            <w:pPr>
              <w:pStyle w:val="TableContents"/>
              <w:bidi w:val="0"/>
              <w:spacing w:before="0" w:after="283"/>
              <w:jc w:val="left"/>
              <w:rPr>
                <w:sz w:val="4"/>
                <w:szCs w:val="4"/>
              </w:rPr>
            </w:pPr>
            <w:r>
              <w:rPr>
                <w:sz w:val="4"/>
                <w:szCs w:val="4"/>
              </w:rPr>
            </w:r>
          </w:p>
        </w:tc>
        <w:tc>
          <w:tcPr>
            <w:tcW w:w="103" w:type="dxa"/>
            <w:gridSpan w:val="2"/>
            <w:tcBorders/>
            <w:shd w:fill="0054BA" w:val="clear"/>
            <w:vAlign w:val="center"/>
          </w:tcPr>
          <w:p>
            <w:pPr>
              <w:pStyle w:val="TableContents"/>
              <w:bidi w:val="0"/>
              <w:spacing w:before="0" w:after="283"/>
              <w:jc w:val="left"/>
              <w:rPr>
                <w:sz w:val="4"/>
                <w:szCs w:val="4"/>
              </w:rPr>
            </w:pPr>
            <w:r>
              <w:rPr>
                <w:sz w:val="4"/>
                <w:szCs w:val="4"/>
              </w:rPr>
            </w:r>
          </w:p>
        </w:tc>
      </w:tr>
      <w:tr>
        <w:trPr/>
        <w:tc>
          <w:tcPr>
            <w:tcW w:w="4462" w:type="dxa"/>
            <w:vMerge w:val="restart"/>
            <w:tcBorders/>
            <w:shd w:fill="0054BA" w:val="clear"/>
            <w:vAlign w:val="center"/>
          </w:tcPr>
          <w:p>
            <w:pPr>
              <w:pStyle w:val="TableContents"/>
              <w:bidi w:val="0"/>
              <w:spacing w:before="0" w:after="0"/>
              <w:jc w:val="left"/>
              <w:rPr>
                <w:rFonts w:ascii="ARIAL" w:hAnsi="ARIAL"/>
                <w:b/>
                <w:color w:val="FFFFFF"/>
                <w:sz w:val="16"/>
              </w:rPr>
            </w:pPr>
            <w:r>
              <w:rPr>
                <w:rFonts w:ascii="ARIAL" w:hAnsi="ARIAL"/>
                <w:b/>
                <w:color w:val="FFFFFF"/>
                <w:sz w:val="16"/>
              </w:rPr>
              <w:t>ADJUSTMENTS</w:t>
            </w:r>
          </w:p>
        </w:tc>
        <w:tc>
          <w:tcPr>
            <w:tcW w:w="23" w:type="dxa"/>
            <w:tcBorders>
              <w:bottom w:val="single" w:sz="6" w:space="0" w:color="FFFFFF"/>
            </w:tcBorders>
            <w:shd w:fill="0054BA" w:val="clear"/>
            <w:tcMar>
              <w:bottom w:w="28" w:type="dxa"/>
            </w:tcMar>
            <w:vAlign w:val="center"/>
          </w:tcPr>
          <w:p>
            <w:pPr>
              <w:pStyle w:val="TableContents"/>
              <w:bidi w:val="0"/>
              <w:spacing w:before="0" w:after="283"/>
              <w:jc w:val="left"/>
              <w:rPr>
                <w:sz w:val="4"/>
                <w:szCs w:val="4"/>
              </w:rPr>
            </w:pPr>
            <w:r>
              <w:rPr>
                <w:sz w:val="4"/>
                <w:szCs w:val="4"/>
              </w:rPr>
            </w:r>
          </w:p>
        </w:tc>
        <w:tc>
          <w:tcPr>
            <w:tcW w:w="5617" w:type="dxa"/>
            <w:gridSpan w:val="24"/>
            <w:tcBorders>
              <w:bottom w:val="single" w:sz="6" w:space="0" w:color="FFFFFF"/>
            </w:tcBorders>
            <w:shd w:fill="0054BA" w:val="clear"/>
            <w:tcMar>
              <w:bottom w:w="60" w:type="dxa"/>
            </w:tcMar>
            <w:vAlign w:val="center"/>
          </w:tcPr>
          <w:p>
            <w:pPr>
              <w:pStyle w:val="TableContents"/>
              <w:bidi w:val="0"/>
              <w:spacing w:before="0" w:after="0"/>
              <w:jc w:val="center"/>
              <w:rPr>
                <w:b/>
                <w:color w:val="FFFFFF"/>
              </w:rPr>
            </w:pPr>
            <w:r>
              <w:rPr>
                <w:b/>
                <w:color w:val="FFFFFF"/>
              </w:rPr>
              <w:t xml:space="preserve">AVERAGE </w:t>
            </w:r>
          </w:p>
          <w:p>
            <w:pPr>
              <w:pStyle w:val="TableContents"/>
              <w:bidi w:val="0"/>
              <w:spacing w:before="0" w:after="0"/>
              <w:jc w:val="center"/>
              <w:rPr>
                <w:b/>
                <w:color w:val="FFFFFF"/>
              </w:rPr>
            </w:pPr>
            <w:r>
              <w:rPr>
                <w:b/>
                <w:color w:val="FFFFFF"/>
              </w:rPr>
              <w:t>NON-PEO</w:t>
            </w:r>
          </w:p>
          <w:p>
            <w:pPr>
              <w:pStyle w:val="TableContents"/>
              <w:bidi w:val="0"/>
              <w:spacing w:before="0" w:after="0"/>
              <w:jc w:val="center"/>
              <w:rPr>
                <w:b/>
                <w:color w:val="FFFFFF"/>
              </w:rPr>
            </w:pPr>
            <w:r>
              <w:rPr>
                <w:b/>
                <w:color w:val="FFFFFF"/>
              </w:rPr>
              <w:t>NEOS</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80" w:type="dxa"/>
            <w:tcBorders/>
            <w:shd w:fill="0054BA" w:val="clear"/>
            <w:vAlign w:val="center"/>
          </w:tcPr>
          <w:p>
            <w:pPr>
              <w:pStyle w:val="TableContents"/>
              <w:bidi w:val="0"/>
              <w:spacing w:before="0" w:after="0"/>
              <w:jc w:val="left"/>
              <w:rPr/>
            </w:pPr>
            <w:r>
              <w:rPr/>
              <w:t> </w:t>
            </w:r>
          </w:p>
        </w:tc>
      </w:tr>
      <w:tr>
        <w:trPr/>
        <w:tc>
          <w:tcPr>
            <w:tcW w:w="4462" w:type="dxa"/>
            <w:vMerge w:val="continue"/>
            <w:tcBorders/>
            <w:shd w:fill="0054BA" w:val="clear"/>
            <w:vAlign w:val="center"/>
          </w:tcPr>
          <w:p>
            <w:pPr>
              <w:pStyle w:val="Normal"/>
              <w:bidi w:val="0"/>
              <w:jc w:val="left"/>
              <w:rPr/>
            </w:pPr>
            <w:r>
              <w:rPr/>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05" w:type="dxa"/>
            <w:gridSpan w:val="4"/>
            <w:tcBorders/>
            <w:shd w:fill="0054BA" w:val="clear"/>
            <w:vAlign w:val="center"/>
          </w:tcPr>
          <w:p>
            <w:pPr>
              <w:pStyle w:val="TableContents"/>
              <w:bidi w:val="0"/>
              <w:spacing w:before="0" w:after="0"/>
              <w:jc w:val="center"/>
              <w:rPr>
                <w:b/>
                <w:color w:val="FFFFFF"/>
              </w:rPr>
            </w:pPr>
            <w:r>
              <w:rPr>
                <w:b/>
                <w:color w:val="FFFFFF"/>
              </w:rPr>
              <w:t>2025</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05" w:type="dxa"/>
            <w:gridSpan w:val="4"/>
            <w:tcBorders/>
            <w:shd w:fill="0054BA" w:val="clear"/>
            <w:vAlign w:val="center"/>
          </w:tcPr>
          <w:p>
            <w:pPr>
              <w:pStyle w:val="TableContents"/>
              <w:bidi w:val="0"/>
              <w:spacing w:before="0" w:after="0"/>
              <w:jc w:val="center"/>
              <w:rPr>
                <w:b/>
                <w:color w:val="FFFFFF"/>
              </w:rPr>
            </w:pPr>
            <w:r>
              <w:rPr>
                <w:b/>
                <w:color w:val="FFFFFF"/>
              </w:rPr>
              <w:t>2024</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05" w:type="dxa"/>
            <w:gridSpan w:val="4"/>
            <w:tcBorders/>
            <w:shd w:fill="0054BA" w:val="clear"/>
            <w:vAlign w:val="center"/>
          </w:tcPr>
          <w:p>
            <w:pPr>
              <w:pStyle w:val="TableContents"/>
              <w:bidi w:val="0"/>
              <w:spacing w:before="0" w:after="0"/>
              <w:jc w:val="center"/>
              <w:rPr>
                <w:b/>
                <w:color w:val="FFFFFF"/>
              </w:rPr>
            </w:pPr>
            <w:r>
              <w:rPr>
                <w:b/>
                <w:color w:val="FFFFFF"/>
              </w:rPr>
              <w:t>2023</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05" w:type="dxa"/>
            <w:gridSpan w:val="4"/>
            <w:tcBorders/>
            <w:shd w:fill="0054BA" w:val="clear"/>
            <w:vAlign w:val="center"/>
          </w:tcPr>
          <w:p>
            <w:pPr>
              <w:pStyle w:val="TableContents"/>
              <w:bidi w:val="0"/>
              <w:spacing w:before="0" w:after="0"/>
              <w:jc w:val="center"/>
              <w:rPr>
                <w:b/>
                <w:color w:val="FFFFFF"/>
              </w:rPr>
            </w:pPr>
            <w:r>
              <w:rPr>
                <w:b/>
                <w:color w:val="FFFFFF"/>
              </w:rPr>
              <w:t>2022</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105" w:type="dxa"/>
            <w:gridSpan w:val="4"/>
            <w:tcBorders/>
            <w:shd w:fill="0054BA" w:val="clear"/>
            <w:vAlign w:val="center"/>
          </w:tcPr>
          <w:p>
            <w:pPr>
              <w:pStyle w:val="TableContents"/>
              <w:bidi w:val="0"/>
              <w:spacing w:before="0" w:after="0"/>
              <w:jc w:val="center"/>
              <w:rPr>
                <w:b/>
                <w:color w:val="FFFFFF"/>
              </w:rPr>
            </w:pPr>
            <w:r>
              <w:rPr>
                <w:b/>
                <w:color w:val="FFFFFF"/>
              </w:rPr>
              <w:t>2021</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80" w:type="dxa"/>
            <w:tcBorders/>
            <w:shd w:fill="0054BA" w:val="clear"/>
            <w:vAlign w:val="center"/>
          </w:tcPr>
          <w:p>
            <w:pPr>
              <w:pStyle w:val="TableContents"/>
              <w:bidi w:val="0"/>
              <w:spacing w:before="0" w:after="0"/>
              <w:jc w:val="left"/>
              <w:rPr/>
            </w:pPr>
            <w:r>
              <w:rPr/>
              <w:t> </w:t>
            </w:r>
          </w:p>
        </w:tc>
      </w:tr>
      <w:tr>
        <w:trPr/>
        <w:tc>
          <w:tcPr>
            <w:tcW w:w="4462" w:type="dxa"/>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r>
      <w:tr>
        <w:trPr/>
        <w:tc>
          <w:tcPr>
            <w:tcW w:w="4462"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Deduction for Amounts Reported under the “Stock Awards” and “Option Awards” Columns in the 2025 Summary Compensation Table for Applicable Year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-($8,338,663)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-($5,320,293)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-($5,755,090)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-($4,293,321)</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-($5,277,307)</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62" w:type="dxa"/>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r>
      <w:tr>
        <w:trPr/>
        <w:tc>
          <w:tcPr>
            <w:tcW w:w="4462"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Increase based on ASC 718 Fair Value of Awards Granted during Applicable Year that Remain Unvested as of Applicable Year End, determined as of Applicable Year End</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$6,667,183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$4,751,991</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$5,567,668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$4,567,643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$3,840,076</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62" w:type="dxa"/>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r>
      <w:tr>
        <w:trPr/>
        <w:tc>
          <w:tcPr>
            <w:tcW w:w="4462"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Increase based on ASC 718 Fair Value of Awards Granted during Applicable Year that Vested during Applicable Year, determined as of Vesting Date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$301</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62" w:type="dxa"/>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r>
      <w:tr>
        <w:trPr/>
        <w:tc>
          <w:tcPr>
            <w:tcW w:w="4462"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Increase/deduction for Awards Granted during Prior Year(s) that were Outstanding and Unvested as of Applicable Year End, determined based on change in ASC 718 Fair Value from Prior Year End to Applicable Year End</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-($925,888)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-($1,899,128)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$738,930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$183,671</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-($849,736)</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62" w:type="dxa"/>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r>
      <w:tr>
        <w:trPr/>
        <w:tc>
          <w:tcPr>
            <w:tcW w:w="4462"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Increase/deduction for Awards Granted during Prior Year(s) that Vested During Applicable Year, determined based on change in ASC 718 Fair Value from Prior Year End to Vesting Date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$117,782</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-($463,526)</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-($424,990)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-($1,507,603)</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-($822,658)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62" w:type="dxa"/>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r>
      <w:tr>
        <w:trPr/>
        <w:tc>
          <w:tcPr>
            <w:tcW w:w="4462"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Deduction of ASC 718 Fair Value of Awards Granted during Prior Year(s) that were Forfeited during Applicable Year, determined as of Prior Year End</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-($2,443,522)</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62" w:type="dxa"/>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128" w:type="dxa"/>
            <w:gridSpan w:val="5"/>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r>
      <w:tr>
        <w:trPr/>
        <w:tc>
          <w:tcPr>
            <w:tcW w:w="4462"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Total Adjustments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-($2,479,586)</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-($5,374,478)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$126,518</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-($1,049,610)</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962" w:type="dxa"/>
            <w:tcBorders>
              <w:bottom w:val="single" w:sz="6" w:space="0" w:color="000000"/>
            </w:tcBorders>
            <w:tcMar>
              <w:bottom w:w="100" w:type="dxa"/>
            </w:tcMar>
            <w:vAlign w:val="center"/>
          </w:tcPr>
          <w:p>
            <w:pPr>
              <w:pStyle w:val="TableContents"/>
              <w:bidi w:val="0"/>
              <w:spacing w:before="0" w:after="0"/>
              <w:jc w:val="center"/>
              <w:rPr>
                <w:sz w:val="16"/>
              </w:rPr>
            </w:pPr>
            <w:r>
              <w:rPr>
                <w:sz w:val="16"/>
              </w:rPr>
              <w:t>-($3,109,324)</w:t>
            </w:r>
          </w:p>
        </w:tc>
        <w:tc>
          <w:tcPr>
            <w:tcW w:w="60" w:type="dxa"/>
            <w:tcBorders>
              <w:bottom w:val="single" w:sz="6" w:space="0" w:color="000000"/>
            </w:tcBorders>
            <w:tcMar>
              <w:bottom w:w="10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
        <w:gridCol w:w="10085"/>
      </w:tblGrid>
      <w:tr>
        <w:trPr/>
        <w:tc>
          <w:tcPr>
            <w:tcW w:w="120" w:type="dxa"/>
            <w:tcBorders/>
            <w:vAlign w:val="center"/>
          </w:tcPr>
          <w:p>
            <w:pPr>
              <w:pStyle w:val="TableContents"/>
              <w:bidi w:val="0"/>
              <w:spacing w:before="0" w:after="0"/>
              <w:jc w:val="left"/>
              <w:rPr>
                <w:i/>
                <w:sz w:val="9"/>
              </w:rPr>
            </w:pPr>
            <w:r>
              <w:rPr>
                <w:i/>
                <w:sz w:val="9"/>
              </w:rPr>
              <w:t>(2)</w:t>
            </w:r>
          </w:p>
        </w:tc>
        <w:tc>
          <w:tcPr>
            <w:tcW w:w="10085" w:type="dxa"/>
            <w:tcBorders/>
            <w:vAlign w:val="center"/>
          </w:tcPr>
          <w:p>
            <w:pPr>
              <w:pStyle w:val="TableContents"/>
              <w:bidi w:val="0"/>
              <w:spacing w:before="0" w:after="0"/>
              <w:jc w:val="left"/>
              <w:rPr>
                <w:rFonts w:ascii="ARIAL" w:hAnsi="ARIAL"/>
                <w:i/>
                <w:sz w:val="16"/>
              </w:rPr>
            </w:pPr>
            <w:r>
              <w:rPr>
                <w:rFonts w:ascii="ARIAL" w:hAnsi="ARIAL"/>
                <w:i/>
                <w:sz w:val="16"/>
              </w:rPr>
              <w:t xml:space="preserve">Pursuant to SEC rules, the TSR amounts assume an initial investment of $100 on December 31, 2020. As permitted by SEC rules, the peer group referenced for purposes of the TSR comparison is the group of companies included in the S&amp;P Composite 1500 Real Estate Index, which is the industry peer group used for purposes of Item 201(e) of Regulation </w:t>
            </w:r>
          </w:p>
          <w:p>
            <w:pPr>
              <w:pStyle w:val="TableContents"/>
              <w:bidi w:val="0"/>
              <w:spacing w:before="0" w:after="0"/>
              <w:jc w:val="left"/>
              <w:rPr>
                <w:rFonts w:ascii="ARIAL" w:hAnsi="ARIAL"/>
                <w:i/>
                <w:sz w:val="16"/>
              </w:rPr>
            </w:pPr>
            <w:r>
              <w:rPr>
                <w:rFonts w:ascii="ARIAL" w:hAnsi="ARIAL"/>
                <w:i/>
                <w:sz w:val="16"/>
              </w:rPr>
              <w:t>S-K.</w:t>
            </w:r>
          </w:p>
          <w:p>
            <w:pPr>
              <w:pStyle w:val="TableContents"/>
              <w:bidi w:val="0"/>
              <w:spacing w:before="0" w:after="0"/>
              <w:jc w:val="left"/>
              <w:rPr>
                <w:rFonts w:ascii="ARIAL" w:hAnsi="ARIAL"/>
                <w:i/>
                <w:sz w:val="16"/>
              </w:rPr>
            </w:pPr>
            <w:r>
              <w:rPr>
                <w:rFonts w:ascii="ARIAL" w:hAnsi="ARIAL"/>
                <w:i/>
                <w:sz w:val="16"/>
              </w:rPr>
              <w:t xml:space="preserve">The separate peer group used by the Compensation Committee for purposes of determining compensation paid to our executive officers is described in the “Compensation Discussion and Analysis—How Executive Compensation Decisions are Made” section of this Proxy Statement.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505"/>
        <w:gridCol w:w="120"/>
        <w:gridCol w:w="167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67"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42" descr=""/>
                          <pic:cNvPicPr>
                            <a:picLocks noChangeAspect="1" noChangeArrowheads="1"/>
                          </pic:cNvPicPr>
                        </pic:nvPicPr>
                        <pic:blipFill>
                          <a:blip r:embed="rId35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right"/>
              <w:rPr>
                <w:rFonts w:ascii="ARIAL" w:hAnsi="ARIAL"/>
                <w:sz w:val="14"/>
              </w:rPr>
            </w:pPr>
            <w:r>
              <w:rPr>
                <w:rFonts w:ascii="ARIAL" w:hAnsi="ARIAL"/>
                <w:sz w:val="14"/>
              </w:rPr>
              <w:t>2026 PROXY STATEMENT</w:t>
            </w:r>
          </w:p>
          <w:p>
            <w:pPr>
              <w:pStyle w:val="TableContents"/>
              <w:bidi w:val="0"/>
              <w:spacing w:before="0" w:after="0"/>
              <w:jc w:val="right"/>
              <w:rPr/>
            </w:pPr>
            <w:r>
              <w:rPr/>
              <w:t> </w:t>
            </w:r>
          </w:p>
          <w:p>
            <w:pPr>
              <w:pStyle w:val="TableContents"/>
              <w:bidi w:val="0"/>
              <w:spacing w:before="0" w:after="0"/>
              <w:jc w:val="right"/>
              <w:rPr>
                <w:rFonts w:ascii="ARIAL" w:hAnsi="ARIAL"/>
                <w:b/>
                <w:color w:val="0054BA"/>
                <w:sz w:val="14"/>
              </w:rPr>
            </w:pPr>
            <w:r>
              <w:rPr>
                <w:rFonts w:ascii="ARIAL" w:hAnsi="ARIAL"/>
                <w:b/>
                <w:color w:val="0054BA"/>
                <w:sz w:val="14"/>
              </w:rPr>
              <w:t>83</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0"/>
              <w:jc w:val="center"/>
              <w:rPr>
                <w:b/>
              </w:rPr>
            </w:pPr>
            <w:r>
              <w:rPr>
                <w:b/>
              </w:rPr>
              <w:t>EXECUTIVE COMPENSATION</w:t>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Narrative Disclosure to 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left"/>
        <w:rPr>
          <w:rFonts w:ascii="ARIAL" w:hAnsi="ARIAL"/>
          <w:b/>
          <w:sz w:val="20"/>
        </w:rPr>
      </w:pPr>
      <w:r>
        <w:rPr>
          <w:rFonts w:ascii="ARIAL" w:hAnsi="ARIAL"/>
          <w:b/>
          <w:sz w:val="20"/>
        </w:rPr>
        <w:t xml:space="preserve">RELATIONSHIP BETWEEN FINANCIAL PERFORMANCE MEASURES </w:t>
      </w:r>
    </w:p>
    <w:p>
      <w:pPr>
        <w:pStyle w:val="TextBody"/>
        <w:bidi w:val="0"/>
        <w:spacing w:before="80" w:after="0"/>
        <w:jc w:val="left"/>
        <w:rPr>
          <w:rFonts w:ascii="ARIAL" w:hAnsi="ARIAL"/>
          <w:sz w:val="18"/>
        </w:rPr>
      </w:pPr>
      <w:r>
        <w:rPr>
          <w:rFonts w:ascii="ARIAL" w:hAnsi="ARIAL"/>
          <w:sz w:val="18"/>
        </w:rPr>
        <w:t xml:space="preserve">The graphs below compare the compensation actually paid to our PEO and the average of the compensation actually paid to our remaining NEOs, with (i) our cumulative TSR and our Peer Group TSR, (ii) our net income, and (iii) our EBITDA, in each case, for each of the five years in the period ended December 31,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77840" cy="2319655"/>
            <wp:effectExtent l="0" t="0" r="0" b="0"/>
            <wp:docPr id="368"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43" descr=""/>
                    <pic:cNvPicPr>
                      <a:picLocks noChangeAspect="1" noChangeArrowheads="1"/>
                    </pic:cNvPicPr>
                  </pic:nvPicPr>
                  <pic:blipFill>
                    <a:blip r:embed="rId355"/>
                    <a:stretch>
                      <a:fillRect/>
                    </a:stretch>
                  </pic:blipFill>
                  <pic:spPr bwMode="auto">
                    <a:xfrm>
                      <a:off x="0" y="0"/>
                      <a:ext cx="5577840" cy="23196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77205" cy="2096770"/>
            <wp:effectExtent l="0" t="0" r="0" b="0"/>
            <wp:docPr id="369"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44" descr=""/>
                    <pic:cNvPicPr>
                      <a:picLocks noChangeAspect="1" noChangeArrowheads="1"/>
                    </pic:cNvPicPr>
                  </pic:nvPicPr>
                  <pic:blipFill>
                    <a:blip r:embed="rId356"/>
                    <a:stretch>
                      <a:fillRect/>
                    </a:stretch>
                  </pic:blipFill>
                  <pic:spPr bwMode="auto">
                    <a:xfrm>
                      <a:off x="0" y="0"/>
                      <a:ext cx="5577205" cy="20967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77205" cy="2096770"/>
            <wp:effectExtent l="0" t="0" r="0" b="0"/>
            <wp:docPr id="370"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45" descr=""/>
                    <pic:cNvPicPr>
                      <a:picLocks noChangeAspect="1" noChangeArrowheads="1"/>
                    </pic:cNvPicPr>
                  </pic:nvPicPr>
                  <pic:blipFill>
                    <a:blip r:embed="rId357"/>
                    <a:stretch>
                      <a:fillRect/>
                    </a:stretch>
                  </pic:blipFill>
                  <pic:spPr bwMode="auto">
                    <a:xfrm>
                      <a:off x="0" y="0"/>
                      <a:ext cx="5577205" cy="2096770"/>
                    </a:xfrm>
                    <a:prstGeom prst="rect">
                      <a:avLst/>
                    </a:prstGeom>
                  </pic:spPr>
                </pic:pic>
              </a:graphicData>
            </a:graphic>
          </wp:inline>
        </w:drawing>
      </w:r>
      <w:r>
        <w:rPr/>
        <w:t xml:space="preserve">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505"/>
        <w:gridCol w:w="120"/>
        <w:gridCol w:w="167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71"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46" descr=""/>
                          <pic:cNvPicPr>
                            <a:picLocks noChangeAspect="1" noChangeArrowheads="1"/>
                          </pic:cNvPicPr>
                        </pic:nvPicPr>
                        <pic:blipFill>
                          <a:blip r:embed="rId35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right"/>
              <w:rPr>
                <w:rFonts w:ascii="ARIAL" w:hAnsi="ARIAL"/>
                <w:sz w:val="14"/>
              </w:rPr>
            </w:pPr>
            <w:r>
              <w:rPr>
                <w:rFonts w:ascii="ARIAL" w:hAnsi="ARIAL"/>
                <w:sz w:val="14"/>
              </w:rPr>
              <w:t>2026 PROXY STATEMENT</w:t>
            </w:r>
          </w:p>
          <w:p>
            <w:pPr>
              <w:pStyle w:val="TableContents"/>
              <w:bidi w:val="0"/>
              <w:spacing w:before="0" w:after="0"/>
              <w:jc w:val="right"/>
              <w:rPr/>
            </w:pPr>
            <w:r>
              <w:rPr/>
              <w:t> </w:t>
            </w:r>
          </w:p>
          <w:p>
            <w:pPr>
              <w:pStyle w:val="TableContents"/>
              <w:bidi w:val="0"/>
              <w:spacing w:before="0" w:after="0"/>
              <w:jc w:val="right"/>
              <w:rPr>
                <w:rFonts w:ascii="ARIAL" w:hAnsi="ARIAL"/>
                <w:b/>
                <w:color w:val="0054BA"/>
                <w:sz w:val="14"/>
              </w:rPr>
            </w:pPr>
            <w:r>
              <w:rPr>
                <w:rFonts w:ascii="ARIAL" w:hAnsi="ARIAL"/>
                <w:b/>
                <w:color w:val="0054BA"/>
                <w:sz w:val="14"/>
              </w:rPr>
              <w:t>84</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733" w:type="dxa"/>
        <w:jc w:val="left"/>
        <w:tblInd w:w="0" w:type="dxa"/>
        <w:tblLayout w:type="fixed"/>
        <w:tblCellMar>
          <w:top w:w="0" w:type="dxa"/>
          <w:left w:w="0" w:type="dxa"/>
          <w:bottom w:w="0" w:type="dxa"/>
          <w:right w:w="0" w:type="dxa"/>
        </w:tblCellMar>
      </w:tblPr>
      <w:tblGrid>
        <w:gridCol w:w="38"/>
        <w:gridCol w:w="1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575" w:type="dxa"/>
            <w:tcBorders>
              <w:bottom w:val="single" w:sz="6" w:space="0" w:color="000000"/>
              <w:right w:val="single" w:sz="6" w:space="0" w:color="000000"/>
            </w:tcBorders>
            <w:tcMar>
              <w:bottom w:w="120" w:type="dxa"/>
              <w:right w:w="40" w:type="dxa"/>
            </w:tcMar>
            <w:vAlign w:val="center"/>
          </w:tcPr>
          <w:p>
            <w:pPr>
              <w:pStyle w:val="TableContents"/>
              <w:bidi w:val="0"/>
              <w:spacing w:before="0" w:after="0"/>
              <w:jc w:val="center"/>
              <w:rPr>
                <w:b/>
              </w:rPr>
            </w:pPr>
            <w:r>
              <w:rPr>
                <w:b/>
              </w:rPr>
              <w:t>EXECUTIVE COMPENSATION</w:t>
            </w:r>
          </w:p>
        </w:tc>
      </w:tr>
    </w:tbl>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PAY VERSUS PERFORMANCE TABULAR LIST </w:t>
      </w:r>
    </w:p>
    <w:p>
      <w:pPr>
        <w:pStyle w:val="TextBody"/>
        <w:bidi w:val="0"/>
        <w:spacing w:before="80" w:after="0"/>
        <w:jc w:val="left"/>
        <w:rPr>
          <w:rFonts w:ascii="ARIAL" w:hAnsi="ARIAL"/>
          <w:sz w:val="18"/>
        </w:rPr>
      </w:pPr>
      <w:r>
        <w:rPr>
          <w:rFonts w:ascii="ARIAL" w:hAnsi="ARIAL"/>
          <w:sz w:val="18"/>
        </w:rPr>
        <w:t xml:space="preserve">We believe the following performance measures represent the most important financial performance measures used by us to link compensation actually paid to our NEOs for the fiscal year ended December 31, 2025: </w:t>
      </w:r>
    </w:p>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305"/>
        <w:gridCol w:w="875"/>
      </w:tblGrid>
      <w:tr>
        <w:trPr/>
        <w:tc>
          <w:tcPr>
            <w:tcW w:w="305" w:type="dxa"/>
            <w:tcBorders/>
            <w:vAlign w:val="center"/>
          </w:tcPr>
          <w:p>
            <w:pPr>
              <w:pStyle w:val="TableContents"/>
              <w:bidi w:val="0"/>
              <w:spacing w:before="0" w:after="283"/>
              <w:jc w:val="left"/>
              <w:rPr/>
            </w:pPr>
            <w:r>
              <w:rPr/>
              <w:t>(1)</w:t>
            </w:r>
          </w:p>
        </w:tc>
        <w:tc>
          <w:tcPr>
            <w:tcW w:w="875" w:type="dxa"/>
            <w:tcBorders/>
            <w:vAlign w:val="center"/>
          </w:tcPr>
          <w:p>
            <w:pPr>
              <w:pStyle w:val="TableContents"/>
              <w:bidi w:val="0"/>
              <w:spacing w:before="0" w:after="0"/>
              <w:jc w:val="left"/>
              <w:rPr>
                <w:rFonts w:ascii="ARIAL" w:hAnsi="ARIAL"/>
                <w:sz w:val="18"/>
              </w:rPr>
            </w:pPr>
            <w:r>
              <w:rPr>
                <w:rFonts w:ascii="ARIAL" w:hAnsi="ARIAL"/>
                <w:sz w:val="18"/>
              </w:rPr>
              <w:t xml:space="preserve">Revenue;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(2)</w:t>
            </w:r>
          </w:p>
        </w:tc>
        <w:tc>
          <w:tcPr>
            <w:tcW w:w="770" w:type="dxa"/>
            <w:tcBorders/>
            <w:vAlign w:val="center"/>
          </w:tcPr>
          <w:p>
            <w:pPr>
              <w:pStyle w:val="TableContents"/>
              <w:bidi w:val="0"/>
              <w:spacing w:before="0" w:after="0"/>
              <w:jc w:val="left"/>
              <w:rPr>
                <w:rFonts w:ascii="ARIAL" w:hAnsi="ARIAL"/>
                <w:sz w:val="18"/>
              </w:rPr>
            </w:pPr>
            <w:r>
              <w:rPr>
                <w:rFonts w:ascii="ARIAL" w:hAnsi="ARIAL"/>
                <w:sz w:val="18"/>
              </w:rPr>
              <w:t xml:space="preserve">EBITDA;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305"/>
        <w:gridCol w:w="1565"/>
      </w:tblGrid>
      <w:tr>
        <w:trPr/>
        <w:tc>
          <w:tcPr>
            <w:tcW w:w="305" w:type="dxa"/>
            <w:tcBorders/>
            <w:vAlign w:val="center"/>
          </w:tcPr>
          <w:p>
            <w:pPr>
              <w:pStyle w:val="TableContents"/>
              <w:bidi w:val="0"/>
              <w:spacing w:before="0" w:after="283"/>
              <w:jc w:val="left"/>
              <w:rPr/>
            </w:pPr>
            <w:r>
              <w:rPr/>
              <w:t>(3)</w:t>
            </w:r>
          </w:p>
        </w:tc>
        <w:tc>
          <w:tcPr>
            <w:tcW w:w="1565" w:type="dxa"/>
            <w:tcBorders/>
            <w:vAlign w:val="center"/>
          </w:tcPr>
          <w:p>
            <w:pPr>
              <w:pStyle w:val="TableContents"/>
              <w:bidi w:val="0"/>
              <w:spacing w:before="0" w:after="0"/>
              <w:jc w:val="left"/>
              <w:rPr>
                <w:rFonts w:ascii="ARIAL" w:hAnsi="ARIAL"/>
                <w:sz w:val="18"/>
              </w:rPr>
            </w:pPr>
            <w:r>
              <w:rPr>
                <w:rFonts w:ascii="ARIAL" w:hAnsi="ARIAL"/>
                <w:sz w:val="18"/>
              </w:rPr>
              <w:t xml:space="preserve">Relative TSR; and </w:t>
            </w:r>
          </w:p>
        </w:tc>
      </w:tr>
    </w:tbl>
    <w:p>
      <w:pPr>
        <w:pStyle w:val="TextBody"/>
        <w:bidi w:val="0"/>
        <w:spacing w:before="0" w:after="0"/>
        <w:jc w:val="left"/>
        <w:rPr/>
      </w:pPr>
      <w:r>
        <w:rPr/>
        <w:t> </w:t>
      </w:r>
    </w:p>
    <w:tbl>
      <w:tblPr>
        <w:tblW w:w="1360" w:type="dxa"/>
        <w:jc w:val="left"/>
        <w:tblInd w:w="0" w:type="dxa"/>
        <w:tblLayout w:type="fixed"/>
        <w:tblCellMar>
          <w:top w:w="0" w:type="dxa"/>
          <w:left w:w="0" w:type="dxa"/>
          <w:bottom w:w="0" w:type="dxa"/>
          <w:right w:w="0" w:type="dxa"/>
        </w:tblCellMar>
      </w:tblPr>
      <w:tblGrid>
        <w:gridCol w:w="305"/>
        <w:gridCol w:w="1055"/>
      </w:tblGrid>
      <w:tr>
        <w:trPr/>
        <w:tc>
          <w:tcPr>
            <w:tcW w:w="305" w:type="dxa"/>
            <w:tcBorders/>
            <w:vAlign w:val="center"/>
          </w:tcPr>
          <w:p>
            <w:pPr>
              <w:pStyle w:val="TableContents"/>
              <w:bidi w:val="0"/>
              <w:spacing w:before="0" w:after="283"/>
              <w:jc w:val="left"/>
              <w:rPr/>
            </w:pPr>
            <w:r>
              <w:rPr/>
              <w:t>(4)</w:t>
            </w:r>
          </w:p>
        </w:tc>
        <w:tc>
          <w:tcPr>
            <w:tcW w:w="1055" w:type="dxa"/>
            <w:tcBorders/>
            <w:vAlign w:val="center"/>
          </w:tcPr>
          <w:p>
            <w:pPr>
              <w:pStyle w:val="TableContents"/>
              <w:bidi w:val="0"/>
              <w:spacing w:before="0" w:after="0"/>
              <w:jc w:val="left"/>
              <w:rPr>
                <w:rFonts w:ascii="ARIAL" w:hAnsi="ARIAL"/>
                <w:sz w:val="18"/>
              </w:rPr>
            </w:pPr>
            <w:r>
              <w:rPr>
                <w:rFonts w:ascii="ARIAL" w:hAnsi="ARIAL"/>
                <w:sz w:val="18"/>
              </w:rPr>
              <w:t xml:space="preserve">Net Income. </w:t>
            </w:r>
          </w:p>
        </w:tc>
      </w:tr>
    </w:tbl>
    <w:p>
      <w:pPr>
        <w:pStyle w:val="TextBody"/>
        <w:bidi w:val="0"/>
        <w:spacing w:before="120" w:after="0"/>
        <w:jc w:val="left"/>
        <w:rPr>
          <w:rFonts w:ascii="ARIAL" w:hAnsi="ARIAL"/>
          <w:sz w:val="18"/>
        </w:rPr>
      </w:pPr>
      <w:r>
        <w:rPr>
          <w:rFonts w:ascii="ARIAL" w:hAnsi="ARIAL"/>
          <w:sz w:val="18"/>
        </w:rPr>
        <w:t>These measures reflect the key metrics used for measuring performance under our annual cash and equity incentive compensation plans and multi-year performance-based equity incentive awards</w:t>
      </w:r>
    </w:p>
    <w:p>
      <w:pPr>
        <w:pStyle w:val="TextBody"/>
        <w:bidi w:val="0"/>
        <w:spacing w:before="120" w:after="0"/>
        <w:jc w:val="left"/>
        <w:rPr>
          <w:rFonts w:ascii="ARIAL" w:hAnsi="ARIAL"/>
          <w:b/>
          <w:i/>
          <w:sz w:val="18"/>
        </w:rPr>
      </w:pPr>
      <w:r>
        <w:rPr>
          <w:rFonts w:ascii="ARIAL" w:hAnsi="ARIAL"/>
          <w:b/>
          <w:i/>
          <w:sz w:val="18"/>
        </w:rPr>
        <w:t xml:space="preserve">.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505"/>
        <w:gridCol w:w="120"/>
        <w:gridCol w:w="167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72"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47" descr=""/>
                          <pic:cNvPicPr>
                            <a:picLocks noChangeAspect="1" noChangeArrowheads="1"/>
                          </pic:cNvPicPr>
                        </pic:nvPicPr>
                        <pic:blipFill>
                          <a:blip r:embed="rId35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right"/>
              <w:rPr>
                <w:rFonts w:ascii="ARIAL" w:hAnsi="ARIAL"/>
                <w:sz w:val="14"/>
              </w:rPr>
            </w:pPr>
            <w:r>
              <w:rPr>
                <w:rFonts w:ascii="ARIAL" w:hAnsi="ARIAL"/>
                <w:sz w:val="14"/>
              </w:rPr>
              <w:t>2026 PROXY STATEMENT</w:t>
            </w:r>
          </w:p>
          <w:p>
            <w:pPr>
              <w:pStyle w:val="TableContents"/>
              <w:bidi w:val="0"/>
              <w:spacing w:before="0" w:after="0"/>
              <w:jc w:val="right"/>
              <w:rPr/>
            </w:pPr>
            <w:r>
              <w:rPr/>
              <w:t> </w:t>
            </w:r>
          </w:p>
          <w:p>
            <w:pPr>
              <w:pStyle w:val="TableContents"/>
              <w:bidi w:val="0"/>
              <w:spacing w:before="0" w:after="0"/>
              <w:jc w:val="right"/>
              <w:rPr>
                <w:rFonts w:ascii="ARIAL" w:hAnsi="ARIAL"/>
                <w:b/>
                <w:color w:val="0054BA"/>
                <w:sz w:val="14"/>
              </w:rPr>
            </w:pPr>
            <w:r>
              <w:rPr>
                <w:rFonts w:ascii="ARIAL" w:hAnsi="ARIAL"/>
                <w:b/>
                <w:color w:val="0054BA"/>
                <w:sz w:val="14"/>
              </w:rPr>
              <w:t>85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bookmarkStart w:id="61" w:name="toc903159_47"/>
      <w:bookmarkEnd w:id="61"/>
      <w:r>
        <w:rPr>
          <w:rFonts w:ascii="ARIAL" w:hAnsi="ARIAL"/>
          <w:b/>
          <w:sz w:val="64"/>
        </w:rPr>
        <w:t xml:space="preserve">STOCK OWNERSHIP INFORMATION </w:t>
      </w:r>
    </w:p>
    <w:p>
      <w:pPr>
        <w:pStyle w:val="TextBody"/>
        <w:bidi w:val="0"/>
        <w:spacing w:before="720" w:after="0"/>
        <w:jc w:val="left"/>
        <w:rPr>
          <w:rFonts w:ascii="ARIAL" w:hAnsi="ARIAL"/>
          <w:sz w:val="18"/>
        </w:rPr>
      </w:pPr>
      <w:r>
        <w:rPr>
          <w:rFonts w:ascii="ARIAL" w:hAnsi="ARIAL"/>
          <w:sz w:val="18"/>
        </w:rPr>
        <w:t xml:space="preserve">The following table provides certain information regarding the beneficial ownership of our common stock as of April 1, 2026, unless otherwise noted, by: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125"/>
        <w:gridCol w:w="60"/>
        <w:gridCol w:w="689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ARIAL" w:hAnsi="ARIAL"/>
                <w:sz w:val="18"/>
              </w:rPr>
            </w:pPr>
            <w:r>
              <w:rPr>
                <w:rFonts w:ascii="ARIAL" w:hAnsi="ARIAL"/>
                <w:sz w:val="18"/>
              </w:rPr>
              <w:t xml:space="preserve">The NEOs listed in the 2025 Summary Compensation Table in this Proxy Statement;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25"/>
        <w:gridCol w:w="60"/>
        <w:gridCol w:w="24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ARIAL" w:hAnsi="ARIAL"/>
                <w:sz w:val="18"/>
              </w:rPr>
            </w:pPr>
            <w:r>
              <w:rPr>
                <w:rFonts w:ascii="ARIAL" w:hAnsi="ARIAL"/>
                <w:sz w:val="18"/>
              </w:rPr>
              <w:t xml:space="preserve">Each of our current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Each person we know to be the beneficial owner of more than 5% of our outstanding common stock (based upon Schedule 13D and Schedule 13G filings with the SEC, which can be reviewed for further information on each such beneficial owner’s holdings); and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125"/>
        <w:gridCol w:w="60"/>
        <w:gridCol w:w="5555"/>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ARIAL" w:hAnsi="ARIAL"/>
                <w:sz w:val="18"/>
              </w:rPr>
            </w:pPr>
            <w:r>
              <w:rPr>
                <w:rFonts w:ascii="ARIAL" w:hAnsi="ARIAL"/>
                <w:sz w:val="18"/>
              </w:rPr>
              <w:t xml:space="preserve">All of our current executive officers and current directors as a group. </w:t>
            </w:r>
          </w:p>
        </w:tc>
      </w:tr>
    </w:tbl>
    <w:p>
      <w:pPr>
        <w:pStyle w:val="TextBody"/>
        <w:bidi w:val="0"/>
        <w:spacing w:before="0" w:after="0"/>
        <w:jc w:val="left"/>
        <w:rPr/>
      </w:pPr>
      <w:r>
        <w:rPr/>
        <w:t> </w:t>
      </w:r>
    </w:p>
    <w:tbl>
      <w:tblPr>
        <w:tblW w:w="9761" w:type="dxa"/>
        <w:jc w:val="left"/>
        <w:tblInd w:w="0" w:type="dxa"/>
        <w:tblLayout w:type="fixed"/>
        <w:tblCellMar>
          <w:top w:w="0" w:type="dxa"/>
          <w:left w:w="0" w:type="dxa"/>
          <w:bottom w:w="0" w:type="dxa"/>
          <w:right w:w="0" w:type="dxa"/>
        </w:tblCellMar>
      </w:tblPr>
      <w:tblGrid>
        <w:gridCol w:w="5225"/>
        <w:gridCol w:w="23"/>
        <w:gridCol w:w="38"/>
        <w:gridCol w:w="101"/>
        <w:gridCol w:w="1862"/>
        <w:gridCol w:w="102"/>
        <w:gridCol w:w="23"/>
        <w:gridCol w:w="82"/>
        <w:gridCol w:w="217"/>
        <w:gridCol w:w="1814"/>
        <w:gridCol w:w="274"/>
      </w:tblGrid>
      <w:tr>
        <w:trPr/>
        <w:tc>
          <w:tcPr>
            <w:tcW w:w="52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0054BA" w:val="clear"/>
            <w:vAlign w:val="center"/>
          </w:tcPr>
          <w:p>
            <w:pPr>
              <w:pStyle w:val="TableContents"/>
              <w:bidi w:val="0"/>
              <w:spacing w:before="0" w:after="283"/>
              <w:jc w:val="left"/>
              <w:rPr>
                <w:sz w:val="4"/>
                <w:szCs w:val="4"/>
              </w:rPr>
            </w:pPr>
            <w:r>
              <w:rPr>
                <w:sz w:val="4"/>
                <w:szCs w:val="4"/>
              </w:rPr>
            </w:r>
          </w:p>
        </w:tc>
        <w:tc>
          <w:tcPr>
            <w:tcW w:w="2126" w:type="dxa"/>
            <w:gridSpan w:val="5"/>
            <w:tcBorders/>
            <w:shd w:fill="0054BA" w:val="clear"/>
            <w:vAlign w:val="center"/>
          </w:tcPr>
          <w:p>
            <w:pPr>
              <w:pStyle w:val="TableContents"/>
              <w:bidi w:val="0"/>
              <w:spacing w:before="0" w:after="283"/>
              <w:jc w:val="left"/>
              <w:rPr>
                <w:sz w:val="4"/>
                <w:szCs w:val="4"/>
              </w:rPr>
            </w:pPr>
            <w:r>
              <w:rPr>
                <w:sz w:val="4"/>
                <w:szCs w:val="4"/>
              </w:rPr>
            </w:r>
          </w:p>
        </w:tc>
        <w:tc>
          <w:tcPr>
            <w:tcW w:w="2410"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5225" w:type="dxa"/>
            <w:tcBorders/>
            <w:shd w:fill="0054BA" w:val="clear"/>
            <w:vAlign w:val="center"/>
          </w:tcPr>
          <w:p>
            <w:pPr>
              <w:pStyle w:val="TableContents"/>
              <w:bidi w:val="0"/>
              <w:spacing w:before="0" w:after="20"/>
              <w:jc w:val="left"/>
              <w:rPr>
                <w:rFonts w:ascii="ARIAL" w:hAnsi="ARIAL"/>
                <w:b/>
                <w:color w:val="FFFFFF"/>
                <w:sz w:val="16"/>
              </w:rPr>
            </w:pPr>
            <w:r>
              <w:rPr>
                <w:rFonts w:ascii="ARIAL" w:hAnsi="ARIAL"/>
                <w:b/>
                <w:color w:val="FFFFFF"/>
                <w:sz w:val="16"/>
              </w:rPr>
              <w:t>NAME AND ADDRESS(1)</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103"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SHARES</w:t>
            </w:r>
          </w:p>
          <w:p>
            <w:pPr>
              <w:pStyle w:val="TableContents"/>
              <w:bidi w:val="0"/>
              <w:spacing w:before="0" w:after="20"/>
              <w:jc w:val="center"/>
              <w:rPr>
                <w:rFonts w:ascii="ARIAL" w:hAnsi="ARIAL"/>
                <w:b/>
                <w:color w:val="FFFFFF"/>
                <w:sz w:val="16"/>
              </w:rPr>
            </w:pPr>
            <w:r>
              <w:rPr>
                <w:rFonts w:ascii="ARIAL" w:hAnsi="ARIAL"/>
                <w:b/>
                <w:color w:val="FFFFFF"/>
                <w:sz w:val="16"/>
              </w:rPr>
              <w:t>BENEFICIALLY OWNED(2)</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2387" w:type="dxa"/>
            <w:gridSpan w:val="4"/>
            <w:tcBorders/>
            <w:shd w:fill="0054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PERCENTAGE OF  </w:t>
            </w:r>
          </w:p>
          <w:p>
            <w:pPr>
              <w:pStyle w:val="TableContents"/>
              <w:bidi w:val="0"/>
              <w:spacing w:before="0" w:after="20"/>
              <w:jc w:val="center"/>
              <w:rPr>
                <w:rFonts w:ascii="ARIAL" w:hAnsi="ARIAL"/>
                <w:b/>
                <w:color w:val="FFFFFF"/>
                <w:sz w:val="16"/>
              </w:rPr>
            </w:pPr>
            <w:r>
              <w:rPr>
                <w:rFonts w:ascii="ARIAL" w:hAnsi="ARIAL"/>
                <w:b/>
                <w:color w:val="FFFFFF"/>
                <w:sz w:val="16"/>
              </w:rPr>
              <w:t>OUTSTANDING SHARES(2)  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Louise S. Sams(3)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20,409</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Andrew C. Florance(4)</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3,044,568</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Christian M. Lown(5)</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137,316</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Lisa C. Ruggles(6)</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334,451</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Frederick G. Saint(7)</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569,599</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Frank A. Simuro(8)</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600,711</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John L. Berisford(9)</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2,973</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Angelique G. Brunner(10)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10,166</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Rachel C. Glaser(11)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4,157</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John W. Hill(12)</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18,231</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Christine M. McCarthy(13)</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3,323</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Robert W. Musslewhite(14)</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18,277</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All current executive officers and directors as a group (13 persons)(15)</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sz w:val="16"/>
              </w:rPr>
            </w:pPr>
            <w:r>
              <w:rPr>
                <w:sz w:val="16"/>
              </w:rPr>
              <w:t>4,838,145</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sz w:val="16"/>
              </w:rPr>
            </w:pPr>
            <w:r>
              <w:rPr>
                <w:sz w:val="16"/>
              </w:rPr>
              <w:t>1.18%  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BlackRock, Inc.(16)</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31,820,259</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7.79%  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Vanguard Portfolio Management(17)</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38,292,035</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9.38%  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2126" w:type="dxa"/>
            <w:gridSpan w:val="5"/>
            <w:tcBorders/>
            <w:vAlign w:val="center"/>
          </w:tcPr>
          <w:p>
            <w:pPr>
              <w:pStyle w:val="TableContents"/>
              <w:bidi w:val="0"/>
              <w:spacing w:before="0" w:after="283"/>
              <w:jc w:val="left"/>
              <w:rPr>
                <w:sz w:val="4"/>
                <w:szCs w:val="4"/>
              </w:rPr>
            </w:pPr>
            <w:r>
              <w:rPr>
                <w:sz w:val="4"/>
                <w:szCs w:val="4"/>
              </w:rPr>
            </w:r>
          </w:p>
        </w:tc>
        <w:tc>
          <w:tcPr>
            <w:tcW w:w="2410"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Vanguard Capital Management(18)</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100" w:type="dxa"/>
            </w:tcMar>
            <w:vAlign w:val="center"/>
          </w:tcPr>
          <w:p>
            <w:pPr>
              <w:pStyle w:val="TableContents"/>
              <w:bidi w:val="0"/>
              <w:spacing w:before="0" w:after="283"/>
              <w:jc w:val="left"/>
              <w:rPr/>
            </w:pPr>
            <w:r>
              <w:rPr/>
              <w:t> </w:t>
            </w:r>
          </w:p>
        </w:tc>
        <w:tc>
          <w:tcPr>
            <w:tcW w:w="1862" w:type="dxa"/>
            <w:tcBorders>
              <w:bottom w:val="single" w:sz="6" w:space="0" w:color="000000"/>
            </w:tcBorders>
            <w:tcMar>
              <w:bottom w:w="100" w:type="dxa"/>
            </w:tcMar>
            <w:vAlign w:val="center"/>
          </w:tcPr>
          <w:p>
            <w:pPr>
              <w:pStyle w:val="TableContents"/>
              <w:bidi w:val="0"/>
              <w:spacing w:before="0" w:after="283"/>
              <w:jc w:val="center"/>
              <w:rPr/>
            </w:pPr>
            <w:r>
              <w:rPr/>
              <w:t>31,613,997</w:t>
            </w:r>
          </w:p>
        </w:tc>
        <w:tc>
          <w:tcPr>
            <w:tcW w:w="10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0000"/>
            </w:tcBorders>
            <w:tcMar>
              <w:bottom w:w="100" w:type="dxa"/>
            </w:tcMar>
            <w:vAlign w:val="center"/>
          </w:tcPr>
          <w:p>
            <w:pPr>
              <w:pStyle w:val="TableContents"/>
              <w:bidi w:val="0"/>
              <w:spacing w:before="0" w:after="283"/>
              <w:jc w:val="left"/>
              <w:rPr/>
            </w:pPr>
            <w:r>
              <w:rPr/>
              <w:t> </w:t>
            </w:r>
          </w:p>
        </w:tc>
        <w:tc>
          <w:tcPr>
            <w:tcW w:w="1814" w:type="dxa"/>
            <w:tcBorders>
              <w:bottom w:val="single" w:sz="6" w:space="0" w:color="000000"/>
            </w:tcBorders>
            <w:tcMar>
              <w:bottom w:w="100" w:type="dxa"/>
            </w:tcMar>
            <w:vAlign w:val="center"/>
          </w:tcPr>
          <w:p>
            <w:pPr>
              <w:pStyle w:val="TableContents"/>
              <w:bidi w:val="0"/>
              <w:spacing w:before="0" w:after="283"/>
              <w:jc w:val="center"/>
              <w:rPr/>
            </w:pPr>
            <w:r>
              <w:rPr/>
              <w:t>7.74%  </w:t>
            </w:r>
          </w:p>
        </w:tc>
        <w:tc>
          <w:tcPr>
            <w:tcW w:w="274"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305"/>
        <w:gridCol w:w="9095"/>
      </w:tblGrid>
      <w:tr>
        <w:trPr/>
        <w:tc>
          <w:tcPr>
            <w:tcW w:w="305" w:type="dxa"/>
            <w:tcBorders/>
            <w:vAlign w:val="center"/>
          </w:tcPr>
          <w:p>
            <w:pPr>
              <w:pStyle w:val="TableContents"/>
              <w:bidi w:val="0"/>
              <w:spacing w:before="0" w:after="283"/>
              <w:jc w:val="left"/>
              <w:rPr/>
            </w:pPr>
            <w:r>
              <w:rPr/>
              <w:t>(1)</w:t>
            </w:r>
          </w:p>
        </w:tc>
        <w:tc>
          <w:tcPr>
            <w:tcW w:w="9095" w:type="dxa"/>
            <w:tcBorders/>
            <w:vAlign w:val="center"/>
          </w:tcPr>
          <w:p>
            <w:pPr>
              <w:pStyle w:val="TableContents"/>
              <w:bidi w:val="0"/>
              <w:spacing w:before="0" w:after="0"/>
              <w:jc w:val="left"/>
              <w:rPr>
                <w:rFonts w:ascii="ARIAL" w:hAnsi="ARIAL"/>
                <w:sz w:val="16"/>
              </w:rPr>
            </w:pPr>
            <w:r>
              <w:rPr>
                <w:rFonts w:ascii="ARIAL" w:hAnsi="ARIAL"/>
                <w:sz w:val="16"/>
              </w:rPr>
              <w:t xml:space="preserve">Unless otherwise noted, each listed person’s address is c/o CoStar Group, Inc., 1201 Wilson Blvd., Arlington, Virginia 22209.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ARIAL" w:hAnsi="ARIAL"/>
                <w:sz w:val="16"/>
              </w:rPr>
            </w:pPr>
            <w:r>
              <w:rPr>
                <w:rFonts w:ascii="ARIAL" w:hAnsi="ARIAL"/>
                <w:sz w:val="16"/>
              </w:rPr>
              <w:t xml:space="preserve">Beneficial ownership, as determined in accordance with Rule 13d-3 under the Exchange Act, includes sole or shared power to vote or direct the voting of, or to dispose or direct the disposition of shares, as well as the right to acquire beneficial ownership within 60 days of April 1, 2026, through the exercise of an option or otherwise. Accordingly, when applicable, DSUs issued pursuant to the MSPP are included in the beneficial ownership amounts reported herein, whereas Matching RSUs issued pursuant to the MSPP are excluded from the beneficial ownership amounts reported herein because such Matching RSUs are subject to vesting conditions and do not carry voting rights. Except as indicated in the footnotes to the table and to the extent authority is shared by spouses under applicable law, we believe, based on information furnished to us, that the persons named in the table have sole voting and dispositive power with respect to their reported shares of common stock. The use of * indicates ownership of less than 1%. As of April 1, 2026, the Company had 408,325,696 shares of common stock outstanding. </w:t>
            </w:r>
          </w:p>
        </w:tc>
      </w:tr>
    </w:tbl>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(3)</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Includes 8,678 shares of restricted stock that are subject to vesting restrictions.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 xml:space="preserve">Includes 1,393,133 shares issuable upon options exercisable within 60 days of April 1, 2026, as well as 627,814 shares of restricted stock that are subject to vesting restrictions and performance conditions.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Includes 8,200 shares issuable upon options exercisable within 60 days of April 1, 2026, as well as 106,683 shares of restricted stock that are subject to vesting restrictions and performance conditions.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73"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48" descr=""/>
                          <pic:cNvPicPr>
                            <a:picLocks noChangeAspect="1" noChangeArrowheads="1"/>
                          </pic:cNvPicPr>
                        </pic:nvPicPr>
                        <pic:blipFill>
                          <a:blip r:embed="rId36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86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453" w:type="dxa"/>
        <w:jc w:val="left"/>
        <w:tblInd w:w="0" w:type="dxa"/>
        <w:tblLayout w:type="fixed"/>
        <w:tblCellMar>
          <w:top w:w="0" w:type="dxa"/>
          <w:left w:w="0" w:type="dxa"/>
          <w:bottom w:w="0" w:type="dxa"/>
          <w:right w:w="0" w:type="dxa"/>
        </w:tblCellMar>
      </w:tblPr>
      <w:tblGrid>
        <w:gridCol w:w="38"/>
        <w:gridCol w:w="12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44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29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STOCK OWNERSHIP INFORMATION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(6)</w:t>
            </w:r>
          </w:p>
        </w:tc>
        <w:tc>
          <w:tcPr>
            <w:tcW w:w="9927" w:type="dxa"/>
            <w:tcBorders/>
            <w:vAlign w:val="center"/>
          </w:tcPr>
          <w:p>
            <w:pPr>
              <w:pStyle w:val="TableContents"/>
              <w:bidi w:val="0"/>
              <w:spacing w:before="0" w:after="0"/>
              <w:jc w:val="left"/>
              <w:rPr>
                <w:rFonts w:ascii="ARIAL" w:hAnsi="ARIAL"/>
                <w:sz w:val="16"/>
              </w:rPr>
            </w:pPr>
            <w:r>
              <w:rPr>
                <w:rFonts w:ascii="ARIAL" w:hAnsi="ARIAL"/>
                <w:sz w:val="16"/>
              </w:rPr>
              <w:t xml:space="preserve">Includes 159,536 shares issuable upon options exercisable within 60 days of April 1, 2026, as well as 93,934 shares of restricted stock that are subject to vesting restrictions and performance conditions.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(7)</w:t>
            </w:r>
          </w:p>
        </w:tc>
        <w:tc>
          <w:tcPr>
            <w:tcW w:w="9927" w:type="dxa"/>
            <w:tcBorders/>
            <w:vAlign w:val="center"/>
          </w:tcPr>
          <w:p>
            <w:pPr>
              <w:pStyle w:val="TableContents"/>
              <w:bidi w:val="0"/>
              <w:spacing w:before="0" w:after="0"/>
              <w:jc w:val="left"/>
              <w:rPr>
                <w:rFonts w:ascii="ARIAL" w:hAnsi="ARIAL"/>
                <w:sz w:val="16"/>
              </w:rPr>
            </w:pPr>
            <w:r>
              <w:rPr>
                <w:rFonts w:ascii="ARIAL" w:hAnsi="ARIAL"/>
                <w:sz w:val="16"/>
              </w:rPr>
              <w:t xml:space="preserve">Includes 151,433 shares issuable upon options exercisable within 60 days of April 1, 2026, as well as 138,315 shares of restricted stock that are subject to vesting restrictions and performance conditions.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(8)</w:t>
            </w:r>
          </w:p>
        </w:tc>
        <w:tc>
          <w:tcPr>
            <w:tcW w:w="9927" w:type="dxa"/>
            <w:tcBorders/>
            <w:vAlign w:val="center"/>
          </w:tcPr>
          <w:p>
            <w:pPr>
              <w:pStyle w:val="TableContents"/>
              <w:bidi w:val="0"/>
              <w:spacing w:before="0" w:after="0"/>
              <w:jc w:val="left"/>
              <w:rPr>
                <w:rFonts w:ascii="ARIAL" w:hAnsi="ARIAL"/>
                <w:sz w:val="16"/>
              </w:rPr>
            </w:pPr>
            <w:r>
              <w:rPr>
                <w:rFonts w:ascii="ARIAL" w:hAnsi="ARIAL"/>
                <w:sz w:val="16"/>
              </w:rPr>
              <w:t xml:space="preserve">Includes 186,220 shares issuable upon options exercisable within 60 days of April 1, 2026, as well as 195,254 shares of restricted stock that are subject to vesting restrictions and performance conditions. </w:t>
            </w:r>
          </w:p>
        </w:tc>
      </w:tr>
    </w:tbl>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(9)</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Includes 2,973 shares of restricted stock that are subject to vesting restrictions. </w:t>
            </w:r>
          </w:p>
        </w:tc>
      </w:tr>
    </w:tbl>
    <w:tbl>
      <w:tblPr>
        <w:tblW w:w="6370" w:type="dxa"/>
        <w:jc w:val="left"/>
        <w:tblInd w:w="0" w:type="dxa"/>
        <w:tblLayout w:type="fixed"/>
        <w:tblCellMar>
          <w:top w:w="0" w:type="dxa"/>
          <w:left w:w="0" w:type="dxa"/>
          <w:bottom w:w="0" w:type="dxa"/>
          <w:right w:w="0" w:type="dxa"/>
        </w:tblCellMar>
      </w:tblPr>
      <w:tblGrid>
        <w:gridCol w:w="485"/>
        <w:gridCol w:w="5885"/>
      </w:tblGrid>
      <w:tr>
        <w:trPr/>
        <w:tc>
          <w:tcPr>
            <w:tcW w:w="485" w:type="dxa"/>
            <w:tcBorders/>
            <w:vAlign w:val="center"/>
          </w:tcPr>
          <w:p>
            <w:pPr>
              <w:pStyle w:val="TableContents"/>
              <w:bidi w:val="0"/>
              <w:spacing w:before="0" w:after="283"/>
              <w:jc w:val="left"/>
              <w:rPr/>
            </w:pPr>
            <w:r>
              <w:rPr/>
              <w:t>(10) </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Includes 7,528 shares of restricted stock that are subject to vesting restrictions. </w:t>
            </w:r>
          </w:p>
        </w:tc>
      </w:tr>
    </w:tbl>
    <w:tbl>
      <w:tblPr>
        <w:tblW w:w="6370" w:type="dxa"/>
        <w:jc w:val="left"/>
        <w:tblInd w:w="0" w:type="dxa"/>
        <w:tblLayout w:type="fixed"/>
        <w:tblCellMar>
          <w:top w:w="0" w:type="dxa"/>
          <w:left w:w="0" w:type="dxa"/>
          <w:bottom w:w="0" w:type="dxa"/>
          <w:right w:w="0" w:type="dxa"/>
        </w:tblCellMar>
      </w:tblPr>
      <w:tblGrid>
        <w:gridCol w:w="485"/>
        <w:gridCol w:w="5885"/>
      </w:tblGrid>
      <w:tr>
        <w:trPr/>
        <w:tc>
          <w:tcPr>
            <w:tcW w:w="485" w:type="dxa"/>
            <w:tcBorders/>
            <w:vAlign w:val="center"/>
          </w:tcPr>
          <w:p>
            <w:pPr>
              <w:pStyle w:val="TableContents"/>
              <w:bidi w:val="0"/>
              <w:spacing w:before="0" w:after="283"/>
              <w:jc w:val="left"/>
              <w:rPr/>
            </w:pPr>
            <w:r>
              <w:rPr/>
              <w:t>(11) </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Includes 3,143 shares of restricted stock that are subject to vesting restrictions. </w:t>
            </w:r>
          </w:p>
        </w:tc>
      </w:tr>
    </w:tbl>
    <w:tbl>
      <w:tblPr>
        <w:tblW w:w="6370" w:type="dxa"/>
        <w:jc w:val="left"/>
        <w:tblInd w:w="0" w:type="dxa"/>
        <w:tblLayout w:type="fixed"/>
        <w:tblCellMar>
          <w:top w:w="0" w:type="dxa"/>
          <w:left w:w="0" w:type="dxa"/>
          <w:bottom w:w="0" w:type="dxa"/>
          <w:right w:w="0" w:type="dxa"/>
        </w:tblCellMar>
      </w:tblPr>
      <w:tblGrid>
        <w:gridCol w:w="485"/>
        <w:gridCol w:w="5885"/>
      </w:tblGrid>
      <w:tr>
        <w:trPr/>
        <w:tc>
          <w:tcPr>
            <w:tcW w:w="485" w:type="dxa"/>
            <w:tcBorders/>
            <w:vAlign w:val="center"/>
          </w:tcPr>
          <w:p>
            <w:pPr>
              <w:pStyle w:val="TableContents"/>
              <w:bidi w:val="0"/>
              <w:spacing w:before="0" w:after="283"/>
              <w:jc w:val="left"/>
              <w:rPr/>
            </w:pPr>
            <w:r>
              <w:rPr/>
              <w:t>(12) </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Includes 8,869 shares of restricted stock that are subject to vesting restrictions. </w:t>
            </w:r>
          </w:p>
        </w:tc>
      </w:tr>
    </w:tbl>
    <w:tbl>
      <w:tblPr>
        <w:tblW w:w="6370" w:type="dxa"/>
        <w:jc w:val="left"/>
        <w:tblInd w:w="0" w:type="dxa"/>
        <w:tblLayout w:type="fixed"/>
        <w:tblCellMar>
          <w:top w:w="0" w:type="dxa"/>
          <w:left w:w="0" w:type="dxa"/>
          <w:bottom w:w="0" w:type="dxa"/>
          <w:right w:w="0" w:type="dxa"/>
        </w:tblCellMar>
      </w:tblPr>
      <w:tblGrid>
        <w:gridCol w:w="485"/>
        <w:gridCol w:w="5885"/>
      </w:tblGrid>
      <w:tr>
        <w:trPr/>
        <w:tc>
          <w:tcPr>
            <w:tcW w:w="485" w:type="dxa"/>
            <w:tcBorders/>
            <w:vAlign w:val="center"/>
          </w:tcPr>
          <w:p>
            <w:pPr>
              <w:pStyle w:val="TableContents"/>
              <w:bidi w:val="0"/>
              <w:spacing w:before="0" w:after="283"/>
              <w:jc w:val="left"/>
              <w:rPr/>
            </w:pPr>
            <w:r>
              <w:rPr/>
              <w:t>(13) </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Includes 2,973 shares of restricted stock that are subject to vesting restrictions. </w:t>
            </w:r>
          </w:p>
        </w:tc>
      </w:tr>
    </w:tbl>
    <w:tbl>
      <w:tblPr>
        <w:tblW w:w="6370" w:type="dxa"/>
        <w:jc w:val="left"/>
        <w:tblInd w:w="0" w:type="dxa"/>
        <w:tblLayout w:type="fixed"/>
        <w:tblCellMar>
          <w:top w:w="0" w:type="dxa"/>
          <w:left w:w="0" w:type="dxa"/>
          <w:bottom w:w="0" w:type="dxa"/>
          <w:right w:w="0" w:type="dxa"/>
        </w:tblCellMar>
      </w:tblPr>
      <w:tblGrid>
        <w:gridCol w:w="485"/>
        <w:gridCol w:w="5885"/>
      </w:tblGrid>
      <w:tr>
        <w:trPr/>
        <w:tc>
          <w:tcPr>
            <w:tcW w:w="485" w:type="dxa"/>
            <w:tcBorders/>
            <w:vAlign w:val="center"/>
          </w:tcPr>
          <w:p>
            <w:pPr>
              <w:pStyle w:val="TableContents"/>
              <w:bidi w:val="0"/>
              <w:spacing w:before="0" w:after="283"/>
              <w:jc w:val="left"/>
              <w:rPr/>
            </w:pPr>
            <w:r>
              <w:rPr/>
              <w:t>(14) </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Includes 8,202 shares of restricted stock that are subject to vesting restrictions. </w:t>
            </w:r>
          </w:p>
        </w:tc>
      </w:tr>
    </w:tbl>
    <w:tbl>
      <w:tblPr>
        <w:tblW w:w="10205" w:type="dxa"/>
        <w:jc w:val="left"/>
        <w:tblInd w:w="0" w:type="dxa"/>
        <w:tblLayout w:type="fixed"/>
        <w:tblCellMar>
          <w:top w:w="0" w:type="dxa"/>
          <w:left w:w="0" w:type="dxa"/>
          <w:bottom w:w="0" w:type="dxa"/>
          <w:right w:w="0" w:type="dxa"/>
        </w:tblCellMar>
      </w:tblPr>
      <w:tblGrid>
        <w:gridCol w:w="434"/>
        <w:gridCol w:w="9771"/>
      </w:tblGrid>
      <w:tr>
        <w:trPr/>
        <w:tc>
          <w:tcPr>
            <w:tcW w:w="434" w:type="dxa"/>
            <w:tcBorders/>
            <w:vAlign w:val="center"/>
          </w:tcPr>
          <w:p>
            <w:pPr>
              <w:pStyle w:val="TableContents"/>
              <w:bidi w:val="0"/>
              <w:spacing w:before="0" w:after="283"/>
              <w:jc w:val="left"/>
              <w:rPr/>
            </w:pPr>
            <w:r>
              <w:rPr/>
              <w:t>(15) </w:t>
            </w:r>
          </w:p>
        </w:tc>
        <w:tc>
          <w:tcPr>
            <w:tcW w:w="9771" w:type="dxa"/>
            <w:tcBorders/>
            <w:vAlign w:val="center"/>
          </w:tcPr>
          <w:p>
            <w:pPr>
              <w:pStyle w:val="TableContents"/>
              <w:bidi w:val="0"/>
              <w:spacing w:before="0" w:after="0"/>
              <w:jc w:val="left"/>
              <w:rPr>
                <w:rFonts w:ascii="ARIAL" w:hAnsi="ARIAL"/>
                <w:sz w:val="16"/>
              </w:rPr>
            </w:pPr>
            <w:r>
              <w:rPr>
                <w:rFonts w:ascii="ARIAL" w:hAnsi="ARIAL"/>
                <w:sz w:val="16"/>
              </w:rPr>
              <w:t xml:space="preserve">Includes 1,898,522 shares issuable upon options exercisable within 60 days of April 1, 2026, as well as 1,237,169 shares of restricted stock that are subject to vesting restrictions and performance conditions.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(16) </w:t>
            </w:r>
          </w:p>
        </w:tc>
        <w:tc>
          <w:tcPr>
            <w:tcW w:w="9818" w:type="dxa"/>
            <w:tcBorders/>
            <w:vAlign w:val="center"/>
          </w:tcPr>
          <w:p>
            <w:pPr>
              <w:pStyle w:val="TableContents"/>
              <w:bidi w:val="0"/>
              <w:spacing w:before="0" w:after="0"/>
              <w:jc w:val="left"/>
              <w:rPr>
                <w:rFonts w:ascii="ARIAL" w:hAnsi="ARIAL"/>
                <w:sz w:val="16"/>
              </w:rPr>
            </w:pPr>
            <w:r>
              <w:rPr>
                <w:rFonts w:ascii="ARIAL" w:hAnsi="ARIAL"/>
                <w:sz w:val="16"/>
              </w:rPr>
              <w:t xml:space="preserve">Number of shares beneficially owned is as of March 31, 2025 and is based on the most recent Schedule 13G/A filed by BlackRock, Inc. on April 23, 2025. The reporting person had sole voting power with respect to 29,054,688 shares and sole dispositive power with respect to 31,820,259 shares, and shared voting and shared dispositive power with respect to no shares. The address of the reporting person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(17) </w:t>
            </w:r>
          </w:p>
        </w:tc>
        <w:tc>
          <w:tcPr>
            <w:tcW w:w="9819" w:type="dxa"/>
            <w:tcBorders/>
            <w:vAlign w:val="center"/>
          </w:tcPr>
          <w:p>
            <w:pPr>
              <w:pStyle w:val="TableContents"/>
              <w:bidi w:val="0"/>
              <w:spacing w:before="0" w:after="0"/>
              <w:jc w:val="left"/>
              <w:rPr>
                <w:rFonts w:ascii="ARIAL" w:hAnsi="ARIAL"/>
                <w:sz w:val="16"/>
              </w:rPr>
            </w:pPr>
            <w:r>
              <w:rPr>
                <w:rFonts w:ascii="ARIAL" w:hAnsi="ARIAL"/>
                <w:sz w:val="16"/>
              </w:rPr>
              <w:t xml:space="preserve">Number of shares beneficially owned is as of March 31, 2026, and is based on the most recent Schedule 13G filed by Vanguard Portfolio Management on April 29, 2026. The reporting person had sole voting power with respect to 57,902 shares, sole dispositive power with respect to 38,292,035 shares, and shared voting and shared dispositive power with respect to no shares. The address of the reporting person is 100 Vanguard Boulevard, Malvern, PA 19355.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(18) </w:t>
            </w:r>
          </w:p>
        </w:tc>
        <w:tc>
          <w:tcPr>
            <w:tcW w:w="9819" w:type="dxa"/>
            <w:tcBorders/>
            <w:vAlign w:val="center"/>
          </w:tcPr>
          <w:p>
            <w:pPr>
              <w:pStyle w:val="TableContents"/>
              <w:bidi w:val="0"/>
              <w:spacing w:before="0" w:after="0"/>
              <w:jc w:val="left"/>
              <w:rPr>
                <w:rFonts w:ascii="ARIAL" w:hAnsi="ARIAL"/>
                <w:sz w:val="16"/>
              </w:rPr>
            </w:pPr>
            <w:r>
              <w:rPr>
                <w:rFonts w:ascii="ARIAL" w:hAnsi="ARIAL"/>
                <w:sz w:val="16"/>
              </w:rPr>
              <w:t xml:space="preserve">Number of shares beneficially owned is as of March 31, 2026, and is based on the most recent Schedule 13G filed by Vanguard Capital Management on April 29, 2026. The reporting person had sole voting power with respect to 4,190,094 shares, sole dispositive power with respect to 31,613,997 shares, and shared voting and shared dispositive power with respect to no shares. The address of the reporting person is 100 Vanguard Boulevard, Malvern, PA 19355. </w:t>
            </w:r>
          </w:p>
        </w:tc>
      </w:tr>
    </w:tbl>
    <w:p>
      <w:pPr>
        <w:pStyle w:val="TextBody"/>
        <w:bidi w:val="0"/>
        <w:spacing w:before="360" w:after="0"/>
        <w:jc w:val="left"/>
        <w:rPr>
          <w:rFonts w:ascii="ARIAL" w:hAnsi="ARIAL"/>
          <w:b/>
          <w:sz w:val="24"/>
        </w:rPr>
      </w:pPr>
      <w:bookmarkStart w:id="62" w:name="toc903159_42"/>
      <w:bookmarkEnd w:id="62"/>
      <w:r>
        <w:rPr>
          <w:rFonts w:ascii="ARIAL" w:hAnsi="ARIAL"/>
          <w:b/>
          <w:sz w:val="24"/>
        </w:rPr>
        <w:t xml:space="preserve">Delinquent Section 16(a) Reports </w:t>
      </w:r>
    </w:p>
    <w:p>
      <w:pPr>
        <w:pStyle w:val="TextBody"/>
        <w:bidi w:val="0"/>
        <w:spacing w:before="80" w:after="0"/>
        <w:jc w:val="left"/>
        <w:rPr>
          <w:rFonts w:ascii="ARIAL" w:hAnsi="ARIAL"/>
          <w:sz w:val="18"/>
        </w:rPr>
      </w:pPr>
      <w:r>
        <w:rPr>
          <w:rFonts w:ascii="ARIAL" w:hAnsi="ARIAL"/>
          <w:sz w:val="18"/>
        </w:rPr>
        <w:t xml:space="preserve">Section 16(a) of the Exchange Act requires the Company’s directors, executive officers, and any persons who own more than ten percent of a registered class of the Company’s equity securities to file reports of securities ownership and changes in such ownership with the SEC. The Company assists in complying with this reporting obligation by preparing and filing ownership reports on behalf of its executive officers and directors pursuant to powers of attorney issued by the executive officer or director to the Company. Based solely on our review of these reports, or written representations from certain reporting persons, we believe that during fiscal year 2025, all such reporting persons filed the required reports on a timely basis under Section 16(a), except that an ownership interest was inadvertently omitted from a timely filed Form 3 for Christine M. McCarthy, which omission was corrected by an amended Form 3 filed on April 2, 2026.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74"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49" descr=""/>
                          <pic:cNvPicPr>
                            <a:picLocks noChangeAspect="1" noChangeArrowheads="1"/>
                          </pic:cNvPicPr>
                        </pic:nvPicPr>
                        <pic:blipFill>
                          <a:blip r:embed="rId36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87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54BA"/>
          <w:sz w:val="44"/>
        </w:rPr>
      </w:pPr>
      <w:bookmarkStart w:id="63" w:name="toc903159_48"/>
      <w:bookmarkEnd w:id="63"/>
      <w:r>
        <w:rPr>
          <w:rFonts w:ascii="ARIAL" w:hAnsi="ARIAL"/>
          <w:b/>
          <w:color w:val="0054BA"/>
          <w:sz w:val="44"/>
        </w:rPr>
        <w:t xml:space="preserve">Proposal 4 </w:t>
      </w:r>
    </w:p>
    <w:p>
      <w:pPr>
        <w:pStyle w:val="TextBody"/>
        <w:bidi w:val="0"/>
        <w:spacing w:before="0" w:after="0"/>
        <w:jc w:val="left"/>
        <w:rPr>
          <w:rFonts w:ascii="ARIAL" w:hAnsi="ARIAL"/>
          <w:b/>
          <w:sz w:val="64"/>
        </w:rPr>
      </w:pPr>
      <w:r>
        <w:rPr>
          <w:rFonts w:ascii="ARIAL" w:hAnsi="ARIAL"/>
          <w:b/>
          <w:sz w:val="64"/>
        </w:rPr>
        <w:t xml:space="preserve">APPROVAL OF THE COSTAR GROUP, INC. 2026 EMPLOYEE STOCK PURCHASE PLAN </w:t>
      </w:r>
    </w:p>
    <w:p>
      <w:pPr>
        <w:pStyle w:val="TextBody"/>
        <w:bidi w:val="0"/>
        <w:spacing w:before="720" w:after="0"/>
        <w:jc w:val="left"/>
        <w:rPr>
          <w:rFonts w:ascii="ARIAL" w:hAnsi="ARIAL"/>
          <w:sz w:val="18"/>
        </w:rPr>
      </w:pPr>
      <w:r>
        <w:rPr>
          <w:rFonts w:ascii="ARIAL" w:hAnsi="ARIAL"/>
          <w:sz w:val="18"/>
        </w:rPr>
        <w:t xml:space="preserve">At the Annual Meeting, stockholders will be asked to approve the 2026 ESPP. </w:t>
      </w:r>
    </w:p>
    <w:p>
      <w:pPr>
        <w:pStyle w:val="TextBody"/>
        <w:bidi w:val="0"/>
        <w:spacing w:before="360" w:after="0"/>
        <w:jc w:val="left"/>
        <w:rPr>
          <w:rFonts w:ascii="ARIAL" w:hAnsi="ARIAL"/>
          <w:b/>
          <w:sz w:val="24"/>
        </w:rPr>
      </w:pPr>
      <w:r>
        <w:rPr>
          <w:rFonts w:ascii="ARIAL" w:hAnsi="ARIAL"/>
          <w:b/>
          <w:sz w:val="24"/>
        </w:rPr>
        <w:t xml:space="preserve">Overview </w:t>
      </w:r>
    </w:p>
    <w:p>
      <w:pPr>
        <w:pStyle w:val="TextBody"/>
        <w:bidi w:val="0"/>
        <w:spacing w:before="80" w:after="0"/>
        <w:jc w:val="left"/>
        <w:rPr>
          <w:rFonts w:ascii="ARIAL" w:hAnsi="ARIAL"/>
          <w:sz w:val="18"/>
        </w:rPr>
      </w:pPr>
      <w:r>
        <w:rPr>
          <w:rFonts w:ascii="ARIAL" w:hAnsi="ARIAL"/>
          <w:sz w:val="18"/>
        </w:rPr>
        <w:t xml:space="preserve">In this Proposal 4, we are requesting stockholders approve the adoption of the Costar Group, Inc. 2026 Employee Stock Purchase Plan (the “2026 ESPP”). The Board has adopted the 2026 ESPP, subject to stockholder approval, to be effective as of the date on which our stockholders approve the 2026 ESPP. The 2026 ESPP is described in more detail below. If this Proposal 4 is not approved by our stockholders, the 2026 ESPP will not become effective. </w:t>
      </w:r>
    </w:p>
    <w:p>
      <w:pPr>
        <w:pStyle w:val="TextBody"/>
        <w:bidi w:val="0"/>
        <w:spacing w:before="360" w:after="0"/>
        <w:jc w:val="left"/>
        <w:rPr>
          <w:rFonts w:ascii="ARIAL" w:hAnsi="ARIAL"/>
          <w:b/>
          <w:sz w:val="24"/>
        </w:rPr>
      </w:pPr>
      <w:r>
        <w:rPr>
          <w:rFonts w:ascii="ARIAL" w:hAnsi="ARIAL"/>
          <w:b/>
          <w:sz w:val="24"/>
        </w:rPr>
        <w:t xml:space="preserve">The 2026 ESPP </w:t>
      </w:r>
    </w:p>
    <w:p>
      <w:pPr>
        <w:pStyle w:val="TextBody"/>
        <w:bidi w:val="0"/>
        <w:spacing w:before="80" w:after="0"/>
        <w:jc w:val="left"/>
        <w:rPr>
          <w:rFonts w:ascii="ARIAL" w:hAnsi="ARIAL"/>
          <w:sz w:val="18"/>
        </w:rPr>
      </w:pPr>
      <w:r>
        <w:rPr>
          <w:rFonts w:ascii="ARIAL" w:hAnsi="ARIAL"/>
          <w:sz w:val="18"/>
        </w:rPr>
        <w:t xml:space="preserve">The 2026 ESPP is comprised of two distinct components in order to provide increased flexibility to grant options to purchase shares under the 2026 ESPP. Specifically, the 2026 ESPP authorizes (1) the grant of options that are intended to qualify for favorable U.S. federal tax treatment under Section 423 of the Code (the “Section 423 Component”), and (2) the grant of options that are not intended to be tax-qualified under Section 423 of the Code (the “Non-Section 423 Component”). Where permitted and if implemented, we expect that the Non-Section 423 Component will generally be operated and administered on terms and conditions similar to the Section 423 Component. </w:t>
      </w:r>
    </w:p>
    <w:p>
      <w:pPr>
        <w:pStyle w:val="TextBody"/>
        <w:bidi w:val="0"/>
        <w:spacing w:before="360" w:after="0"/>
        <w:jc w:val="left"/>
        <w:rPr>
          <w:rFonts w:ascii="ARIAL" w:hAnsi="ARIAL"/>
          <w:b/>
          <w:sz w:val="24"/>
        </w:rPr>
      </w:pPr>
      <w:r>
        <w:rPr>
          <w:rFonts w:ascii="ARIAL" w:hAnsi="ARIAL"/>
          <w:b/>
          <w:sz w:val="24"/>
        </w:rPr>
        <w:t xml:space="preserve">Background and Proposed Share Reserve </w:t>
      </w:r>
    </w:p>
    <w:p>
      <w:pPr>
        <w:pStyle w:val="TextBody"/>
        <w:bidi w:val="0"/>
        <w:spacing w:before="80" w:after="0"/>
        <w:jc w:val="left"/>
        <w:rPr>
          <w:rFonts w:ascii="ARIAL" w:hAnsi="ARIAL"/>
          <w:sz w:val="18"/>
        </w:rPr>
      </w:pPr>
      <w:r>
        <w:rPr>
          <w:rFonts w:ascii="ARIAL" w:hAnsi="ARIAL"/>
          <w:sz w:val="18"/>
        </w:rPr>
        <w:t xml:space="preserve">The Board has unanimously adopted, subject to stockholder approval, the 2026 ESPP for our employees and the employees of our participating subsidiaries. The 2026 ESPP authorizes the issuance of 2,500,000 shares of the Company’s common stock. </w:t>
      </w:r>
    </w:p>
    <w:p>
      <w:pPr>
        <w:pStyle w:val="TextBody"/>
        <w:bidi w:val="0"/>
        <w:spacing w:before="120" w:after="0"/>
        <w:jc w:val="left"/>
        <w:rPr>
          <w:rFonts w:ascii="ARIAL" w:hAnsi="ARIAL"/>
          <w:sz w:val="18"/>
        </w:rPr>
      </w:pPr>
      <w:r>
        <w:rPr>
          <w:rFonts w:ascii="ARIAL" w:hAnsi="ARIAL"/>
          <w:sz w:val="18"/>
        </w:rPr>
        <w:t xml:space="preserve">The primary purpose of the 2026 ESPP is to assist eligible employees in acquiring a stock ownership interest in the Company pursuant to a plan that, where applicable, is intended to qualify as an “employee stock purchase plan” within the meaning of Section 423(b) of the Code and to help eligible employees provide for their future security and to encourage them to remain in the employment of the Company and its participating subsidiaries. The 2026 ESPP gives employees an opportunity to purchase shares of common stock through payroll deductions over the course of each offering period under the 2026 ESPP. We believe that our stockholders will correspondingly benefit from the increased interest on the part of participating employees in the success of the Company. </w:t>
      </w:r>
    </w:p>
    <w:p>
      <w:pPr>
        <w:pStyle w:val="TextBody"/>
        <w:bidi w:val="0"/>
        <w:spacing w:before="120" w:after="0"/>
        <w:jc w:val="left"/>
        <w:rPr>
          <w:rFonts w:ascii="ARIAL" w:hAnsi="ARIAL"/>
          <w:sz w:val="18"/>
        </w:rPr>
      </w:pPr>
      <w:r>
        <w:rPr>
          <w:rFonts w:ascii="ARIAL" w:hAnsi="ARIAL"/>
          <w:sz w:val="18"/>
        </w:rPr>
        <w:t xml:space="preserve">We believe that the 2026 ESPP is a powerful incentive and retention tool that will benefit all of our stockholders. Specifically, we believe the 2026 ESPP will enable the Company to: (1) provide eligible employees with a convenient means of acquiring an equity interest in the Company through payroll deductions, (2) enhance such employees’ sense of participation in the affairs of the Company, and (3) provide an incentive for continued employment. The 2026 ESPP will also align the interests of employees with those of stockholders through increased stock ownership. </w:t>
      </w:r>
    </w:p>
    <w:p>
      <w:pPr>
        <w:pStyle w:val="TextBody"/>
        <w:bidi w:val="0"/>
        <w:spacing w:before="120" w:after="0"/>
        <w:jc w:val="left"/>
        <w:rPr>
          <w:rFonts w:ascii="ARIAL" w:hAnsi="ARIAL"/>
          <w:sz w:val="18"/>
        </w:rPr>
      </w:pPr>
      <w:r>
        <w:rPr>
          <w:rFonts w:ascii="ARIAL" w:hAnsi="ARIAL"/>
          <w:sz w:val="18"/>
        </w:rPr>
        <w:t xml:space="preserve">The Board approved the 2026 ESPP on April 27, 2026, subject to further approval by our stockholders. In making its determination, the Board considered various factors in determining the appropriate share reserve under the 2026 ESPP, including the costs of the share reserve and the expected employee utilization of the 2026 ESPP. Specifically, the Board considered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2,500,000 shares to be initially reserved for issuance under the 2026 ESPP represent 0.61% of outstanding shares as of the date the Board approved the 2026 ESPP.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We expect the proposed aggregate share reserve under the 2026 ESPP to provide us with enough shares for approximately five years or more, depending on the price of our shares and expected hiring activity and eligible employee participation. We cannot predict these factors with any degree of certainty at this time, and the share reserve under the 2026 ESPP could last for a shorter or longer time.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75"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50" descr=""/>
                          <pic:cNvPicPr>
                            <a:picLocks noChangeAspect="1" noChangeArrowheads="1"/>
                          </pic:cNvPicPr>
                        </pic:nvPicPr>
                        <pic:blipFill>
                          <a:blip r:embed="rId36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88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058" w:type="dxa"/>
        <w:jc w:val="left"/>
        <w:tblInd w:w="0" w:type="dxa"/>
        <w:tblLayout w:type="fixed"/>
        <w:tblCellMar>
          <w:top w:w="0" w:type="dxa"/>
          <w:left w:w="0" w:type="dxa"/>
          <w:bottom w:w="0" w:type="dxa"/>
          <w:right w:w="0" w:type="dxa"/>
        </w:tblCellMar>
      </w:tblPr>
      <w:tblGrid>
        <w:gridCol w:w="38"/>
        <w:gridCol w:w="120"/>
        <w:gridCol w:w="1190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2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4 — APPROVAL OF THE COSTAR GROUP, INC. 2026 EMPLOYEE STOCK PURCHASE PLAN</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light of the factors described above, and the fact that the Board believes that offering an employee stock purchase plan is important to the Company’s ability to continue to attract and retain employees in the labor markets in which we compete for talent, the Board has determined that the size of the share reserve under the 2026 ESPP is reasonable and appropriate at this time. </w:t>
      </w:r>
    </w:p>
    <w:p>
      <w:pPr>
        <w:pStyle w:val="TextBody"/>
        <w:bidi w:val="0"/>
        <w:spacing w:before="360" w:after="0"/>
        <w:jc w:val="left"/>
        <w:rPr>
          <w:rFonts w:ascii="ARIAL" w:hAnsi="ARIAL"/>
          <w:b/>
          <w:sz w:val="24"/>
        </w:rPr>
      </w:pPr>
      <w:bookmarkStart w:id="64" w:name="toc903159_49"/>
      <w:bookmarkEnd w:id="64"/>
      <w:r>
        <w:rPr>
          <w:rFonts w:ascii="ARIAL" w:hAnsi="ARIAL"/>
          <w:b/>
          <w:sz w:val="24"/>
        </w:rPr>
        <w:t xml:space="preserve">Summary of the 2026 ESPP </w:t>
      </w:r>
    </w:p>
    <w:p>
      <w:pPr>
        <w:pStyle w:val="TextBody"/>
        <w:bidi w:val="0"/>
        <w:spacing w:before="80" w:after="0"/>
        <w:jc w:val="left"/>
        <w:rPr>
          <w:rFonts w:ascii="ARIAL" w:hAnsi="ARIAL"/>
          <w:sz w:val="18"/>
        </w:rPr>
      </w:pPr>
      <w:r>
        <w:rPr>
          <w:rFonts w:ascii="ARIAL" w:hAnsi="ARIAL"/>
          <w:sz w:val="18"/>
        </w:rPr>
        <w:t xml:space="preserve">This section summarizes certain principal features of the 2026 ESPP. The summary is qualified in its entirety by reference to the complete text of the 2026 ESPP, a copy of which is attached as Appendix B to this Proxy Statement. We urge our stockholders to carefully read the entire 2026 ESPP before voting on this proposal. </w:t>
      </w:r>
    </w:p>
    <w:p>
      <w:pPr>
        <w:pStyle w:val="TextBody"/>
        <w:bidi w:val="0"/>
        <w:spacing w:before="360" w:after="0"/>
        <w:jc w:val="left"/>
        <w:rPr>
          <w:rFonts w:ascii="ARIAL" w:hAnsi="ARIAL"/>
          <w:b/>
          <w:sz w:val="24"/>
        </w:rPr>
      </w:pPr>
      <w:r>
        <w:rPr>
          <w:rFonts w:ascii="ARIAL" w:hAnsi="ARIAL"/>
          <w:b/>
          <w:sz w:val="24"/>
        </w:rPr>
        <w:t xml:space="preserve">Eligibility and Administration </w:t>
      </w:r>
    </w:p>
    <w:p>
      <w:pPr>
        <w:pStyle w:val="TextBody"/>
        <w:bidi w:val="0"/>
        <w:spacing w:before="80" w:after="0"/>
        <w:jc w:val="left"/>
        <w:rPr>
          <w:rFonts w:ascii="ARIAL" w:hAnsi="ARIAL"/>
          <w:sz w:val="18"/>
        </w:rPr>
      </w:pPr>
      <w:r>
        <w:rPr>
          <w:rFonts w:ascii="ARIAL" w:hAnsi="ARIAL"/>
          <w:sz w:val="18"/>
        </w:rPr>
        <w:t xml:space="preserve">We expect that all of CoStar’s employees will be eligible to participate in the 2026 ESPP. However, with respect to the Section 423 Component, an employee may not be granted rights to purchase stock under the 2026 ESPP if the employee, immediately after the grant, would own (directly or through attribution) stock possessing 5% or more of the total combined voting power or value of all classes of CoStar’s securities. Immediately following the adoption of the 2026 ESPP by our stockholders, if approved, CoStar is expected to have approximately 8,000 employees who may be eligible to participate in the 2026 ESPP. </w:t>
      </w:r>
    </w:p>
    <w:p>
      <w:pPr>
        <w:pStyle w:val="TextBody"/>
        <w:bidi w:val="0"/>
        <w:spacing w:before="120" w:after="0"/>
        <w:jc w:val="left"/>
        <w:rPr>
          <w:rFonts w:ascii="ARIAL" w:hAnsi="ARIAL"/>
          <w:sz w:val="18"/>
        </w:rPr>
      </w:pPr>
      <w:r>
        <w:rPr>
          <w:rFonts w:ascii="ARIAL" w:hAnsi="ARIAL"/>
          <w:sz w:val="18"/>
        </w:rPr>
        <w:t xml:space="preserve">The 2026 ESPP will be administered by the Board, which may delegate its duties and responsibilities to one or more committees of its directors (collectively, the “ESPP administrator’’). Among other things, the ESPP administrator will have authority to interpret the terms of the 2026 ESPP, determine eligibility of participants and impose a mandatory holding period pursuant to which employees may not dispose of or transfer shares purchased under the 2026 ESPP for a period of time determined by the ESPP administrator in its discretion. Following the adoption of the 2026 ESPP by our stockholders, if approved, we expect the Compensation Committee to administer the 2026 ESPP. </w:t>
      </w:r>
    </w:p>
    <w:p>
      <w:pPr>
        <w:pStyle w:val="TextBody"/>
        <w:bidi w:val="0"/>
        <w:spacing w:before="360" w:after="0"/>
        <w:jc w:val="left"/>
        <w:rPr>
          <w:rFonts w:ascii="ARIAL" w:hAnsi="ARIAL"/>
          <w:b/>
          <w:sz w:val="24"/>
        </w:rPr>
      </w:pPr>
      <w:r>
        <w:rPr>
          <w:rFonts w:ascii="ARIAL" w:hAnsi="ARIAL"/>
          <w:b/>
          <w:sz w:val="24"/>
        </w:rPr>
        <w:t xml:space="preserve">Shares Available for Awards </w:t>
      </w:r>
    </w:p>
    <w:p>
      <w:pPr>
        <w:pStyle w:val="TextBody"/>
        <w:bidi w:val="0"/>
        <w:spacing w:before="80" w:after="0"/>
        <w:jc w:val="left"/>
        <w:rPr>
          <w:rFonts w:ascii="ARIAL" w:hAnsi="ARIAL"/>
          <w:sz w:val="18"/>
        </w:rPr>
      </w:pPr>
      <w:r>
        <w:rPr>
          <w:rFonts w:ascii="ARIAL" w:hAnsi="ARIAL"/>
          <w:sz w:val="18"/>
        </w:rPr>
        <w:t xml:space="preserve">A total of 2,500,000 shares of CoStar’s common stock will initially be reserved for issuance under the 2026 ESPP, all of which can be granted under the Section 423 Component. </w:t>
      </w:r>
    </w:p>
    <w:p>
      <w:pPr>
        <w:pStyle w:val="TextBody"/>
        <w:bidi w:val="0"/>
        <w:spacing w:before="360" w:after="0"/>
        <w:jc w:val="left"/>
        <w:rPr>
          <w:rFonts w:ascii="ARIAL" w:hAnsi="ARIAL"/>
          <w:b/>
          <w:sz w:val="24"/>
        </w:rPr>
      </w:pPr>
      <w:r>
        <w:rPr>
          <w:rFonts w:ascii="ARIAL" w:hAnsi="ARIAL"/>
          <w:b/>
          <w:sz w:val="24"/>
        </w:rPr>
        <w:t xml:space="preserve">Awards </w:t>
      </w:r>
    </w:p>
    <w:p>
      <w:pPr>
        <w:pStyle w:val="TextBody"/>
        <w:bidi w:val="0"/>
        <w:spacing w:before="80" w:after="0"/>
        <w:jc w:val="left"/>
        <w:rPr>
          <w:rFonts w:ascii="ARIAL" w:hAnsi="ARIAL"/>
          <w:sz w:val="18"/>
        </w:rPr>
      </w:pPr>
      <w:r>
        <w:rPr>
          <w:rFonts w:ascii="ARIAL" w:hAnsi="ARIAL"/>
          <w:sz w:val="18"/>
        </w:rPr>
        <w:t xml:space="preserve">Stock will be offered under the 2026 ESPP during offering periods. Additionally, the ESPP administrator may designate one or more purchase periods within an offering period. The length of the offering periods and purchase periods under the 2026 ESPP will be determined by the ESPP administrator and the offering period may be up to twenty-seven months long. Employee payroll deductions will be used to purchase shares on each purchase date during an offering period. The purchase dates for each offering period will be the final trading day in the purchase period, or such other date determined by the ESPP administrator in an offering document. Offering periods and purchase periods under the 2026 ESPP will commence when determined by the ESPP administrator. The ESPP administrator may, in its discretion, modify the terms of future offering periods or purchase periods. In non-U.S. jurisdictions where participation in the 2026 ESPP through payroll deductions is prohibited, the ESPP administrator may provide that an eligible employee may elect to participate through contributions to the participant’s account under the 2026 ESPP in a form acceptable to the ESPP administrator in lieu of or in addition to payroll deductions. </w:t>
      </w:r>
    </w:p>
    <w:p>
      <w:pPr>
        <w:pStyle w:val="TextBody"/>
        <w:bidi w:val="0"/>
        <w:spacing w:before="120" w:after="0"/>
        <w:jc w:val="left"/>
        <w:rPr>
          <w:rFonts w:ascii="ARIAL" w:hAnsi="ARIAL"/>
          <w:sz w:val="18"/>
        </w:rPr>
      </w:pPr>
      <w:r>
        <w:rPr>
          <w:rFonts w:ascii="ARIAL" w:hAnsi="ARIAL"/>
          <w:sz w:val="18"/>
        </w:rPr>
        <w:t xml:space="preserve">The 2026 ESPP permits participants to purchase common stock through payroll deductions of up to a specified percentage of their eligible compensation. The ESPP administrator will establish a maximum number of shares that may be purchased by a participant during any offering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CoStar’s common stock as of the first day of the offering period). </w:t>
      </w:r>
    </w:p>
    <w:p>
      <w:pPr>
        <w:pStyle w:val="TextBody"/>
        <w:bidi w:val="0"/>
        <w:spacing w:before="120" w:after="0"/>
        <w:jc w:val="left"/>
        <w:rPr>
          <w:rFonts w:ascii="ARIAL" w:hAnsi="ARIAL"/>
          <w:sz w:val="18"/>
        </w:rPr>
      </w:pPr>
      <w:r>
        <w:rPr>
          <w:rFonts w:ascii="ARIAL" w:hAnsi="ARIAL"/>
          <w:sz w:val="18"/>
        </w:rPr>
        <w:t xml:space="preserve">On the first trading day of each offering period, each participant will automatically be granted an option to purchase shares of CoStar’s common stock. The option will expire at the end of the applicable offering period (or, if earlier, the last trading day of the purchase period, or such other date as determined by the ESPP administrator) and will be exercised at that time to the extent of the payroll deductions accumulated during the purchase period. The ESPP administrator may determine the purchase price of the shares, which, in the absence of a contrary designation, will be 85% of the lower of the fair market value of CoStar’s common stock on the first trading day of the offering period or on the purchase date. Participants may voluntarily end their participation in the 2026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76"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51" descr=""/>
                          <pic:cNvPicPr>
                            <a:picLocks noChangeAspect="1" noChangeArrowheads="1"/>
                          </pic:cNvPicPr>
                        </pic:nvPicPr>
                        <pic:blipFill>
                          <a:blip r:embed="rId36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89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058" w:type="dxa"/>
        <w:jc w:val="left"/>
        <w:tblInd w:w="0" w:type="dxa"/>
        <w:tblLayout w:type="fixed"/>
        <w:tblCellMar>
          <w:top w:w="0" w:type="dxa"/>
          <w:left w:w="0" w:type="dxa"/>
          <w:bottom w:w="0" w:type="dxa"/>
          <w:right w:w="0" w:type="dxa"/>
        </w:tblCellMar>
      </w:tblPr>
      <w:tblGrid>
        <w:gridCol w:w="38"/>
        <w:gridCol w:w="120"/>
        <w:gridCol w:w="1190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2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4 — APPROVAL OF THE COSTAR GROUP, INC. 2026 EMPLOYEE STOCK PURCHASE PLAN</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 participant may not transfer rights granted under the 2026 ESPP other than by will or the laws of descent and distribution, and rights granted under the 2026 ESPP are generally exercisable only by the participant. </w:t>
      </w:r>
    </w:p>
    <w:p>
      <w:pPr>
        <w:pStyle w:val="TextBody"/>
        <w:bidi w:val="0"/>
        <w:spacing w:before="360" w:after="0"/>
        <w:jc w:val="left"/>
        <w:rPr>
          <w:rFonts w:ascii="ARIAL" w:hAnsi="ARIAL"/>
          <w:b/>
          <w:sz w:val="24"/>
        </w:rPr>
      </w:pPr>
      <w:r>
        <w:rPr>
          <w:rFonts w:ascii="ARIAL" w:hAnsi="ARIAL"/>
          <w:b/>
          <w:sz w:val="24"/>
        </w:rPr>
        <w:t xml:space="preserve">Certain Transactions </w:t>
      </w:r>
    </w:p>
    <w:p>
      <w:pPr>
        <w:pStyle w:val="TextBody"/>
        <w:bidi w:val="0"/>
        <w:spacing w:before="80" w:after="0"/>
        <w:jc w:val="left"/>
        <w:rPr>
          <w:rFonts w:ascii="ARIAL" w:hAnsi="ARIAL"/>
          <w:sz w:val="18"/>
        </w:rPr>
      </w:pPr>
      <w:r>
        <w:rPr>
          <w:rFonts w:ascii="ARIAL" w:hAnsi="ARIAL"/>
          <w:sz w:val="18"/>
        </w:rPr>
        <w:t xml:space="preserve">In the event of certain non-reciprocal transactions or events affecting CoStar’s common stock, the ESPP administrator will make equitable adjustments to the 2026 ESPP and outstanding rights. In the event of certain unusual or non-recurring events or transactions, including a change in control, the ESPP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 </w:t>
      </w:r>
    </w:p>
    <w:p>
      <w:pPr>
        <w:pStyle w:val="TextBody"/>
        <w:bidi w:val="0"/>
        <w:spacing w:before="360" w:after="0"/>
        <w:jc w:val="left"/>
        <w:rPr>
          <w:rFonts w:ascii="ARIAL" w:hAnsi="ARIAL"/>
          <w:b/>
          <w:sz w:val="24"/>
        </w:rPr>
      </w:pPr>
      <w:r>
        <w:rPr>
          <w:rFonts w:ascii="ARIAL" w:hAnsi="ARIAL"/>
          <w:b/>
          <w:sz w:val="24"/>
        </w:rPr>
        <w:t xml:space="preserve">2026 ESPP Amendment and Termination </w:t>
      </w:r>
    </w:p>
    <w:p>
      <w:pPr>
        <w:pStyle w:val="TextBody"/>
        <w:bidi w:val="0"/>
        <w:spacing w:before="80" w:after="0"/>
        <w:jc w:val="left"/>
        <w:rPr>
          <w:rFonts w:ascii="ARIAL" w:hAnsi="ARIAL"/>
          <w:sz w:val="18"/>
        </w:rPr>
      </w:pPr>
      <w:r>
        <w:rPr>
          <w:rFonts w:ascii="ARIAL" w:hAnsi="ARIAL"/>
          <w:sz w:val="18"/>
        </w:rPr>
        <w:t xml:space="preserve">The ESPP administrator may amend, suspend or terminate the 2026 ESPP at any time. However, stockholder approval will be obtained for any amendment that increases the aggregate number or changes the type of shares that may be sold pursuant to rights under the 2026 ESPP or changes the corporations or classes of corporations whose employees are eligible to participate in the 2026 ESPP. </w:t>
      </w:r>
    </w:p>
    <w:p>
      <w:pPr>
        <w:pStyle w:val="TextBody"/>
        <w:bidi w:val="0"/>
        <w:spacing w:before="360" w:after="0"/>
        <w:jc w:val="left"/>
        <w:rPr>
          <w:rFonts w:ascii="ARIAL" w:hAnsi="ARIAL"/>
          <w:b/>
          <w:sz w:val="24"/>
        </w:rPr>
      </w:pPr>
      <w:bookmarkStart w:id="65" w:name="toc903159_50"/>
      <w:bookmarkEnd w:id="65"/>
      <w:r>
        <w:rPr>
          <w:rFonts w:ascii="ARIAL" w:hAnsi="ARIAL"/>
          <w:b/>
          <w:sz w:val="24"/>
        </w:rPr>
        <w:t xml:space="preserve">Material U.S. Federal Income Tax Consequences </w:t>
      </w:r>
    </w:p>
    <w:p>
      <w:pPr>
        <w:pStyle w:val="TextBody"/>
        <w:bidi w:val="0"/>
        <w:spacing w:before="80" w:after="0"/>
        <w:jc w:val="left"/>
        <w:rPr>
          <w:rFonts w:ascii="ARIAL" w:hAnsi="ARIAL"/>
          <w:sz w:val="18"/>
        </w:rPr>
      </w:pPr>
      <w:r>
        <w:rPr>
          <w:rFonts w:ascii="ARIAL" w:hAnsi="ARIAL"/>
          <w:sz w:val="18"/>
        </w:rPr>
        <w:t xml:space="preserve">The following is a general summary under current law of the principal United States federal income tax consequences related to participation in the 2026 ESPP.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 </w:t>
      </w:r>
    </w:p>
    <w:p>
      <w:pPr>
        <w:pStyle w:val="TextBody"/>
        <w:bidi w:val="0"/>
        <w:spacing w:before="120" w:after="0"/>
        <w:jc w:val="left"/>
        <w:rPr>
          <w:rFonts w:ascii="ARIAL" w:hAnsi="ARIAL"/>
          <w:sz w:val="18"/>
        </w:rPr>
      </w:pPr>
      <w:r>
        <w:rPr>
          <w:rFonts w:ascii="ARIAL" w:hAnsi="ARIAL"/>
          <w:sz w:val="18"/>
        </w:rPr>
        <w:t xml:space="preserve">As described above, the 2026 ESPP has a Section 423 Component and a Non-Section 423 Component. The tax consequences for a participant will depend on whether the participant participates in the Section 423 Component or the Non-Section 423 Component. </w:t>
      </w:r>
    </w:p>
    <w:p>
      <w:pPr>
        <w:pStyle w:val="TextBody"/>
        <w:bidi w:val="0"/>
        <w:spacing w:before="360" w:after="0"/>
        <w:jc w:val="left"/>
        <w:rPr>
          <w:rFonts w:ascii="ARIAL" w:hAnsi="ARIAL"/>
          <w:b/>
          <w:sz w:val="24"/>
        </w:rPr>
      </w:pPr>
      <w:r>
        <w:rPr>
          <w:rFonts w:ascii="ARIAL" w:hAnsi="ARIAL"/>
          <w:b/>
          <w:sz w:val="24"/>
        </w:rPr>
        <w:t xml:space="preserve">Tax Consequences to U.S. Participants in the Section 423 Component </w:t>
      </w:r>
    </w:p>
    <w:p>
      <w:pPr>
        <w:pStyle w:val="TextBody"/>
        <w:bidi w:val="0"/>
        <w:spacing w:before="80" w:after="0"/>
        <w:jc w:val="left"/>
        <w:rPr>
          <w:rFonts w:ascii="ARIAL" w:hAnsi="ARIAL"/>
          <w:sz w:val="18"/>
        </w:rPr>
      </w:pPr>
      <w:r>
        <w:rPr>
          <w:rFonts w:ascii="ARIAL" w:hAnsi="ARIAL"/>
          <w:sz w:val="18"/>
        </w:rPr>
        <w:t xml:space="preserve">The Section 423 Component, and the rights of participants to make purchases thereunder, is intended to qualify under the provisions of Sections 423 of the Code. Under the applicable Code provisions, no income will be taxable to a participant until the shares purchased under the 2026 ESPP are sold or otherwise disposed of. This means that the participant will not recognize taxable income on the date the participant is granted an option under the 2026 ESPP. In addition, the participant will not recognize taxable income upon the purchase of shares. </w:t>
      </w:r>
    </w:p>
    <w:p>
      <w:pPr>
        <w:pStyle w:val="TextBody"/>
        <w:bidi w:val="0"/>
        <w:spacing w:before="120" w:after="0"/>
        <w:jc w:val="left"/>
        <w:rPr>
          <w:rFonts w:ascii="ARIAL" w:hAnsi="ARIAL"/>
          <w:sz w:val="18"/>
        </w:rPr>
      </w:pPr>
      <w:r>
        <w:rPr>
          <w:rFonts w:ascii="ARIAL" w:hAnsi="ARIAL"/>
          <w:sz w:val="18"/>
        </w:rPr>
        <w:t xml:space="preserve">Upon sale or other disposition of the shares, the participant will generally be subject to tax in an amount that depends upon the length of time such shares are held by the participant prior to disposing of them. If the shares are sold or otherwise disposed of more than two years from the first day of the relevant offering period (and more than one year from the date the shares are purchased), or if the participant dies while holding the shares, then the participant (or the participant’s estate) generally will recognize ordinary income measured as the lesser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i.</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the excess of the fair market value of the common stock at the time of such sale or disposition (or death) over the purchase price of such shares,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ii.</w:t>
            </w:r>
          </w:p>
        </w:tc>
        <w:tc>
          <w:tcPr>
            <w:tcW w:w="9990" w:type="dxa"/>
            <w:tcBorders/>
            <w:vAlign w:val="center"/>
          </w:tcPr>
          <w:p>
            <w:pPr>
              <w:pStyle w:val="TableContents"/>
              <w:bidi w:val="0"/>
              <w:spacing w:before="0" w:after="0"/>
              <w:jc w:val="left"/>
              <w:rPr>
                <w:rFonts w:ascii="ARIAL" w:hAnsi="ARIAL"/>
                <w:sz w:val="18"/>
              </w:rPr>
            </w:pPr>
            <w:r>
              <w:rPr>
                <w:rFonts w:ascii="ARIAL" w:hAnsi="ARIAL"/>
                <w:sz w:val="18"/>
              </w:rPr>
              <w:t xml:space="preserve">an amount equal to the applicable discount from the fair market value of the shares as of the first day of the applicable offering period. </w:t>
            </w:r>
          </w:p>
        </w:tc>
      </w:tr>
    </w:tbl>
    <w:p>
      <w:pPr>
        <w:pStyle w:val="TextBody"/>
        <w:bidi w:val="0"/>
        <w:spacing w:before="120" w:after="0"/>
        <w:jc w:val="left"/>
        <w:rPr>
          <w:rFonts w:ascii="ARIAL" w:hAnsi="ARIAL"/>
          <w:sz w:val="18"/>
        </w:rPr>
      </w:pPr>
      <w:r>
        <w:rPr>
          <w:rFonts w:ascii="ARIAL" w:hAnsi="ARIAL"/>
          <w:sz w:val="18"/>
        </w:rPr>
        <w:t xml:space="preserve">Any additional gain should be treated as long-term capital gain. If the shares are held for at least the holding periods described above but are sold for a price that is less than the purchase price, there will be no ordinary income and the difference will be a long-term capital loss. CoStar will not be entitled to an income tax deduction with respect to the grant or exercise of a right to purchase shares, or the sale of such shares by a participant, where such participant holds such shares for at least the holding periods described above. </w:t>
      </w:r>
    </w:p>
    <w:p>
      <w:pPr>
        <w:pStyle w:val="TextBody"/>
        <w:bidi w:val="0"/>
        <w:spacing w:before="120" w:after="0"/>
        <w:jc w:val="left"/>
        <w:rPr>
          <w:rFonts w:ascii="ARIAL" w:hAnsi="ARIAL"/>
          <w:sz w:val="18"/>
        </w:rPr>
      </w:pPr>
      <w:r>
        <w:rPr>
          <w:rFonts w:ascii="ARIAL" w:hAnsi="ARIAL"/>
          <w:sz w:val="18"/>
        </w:rPr>
        <w:t xml:space="preserve">Any sale or other disposition of shares before the expiration of the holding periods described above will be a “disqualifying disposition,” and the participant will recognize ordinary income at the time of such disposition generally measured as the excess of the fair market value of the shares on the date the shares are purchased over the purchase price, and CoStar will be entitled to an income tax deduction for such ordinary income. Any additional gain or loss on such sale or disposition will be long-term or short-term capital gain or loss, depending on the holding period following the date the shares were purchased by the participant prior to such sale or disposition, and CoStar will not be entitled to an income tax deduction for any such capital gain.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77"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52" descr=""/>
                          <pic:cNvPicPr>
                            <a:picLocks noChangeAspect="1" noChangeArrowheads="1"/>
                          </pic:cNvPicPr>
                        </pic:nvPicPr>
                        <pic:blipFill>
                          <a:blip r:embed="rId36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90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058" w:type="dxa"/>
        <w:jc w:val="left"/>
        <w:tblInd w:w="0" w:type="dxa"/>
        <w:tblLayout w:type="fixed"/>
        <w:tblCellMar>
          <w:top w:w="0" w:type="dxa"/>
          <w:left w:w="0" w:type="dxa"/>
          <w:bottom w:w="0" w:type="dxa"/>
          <w:right w:w="0" w:type="dxa"/>
        </w:tblCellMar>
      </w:tblPr>
      <w:tblGrid>
        <w:gridCol w:w="38"/>
        <w:gridCol w:w="120"/>
        <w:gridCol w:w="1190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2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PROPOSAL 4 — APPROVAL OF THE COSTAR GROUP, INC. 2026 EMPLOYEE STOCK PURCHASE PLAN</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Tax Consequences to U.S. Participants in the Non-Section 423 Component </w:t>
      </w:r>
    </w:p>
    <w:p>
      <w:pPr>
        <w:pStyle w:val="TextBody"/>
        <w:bidi w:val="0"/>
        <w:spacing w:before="80" w:after="0"/>
        <w:jc w:val="left"/>
        <w:rPr>
          <w:rFonts w:ascii="ARIAL" w:hAnsi="ARIAL"/>
          <w:sz w:val="18"/>
        </w:rPr>
      </w:pPr>
      <w:r>
        <w:rPr>
          <w:rFonts w:ascii="ARIAL" w:hAnsi="ARIAL"/>
          <w:sz w:val="18"/>
        </w:rPr>
        <w:t xml:space="preserve">A participant in the Non-Section 423 Component generally will have compensation income equal to the value of the common stock on the day the participant purchased the common stock less the purchase price. </w:t>
      </w:r>
    </w:p>
    <w:p>
      <w:pPr>
        <w:pStyle w:val="TextBody"/>
        <w:bidi w:val="0"/>
        <w:spacing w:before="120" w:after="0"/>
        <w:jc w:val="left"/>
        <w:rPr>
          <w:rFonts w:ascii="ARIAL" w:hAnsi="ARIAL"/>
          <w:sz w:val="18"/>
        </w:rPr>
      </w:pPr>
      <w:r>
        <w:rPr>
          <w:rFonts w:ascii="ARIAL" w:hAnsi="ARIAL"/>
          <w:sz w:val="18"/>
        </w:rPr>
        <w:t xml:space="preserve">When a participant sells the common stock the participant purchased under the Non-Section 423 Component, the participant also will have a capital gain or loss equal to the difference between the sales proceeds and the value of the common stock on the day it was purchased. This capital gain or loss will be long-term if the participant held the common stock for more than one year and otherwise will be short-term. </w:t>
      </w:r>
    </w:p>
    <w:p>
      <w:pPr>
        <w:pStyle w:val="TextBody"/>
        <w:bidi w:val="0"/>
        <w:spacing w:before="120" w:after="0"/>
        <w:jc w:val="left"/>
        <w:rPr>
          <w:rFonts w:ascii="ARIAL" w:hAnsi="ARIAL"/>
          <w:sz w:val="18"/>
        </w:rPr>
      </w:pPr>
      <w:r>
        <w:rPr>
          <w:rFonts w:ascii="ARIAL" w:hAnsi="ARIAL"/>
          <w:sz w:val="18"/>
        </w:rPr>
        <w:t xml:space="preserve">With respect to U.S. participants, CoStar is generally entitled to a deduction for amounts taxed as ordinary income to a participant to the extent of ordinary income recognized upon a purchase made under the Non-Section 423 Component. </w:t>
      </w:r>
    </w:p>
    <w:p>
      <w:pPr>
        <w:pStyle w:val="TextBody"/>
        <w:bidi w:val="0"/>
        <w:spacing w:before="360" w:after="0"/>
        <w:jc w:val="left"/>
        <w:rPr>
          <w:rFonts w:ascii="ARIAL" w:hAnsi="ARIAL"/>
          <w:b/>
          <w:sz w:val="24"/>
        </w:rPr>
      </w:pPr>
      <w:bookmarkStart w:id="66" w:name="toc903159_51"/>
      <w:bookmarkEnd w:id="66"/>
      <w:r>
        <w:rPr>
          <w:rFonts w:ascii="ARIAL" w:hAnsi="ARIAL"/>
          <w:b/>
          <w:sz w:val="24"/>
        </w:rPr>
        <w:t xml:space="preserve">New Plan Benefits </w:t>
      </w:r>
    </w:p>
    <w:p>
      <w:pPr>
        <w:pStyle w:val="TextBody"/>
        <w:bidi w:val="0"/>
        <w:spacing w:before="80" w:after="0"/>
        <w:jc w:val="left"/>
        <w:rPr>
          <w:rFonts w:ascii="ARIAL" w:hAnsi="ARIAL"/>
          <w:sz w:val="18"/>
        </w:rPr>
      </w:pPr>
      <w:r>
        <w:rPr>
          <w:rFonts w:ascii="ARIAL" w:hAnsi="ARIAL"/>
          <w:sz w:val="18"/>
        </w:rPr>
        <w:t xml:space="preserve">Participation in the 2026 ESPP is voluntary and each eligible employee will make his or her own decision regarding whether and to what extent to participate in the 2026 ESPP. Additionally, benefits under the 2026 ESPP will depend on the participants’ enrollment and contribution elections, and the fair market value of the shares at various future dates. Therefore, it is not possible to determine the benefits that will be received in the future by participants in the 2026 ESPP. </w:t>
      </w:r>
    </w:p>
    <w:p>
      <w:pPr>
        <w:pStyle w:val="TextBody"/>
        <w:bidi w:val="0"/>
        <w:spacing w:before="360" w:after="0"/>
        <w:jc w:val="left"/>
        <w:rPr>
          <w:rFonts w:ascii="ARIAL" w:hAnsi="ARIAL"/>
          <w:b/>
          <w:sz w:val="24"/>
        </w:rPr>
      </w:pPr>
      <w:r>
        <w:rPr>
          <w:rFonts w:ascii="ARIAL" w:hAnsi="ARIAL"/>
          <w:b/>
          <w:sz w:val="24"/>
        </w:rPr>
        <w:t xml:space="preserve">Interests of Certain Persons in the 2026 ESPP </w:t>
      </w:r>
    </w:p>
    <w:p>
      <w:pPr>
        <w:pStyle w:val="TextBody"/>
        <w:bidi w:val="0"/>
        <w:spacing w:before="80" w:after="0"/>
        <w:jc w:val="left"/>
        <w:rPr>
          <w:rFonts w:ascii="ARIAL" w:hAnsi="ARIAL"/>
          <w:sz w:val="18"/>
        </w:rPr>
      </w:pPr>
      <w:r>
        <w:rPr>
          <w:rFonts w:ascii="ARIAL" w:hAnsi="ARIAL"/>
          <w:sz w:val="18"/>
        </w:rPr>
        <w:t xml:space="preserve">Stockholders should understand that our executive officers may be considered to have an interest in the approval of the 2026 ESPP because they may in the future be eligible to participate in the 2026 ESPP. Nevertheless, the Board believes that it is important to provide incentives and promote the retention of all employees by adopting the 2026 ESPP. </w:t>
      </w:r>
    </w:p>
    <w:p>
      <w:pPr>
        <w:pStyle w:val="TextBody"/>
        <w:bidi w:val="0"/>
        <w:spacing w:before="360" w:after="0"/>
        <w:jc w:val="left"/>
        <w:rPr>
          <w:rFonts w:ascii="ARIAL" w:hAnsi="ARIAL"/>
          <w:b/>
          <w:sz w:val="20"/>
        </w:rPr>
      </w:pPr>
      <w:bookmarkStart w:id="67" w:name="toc903159_52"/>
      <w:bookmarkEnd w:id="67"/>
      <w:r>
        <w:rPr>
          <w:rFonts w:ascii="ARIAL" w:hAnsi="ARIAL"/>
          <w:b/>
          <w:sz w:val="20"/>
        </w:rPr>
        <w:t xml:space="preserve">RECOMMENDATION </w:t>
      </w:r>
    </w:p>
    <w:p>
      <w:pPr>
        <w:pStyle w:val="TextBody"/>
        <w:bidi w:val="0"/>
        <w:spacing w:before="80" w:after="0"/>
        <w:jc w:val="left"/>
        <w:rPr>
          <w:rFonts w:ascii="ARIAL" w:hAnsi="ARIAL"/>
          <w:sz w:val="18"/>
        </w:rPr>
      </w:pPr>
      <w:r>
        <w:rPr>
          <w:rFonts w:ascii="ARIAL" w:hAnsi="ARIAL"/>
          <w:sz w:val="18"/>
        </w:rPr>
        <w:t xml:space="preserve">We strongly believe that approval of the 2026 ESPP is essential to our continued success. Our employees are one of our most valuable assets. The 2026 ESPP is critical for attracting and retaining outstanding and highly skilled individuals. This type of plan is vital to support our ability to motivate employees to achieve our Company-wide goals. For the reasons stated above, stockholders are being asked to approve the 2026 ESPP. </w:t>
      </w:r>
    </w:p>
    <w:p>
      <w:pPr>
        <w:pStyle w:val="TextBody"/>
        <w:bidi w:val="0"/>
        <w:spacing w:before="0" w:after="0"/>
        <w:jc w:val="left"/>
        <w:rPr/>
      </w:pPr>
      <w:r>
        <w:rPr/>
        <w:t> </w:t>
      </w:r>
    </w:p>
    <w:tbl>
      <w:tblPr>
        <w:tblW w:w="10205" w:type="dxa"/>
        <w:jc w:val="left"/>
        <w:tblInd w:w="0" w:type="dxa"/>
        <w:shd w:fill="DAEDFA" w:val="clear"/>
        <w:tblLayout w:type="fixed"/>
        <w:tblCellMar>
          <w:top w:w="0" w:type="dxa"/>
          <w:left w:w="0" w:type="dxa"/>
          <w:bottom w:w="0" w:type="dxa"/>
          <w:right w:w="0" w:type="dxa"/>
        </w:tblCellMar>
      </w:tblPr>
      <w:tblGrid>
        <w:gridCol w:w="751"/>
        <w:gridCol w:w="23"/>
        <w:gridCol w:w="9431"/>
      </w:tblGrid>
      <w:tr>
        <w:trPr/>
        <w:tc>
          <w:tcPr>
            <w:tcW w:w="751" w:type="dxa"/>
            <w:tcBorders/>
            <w:shd w:fill="DAEDFA" w:val="clear"/>
            <w:vAlign w:val="center"/>
          </w:tcPr>
          <w:p>
            <w:pPr>
              <w:pStyle w:val="TableContents"/>
              <w:bidi w:val="0"/>
              <w:spacing w:before="0" w:after="283"/>
              <w:jc w:val="left"/>
              <w:rPr>
                <w:sz w:val="4"/>
                <w:szCs w:val="4"/>
              </w:rPr>
            </w:pPr>
            <w:r>
              <w:rPr>
                <w:sz w:val="4"/>
                <w:szCs w:val="4"/>
              </w:rPr>
            </w:r>
          </w:p>
        </w:tc>
        <w:tc>
          <w:tcPr>
            <w:tcW w:w="23" w:type="dxa"/>
            <w:tcBorders/>
            <w:shd w:fill="DAEDFA" w:val="clear"/>
            <w:vAlign w:val="center"/>
          </w:tcPr>
          <w:p>
            <w:pPr>
              <w:pStyle w:val="TableContents"/>
              <w:bidi w:val="0"/>
              <w:spacing w:before="0" w:after="283"/>
              <w:jc w:val="left"/>
              <w:rPr>
                <w:sz w:val="4"/>
                <w:szCs w:val="4"/>
              </w:rPr>
            </w:pPr>
            <w:r>
              <w:rPr>
                <w:sz w:val="4"/>
                <w:szCs w:val="4"/>
              </w:rPr>
            </w:r>
          </w:p>
        </w:tc>
        <w:tc>
          <w:tcPr>
            <w:tcW w:w="9431" w:type="dxa"/>
            <w:tcBorders/>
            <w:shd w:fill="DAEDFA" w:val="clear"/>
            <w:vAlign w:val="center"/>
          </w:tcPr>
          <w:p>
            <w:pPr>
              <w:pStyle w:val="TableContents"/>
              <w:bidi w:val="0"/>
              <w:spacing w:before="0" w:after="283"/>
              <w:jc w:val="left"/>
              <w:rPr>
                <w:sz w:val="4"/>
                <w:szCs w:val="4"/>
              </w:rPr>
            </w:pPr>
            <w:r>
              <w:rPr>
                <w:sz w:val="4"/>
                <w:szCs w:val="4"/>
              </w:rPr>
            </w:r>
          </w:p>
        </w:tc>
      </w:tr>
      <w:tr>
        <w:trPr/>
        <w:tc>
          <w:tcPr>
            <w:tcW w:w="751" w:type="dxa"/>
            <w:tcBorders/>
            <w:shd w:fill="DAEDFA" w:val="clear"/>
            <w:vAlign w:val="center"/>
          </w:tcPr>
          <w:p>
            <w:pPr>
              <w:pStyle w:val="TableContents"/>
              <w:bidi w:val="0"/>
              <w:spacing w:before="0" w:after="283"/>
              <w:jc w:val="left"/>
              <w:rPr>
                <w:sz w:val="4"/>
                <w:szCs w:val="4"/>
              </w:rPr>
            </w:pPr>
            <w:r>
              <w:rPr>
                <w:sz w:val="4"/>
                <w:szCs w:val="4"/>
              </w:rPr>
            </w:r>
          </w:p>
        </w:tc>
        <w:tc>
          <w:tcPr>
            <w:tcW w:w="9454" w:type="dxa"/>
            <w:gridSpan w:val="2"/>
            <w:tcBorders/>
            <w:shd w:fill="DAEDFA" w:val="clear"/>
            <w:vAlign w:val="center"/>
          </w:tcPr>
          <w:p>
            <w:pPr>
              <w:pStyle w:val="TableContents"/>
              <w:bidi w:val="0"/>
              <w:spacing w:before="0" w:after="283"/>
              <w:jc w:val="left"/>
              <w:rPr>
                <w:sz w:val="4"/>
                <w:szCs w:val="4"/>
              </w:rPr>
            </w:pPr>
            <w:r>
              <w:rPr>
                <w:sz w:val="4"/>
                <w:szCs w:val="4"/>
              </w:rPr>
            </w:r>
          </w:p>
        </w:tc>
      </w:tr>
      <w:tr>
        <w:trPr/>
        <w:tc>
          <w:tcPr>
            <w:tcW w:w="751" w:type="dxa"/>
            <w:tcBorders/>
            <w:shd w:fill="DAEDFA" w:val="clear"/>
            <w:vAlign w:val="center"/>
          </w:tcPr>
          <w:p>
            <w:pPr>
              <w:pStyle w:val="TableContents"/>
              <w:bidi w:val="0"/>
              <w:spacing w:before="0" w:after="283"/>
              <w:jc w:val="left"/>
              <w:rPr/>
            </w:pPr>
            <w:r>
              <w:rPr/>
              <w:t xml:space="preserve">  </w:t>
            </w:r>
            <w:r>
              <w:rPr/>
              <w:drawing>
                <wp:inline distT="0" distB="0" distL="0" distR="0">
                  <wp:extent cx="340995" cy="404495"/>
                  <wp:effectExtent l="0" t="0" r="0" b="0"/>
                  <wp:docPr id="378"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53" descr=""/>
                          <pic:cNvPicPr>
                            <a:picLocks noChangeAspect="1" noChangeArrowheads="1"/>
                          </pic:cNvPicPr>
                        </pic:nvPicPr>
                        <pic:blipFill>
                          <a:blip r:embed="rId365"/>
                          <a:stretch>
                            <a:fillRect/>
                          </a:stretch>
                        </pic:blipFill>
                        <pic:spPr bwMode="auto">
                          <a:xfrm>
                            <a:off x="0" y="0"/>
                            <a:ext cx="340995" cy="404495"/>
                          </a:xfrm>
                          <a:prstGeom prst="rect">
                            <a:avLst/>
                          </a:prstGeom>
                        </pic:spPr>
                      </pic:pic>
                    </a:graphicData>
                  </a:graphic>
                </wp:inline>
              </w:drawing>
            </w:r>
            <w:r>
              <w:rPr/>
              <w:t xml:space="preserve"> </w:t>
            </w:r>
          </w:p>
        </w:tc>
        <w:tc>
          <w:tcPr>
            <w:tcW w:w="23" w:type="dxa"/>
            <w:tcBorders/>
            <w:shd w:fill="DAEDFA" w:val="clear"/>
            <w:vAlign w:val="center"/>
          </w:tcPr>
          <w:p>
            <w:pPr>
              <w:pStyle w:val="TableContents"/>
              <w:bidi w:val="0"/>
              <w:spacing w:before="0" w:after="283"/>
              <w:jc w:val="left"/>
              <w:rPr>
                <w:sz w:val="4"/>
                <w:szCs w:val="4"/>
              </w:rPr>
            </w:pPr>
            <w:r>
              <w:rPr>
                <w:sz w:val="4"/>
                <w:szCs w:val="4"/>
              </w:rPr>
            </w:r>
            <w:bookmarkStart w:id="68" w:name="toc903159_53"/>
            <w:bookmarkStart w:id="69" w:name="toc903159_53"/>
            <w:bookmarkEnd w:id="69"/>
          </w:p>
        </w:tc>
        <w:tc>
          <w:tcPr>
            <w:tcW w:w="9431" w:type="dxa"/>
            <w:tcBorders/>
            <w:shd w:fill="DAEDFA" w:val="clear"/>
            <w:vAlign w:val="center"/>
          </w:tcPr>
          <w:p>
            <w:pPr>
              <w:pStyle w:val="TableContents"/>
              <w:bidi w:val="0"/>
              <w:spacing w:before="0" w:after="283"/>
              <w:jc w:val="left"/>
              <w:rPr/>
            </w:pPr>
            <w:r>
              <w:rPr/>
              <w:t xml:space="preserve">THE BOARD UNANIMOUSLY RECOMMENDS A VOTE </w:t>
            </w:r>
            <w:r>
              <w:rPr>
                <w:b/>
                <w:color w:val="0054BA"/>
                <w:sz w:val="28"/>
              </w:rPr>
              <w:t xml:space="preserve">FOR </w:t>
            </w:r>
            <w:r>
              <w:rPr/>
              <w:t>THE APPROVAL OF THE COSTAR GROUP, INC. 2026 EMPLOYEE STOCK PURCHASE PLAN.</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79"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54" descr=""/>
                          <pic:cNvPicPr>
                            <a:picLocks noChangeAspect="1" noChangeArrowheads="1"/>
                          </pic:cNvPicPr>
                        </pic:nvPicPr>
                        <pic:blipFill>
                          <a:blip r:embed="rId36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91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64"/>
        </w:rPr>
      </w:pPr>
      <w:bookmarkStart w:id="70" w:name="toc903159_54"/>
      <w:bookmarkEnd w:id="70"/>
      <w:r>
        <w:rPr>
          <w:rFonts w:ascii="ARIAL" w:hAnsi="ARIAL"/>
          <w:b/>
          <w:sz w:val="64"/>
        </w:rPr>
        <w:t xml:space="preserve">OTHER INFORMATION </w:t>
      </w:r>
    </w:p>
    <w:p>
      <w:pPr>
        <w:pStyle w:val="TextBody"/>
        <w:bidi w:val="0"/>
        <w:spacing w:before="720" w:after="0"/>
        <w:jc w:val="left"/>
        <w:rPr>
          <w:rFonts w:ascii="ARIAL" w:hAnsi="ARIAL"/>
          <w:b/>
          <w:sz w:val="24"/>
        </w:rPr>
      </w:pPr>
      <w:bookmarkStart w:id="71" w:name="toc903159_55"/>
      <w:bookmarkEnd w:id="71"/>
      <w:r>
        <w:rPr>
          <w:rFonts w:ascii="ARIAL" w:hAnsi="ARIAL"/>
          <w:b/>
          <w:sz w:val="24"/>
        </w:rPr>
        <w:t xml:space="preserve">Attending the Annual Meeting of Stockholders </w:t>
      </w:r>
    </w:p>
    <w:p>
      <w:pPr>
        <w:pStyle w:val="TextBody"/>
        <w:bidi w:val="0"/>
        <w:spacing w:before="200" w:after="0"/>
        <w:jc w:val="left"/>
        <w:rPr>
          <w:rFonts w:ascii="ARIAL" w:hAnsi="ARIAL"/>
          <w:b/>
          <w:sz w:val="18"/>
        </w:rPr>
      </w:pPr>
      <w:r>
        <w:rPr>
          <w:rFonts w:ascii="ARIAL" w:hAnsi="ARIAL"/>
          <w:b/>
          <w:sz w:val="18"/>
        </w:rPr>
        <w:t xml:space="preserve">WEBCAST </w:t>
      </w:r>
    </w:p>
    <w:p>
      <w:pPr>
        <w:pStyle w:val="TextBody"/>
        <w:bidi w:val="0"/>
        <w:spacing w:before="80" w:after="0"/>
        <w:jc w:val="left"/>
        <w:rPr>
          <w:rFonts w:ascii="ARIAL" w:hAnsi="ARIAL"/>
          <w:sz w:val="18"/>
        </w:rPr>
      </w:pPr>
      <w:r>
        <w:rPr>
          <w:rFonts w:ascii="ARIAL" w:hAnsi="ARIAL"/>
          <w:sz w:val="18"/>
        </w:rPr>
        <w:t xml:space="preserve">The Annual Meeting will be held in a virtual only format consisting of a live webcast. Stockholders will be able to participate from any geographic location with Internet connectivity. You may listen, vote and submit questions during the Annual Meeting via the Internet at www.virtualshareholdermeeting.com/CSGP2026. More information regarding how you can participate in the virtual Annual Meeting is provided in the Proxy Statement. A webcast replay of the Annual Meeting’s audio will be available on the investor relations page of our website after the Annual Meeting. </w:t>
      </w:r>
    </w:p>
    <w:p>
      <w:pPr>
        <w:pStyle w:val="TextBody"/>
        <w:bidi w:val="0"/>
        <w:spacing w:before="360" w:after="0"/>
        <w:jc w:val="left"/>
        <w:rPr>
          <w:rFonts w:ascii="ARIAL" w:hAnsi="ARIAL"/>
          <w:b/>
          <w:sz w:val="18"/>
        </w:rPr>
      </w:pPr>
      <w:r>
        <w:rPr>
          <w:rFonts w:ascii="ARIAL" w:hAnsi="ARIAL"/>
          <w:b/>
          <w:sz w:val="18"/>
        </w:rPr>
        <w:t xml:space="preserve">STREET NAME HOLDERS </w:t>
      </w:r>
    </w:p>
    <w:p>
      <w:pPr>
        <w:pStyle w:val="TextBody"/>
        <w:bidi w:val="0"/>
        <w:spacing w:before="80" w:after="0"/>
        <w:jc w:val="left"/>
        <w:rPr>
          <w:rFonts w:ascii="ARIAL" w:hAnsi="ARIAL"/>
          <w:sz w:val="18"/>
        </w:rPr>
      </w:pPr>
      <w:r>
        <w:rPr>
          <w:rFonts w:ascii="ARIAL" w:hAnsi="ARIAL"/>
          <w:sz w:val="18"/>
        </w:rPr>
        <w:t xml:space="preserve">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 </w:t>
      </w:r>
    </w:p>
    <w:p>
      <w:pPr>
        <w:pStyle w:val="TextBody"/>
        <w:bidi w:val="0"/>
        <w:spacing w:before="360" w:after="0"/>
        <w:jc w:val="left"/>
        <w:rPr>
          <w:rFonts w:ascii="ARIAL" w:hAnsi="ARIAL"/>
          <w:b/>
          <w:sz w:val="18"/>
        </w:rPr>
      </w:pPr>
      <w:r>
        <w:rPr>
          <w:rFonts w:ascii="ARIAL" w:hAnsi="ARIAL"/>
          <w:b/>
          <w:sz w:val="18"/>
        </w:rPr>
        <w:t xml:space="preserve">SOLICITATION OF PROXIES AND EXPENSES </w:t>
      </w:r>
    </w:p>
    <w:p>
      <w:pPr>
        <w:pStyle w:val="TextBody"/>
        <w:bidi w:val="0"/>
        <w:spacing w:before="80" w:after="0"/>
        <w:jc w:val="left"/>
        <w:rPr>
          <w:rFonts w:ascii="ARIAL" w:hAnsi="ARIAL"/>
          <w:sz w:val="18"/>
        </w:rPr>
      </w:pPr>
      <w:r>
        <w:rPr>
          <w:rFonts w:ascii="ARIAL" w:hAnsi="ARIAL"/>
          <w:sz w:val="18"/>
        </w:rPr>
        <w:t xml:space="preserve">We have hired Innisfree M&amp;A Inc. to assist in the solicitation of votes for $25,000 plus reasonable out-of-pocket expenses. Proxies are solicited on behalf of the Board. The Company will bear all expenses in connection with the Annual Meeting and this proxy solicitation. Proxies may be solicited by certain of our directors, officers and employees, without additional compensation, in person, by telephone, by mail, facsimile, or other electronic or other means. We will reimburse brokerage houses, banks, and other custodians for their reasonable expenses for forwarding these materials to beneficial owners. </w:t>
      </w:r>
    </w:p>
    <w:p>
      <w:pPr>
        <w:pStyle w:val="TextBody"/>
        <w:bidi w:val="0"/>
        <w:spacing w:before="120" w:after="0"/>
        <w:jc w:val="left"/>
        <w:rPr>
          <w:rFonts w:ascii="ARIAL" w:hAnsi="ARIAL"/>
          <w:sz w:val="18"/>
        </w:rPr>
      </w:pPr>
      <w:r>
        <w:rPr>
          <w:rFonts w:ascii="ARIAL" w:hAnsi="ARIAL"/>
          <w:sz w:val="18"/>
        </w:rPr>
        <w:t xml:space="preserve">In connection with our solicitation of proxies for our 2027 Annual Meeting of Stockholders, we intend to file a proxy statement and WHITE proxy card with the SEC. Stockholders may obtain our proxy statement (and any amendments and supplements thereto) and other documents as and when filed with the SEC without charge from the SEC’s website at: www.sec.gov. </w:t>
      </w:r>
    </w:p>
    <w:p>
      <w:pPr>
        <w:pStyle w:val="TextBody"/>
        <w:bidi w:val="0"/>
        <w:spacing w:before="360" w:after="0"/>
        <w:jc w:val="left"/>
        <w:rPr>
          <w:rFonts w:ascii="ARIAL" w:hAnsi="ARIAL"/>
          <w:b/>
          <w:sz w:val="18"/>
        </w:rPr>
      </w:pPr>
      <w:r>
        <w:rPr>
          <w:rFonts w:ascii="ARIAL" w:hAnsi="ARIAL"/>
          <w:b/>
          <w:sz w:val="18"/>
        </w:rPr>
        <w:t xml:space="preserve">TABULATION OF VOTES </w:t>
      </w:r>
    </w:p>
    <w:p>
      <w:pPr>
        <w:pStyle w:val="TextBody"/>
        <w:bidi w:val="0"/>
        <w:spacing w:before="80" w:after="0"/>
        <w:jc w:val="left"/>
        <w:rPr>
          <w:rFonts w:ascii="ARIAL" w:hAnsi="ARIAL"/>
          <w:sz w:val="18"/>
        </w:rPr>
      </w:pPr>
      <w:r>
        <w:rPr>
          <w:rFonts w:ascii="ARIAL" w:hAnsi="ARIAL"/>
          <w:sz w:val="18"/>
        </w:rPr>
        <w:t xml:space="preserve">Broadridge Financial Services, Inc. will tabulate the votes. </w:t>
      </w:r>
    </w:p>
    <w:p>
      <w:pPr>
        <w:pStyle w:val="TextBody"/>
        <w:bidi w:val="0"/>
        <w:spacing w:before="360" w:after="0"/>
        <w:jc w:val="left"/>
        <w:rPr>
          <w:rFonts w:ascii="ARIAL" w:hAnsi="ARIAL"/>
          <w:b/>
          <w:sz w:val="24"/>
        </w:rPr>
      </w:pPr>
      <w:bookmarkStart w:id="72" w:name="toc903159_56"/>
      <w:bookmarkEnd w:id="72"/>
      <w:r>
        <w:rPr>
          <w:rFonts w:ascii="ARIAL" w:hAnsi="ARIAL"/>
          <w:b/>
          <w:sz w:val="24"/>
        </w:rPr>
        <w:t xml:space="preserve">Notice of Business to Come Before the Annual Meeting </w:t>
      </w:r>
    </w:p>
    <w:p>
      <w:pPr>
        <w:pStyle w:val="TextBody"/>
        <w:bidi w:val="0"/>
        <w:spacing w:before="80" w:after="0"/>
        <w:jc w:val="left"/>
        <w:rPr>
          <w:rFonts w:ascii="ARIAL" w:hAnsi="ARIAL"/>
          <w:sz w:val="18"/>
        </w:rPr>
      </w:pPr>
      <w:r>
        <w:rPr>
          <w:rFonts w:ascii="ARIAL" w:hAnsi="ARIAL"/>
          <w:sz w:val="18"/>
        </w:rPr>
        <w:t xml:space="preserve">We do not know of any other matter that will be presented for consideration at the Annual Meeting. If any other matter properly comes before the Annual Meeting, the accompanying proxy authorizes the persons named as proxies or their substitutes to vote on such matter as they determine appropriate. </w:t>
      </w:r>
    </w:p>
    <w:p>
      <w:pPr>
        <w:pStyle w:val="TextBody"/>
        <w:bidi w:val="0"/>
        <w:spacing w:before="360" w:after="0"/>
        <w:jc w:val="left"/>
        <w:rPr>
          <w:rFonts w:ascii="ARIAL" w:hAnsi="ARIAL"/>
          <w:b/>
          <w:sz w:val="24"/>
        </w:rPr>
      </w:pPr>
      <w:bookmarkStart w:id="73" w:name="toc903159_57"/>
      <w:bookmarkEnd w:id="73"/>
      <w:r>
        <w:rPr>
          <w:rFonts w:ascii="ARIAL" w:hAnsi="ARIAL"/>
          <w:b/>
          <w:sz w:val="24"/>
        </w:rPr>
        <w:t xml:space="preserve">Voting Information </w:t>
      </w:r>
    </w:p>
    <w:p>
      <w:pPr>
        <w:pStyle w:val="TextBody"/>
        <w:bidi w:val="0"/>
        <w:spacing w:before="20" w:after="0"/>
        <w:jc w:val="left"/>
        <w:rPr>
          <w:rFonts w:ascii="ARIAL" w:hAnsi="ARIAL"/>
          <w:b/>
          <w:sz w:val="18"/>
        </w:rPr>
      </w:pPr>
      <w:r>
        <w:rPr>
          <w:rFonts w:ascii="ARIAL" w:hAnsi="ARIAL"/>
          <w:b/>
          <w:sz w:val="18"/>
        </w:rPr>
        <w:t xml:space="preserve">RECORD DATE </w:t>
      </w:r>
    </w:p>
    <w:p>
      <w:pPr>
        <w:pStyle w:val="TextBody"/>
        <w:bidi w:val="0"/>
        <w:spacing w:before="80" w:after="0"/>
        <w:jc w:val="left"/>
        <w:rPr>
          <w:rFonts w:ascii="ARIAL" w:hAnsi="ARIAL"/>
          <w:sz w:val="18"/>
        </w:rPr>
      </w:pPr>
      <w:r>
        <w:rPr>
          <w:rFonts w:ascii="ARIAL" w:hAnsi="ARIAL"/>
          <w:sz w:val="18"/>
        </w:rPr>
        <w:t xml:space="preserve">At the close of business on the record date, Monday, April 27, 2026, there were 408,355,715 shares of common stock outstanding and entitled to vote at the Annual Meeting. Each outstanding share of common stock is entitled to one vote on each of the eight director nominees and on each of the other proposals. </w:t>
      </w:r>
    </w:p>
    <w:p>
      <w:pPr>
        <w:pStyle w:val="TextBody"/>
        <w:bidi w:val="0"/>
        <w:spacing w:before="360" w:after="0"/>
        <w:jc w:val="left"/>
        <w:rPr>
          <w:rFonts w:ascii="ARIAL" w:hAnsi="ARIAL"/>
          <w:b/>
          <w:sz w:val="18"/>
        </w:rPr>
      </w:pPr>
      <w:r>
        <w:rPr>
          <w:rFonts w:ascii="ARIAL" w:hAnsi="ARIAL"/>
          <w:b/>
          <w:sz w:val="18"/>
        </w:rPr>
        <w:t xml:space="preserve">QUORUM </w:t>
      </w:r>
    </w:p>
    <w:p>
      <w:pPr>
        <w:pStyle w:val="TextBody"/>
        <w:bidi w:val="0"/>
        <w:spacing w:before="80" w:after="0"/>
        <w:jc w:val="left"/>
        <w:rPr>
          <w:rFonts w:ascii="ARIAL" w:hAnsi="ARIAL"/>
          <w:sz w:val="18"/>
        </w:rPr>
      </w:pPr>
      <w:r>
        <w:rPr>
          <w:rFonts w:ascii="ARIAL" w:hAnsi="ARIAL"/>
          <w:sz w:val="18"/>
        </w:rPr>
        <w:t xml:space="preserve">The presence at the Annual Meeting, online or by proxy, of a majority in number of the total issued and outstanding shares of common stock of the Company entitled to vote constitutes a quorum (the minimum number of shares required to take action) for the Annual Meeting. Both abstentions and broker non-votes will be counted as shares present for purposes of obtaining a quorum.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0"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55" descr=""/>
                          <pic:cNvPicPr>
                            <a:picLocks noChangeAspect="1" noChangeArrowheads="1"/>
                          </pic:cNvPicPr>
                        </pic:nvPicPr>
                        <pic:blipFill>
                          <a:blip r:embed="rId36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92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923" w:type="dxa"/>
        <w:jc w:val="left"/>
        <w:tblInd w:w="0" w:type="dxa"/>
        <w:tblLayout w:type="fixed"/>
        <w:tblCellMar>
          <w:top w:w="0" w:type="dxa"/>
          <w:left w:w="0" w:type="dxa"/>
          <w:bottom w:w="0" w:type="dxa"/>
          <w:right w:w="0" w:type="dxa"/>
        </w:tblCellMar>
      </w:tblPr>
      <w:tblGrid>
        <w:gridCol w:w="38"/>
        <w:gridCol w:w="12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88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6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OTHER INFORMATION</w:t>
            </w:r>
          </w:p>
        </w:tc>
      </w:tr>
    </w:tbl>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VOTING REQUIREMENTS FOR PROPOSALS </w:t>
      </w:r>
    </w:p>
    <w:p>
      <w:pPr>
        <w:pStyle w:val="TextBody"/>
        <w:bidi w:val="0"/>
        <w:spacing w:before="80" w:after="0"/>
        <w:jc w:val="left"/>
        <w:rPr>
          <w:rFonts w:ascii="ARIAL" w:hAnsi="ARIAL"/>
          <w:sz w:val="18"/>
        </w:rPr>
      </w:pPr>
      <w:r>
        <w:rPr>
          <w:rFonts w:ascii="ARIAL" w:hAnsi="ARIAL"/>
          <w:sz w:val="18"/>
        </w:rPr>
        <w:t xml:space="preserve">The required vote and the calculation method for each of the matters scheduled for consideration at the Annual Meeting are as follows: </w:t>
      </w:r>
    </w:p>
    <w:p>
      <w:pPr>
        <w:pStyle w:val="TextBody"/>
        <w:bidi w:val="0"/>
        <w:spacing w:before="120" w:after="0"/>
        <w:jc w:val="left"/>
        <w:rPr>
          <w:rFonts w:ascii="ARIAL" w:hAnsi="ARIAL"/>
          <w:sz w:val="18"/>
        </w:rPr>
      </w:pPr>
      <w:r>
        <w:rPr>
          <w:rFonts w:ascii="ARIAL" w:hAnsi="ARIAL"/>
          <w:i/>
          <w:color w:val="0054BA"/>
          <w:sz w:val="18"/>
        </w:rPr>
        <w:t xml:space="preserve">Election of Directors. </w:t>
      </w:r>
      <w:r>
        <w:rPr>
          <w:rFonts w:ascii="ARIAL" w:hAnsi="ARIAL"/>
          <w:sz w:val="18"/>
        </w:rPr>
        <w:t xml:space="preserve">Each director will be elected if the number of shares voted “FOR” a director exceeds the number of shares voted “AGAINST” that director. If the votes cast for an incumbent director do not exceed the votes cast against the director, then the director is required to tender his or her resignation pursuant to the Board’s director resignation policy, and our Board will consider whether to accept or reject such director’s resignation following the Nominating and Corporate Governance Committee’s recommendation. </w:t>
      </w:r>
    </w:p>
    <w:p>
      <w:pPr>
        <w:pStyle w:val="TextBody"/>
        <w:bidi w:val="0"/>
        <w:spacing w:before="120" w:after="0"/>
        <w:jc w:val="left"/>
        <w:rPr>
          <w:rFonts w:ascii="ARIAL" w:hAnsi="ARIAL"/>
          <w:sz w:val="18"/>
        </w:rPr>
      </w:pPr>
      <w:r>
        <w:rPr>
          <w:rFonts w:ascii="ARIAL" w:hAnsi="ARIAL"/>
          <w:i/>
          <w:color w:val="0054BA"/>
          <w:sz w:val="18"/>
        </w:rPr>
        <w:t>Each of the Other Proposals.</w:t>
      </w:r>
      <w:r>
        <w:rPr>
          <w:rFonts w:ascii="ARIAL" w:hAnsi="ARIAL"/>
          <w:sz w:val="18"/>
        </w:rPr>
        <w:t xml:space="preserve"> Each of the other proposals to be voted on at the Annual Meeting shall be decided by a majority of the votes cast at the Annual Meeting by the stockholders entitled to vote thereon. Thus each of the other proposals to be voted on at the Annual Meeting will be approved if the number of shares voted “FOR” the proposal exceeds the number of shares voted “AGAINST” the proposal. </w:t>
      </w:r>
    </w:p>
    <w:p>
      <w:pPr>
        <w:pStyle w:val="TextBody"/>
        <w:bidi w:val="0"/>
        <w:spacing w:before="360" w:after="0"/>
        <w:jc w:val="left"/>
        <w:rPr>
          <w:rFonts w:ascii="ARIAL" w:hAnsi="ARIAL"/>
          <w:b/>
          <w:sz w:val="18"/>
        </w:rPr>
      </w:pPr>
      <w:r>
        <w:rPr>
          <w:rFonts w:ascii="ARIAL" w:hAnsi="ARIAL"/>
          <w:b/>
          <w:sz w:val="18"/>
        </w:rPr>
        <w:t xml:space="preserve">HOW TO CAST YOUR VOTE </w:t>
      </w:r>
    </w:p>
    <w:p>
      <w:pPr>
        <w:pStyle w:val="TextBody"/>
        <w:bidi w:val="0"/>
        <w:spacing w:before="80" w:after="0"/>
        <w:jc w:val="left"/>
        <w:rPr>
          <w:rFonts w:ascii="ARIAL" w:hAnsi="ARIAL"/>
          <w:sz w:val="18"/>
        </w:rPr>
      </w:pPr>
      <w:r>
        <w:rPr>
          <w:rFonts w:ascii="ARIAL" w:hAnsi="ARIAL"/>
          <w:sz w:val="18"/>
        </w:rPr>
        <w:t xml:space="preserve">You may vote the shares of common stock that you owned as of April 27, 2026, which is the record date for the Annual Meeting. We encourage you to vote as soon as possible, even if you plan to attend the meeting. Please follow the instructions on your proxy card, voting instruction form, or on the Notice that you received. If you submit your vote prior to the meeting, you may still attend the Annual Meeting and vote at the Annual Meeting. However, simply attending the Annual Meeting online will not revoke your proxy. If you instructed a broker, bank, or other nominee to vote your shares, you must follow your broker’s, bank’s, or other nominee’s directions for changing those instructions. </w:t>
      </w:r>
    </w:p>
    <w:p>
      <w:pPr>
        <w:pStyle w:val="TextBody"/>
        <w:bidi w:val="0"/>
        <w:spacing w:before="120" w:after="0"/>
        <w:jc w:val="left"/>
        <w:rPr>
          <w:rFonts w:ascii="ARIAL" w:hAnsi="ARIAL"/>
          <w:sz w:val="18"/>
        </w:rPr>
      </w:pPr>
      <w:r>
        <w:rPr>
          <w:rFonts w:ascii="ARIAL" w:hAnsi="ARIAL"/>
          <w:sz w:val="18"/>
        </w:rPr>
        <w:t xml:space="preserve">You may vote in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56"/>
        <w:gridCol w:w="23"/>
        <w:gridCol w:w="23"/>
        <w:gridCol w:w="23"/>
        <w:gridCol w:w="9080"/>
      </w:tblGrid>
      <w:tr>
        <w:trPr/>
        <w:tc>
          <w:tcPr>
            <w:tcW w:w="105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080" w:type="dxa"/>
            <w:tcBorders/>
            <w:vAlign w:val="center"/>
          </w:tcPr>
          <w:p>
            <w:pPr>
              <w:pStyle w:val="TableContents"/>
              <w:bidi w:val="0"/>
              <w:spacing w:before="0" w:after="283"/>
              <w:jc w:val="left"/>
              <w:rPr>
                <w:sz w:val="4"/>
                <w:szCs w:val="4"/>
              </w:rPr>
            </w:pPr>
            <w:r>
              <w:rPr>
                <w:sz w:val="4"/>
                <w:szCs w:val="4"/>
              </w:rPr>
            </w:r>
          </w:p>
        </w:tc>
      </w:tr>
      <w:tr>
        <w:trPr/>
        <w:tc>
          <w:tcPr>
            <w:tcW w:w="1056" w:type="dxa"/>
            <w:tcBorders/>
            <w:shd w:fill="DAEDFA" w:val="clear"/>
            <w:vAlign w:val="center"/>
          </w:tcPr>
          <w:p>
            <w:pPr>
              <w:pStyle w:val="TableContents"/>
              <w:bidi w:val="0"/>
              <w:spacing w:before="0" w:after="283"/>
              <w:jc w:val="left"/>
              <w:rPr>
                <w:sz w:val="4"/>
                <w:szCs w:val="4"/>
              </w:rPr>
            </w:pPr>
            <w:r>
              <w:rPr>
                <w:sz w:val="4"/>
                <w:szCs w:val="4"/>
              </w:rPr>
            </w:r>
          </w:p>
        </w:tc>
        <w:tc>
          <w:tcPr>
            <w:tcW w:w="46" w:type="dxa"/>
            <w:gridSpan w:val="2"/>
            <w:tcBorders/>
            <w:vAlign w:val="center"/>
          </w:tcPr>
          <w:p>
            <w:pPr>
              <w:pStyle w:val="TableContents"/>
              <w:bidi w:val="0"/>
              <w:spacing w:before="0" w:after="283"/>
              <w:jc w:val="left"/>
              <w:rPr>
                <w:sz w:val="4"/>
                <w:szCs w:val="4"/>
              </w:rPr>
            </w:pPr>
            <w:r>
              <w:rPr>
                <w:sz w:val="4"/>
                <w:szCs w:val="4"/>
              </w:rPr>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056"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Online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0" w:type="dxa"/>
            <w:tcBorders>
              <w:bottom w:val="single" w:sz="6" w:space="0" w:color="000000"/>
            </w:tcBorders>
            <w:tcMar>
              <w:bottom w:w="100" w:type="dxa"/>
            </w:tcMar>
            <w:vAlign w:val="center"/>
          </w:tcPr>
          <w:p>
            <w:pPr>
              <w:pStyle w:val="TableContents"/>
              <w:bidi w:val="0"/>
              <w:spacing w:before="0" w:after="283"/>
              <w:jc w:val="left"/>
              <w:rPr/>
            </w:pPr>
            <w:r>
              <w:rPr/>
              <w:t>You can vote online before the meeting, at www.proxyvote.com, using the instructions provided in the Notice.</w:t>
            </w:r>
          </w:p>
        </w:tc>
      </w:tr>
      <w:tr>
        <w:trPr/>
        <w:tc>
          <w:tcPr>
            <w:tcW w:w="1056" w:type="dxa"/>
            <w:tcBorders/>
            <w:shd w:fill="DAEDFA" w:val="clear"/>
            <w:vAlign w:val="center"/>
          </w:tcPr>
          <w:p>
            <w:pPr>
              <w:pStyle w:val="TableContents"/>
              <w:bidi w:val="0"/>
              <w:spacing w:before="0" w:after="283"/>
              <w:jc w:val="left"/>
              <w:rPr>
                <w:sz w:val="4"/>
                <w:szCs w:val="4"/>
              </w:rPr>
            </w:pPr>
            <w:r>
              <w:rPr>
                <w:sz w:val="4"/>
                <w:szCs w:val="4"/>
              </w:rPr>
            </w:r>
          </w:p>
        </w:tc>
        <w:tc>
          <w:tcPr>
            <w:tcW w:w="46" w:type="dxa"/>
            <w:gridSpan w:val="2"/>
            <w:tcBorders/>
            <w:vAlign w:val="center"/>
          </w:tcPr>
          <w:p>
            <w:pPr>
              <w:pStyle w:val="TableContents"/>
              <w:bidi w:val="0"/>
              <w:spacing w:before="0" w:after="283"/>
              <w:jc w:val="left"/>
              <w:rPr>
                <w:sz w:val="4"/>
                <w:szCs w:val="4"/>
              </w:rPr>
            </w:pPr>
            <w:r>
              <w:rPr>
                <w:sz w:val="4"/>
                <w:szCs w:val="4"/>
              </w:rPr>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056"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By Telephone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0" w:type="dxa"/>
            <w:tcBorders>
              <w:bottom w:val="single" w:sz="6" w:space="0" w:color="000000"/>
            </w:tcBorders>
            <w:tcMar>
              <w:bottom w:w="100" w:type="dxa"/>
            </w:tcMar>
            <w:vAlign w:val="center"/>
          </w:tcPr>
          <w:p>
            <w:pPr>
              <w:pStyle w:val="TableContents"/>
              <w:bidi w:val="0"/>
              <w:spacing w:before="0" w:after="283"/>
              <w:jc w:val="left"/>
              <w:rPr/>
            </w:pPr>
            <w:r>
              <w:rPr/>
              <w:t>You can vote by calling the number on your proxy card or voting instruction form.</w:t>
            </w:r>
          </w:p>
        </w:tc>
      </w:tr>
      <w:tr>
        <w:trPr/>
        <w:tc>
          <w:tcPr>
            <w:tcW w:w="1056" w:type="dxa"/>
            <w:tcBorders/>
            <w:shd w:fill="DAEDFA" w:val="clear"/>
            <w:vAlign w:val="center"/>
          </w:tcPr>
          <w:p>
            <w:pPr>
              <w:pStyle w:val="TableContents"/>
              <w:bidi w:val="0"/>
              <w:spacing w:before="0" w:after="283"/>
              <w:jc w:val="left"/>
              <w:rPr>
                <w:sz w:val="4"/>
                <w:szCs w:val="4"/>
              </w:rPr>
            </w:pPr>
            <w:r>
              <w:rPr>
                <w:sz w:val="4"/>
                <w:szCs w:val="4"/>
              </w:rPr>
            </w:r>
          </w:p>
        </w:tc>
        <w:tc>
          <w:tcPr>
            <w:tcW w:w="46" w:type="dxa"/>
            <w:gridSpan w:val="2"/>
            <w:tcBorders/>
            <w:vAlign w:val="center"/>
          </w:tcPr>
          <w:p>
            <w:pPr>
              <w:pStyle w:val="TableContents"/>
              <w:bidi w:val="0"/>
              <w:spacing w:before="0" w:after="283"/>
              <w:jc w:val="left"/>
              <w:rPr>
                <w:sz w:val="4"/>
                <w:szCs w:val="4"/>
              </w:rPr>
            </w:pPr>
            <w:r>
              <w:rPr>
                <w:sz w:val="4"/>
                <w:szCs w:val="4"/>
              </w:rPr>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056"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By Mail</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0" w:type="dxa"/>
            <w:tcBorders>
              <w:bottom w:val="single" w:sz="6" w:space="0" w:color="000000"/>
            </w:tcBorders>
            <w:tcMar>
              <w:bottom w:w="100" w:type="dxa"/>
            </w:tcMar>
            <w:vAlign w:val="center"/>
          </w:tcPr>
          <w:p>
            <w:pPr>
              <w:pStyle w:val="TableContents"/>
              <w:bidi w:val="0"/>
              <w:spacing w:before="0" w:after="283"/>
              <w:jc w:val="left"/>
              <w:rPr/>
            </w:pPr>
            <w:r>
              <w:rPr/>
              <w:t>If you receive a complete set of proxy materials by U.S. mail, complete, sign and return the accompanying proxy or voting instruction form in accordance with the instructions provided.</w:t>
            </w:r>
          </w:p>
        </w:tc>
      </w:tr>
      <w:tr>
        <w:trPr/>
        <w:tc>
          <w:tcPr>
            <w:tcW w:w="1056" w:type="dxa"/>
            <w:tcBorders/>
            <w:shd w:fill="DAEDFA" w:val="clear"/>
            <w:vAlign w:val="center"/>
          </w:tcPr>
          <w:p>
            <w:pPr>
              <w:pStyle w:val="TableContents"/>
              <w:bidi w:val="0"/>
              <w:spacing w:before="0" w:after="283"/>
              <w:jc w:val="left"/>
              <w:rPr>
                <w:sz w:val="4"/>
                <w:szCs w:val="4"/>
              </w:rPr>
            </w:pPr>
            <w:r>
              <w:rPr>
                <w:sz w:val="4"/>
                <w:szCs w:val="4"/>
              </w:rPr>
            </w:r>
          </w:p>
        </w:tc>
        <w:tc>
          <w:tcPr>
            <w:tcW w:w="46" w:type="dxa"/>
            <w:gridSpan w:val="2"/>
            <w:tcBorders/>
            <w:vAlign w:val="center"/>
          </w:tcPr>
          <w:p>
            <w:pPr>
              <w:pStyle w:val="TableContents"/>
              <w:bidi w:val="0"/>
              <w:spacing w:before="0" w:after="283"/>
              <w:jc w:val="left"/>
              <w:rPr>
                <w:sz w:val="4"/>
                <w:szCs w:val="4"/>
              </w:rPr>
            </w:pPr>
            <w:r>
              <w:rPr>
                <w:sz w:val="4"/>
                <w:szCs w:val="4"/>
              </w:rPr>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056" w:type="dxa"/>
            <w:tcBorders/>
            <w:shd w:fill="DAEDFA" w:val="clear"/>
            <w:vAlign w:val="center"/>
          </w:tcPr>
          <w:p>
            <w:pPr>
              <w:pStyle w:val="TableContents"/>
              <w:bidi w:val="0"/>
              <w:spacing w:before="0" w:after="0"/>
              <w:jc w:val="left"/>
              <w:rPr>
                <w:rFonts w:ascii="ARIAL" w:hAnsi="ARIAL"/>
                <w:b/>
                <w:sz w:val="18"/>
              </w:rPr>
            </w:pPr>
            <w:r>
              <w:rPr>
                <w:rFonts w:ascii="ARIAL" w:hAnsi="ARIAL"/>
                <w:b/>
                <w:sz w:val="18"/>
              </w:rPr>
              <w:t>At the Meeting</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0" w:type="dxa"/>
            <w:tcBorders>
              <w:bottom w:val="single" w:sz="6" w:space="0" w:color="000000"/>
            </w:tcBorders>
            <w:tcMar>
              <w:bottom w:w="100" w:type="dxa"/>
            </w:tcMar>
            <w:vAlign w:val="center"/>
          </w:tcPr>
          <w:p>
            <w:pPr>
              <w:pStyle w:val="TableContents"/>
              <w:bidi w:val="0"/>
              <w:spacing w:before="0" w:after="283"/>
              <w:jc w:val="left"/>
              <w:rPr/>
            </w:pPr>
            <w:r>
              <w:rPr/>
              <w:t>You can vote online during the meeting, at www.virtualshareholdermeeting.com/CSGP2026.</w:t>
            </w:r>
          </w:p>
        </w:tc>
      </w:tr>
    </w:tbl>
    <w:p>
      <w:pPr>
        <w:pStyle w:val="TextBody"/>
        <w:bidi w:val="0"/>
        <w:spacing w:before="240" w:after="0"/>
        <w:jc w:val="left"/>
        <w:rPr>
          <w:rFonts w:ascii="ARIAL" w:hAnsi="ARIAL"/>
          <w:sz w:val="18"/>
        </w:rPr>
      </w:pPr>
      <w:r>
        <w:rPr>
          <w:rFonts w:ascii="ARIAL" w:hAnsi="ARIAL"/>
          <w:sz w:val="18"/>
        </w:rPr>
        <w:t xml:space="preserve">You may listen, vote, submit questions and view the list of registered stockholders during the Annual Meeting via the Internet at www.virtualshareholdermeeting.com/CSGP2026. If you are a registered stockholder, to access, participate in and vote at the Annual Meeting, you will need the 16-digit control number included on your proxy card or the Notice. If your shares are held in brokerage accounts and your voting instruction form or Notice indicates that you may vote those shares through the http://www.proxyvote.com website, then you may access, participate in, and vote at the Annual Meeting with the 16-digit control number indicated on that voting instruction form or the Notice. Otherwise, stockholders who hold their shares in brokerage accounts should contact their bank, broker or other nominee (preferably at least five days before the Annual Meeting) and obtain a “legal proxy” in order to be able to attend, participate in or vote at the Annual Meeting. </w:t>
      </w:r>
    </w:p>
    <w:p>
      <w:pPr>
        <w:pStyle w:val="TextBody"/>
        <w:bidi w:val="0"/>
        <w:spacing w:before="360" w:after="0"/>
        <w:jc w:val="left"/>
        <w:rPr>
          <w:rFonts w:ascii="ARIAL" w:hAnsi="ARIAL"/>
          <w:b/>
          <w:sz w:val="18"/>
        </w:rPr>
      </w:pPr>
      <w:r>
        <w:rPr>
          <w:rFonts w:ascii="ARIAL" w:hAnsi="ARIAL"/>
          <w:b/>
          <w:sz w:val="18"/>
        </w:rPr>
        <w:t xml:space="preserve">TREATMENT OF ABSTENTIONS </w:t>
      </w:r>
    </w:p>
    <w:p>
      <w:pPr>
        <w:pStyle w:val="TextBody"/>
        <w:bidi w:val="0"/>
        <w:spacing w:before="80" w:after="0"/>
        <w:jc w:val="left"/>
        <w:rPr>
          <w:rFonts w:ascii="ARIAL" w:hAnsi="ARIAL"/>
          <w:sz w:val="18"/>
        </w:rPr>
      </w:pPr>
      <w:r>
        <w:rPr>
          <w:rFonts w:ascii="ARIAL" w:hAnsi="ARIAL"/>
          <w:sz w:val="18"/>
        </w:rPr>
        <w:t xml:space="preserve">Abstentions will not affect the outcome of the election of directors or the other proposals because they are disregarded in calculating the total number of votes cast. Abstentions will be counted as present and entitled to vote for purposes of determining the presence of a quorum at the Annual Meeting. </w:t>
      </w:r>
    </w:p>
    <w:p>
      <w:pPr>
        <w:pStyle w:val="TextBody"/>
        <w:bidi w:val="0"/>
        <w:spacing w:before="360" w:after="0"/>
        <w:jc w:val="left"/>
        <w:rPr>
          <w:rFonts w:ascii="ARIAL" w:hAnsi="ARIAL"/>
          <w:b/>
          <w:sz w:val="18"/>
        </w:rPr>
      </w:pPr>
      <w:r>
        <w:rPr>
          <w:rFonts w:ascii="ARIAL" w:hAnsi="ARIAL"/>
          <w:b/>
          <w:sz w:val="18"/>
        </w:rPr>
        <w:t xml:space="preserve">TREATMENT OF BROKER NON-VOTES </w:t>
      </w:r>
    </w:p>
    <w:p>
      <w:pPr>
        <w:pStyle w:val="TextBody"/>
        <w:bidi w:val="0"/>
        <w:spacing w:before="80" w:after="0"/>
        <w:jc w:val="left"/>
        <w:rPr>
          <w:rFonts w:ascii="ARIAL" w:hAnsi="ARIAL"/>
          <w:sz w:val="18"/>
        </w:rPr>
      </w:pPr>
      <w:r>
        <w:rPr>
          <w:rFonts w:ascii="ARIAL" w:hAnsi="ARIAL"/>
          <w:sz w:val="18"/>
        </w:rPr>
        <w:t xml:space="preserve">Beneficial owners whose shares are held in brokerage accounts have the right to direct their broker, bank, or other nominee how to vote their shares, and the broker, bank, or other nominee is required to vote those shares in accordance with their instructions. </w:t>
      </w:r>
    </w:p>
    <w:p>
      <w:pPr>
        <w:pStyle w:val="TextBody"/>
        <w:bidi w:val="0"/>
        <w:spacing w:before="120" w:after="0"/>
        <w:jc w:val="left"/>
        <w:rPr>
          <w:rFonts w:ascii="ARIAL" w:hAnsi="ARIAL"/>
          <w:sz w:val="18"/>
        </w:rPr>
      </w:pPr>
      <w:r>
        <w:rPr>
          <w:rFonts w:ascii="ARIAL" w:hAnsi="ARIAL"/>
          <w:sz w:val="18"/>
        </w:rPr>
        <w:t xml:space="preserve">Brokers, banks, or other nominees have the discretion to vote shares held in brokerage accounts on routine corporate matters, such as ratification of the appointment of the Company’s independent registered public accounting firm (Proposal 2), without specific voting instructions from the beneficial owner. Brokers, banks, or other nominees may not vote shares held in brokerage accounts on non-routine matters, such as the election of directors (Proposal 1), the advisory resolution to approve executive compensation (Proposal 3), or the approval of the CoStar Group, Inc. 2026 Employee Stock Purchase Plan (Proposal 4) without specific voting instructions from the beneficial owner (this is referred to as a “broker non-vote”). Broker non-votes will not affect the outcome of Proposals 1, 3 or 4.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1"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56" descr=""/>
                          <pic:cNvPicPr>
                            <a:picLocks noChangeAspect="1" noChangeArrowheads="1"/>
                          </pic:cNvPicPr>
                        </pic:nvPicPr>
                        <pic:blipFill>
                          <a:blip r:embed="rId36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93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923" w:type="dxa"/>
        <w:jc w:val="left"/>
        <w:tblInd w:w="0" w:type="dxa"/>
        <w:tblLayout w:type="fixed"/>
        <w:tblCellMar>
          <w:top w:w="0" w:type="dxa"/>
          <w:left w:w="0" w:type="dxa"/>
          <w:bottom w:w="0" w:type="dxa"/>
          <w:right w:w="0" w:type="dxa"/>
        </w:tblCellMar>
      </w:tblPr>
      <w:tblGrid>
        <w:gridCol w:w="38"/>
        <w:gridCol w:w="12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88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6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OTHER INFORMATION</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Broker non-votes will be counted as present and entitled to vote for purposes of determining the presence of a quorum at the Annual Meeting. </w:t>
      </w:r>
    </w:p>
    <w:p>
      <w:pPr>
        <w:pStyle w:val="TextBody"/>
        <w:bidi w:val="0"/>
        <w:spacing w:before="360" w:after="0"/>
        <w:jc w:val="left"/>
        <w:rPr>
          <w:rFonts w:ascii="ARIAL" w:hAnsi="ARIAL"/>
          <w:b/>
          <w:sz w:val="18"/>
        </w:rPr>
      </w:pPr>
      <w:r>
        <w:rPr>
          <w:rFonts w:ascii="ARIAL" w:hAnsi="ARIAL"/>
          <w:b/>
          <w:sz w:val="18"/>
        </w:rPr>
        <w:t xml:space="preserve">REVOCATION OF PROXIES </w:t>
      </w:r>
    </w:p>
    <w:p>
      <w:pPr>
        <w:pStyle w:val="TextBody"/>
        <w:bidi w:val="0"/>
        <w:spacing w:before="80" w:after="0"/>
        <w:jc w:val="left"/>
        <w:rPr>
          <w:rFonts w:ascii="ARIAL" w:hAnsi="ARIAL"/>
          <w:sz w:val="18"/>
        </w:rPr>
      </w:pPr>
      <w:r>
        <w:rPr>
          <w:rFonts w:ascii="ARIAL" w:hAnsi="ARIAL"/>
          <w:sz w:val="18"/>
        </w:rPr>
        <w:t xml:space="preserve">You may revoke your proxy at any time before it is voted by: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125"/>
        <w:gridCol w:w="60"/>
        <w:gridCol w:w="950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ARIAL" w:hAnsi="ARIAL"/>
                <w:sz w:val="18"/>
              </w:rPr>
            </w:pPr>
            <w:r>
              <w:rPr>
                <w:rFonts w:ascii="ARIAL" w:hAnsi="ARIAL"/>
                <w:sz w:val="18"/>
              </w:rPr>
              <w:t xml:space="preserve">Delivering to the Corporate Secretary at our principal executive office written notice that you are revoking your proxy;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125"/>
        <w:gridCol w:w="60"/>
        <w:gridCol w:w="479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ARIAL" w:hAnsi="ARIAL"/>
                <w:sz w:val="18"/>
              </w:rPr>
            </w:pPr>
            <w:r>
              <w:rPr>
                <w:rFonts w:ascii="ARIAL" w:hAnsi="ARIAL"/>
                <w:sz w:val="18"/>
              </w:rPr>
              <w:t xml:space="preserve">Submitting a properly executed proxy bearing a later date;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125"/>
        <w:gridCol w:w="60"/>
        <w:gridCol w:w="5375"/>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18"/>
              </w:rPr>
            </w:pPr>
            <w:r>
              <w:rPr>
                <w:rFonts w:ascii="ARIAL" w:hAnsi="ARIAL"/>
                <w:sz w:val="18"/>
              </w:rPr>
              <w:t xml:space="preserve">Voting again online before the meeting at www.proxyvote.com;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Before the electronic polls close, submitting a later-dated vote online during the Annual Meeting, via the Internet, at www.virtualshareholdermeeting.com/CSGP2026. </w:t>
            </w:r>
          </w:p>
        </w:tc>
      </w:tr>
    </w:tbl>
    <w:p>
      <w:pPr>
        <w:pStyle w:val="TextBody"/>
        <w:bidi w:val="0"/>
        <w:spacing w:before="360" w:after="0"/>
        <w:jc w:val="left"/>
        <w:rPr>
          <w:rFonts w:ascii="ARIAL" w:hAnsi="ARIAL"/>
          <w:b/>
          <w:sz w:val="24"/>
        </w:rPr>
      </w:pPr>
      <w:bookmarkStart w:id="74" w:name="toc903159_58"/>
      <w:bookmarkEnd w:id="74"/>
      <w:r>
        <w:rPr>
          <w:rFonts w:ascii="ARIAL" w:hAnsi="ARIAL"/>
          <w:b/>
          <w:sz w:val="24"/>
        </w:rPr>
        <w:t xml:space="preserve">Multiple Stockholders Sharing the Same Address </w:t>
      </w:r>
    </w:p>
    <w:p>
      <w:pPr>
        <w:pStyle w:val="TextBody"/>
        <w:bidi w:val="0"/>
        <w:spacing w:before="80" w:after="0"/>
        <w:jc w:val="left"/>
        <w:rPr>
          <w:rFonts w:ascii="ARIAL" w:hAnsi="ARIAL"/>
          <w:sz w:val="18"/>
        </w:rPr>
      </w:pPr>
      <w:r>
        <w:rPr>
          <w:rFonts w:ascii="ARIAL" w:hAnsi="ARIAL"/>
          <w:sz w:val="18"/>
        </w:rPr>
        <w:t xml:space="preserve">If you and others who share your mailing address own common stock in street name, meaning through a broker, bank, or other nominee, you may have received a notice that your household will receive only one Notice or one set of proxy materials (the 2025 Annual Report and this Proxy Statement), as applicable, from each company whose stock is held in such accounts. This practice, known as “householding,” is designed to reduce the volume of duplicate information and reduce printing and postage costs. Unless you responded that you did not want to participate in householding, you were deemed to have consented to it, and a single set of proxy materials has been sent to your address. Each stockholder will continue to receive a separate voting instruction form. If you would like to revoke your consent to householding and in the future receive your own Notice or your own set of proxy materials, as applicable, or if your household is currently receiving multiple copies of the same items and you would like in the future to receive only a single copy at your address, please contact Broadridge Financial Services, Inc., either by calling 1-866-540-7095 or by writing to Broadridge Householding Department, 51 Mercedes Way, Edgewood, NY 11717. A revocation of consent to householding will be effective 30 days following its receipt. We will deliver promptly, upon written or oral request, a separate copy of the proxy materials for the Annual Meeting to a stockholder at a shared address to which a single copy of the materials was delivered. </w:t>
      </w:r>
    </w:p>
    <w:p>
      <w:pPr>
        <w:pStyle w:val="TextBody"/>
        <w:bidi w:val="0"/>
        <w:spacing w:before="360" w:after="0"/>
        <w:jc w:val="left"/>
        <w:rPr>
          <w:rFonts w:ascii="ARIAL" w:hAnsi="ARIAL"/>
          <w:b/>
          <w:sz w:val="24"/>
        </w:rPr>
      </w:pPr>
      <w:bookmarkStart w:id="75" w:name="toc903159_59"/>
      <w:bookmarkEnd w:id="75"/>
      <w:r>
        <w:rPr>
          <w:rFonts w:ascii="ARIAL" w:hAnsi="ARIAL"/>
          <w:b/>
          <w:sz w:val="24"/>
        </w:rPr>
        <w:t xml:space="preserve">Stockholder Proposals and Nominations for Directors for the 2027 Annual Meeting of Stockholders </w:t>
      </w:r>
    </w:p>
    <w:p>
      <w:pPr>
        <w:pStyle w:val="TextBody"/>
        <w:bidi w:val="0"/>
        <w:spacing w:before="80" w:after="0"/>
        <w:jc w:val="left"/>
        <w:rPr>
          <w:rFonts w:ascii="ARIAL" w:hAnsi="ARIAL"/>
          <w:sz w:val="18"/>
        </w:rPr>
      </w:pPr>
      <w:r>
        <w:rPr>
          <w:rFonts w:ascii="ARIAL" w:hAnsi="ARIAL"/>
          <w:i/>
          <w:color w:val="0054BA"/>
          <w:sz w:val="18"/>
        </w:rPr>
        <w:t xml:space="preserve">Rule 14a-8 Stockholder Proposals. </w:t>
      </w:r>
      <w:r>
        <w:rPr>
          <w:rFonts w:ascii="ARIAL" w:hAnsi="ARIAL"/>
          <w:sz w:val="18"/>
        </w:rPr>
        <w:t xml:space="preserve">A stockholder who intends to introduce a proposal for consideration at our 2027 Annual Meeting of Stockholders may seek to have that proposal included in our Proxy Statement if the proposal relates to a subject that is permitted under Rule 14a-8 under the Exchange Act. To be eligible for inclusion in our Proxy Statement, the proposal must be received by our Corporate Secretary at our principal executive office not later than December 31, 2026, and must satisfy the other requirements of Rule 14a-8. Stockholders interested in submitting such a proposal are advised to contact knowledgeable counsel with regard to the detailed requirements of applicable securities laws. The submission of a stockholder proposal does not guarantee that it will be included in our Proxy Statement. </w:t>
      </w:r>
    </w:p>
    <w:p>
      <w:pPr>
        <w:pStyle w:val="TextBody"/>
        <w:bidi w:val="0"/>
        <w:spacing w:before="120" w:after="0"/>
        <w:jc w:val="left"/>
        <w:rPr>
          <w:rFonts w:ascii="ARIAL" w:hAnsi="ARIAL"/>
          <w:sz w:val="18"/>
        </w:rPr>
      </w:pPr>
      <w:r>
        <w:rPr>
          <w:rFonts w:ascii="ARIAL" w:hAnsi="ARIAL"/>
          <w:sz w:val="18"/>
        </w:rPr>
        <w:t xml:space="preserve">A stockholder may otherwise propose business for consideration or nominate persons for election to the Board, in compliance with federal proxy rules, applicable state law and other legal requirements and without seeking to have the proposal included in our Proxy Statement. </w:t>
      </w:r>
    </w:p>
    <w:p>
      <w:pPr>
        <w:pStyle w:val="TextBody"/>
        <w:bidi w:val="0"/>
        <w:spacing w:before="120" w:after="0"/>
        <w:jc w:val="left"/>
        <w:rPr>
          <w:rFonts w:ascii="ARIAL" w:hAnsi="ARIAL"/>
          <w:sz w:val="18"/>
        </w:rPr>
      </w:pPr>
      <w:r>
        <w:rPr>
          <w:rFonts w:ascii="ARIAL" w:hAnsi="ARIAL"/>
          <w:i/>
          <w:color w:val="0054BA"/>
          <w:sz w:val="18"/>
        </w:rPr>
        <w:t xml:space="preserve">Other Stockholder Proposals. </w:t>
      </w:r>
      <w:r>
        <w:rPr>
          <w:rFonts w:ascii="ARIAL" w:hAnsi="ARIAL"/>
          <w:sz w:val="18"/>
        </w:rPr>
        <w:t xml:space="preserve">Our By-Laws specify the requirements that must be met in order to submit any such proposals or nominations. Stockholders who wish to nominate persons for election as directors or bring forth other proposals outside of Rule 14a-8 at the 2027 Annual Meeting of Stockholders must give notice of their intention to do so in writing to our Corporate Secretary on or before the close of business on April 9, 2027, but no sooner than the close of business on March 10, 2027. The stockholder’s submission must include specified information concerning the proposal or nominee, as the case may be, and information as to the stockholder’s ownership of common stock as required by our By-Laws. Stockholder proposals or nominations not meeting these requirements will not be entertained at the 2027 Annual Meeting of Stockholders. The address of our principal executive office is: 1201 Wilson Blvd., Arlington, Virginia 22209. Any notice of director nomination submitted to the Company other than through proxy access must include the additional information required by Rule 14a-19(b) under the Exchange Act. </w:t>
      </w:r>
    </w:p>
    <w:p>
      <w:pPr>
        <w:pStyle w:val="TextBody"/>
        <w:bidi w:val="0"/>
        <w:spacing w:before="120" w:after="0"/>
        <w:jc w:val="left"/>
        <w:rPr>
          <w:rFonts w:ascii="ARIAL" w:hAnsi="ARIAL"/>
          <w:sz w:val="18"/>
        </w:rPr>
      </w:pPr>
      <w:r>
        <w:rPr>
          <w:rFonts w:ascii="ARIAL" w:hAnsi="ARIAL"/>
          <w:i/>
          <w:color w:val="0054BA"/>
          <w:sz w:val="18"/>
        </w:rPr>
        <w:t>Proxy Access.</w:t>
      </w:r>
      <w:r>
        <w:rPr>
          <w:rFonts w:ascii="ARIAL" w:hAnsi="ARIAL"/>
          <w:sz w:val="18"/>
        </w:rPr>
        <w:t xml:space="preserve"> Pursuant to the proxy access provision in our By-Laws, eligible stockholders have the ability to nominate and include in our proxy statement director nominee(s), if such nominations are submitted in accordance with the procedures set forth in the By-Laws. Notice must be provided in writing to the Secretary as provided in the By-Laws. For the 2027 Annual Meeting of Stockholders, the Corporate Secretary of the Company must receive this notice no later than December 31, 2026, and no earlier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5575"/>
                  <wp:effectExtent l="0" t="0" r="0" b="0"/>
                  <wp:docPr id="382"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57" descr=""/>
                          <pic:cNvPicPr>
                            <a:picLocks noChangeAspect="1" noChangeArrowheads="1"/>
                          </pic:cNvPicPr>
                        </pic:nvPicPr>
                        <pic:blipFill>
                          <a:blip r:embed="rId369"/>
                          <a:stretch>
                            <a:fillRect/>
                          </a:stretch>
                        </pic:blipFill>
                        <pic:spPr bwMode="auto">
                          <a:xfrm>
                            <a:off x="0" y="0"/>
                            <a:ext cx="908050" cy="1555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94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923" w:type="dxa"/>
        <w:jc w:val="left"/>
        <w:tblInd w:w="0" w:type="dxa"/>
        <w:tblLayout w:type="fixed"/>
        <w:tblCellMar>
          <w:top w:w="0" w:type="dxa"/>
          <w:left w:w="0" w:type="dxa"/>
          <w:bottom w:w="0" w:type="dxa"/>
          <w:right w:w="0" w:type="dxa"/>
        </w:tblCellMar>
      </w:tblPr>
      <w:tblGrid>
        <w:gridCol w:w="38"/>
        <w:gridCol w:w="12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88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6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OTHER INFORMATION</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than December 1, 2026, which dates are 120 calendar days and 150 calendar days, respectively, prior to April 30, 2027, the anniversary of the date that the Company mailed its proxy statement for the Annual Meeting; provided, that if the annual meeting is not scheduled to be held on a date that is not within 30 days before or after such anniversary date, then notice by the stockholder to be timely must be delivered not earlier than the close of business on the date that is 150 days prior to such annual meeting and not later than the close of business on the date that is 120 days prior to such annual meeting or the 10th day following the day on which public announcement or disclosure of the date of such meeting is first made. </w:t>
      </w:r>
    </w:p>
    <w:p>
      <w:pPr>
        <w:pStyle w:val="TextBody"/>
        <w:bidi w:val="0"/>
        <w:spacing w:before="120" w:after="0"/>
        <w:jc w:val="left"/>
        <w:rPr>
          <w:rFonts w:ascii="ARIAL" w:hAnsi="ARIAL"/>
          <w:sz w:val="18"/>
        </w:rPr>
      </w:pPr>
      <w:r>
        <w:rPr>
          <w:rFonts w:ascii="ARIAL" w:hAnsi="ARIAL"/>
          <w:i/>
          <w:color w:val="0054BA"/>
          <w:sz w:val="18"/>
        </w:rPr>
        <w:t>Universal Proxy Cards.</w:t>
      </w:r>
      <w:r>
        <w:rPr>
          <w:rFonts w:ascii="ARIAL" w:hAnsi="ARIAL"/>
          <w:sz w:val="18"/>
        </w:rPr>
        <w:t xml:space="preserve"> In addition to satisfying the requirements of the Company’s advance notice By-Law provision, a stockholder who intends to solicit proxies in support of director nominees for election at the 2027 Annual Meeting of Stockholders, other than the Company’s nominees, must provide notice that sets forth the information required by Rule 14a-19 of the Exchange Act no later than April 24, 2027. </w:t>
      </w:r>
    </w:p>
    <w:p>
      <w:pPr>
        <w:pStyle w:val="TextBody"/>
        <w:bidi w:val="0"/>
        <w:spacing w:before="360" w:after="0"/>
        <w:jc w:val="left"/>
        <w:rPr>
          <w:rFonts w:ascii="ARIAL" w:hAnsi="ARIAL"/>
          <w:b/>
          <w:sz w:val="24"/>
        </w:rPr>
      </w:pPr>
      <w:bookmarkStart w:id="76" w:name="toc903159_60"/>
      <w:bookmarkEnd w:id="76"/>
      <w:r>
        <w:rPr>
          <w:rFonts w:ascii="ARIAL" w:hAnsi="ARIAL"/>
          <w:b/>
          <w:sz w:val="24"/>
        </w:rPr>
        <w:t xml:space="preserve">Availability of Form 10-K </w:t>
      </w:r>
    </w:p>
    <w:p>
      <w:pPr>
        <w:pStyle w:val="TextBody"/>
        <w:bidi w:val="0"/>
        <w:spacing w:before="80" w:after="0"/>
        <w:jc w:val="left"/>
        <w:rPr>
          <w:rFonts w:ascii="ARIAL" w:hAnsi="ARIAL"/>
          <w:sz w:val="18"/>
        </w:rPr>
      </w:pPr>
      <w:r>
        <w:rPr>
          <w:rFonts w:ascii="ARIAL" w:hAnsi="ARIAL"/>
          <w:sz w:val="18"/>
        </w:rPr>
        <w:t xml:space="preserve">If you would like a paper copy of our 2025 Annual Report, excluding certain exhibits, please send a written request to Gene Boxer, General Counsel and Corporate Secretary, CoStar Group, Inc., 1201 Wilson Blvd., Arlington, Virginia 22209.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505"/>
        <w:gridCol w:w="120"/>
        <w:gridCol w:w="19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3"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58" descr=""/>
                          <pic:cNvPicPr>
                            <a:picLocks noChangeAspect="1" noChangeArrowheads="1"/>
                          </pic:cNvPicPr>
                        </pic:nvPicPr>
                        <pic:blipFill>
                          <a:blip r:embed="rId37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95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08" w:type="dxa"/>
        <w:jc w:val="left"/>
        <w:tblInd w:w="0" w:type="dxa"/>
        <w:tblLayout w:type="fixed"/>
        <w:tblCellMar>
          <w:top w:w="0" w:type="dxa"/>
          <w:left w:w="0" w:type="dxa"/>
          <w:bottom w:w="0" w:type="dxa"/>
          <w:right w:w="0" w:type="dxa"/>
        </w:tblCellMar>
      </w:tblPr>
      <w:tblGrid>
        <w:gridCol w:w="38"/>
        <w:gridCol w:w="12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5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A</w:t>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Forward-Looking Statements </w:t>
      </w:r>
    </w:p>
    <w:p>
      <w:pPr>
        <w:pStyle w:val="TextBody"/>
        <w:bidi w:val="0"/>
        <w:spacing w:before="80" w:after="0"/>
        <w:jc w:val="left"/>
        <w:rPr>
          <w:rFonts w:ascii="ARIAL" w:hAnsi="ARIAL"/>
          <w:sz w:val="18"/>
        </w:rPr>
      </w:pPr>
      <w:r>
        <w:rPr>
          <w:rFonts w:ascii="ARIAL" w:hAnsi="ARIAL"/>
          <w:sz w:val="18"/>
        </w:rPr>
        <w:t xml:space="preserve">This Proxy Statement contains “forward-looking statements” within the meaning of the Private Securities Litigation Reform Act of 1995. Such statements include, but are not limited to, statements about CoStar Group’s plans, objectives, expectations, beliefs and intentions and other statements including words such as “hope,” “anticipate,” “may,” “likely,” “might,” “believe,” “expect,” “observe,” “consider,” “think,” “intend,” “envision,” “will,” “should,” “could,” “would,” “plan,” “target,” “goal,” “estimate,” “predict,”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the risks related to AI technologies, such as Homes AI; our inability to attract and retain new clients; our inability to successfully develop and introduce new or updated online marketplace services, information, and analytics;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Matterport Acquisition or the Domain Acquisition; the inability of third-party suppliers upon which Matterport relies to fulfill its needs; the effects of cyberattacks and security vulnerabilities, and technical problems or disruptions; the significant costs associated with undertaking a large infrastructure project; our inability to generate increased revenues from our current or future geographic expansion plans; the risks related to acceptance of credit cards and debit cards and facilitation of other customer payments; the effects of climate-related events and other events beyond our control; the effects related to attention to climate-related risks and opportunities;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AI,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open source software; the risks related to international operations; the effects of foreign currency exchange rate fluctuations; our indebtedness; the effects of a lowering or withdrawal of the ratings assigned to our debt securities by rating agencies; the effects of any actual or perceived failure to comply with privacy or data protection laws, regulations, and standards; the effects of changes in tax laws, regulations, or fiscal and tax policies; the effects of third-party claims, litigation, regulatory proceedings, or government investigations; risks related to return on investment; and the risks related to the specific timing, price, and size of repurchases under the Stock Repurchase Program, including that the Stock Repurchase Program may be suspended or discontinued at any time at the Company’s discretion. More information about potential factors that could cause results to differ materially from those anticipated in the forward-looking statements include, but are not limited to, those stated in CoStar Group’s filings from time to time with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4"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59" descr=""/>
                          <pic:cNvPicPr>
                            <a:picLocks noChangeAspect="1" noChangeArrowheads="1"/>
                          </pic:cNvPicPr>
                        </pic:nvPicPr>
                        <pic:blipFill>
                          <a:blip r:embed="rId37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A-1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08" w:type="dxa"/>
        <w:jc w:val="left"/>
        <w:tblInd w:w="0" w:type="dxa"/>
        <w:tblLayout w:type="fixed"/>
        <w:tblCellMar>
          <w:top w:w="0" w:type="dxa"/>
          <w:left w:w="0" w:type="dxa"/>
          <w:bottom w:w="0" w:type="dxa"/>
          <w:right w:w="0" w:type="dxa"/>
        </w:tblCellMar>
      </w:tblPr>
      <w:tblGrid>
        <w:gridCol w:w="38"/>
        <w:gridCol w:w="12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bookmarkStart w:id="77" w:name="toc903159_61"/>
            <w:bookmarkEnd w:id="77"/>
          </w:p>
        </w:tc>
        <w:tc>
          <w:tcPr>
            <w:tcW w:w="155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A</w:t>
            </w:r>
          </w:p>
        </w:tc>
      </w:tr>
    </w:tbl>
    <w:p>
      <w:pPr>
        <w:pStyle w:val="TextBody"/>
        <w:bidi w:val="0"/>
        <w:spacing w:before="0" w:after="0"/>
        <w:jc w:val="left"/>
        <w:rPr/>
      </w:pPr>
      <w:r>
        <w:rPr/>
        <w:t> </w:t>
      </w:r>
    </w:p>
    <w:p>
      <w:pPr>
        <w:pStyle w:val="TextBody"/>
        <w:bidi w:val="0"/>
        <w:spacing w:before="0" w:after="0"/>
        <w:jc w:val="left"/>
        <w:rPr>
          <w:rFonts w:ascii="ARIAL" w:hAnsi="ARIAL"/>
          <w:b/>
          <w:sz w:val="64"/>
        </w:rPr>
      </w:pPr>
      <w:r>
        <w:rPr>
          <w:rFonts w:ascii="ARIAL" w:hAnsi="ARIAL"/>
          <w:b/>
          <w:sz w:val="64"/>
        </w:rPr>
        <w:t xml:space="preserve">INFORMATION REGARDING NON-GAAP FINANCIAL MEASURES </w:t>
      </w:r>
    </w:p>
    <w:p>
      <w:pPr>
        <w:pStyle w:val="TextBody"/>
        <w:bidi w:val="0"/>
        <w:spacing w:before="720" w:after="0"/>
        <w:jc w:val="left"/>
        <w:rPr>
          <w:rFonts w:ascii="ARIAL" w:hAnsi="ARIAL"/>
          <w:sz w:val="18"/>
        </w:rPr>
      </w:pPr>
      <w:r>
        <w:rPr>
          <w:rFonts w:ascii="ARIAL" w:hAnsi="ARIAL"/>
          <w:sz w:val="18"/>
        </w:rPr>
        <w:t xml:space="preserve">This Proxy Statement includes disclosure of certain non-GAAP financial measures, including EBITDA and Adjusted EBITDA. We typically disclose EBITDA on a consolidated and an operating segment basis in our earnings releases, investor conference calls and filings with the SEC. 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w:t>
      </w:r>
    </w:p>
    <w:p>
      <w:pPr>
        <w:pStyle w:val="TextBody"/>
        <w:bidi w:val="0"/>
        <w:spacing w:before="120" w:after="0"/>
        <w:jc w:val="left"/>
        <w:rPr>
          <w:rFonts w:ascii="ARIAL" w:hAnsi="ARIAL"/>
          <w:sz w:val="18"/>
        </w:rPr>
      </w:pPr>
      <w:r>
        <w:rPr>
          <w:rFonts w:ascii="ARIAL" w:hAnsi="ARIAL"/>
          <w:sz w:val="18"/>
        </w:rPr>
        <w:t xml:space="preserve">These non-GAAP financial measures that we use may not be comparable to similarly titled measures reported by other companies, but we believe that they may help our investors meaningfully evaluate and compare our results of operations to our previously reported results of operations. </w:t>
      </w:r>
    </w:p>
    <w:p>
      <w:pPr>
        <w:pStyle w:val="TextBody"/>
        <w:bidi w:val="0"/>
        <w:spacing w:before="120" w:after="0"/>
        <w:jc w:val="left"/>
        <w:rPr>
          <w:rFonts w:ascii="ARIAL" w:hAnsi="ARIAL"/>
          <w:sz w:val="18"/>
        </w:rPr>
      </w:pPr>
      <w:r>
        <w:rPr>
          <w:rFonts w:ascii="ARIAL" w:hAnsi="ARIAL"/>
          <w:sz w:val="18"/>
        </w:rPr>
        <w:t xml:space="preserve">For information regarding the purpose for which management uses the non-GAAP financial measures disclosed in this proxy statement and why management believes they provide useful information to investors regarding the Company’s financial condition and results of operations, please refer to the Company’s latest periodic report. </w:t>
      </w:r>
    </w:p>
    <w:p>
      <w:pPr>
        <w:pStyle w:val="TextBody"/>
        <w:bidi w:val="0"/>
        <w:spacing w:before="120" w:after="0"/>
        <w:jc w:val="left"/>
        <w:rPr>
          <w:rFonts w:ascii="ARIAL" w:hAnsi="ARIAL"/>
          <w:sz w:val="18"/>
        </w:rPr>
      </w:pPr>
      <w:r>
        <w:rPr>
          <w:rFonts w:ascii="ARIAL" w:hAnsi="ARIAL"/>
          <w:sz w:val="18"/>
        </w:rPr>
        <w:t xml:space="preserve">EBITDA represents GAAP net income (loss) attributable to CoStar Group before interest income or expense, net and other income or expense, net; loss on debt extinguishment; income taxes, and depreciation and amortization expense. </w:t>
      </w:r>
    </w:p>
    <w:p>
      <w:pPr>
        <w:pStyle w:val="TextBody"/>
        <w:bidi w:val="0"/>
        <w:spacing w:before="120" w:after="0"/>
        <w:jc w:val="left"/>
        <w:rPr>
          <w:rFonts w:ascii="ARIAL" w:hAnsi="ARIAL"/>
          <w:sz w:val="18"/>
        </w:rPr>
      </w:pPr>
      <w:r>
        <w:rPr>
          <w:rFonts w:ascii="ARIAL" w:hAnsi="ARIAL"/>
          <w:sz w:val="18"/>
        </w:rPr>
        <w:t xml:space="preserve">Adjusted EBITDA represents EBITDA before stock-based compensation expense; acquisition- and integration-related costs; restructuring and related costs, including certain advisory fees; and settlements and impairments incurred outside the Company’s ordinary course of business. Adjusted EBITDA margin represents Adjusted EBITDA divided by revenues for the period. </w:t>
      </w:r>
    </w:p>
    <w:p>
      <w:pPr>
        <w:pStyle w:val="TextBody"/>
        <w:bidi w:val="0"/>
        <w:spacing w:before="360" w:after="0"/>
        <w:jc w:val="left"/>
        <w:rPr>
          <w:rFonts w:ascii="ARIAL" w:hAnsi="ARIAL"/>
          <w:b/>
          <w:sz w:val="24"/>
        </w:rPr>
      </w:pPr>
      <w:r>
        <w:rPr>
          <w:rFonts w:ascii="ARIAL" w:hAnsi="ARIAL"/>
          <w:b/>
          <w:sz w:val="24"/>
        </w:rPr>
        <w:t xml:space="preserve">Operating Metrics </w:t>
      </w:r>
    </w:p>
    <w:p>
      <w:pPr>
        <w:pStyle w:val="TextBody"/>
        <w:bidi w:val="0"/>
        <w:spacing w:before="80" w:after="0"/>
        <w:jc w:val="left"/>
        <w:rPr>
          <w:rFonts w:ascii="ARIAL" w:hAnsi="ARIAL"/>
          <w:sz w:val="18"/>
        </w:rPr>
      </w:pPr>
      <w:r>
        <w:rPr>
          <w:rFonts w:ascii="ARIAL" w:hAnsi="ARIAL"/>
          <w:sz w:val="18"/>
        </w:rPr>
        <w:t xml:space="preserve">Net New Bookings is calculated based on the annualized amount of change in the Company’s sales bookings resulting from new subscription-based contracts, changes to existing subscription-based contracts, and cancellations of subscription-based contracts for the period reported. Information regarding Net New Bookings is not comparable to, nor should it be substituted for, an analysis of the Company’s revenues over time. </w:t>
      </w:r>
    </w:p>
    <w:p>
      <w:pPr>
        <w:pStyle w:val="TextBody"/>
        <w:bidi w:val="0"/>
        <w:spacing w:before="0" w:after="0"/>
        <w:jc w:val="left"/>
        <w:rPr/>
      </w:pPr>
      <w:r>
        <w:rPr/>
        <w:t>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5"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60" descr=""/>
                          <pic:cNvPicPr>
                            <a:picLocks noChangeAspect="1" noChangeArrowheads="1"/>
                          </pic:cNvPicPr>
                        </pic:nvPicPr>
                        <pic:blipFill>
                          <a:blip r:embed="rId37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A-2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08" w:type="dxa"/>
        <w:jc w:val="left"/>
        <w:tblInd w:w="0" w:type="dxa"/>
        <w:tblLayout w:type="fixed"/>
        <w:tblCellMar>
          <w:top w:w="0" w:type="dxa"/>
          <w:left w:w="0" w:type="dxa"/>
          <w:bottom w:w="0" w:type="dxa"/>
          <w:right w:w="0" w:type="dxa"/>
        </w:tblCellMar>
      </w:tblPr>
      <w:tblGrid>
        <w:gridCol w:w="38"/>
        <w:gridCol w:w="12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5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A</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Set forth below are descriptions of financial items that have been excluded from net income (loss) to calculate EBITDA and the material limitations associated with using this non-GAAP financial measure as compared to net income (loss):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Amortization of acquired intangible assets in cost of revenue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amount of interest (expense) income, net and other (expense) income, net we generate and incur may be useful for investors to consider and may result in current cash inflows and outflows. However, we do not consider the amount of interest income or expense (expense) income, net and other (expense) income, net to be a representative component of the day-to-day operating performance of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Income tax expense may be useful for investors to consider because it generally represents the taxes that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 </w:t>
            </w:r>
          </w:p>
        </w:tc>
      </w:tr>
    </w:tbl>
    <w:p>
      <w:pPr>
        <w:pStyle w:val="TextBody"/>
        <w:bidi w:val="0"/>
        <w:spacing w:before="120" w:after="0"/>
        <w:jc w:val="left"/>
        <w:rPr>
          <w:rFonts w:ascii="ARIAL" w:hAnsi="ARIAL"/>
          <w:sz w:val="18"/>
        </w:rPr>
      </w:pPr>
      <w:r>
        <w:rPr>
          <w:rFonts w:ascii="ARIAL" w:hAnsi="ARIAL"/>
          <w:sz w:val="18"/>
        </w:rPr>
        <w:t xml:space="preserve">Set forth below are descriptions of additional financial items that have been excluded from EBITDA to calculate Adjusted EBITDA and the material limitations associated with using this non-GAAP financial measure as compared to net income (loss):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amount of settlement and impairment costs incurred outside of our ordinary course of business may be useful for investors to consider because they generally represent gains or losses from the settlement of litigation matters, charges related to terminations of contracts or impairments of acquired intangible assets or other long lived assets. We do not believe these charges necessarily reflect the current and ongoing cash charges related to our operating cost 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54BA"/>
              </w:rPr>
            </w:pPr>
            <w:r>
              <w:rPr>
                <w:color w:val="0054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amount of restructuring and related costs, including certain advisory costs, incurred may be useful for investors to consider because they generally represent costs incurred in connection with changes to the structure of our operations, governance, offices and related properties, and suppliers or employees used to deliver services and include costs to terminate contracts, advisory fees, and other professional services, and severance. Because we do not carry out restructuring activities on a predictable cycle, we do not consider the amount of restructuring-related costs to be a representative component of the day-to-day operating performance of our business. </w:t>
            </w:r>
          </w:p>
        </w:tc>
      </w:tr>
    </w:tbl>
    <w:p>
      <w:pPr>
        <w:pStyle w:val="TextBody"/>
        <w:bidi w:val="0"/>
        <w:spacing w:before="120" w:after="0"/>
        <w:jc w:val="left"/>
        <w:rPr>
          <w:rFonts w:ascii="ARIAL" w:hAnsi="ARIAL"/>
          <w:sz w:val="18"/>
        </w:rPr>
      </w:pPr>
      <w:r>
        <w:rPr>
          <w:rFonts w:ascii="ARIAL" w:hAnsi="ARIAL"/>
          <w:sz w:val="18"/>
        </w:rPr>
        <w:t xml:space="preserve">Management compensates for the above-described limitations of using non-GAAP measures by using a non-GAAP measure only to supplement our GAAP results and to provide additional information that is useful to investors to understand the factors and trends affecting our business.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6"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61" descr=""/>
                          <pic:cNvPicPr>
                            <a:picLocks noChangeAspect="1" noChangeArrowheads="1"/>
                          </pic:cNvPicPr>
                        </pic:nvPicPr>
                        <pic:blipFill>
                          <a:blip r:embed="rId37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A-3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08" w:type="dxa"/>
        <w:jc w:val="left"/>
        <w:tblInd w:w="0" w:type="dxa"/>
        <w:tblLayout w:type="fixed"/>
        <w:tblCellMar>
          <w:top w:w="0" w:type="dxa"/>
          <w:left w:w="0" w:type="dxa"/>
          <w:bottom w:w="0" w:type="dxa"/>
          <w:right w:w="0" w:type="dxa"/>
        </w:tblCellMar>
      </w:tblPr>
      <w:tblGrid>
        <w:gridCol w:w="38"/>
        <w:gridCol w:w="12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50"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A</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table shows our net income reconciled to our EBITDA and our Adjusted EBITDA for the indicated periods (in millions): </w:t>
      </w:r>
    </w:p>
    <w:p>
      <w:pPr>
        <w:pStyle w:val="TextBody"/>
        <w:bidi w:val="0"/>
        <w:spacing w:before="0" w:after="0"/>
        <w:jc w:val="left"/>
        <w:rPr/>
      </w:pPr>
      <w:r>
        <w:rPr/>
        <w:t> </w:t>
      </w:r>
    </w:p>
    <w:tbl>
      <w:tblPr>
        <w:tblW w:w="8533" w:type="dxa"/>
        <w:jc w:val="left"/>
        <w:tblInd w:w="0" w:type="dxa"/>
        <w:tblLayout w:type="fixed"/>
        <w:tblCellMar>
          <w:top w:w="0" w:type="dxa"/>
          <w:left w:w="0" w:type="dxa"/>
          <w:bottom w:w="0" w:type="dxa"/>
          <w:right w:w="0" w:type="dxa"/>
        </w:tblCellMar>
      </w:tblPr>
      <w:tblGrid>
        <w:gridCol w:w="4700"/>
        <w:gridCol w:w="23"/>
        <w:gridCol w:w="43"/>
        <w:gridCol w:w="113"/>
        <w:gridCol w:w="948"/>
        <w:gridCol w:w="116"/>
        <w:gridCol w:w="23"/>
        <w:gridCol w:w="43"/>
        <w:gridCol w:w="113"/>
        <w:gridCol w:w="948"/>
        <w:gridCol w:w="116"/>
        <w:gridCol w:w="23"/>
        <w:gridCol w:w="46"/>
        <w:gridCol w:w="120"/>
        <w:gridCol w:w="1006"/>
        <w:gridCol w:w="152"/>
      </w:tblGrid>
      <w:tr>
        <w:trPr/>
        <w:tc>
          <w:tcPr>
            <w:tcW w:w="47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r>
      <w:tr>
        <w:trPr/>
        <w:tc>
          <w:tcPr>
            <w:tcW w:w="4700" w:type="dxa"/>
            <w:tcBorders/>
            <w:shd w:fill="0054BA" w:val="clear"/>
            <w:vAlign w:val="center"/>
          </w:tcPr>
          <w:p>
            <w:pPr>
              <w:pStyle w:val="TableContents"/>
              <w:bidi w:val="0"/>
              <w:spacing w:before="0" w:after="283"/>
              <w:jc w:val="left"/>
              <w:rPr>
                <w:sz w:val="4"/>
                <w:szCs w:val="4"/>
              </w:rPr>
            </w:pPr>
            <w:r>
              <w:rPr>
                <w:sz w:val="4"/>
                <w:szCs w:val="4"/>
              </w:rPr>
            </w:r>
          </w:p>
        </w:tc>
        <w:tc>
          <w:tcPr>
            <w:tcW w:w="1243" w:type="dxa"/>
            <w:gridSpan w:val="5"/>
            <w:tcBorders/>
            <w:shd w:fill="0054BA" w:val="clear"/>
            <w:vAlign w:val="center"/>
          </w:tcPr>
          <w:p>
            <w:pPr>
              <w:pStyle w:val="TableContents"/>
              <w:bidi w:val="0"/>
              <w:spacing w:before="0" w:after="283"/>
              <w:jc w:val="left"/>
              <w:rPr>
                <w:sz w:val="4"/>
                <w:szCs w:val="4"/>
              </w:rPr>
            </w:pPr>
            <w:r>
              <w:rPr>
                <w:sz w:val="4"/>
                <w:szCs w:val="4"/>
              </w:rPr>
            </w:r>
          </w:p>
        </w:tc>
        <w:tc>
          <w:tcPr>
            <w:tcW w:w="1243" w:type="dxa"/>
            <w:gridSpan w:val="5"/>
            <w:tcBorders/>
            <w:shd w:fill="0054BA" w:val="clear"/>
            <w:vAlign w:val="center"/>
          </w:tcPr>
          <w:p>
            <w:pPr>
              <w:pStyle w:val="TableContents"/>
              <w:bidi w:val="0"/>
              <w:spacing w:before="0" w:after="283"/>
              <w:jc w:val="left"/>
              <w:rPr>
                <w:sz w:val="4"/>
                <w:szCs w:val="4"/>
              </w:rPr>
            </w:pPr>
            <w:r>
              <w:rPr>
                <w:sz w:val="4"/>
                <w:szCs w:val="4"/>
              </w:rPr>
            </w:r>
          </w:p>
        </w:tc>
        <w:tc>
          <w:tcPr>
            <w:tcW w:w="1347" w:type="dxa"/>
            <w:gridSpan w:val="5"/>
            <w:tcBorders/>
            <w:shd w:fill="0054BA" w:val="clear"/>
            <w:vAlign w:val="center"/>
          </w:tcPr>
          <w:p>
            <w:pPr>
              <w:pStyle w:val="TableContents"/>
              <w:bidi w:val="0"/>
              <w:spacing w:before="0" w:after="283"/>
              <w:jc w:val="left"/>
              <w:rPr>
                <w:sz w:val="4"/>
                <w:szCs w:val="4"/>
              </w:rPr>
            </w:pPr>
            <w:r>
              <w:rPr>
                <w:sz w:val="4"/>
                <w:szCs w:val="4"/>
              </w:rPr>
            </w:r>
          </w:p>
        </w:tc>
      </w:tr>
      <w:tr>
        <w:trPr/>
        <w:tc>
          <w:tcPr>
            <w:tcW w:w="4700" w:type="dxa"/>
            <w:tcBorders/>
            <w:shd w:fill="0054BA" w:val="clear"/>
            <w:vAlign w:val="center"/>
          </w:tcPr>
          <w:p>
            <w:pPr>
              <w:pStyle w:val="TableContents"/>
              <w:bidi w:val="0"/>
              <w:spacing w:before="0" w:after="0"/>
              <w:jc w:val="left"/>
              <w:rPr/>
            </w:pPr>
            <w:r>
              <w:rPr/>
              <w:t> </w:t>
            </w:r>
          </w:p>
          <w:p>
            <w:pPr>
              <w:pStyle w:val="TableContents"/>
              <w:bidi w:val="0"/>
              <w:spacing w:before="0" w:after="283"/>
              <w:jc w:val="left"/>
              <w:rPr/>
            </w:pPr>
            <w:r>
              <w:rPr/>
              <w:t> </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20" w:type="dxa"/>
            <w:gridSpan w:val="4"/>
            <w:tcBorders/>
            <w:shd w:fill="0054BA" w:val="clear"/>
            <w:vAlign w:val="center"/>
          </w:tcPr>
          <w:p>
            <w:pPr>
              <w:pStyle w:val="TableContents"/>
              <w:bidi w:val="0"/>
              <w:spacing w:before="0" w:after="20"/>
              <w:jc w:val="center"/>
              <w:rPr>
                <w:rFonts w:ascii="ARIAL" w:hAnsi="ARIAL"/>
                <w:b/>
                <w:color w:val="FFFFFF"/>
                <w:sz w:val="16"/>
              </w:rPr>
            </w:pPr>
            <w:r>
              <w:rPr>
                <w:rFonts w:ascii="ARIAL" w:hAnsi="ARIAL"/>
                <w:b/>
                <w:color w:val="FFFFFF"/>
                <w:sz w:val="16"/>
              </w:rPr>
              <w:t>YEAR ENDED</w:t>
              <w:br/>
              <w:t>DECEMBER 31,</w:t>
              <w:br/>
              <w:t>2025</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220" w:type="dxa"/>
            <w:gridSpan w:val="4"/>
            <w:tcBorders/>
            <w:shd w:fill="0054BA" w:val="clear"/>
            <w:vAlign w:val="center"/>
          </w:tcPr>
          <w:p>
            <w:pPr>
              <w:pStyle w:val="TableContents"/>
              <w:bidi w:val="0"/>
              <w:spacing w:before="0" w:after="20"/>
              <w:jc w:val="center"/>
              <w:rPr>
                <w:rFonts w:ascii="ARIAL" w:hAnsi="ARIAL"/>
                <w:b/>
                <w:color w:val="FFFFFF"/>
                <w:sz w:val="16"/>
              </w:rPr>
            </w:pPr>
            <w:r>
              <w:rPr>
                <w:rFonts w:ascii="ARIAL" w:hAnsi="ARIAL"/>
                <w:b/>
                <w:color w:val="FFFFFF"/>
                <w:sz w:val="16"/>
              </w:rPr>
              <w:t>YEAR ENDED</w:t>
              <w:br/>
              <w:t>DECEMBER 31,</w:t>
              <w:br/>
              <w:t>2024</w:t>
            </w:r>
          </w:p>
        </w:tc>
        <w:tc>
          <w:tcPr>
            <w:tcW w:w="23" w:type="dxa"/>
            <w:tcBorders/>
            <w:shd w:fill="0054BA" w:val="clear"/>
            <w:vAlign w:val="center"/>
          </w:tcPr>
          <w:p>
            <w:pPr>
              <w:pStyle w:val="TableContents"/>
              <w:bidi w:val="0"/>
              <w:spacing w:before="0" w:after="283"/>
              <w:jc w:val="left"/>
              <w:rPr>
                <w:sz w:val="4"/>
                <w:szCs w:val="4"/>
              </w:rPr>
            </w:pPr>
            <w:r>
              <w:rPr>
                <w:sz w:val="4"/>
                <w:szCs w:val="4"/>
              </w:rPr>
            </w:r>
          </w:p>
        </w:tc>
        <w:tc>
          <w:tcPr>
            <w:tcW w:w="1324" w:type="dxa"/>
            <w:gridSpan w:val="4"/>
            <w:tcBorders/>
            <w:shd w:fill="0054BA" w:val="clear"/>
            <w:vAlign w:val="center"/>
          </w:tcPr>
          <w:p>
            <w:pPr>
              <w:pStyle w:val="TableContents"/>
              <w:bidi w:val="0"/>
              <w:spacing w:before="0" w:after="20"/>
              <w:jc w:val="center"/>
              <w:rPr>
                <w:rFonts w:ascii="ARIAL" w:hAnsi="ARIAL"/>
                <w:b/>
                <w:color w:val="FFFFFF"/>
                <w:sz w:val="16"/>
              </w:rPr>
            </w:pPr>
            <w:r>
              <w:rPr>
                <w:rFonts w:ascii="ARIAL" w:hAnsi="ARIAL"/>
                <w:b/>
                <w:color w:val="FFFFFF"/>
                <w:sz w:val="16"/>
              </w:rPr>
              <w:t>YEAR ENDED </w:t>
              <w:br/>
              <w:t>DECEMBER 31, </w:t>
              <w:br/>
              <w:t>2023 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Net income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$7</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$139</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$375</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Amortization of acquired intangible assets in cost of revenues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74</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30</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32</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Amortization of acquired intangible assets in operating expenses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118</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44</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42</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Depreciation and other amortization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50</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44</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34</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Interest income, net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(110)</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(213)</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(214)</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Other (income) expense, net(1)</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8</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8</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(5)</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Income tax expense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23</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71</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126</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EBITDA</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$170</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$123</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$390</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Stock-based compensation expense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194</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89</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85</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Acquisition and integration related costs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63</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29</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13</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Restructuring and related costs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6</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1</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4</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Settlements and impairments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9</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(1)</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47" w:type="dxa"/>
            <w:gridSpan w:val="5"/>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Adjusted EBITDA</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$442</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100" w:type="dxa"/>
            </w:tcMar>
            <w:vAlign w:val="center"/>
          </w:tcPr>
          <w:p>
            <w:pPr>
              <w:pStyle w:val="TableContents"/>
              <w:bidi w:val="0"/>
              <w:spacing w:before="0" w:after="283"/>
              <w:jc w:val="left"/>
              <w:rPr/>
            </w:pPr>
            <w:r>
              <w:rPr/>
              <w:t> </w:t>
            </w:r>
          </w:p>
        </w:tc>
        <w:tc>
          <w:tcPr>
            <w:tcW w:w="948" w:type="dxa"/>
            <w:tcBorders>
              <w:bottom w:val="single" w:sz="6" w:space="0" w:color="000000"/>
            </w:tcBorders>
            <w:tcMar>
              <w:bottom w:w="100" w:type="dxa"/>
            </w:tcMar>
            <w:vAlign w:val="center"/>
          </w:tcPr>
          <w:p>
            <w:pPr>
              <w:pStyle w:val="TableContents"/>
              <w:bidi w:val="0"/>
              <w:spacing w:before="0" w:after="283"/>
              <w:jc w:val="center"/>
              <w:rPr/>
            </w:pPr>
            <w:r>
              <w:rPr/>
              <w:t>$241</w:t>
            </w:r>
          </w:p>
        </w:tc>
        <w:tc>
          <w:tcPr>
            <w:tcW w:w="116" w:type="dxa"/>
            <w:tcBorders>
              <w:bottom w:val="single" w:sz="6" w:space="0" w:color="000000"/>
            </w:tcBorders>
            <w:tcMar>
              <w:bottom w:w="100" w:type="dxa"/>
            </w:tcMar>
            <w:vAlign w:val="center"/>
          </w:tcPr>
          <w:p>
            <w:pPr>
              <w:pStyle w:val="TableContents"/>
              <w:bidi w:val="0"/>
              <w:spacing w:before="0" w:after="283"/>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100" w:type="dxa"/>
            </w:tcMar>
            <w:vAlign w:val="center"/>
          </w:tcPr>
          <w:p>
            <w:pPr>
              <w:pStyle w:val="TableContents"/>
              <w:bidi w:val="0"/>
              <w:spacing w:before="0" w:after="283"/>
              <w:jc w:val="left"/>
              <w:rPr/>
            </w:pPr>
            <w:r>
              <w:rPr/>
              <w:t> </w:t>
            </w:r>
          </w:p>
        </w:tc>
        <w:tc>
          <w:tcPr>
            <w:tcW w:w="1006" w:type="dxa"/>
            <w:tcBorders>
              <w:bottom w:val="single" w:sz="6" w:space="0" w:color="000000"/>
            </w:tcBorders>
            <w:tcMar>
              <w:bottom w:w="100" w:type="dxa"/>
            </w:tcMar>
            <w:vAlign w:val="center"/>
          </w:tcPr>
          <w:p>
            <w:pPr>
              <w:pStyle w:val="TableContents"/>
              <w:bidi w:val="0"/>
              <w:spacing w:before="0" w:after="283"/>
              <w:jc w:val="center"/>
              <w:rPr/>
            </w:pPr>
            <w:r>
              <w:rPr/>
              <w:t>$492</w:t>
            </w:r>
          </w:p>
        </w:tc>
        <w:tc>
          <w:tcPr>
            <w:tcW w:w="152"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i/>
              </w:rPr>
            </w:pPr>
            <w:r>
              <w:rPr>
                <w:i/>
              </w:rPr>
              <w:t>(1) </w:t>
            </w:r>
          </w:p>
        </w:tc>
        <w:tc>
          <w:tcPr>
            <w:tcW w:w="9895" w:type="dxa"/>
            <w:tcBorders/>
            <w:vAlign w:val="center"/>
          </w:tcPr>
          <w:p>
            <w:pPr>
              <w:pStyle w:val="TableContents"/>
              <w:bidi w:val="0"/>
              <w:spacing w:before="0" w:after="0"/>
              <w:jc w:val="left"/>
              <w:rPr>
                <w:rFonts w:ascii="ARIAL" w:hAnsi="ARIAL"/>
                <w:i/>
                <w:sz w:val="16"/>
              </w:rPr>
            </w:pPr>
            <w:r>
              <w:rPr>
                <w:rFonts w:ascii="ARIAL" w:hAnsi="ARIAL"/>
                <w:i/>
                <w:sz w:val="16"/>
              </w:rPr>
              <w:t xml:space="preserve">Includes $21 million and $29 million of depreciation and amortization expense, including above-market lease amortization, associated with lessor activities for the years ended December 31, 2025 and 2024, respectively. </w:t>
            </w:r>
          </w:p>
        </w:tc>
      </w:tr>
    </w:tbl>
    <w:p>
      <w:pPr>
        <w:pStyle w:val="TextBody"/>
        <w:bidi w:val="0"/>
        <w:spacing w:before="360" w:after="0"/>
        <w:jc w:val="left"/>
        <w:rPr>
          <w:rFonts w:ascii="ARIAL" w:hAnsi="ARIAL"/>
          <w:b/>
          <w:sz w:val="24"/>
        </w:rPr>
      </w:pPr>
      <w:r>
        <w:rPr>
          <w:rFonts w:ascii="ARIAL" w:hAnsi="ARIAL"/>
          <w:b/>
          <w:sz w:val="24"/>
        </w:rPr>
        <w:t xml:space="preserve">Operating Metrics </w:t>
      </w:r>
    </w:p>
    <w:p>
      <w:pPr>
        <w:pStyle w:val="TextBody"/>
        <w:bidi w:val="0"/>
        <w:spacing w:before="80" w:after="0"/>
        <w:jc w:val="left"/>
        <w:rPr>
          <w:rFonts w:ascii="ARIAL" w:hAnsi="ARIAL"/>
          <w:sz w:val="18"/>
        </w:rPr>
      </w:pPr>
      <w:r>
        <w:rPr>
          <w:rFonts w:ascii="ARIAL" w:hAnsi="ARIAL"/>
          <w:sz w:val="18"/>
        </w:rPr>
        <w:t xml:space="preserve">Net new bookings is calculated based on the annualized amount of change in the Company’s sales bookings resulting from new subscription-based contracts, changes to existing subscription-based contracts and cancellations of subscription-based contracts for the period reported. Information regarding net new bookings is not comparable to, nor should it be substituted for, an analysis of the Company’s revenues over time.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7"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62" descr=""/>
                          <pic:cNvPicPr>
                            <a:picLocks noChangeAspect="1" noChangeArrowheads="1"/>
                          </pic:cNvPicPr>
                        </pic:nvPicPr>
                        <pic:blipFill>
                          <a:blip r:embed="rId37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A-4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bookmarkStart w:id="78" w:name="toc903159_62"/>
            <w:bookmarkEnd w:id="78"/>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b/>
          <w:sz w:val="64"/>
        </w:rPr>
      </w:pPr>
      <w:r>
        <w:rPr>
          <w:rFonts w:ascii="ARIAL" w:hAnsi="ARIAL"/>
          <w:b/>
          <w:sz w:val="64"/>
        </w:rPr>
        <w:t xml:space="preserve">COSTAR GROUP, INC. 2026 EMPLOYEE STOCK PURCHASE PLAN </w:t>
      </w:r>
    </w:p>
    <w:p>
      <w:pPr>
        <w:pStyle w:val="TextBody"/>
        <w:bidi w:val="0"/>
        <w:spacing w:before="720" w:after="0"/>
        <w:jc w:val="left"/>
        <w:rPr>
          <w:rFonts w:ascii="ARIAL" w:hAnsi="ARIAL"/>
          <w:b/>
          <w:sz w:val="19"/>
        </w:rPr>
      </w:pPr>
      <w:r>
        <w:rPr>
          <w:rFonts w:ascii="ARIAL" w:hAnsi="ARIAL"/>
          <w:b/>
          <w:sz w:val="19"/>
        </w:rPr>
        <w:t xml:space="preserve">ARTICLE I. PURPOSE </w:t>
      </w:r>
    </w:p>
    <w:p>
      <w:pPr>
        <w:pStyle w:val="TextBody"/>
        <w:bidi w:val="0"/>
        <w:spacing w:before="120" w:after="0"/>
        <w:jc w:val="left"/>
        <w:rPr>
          <w:rFonts w:ascii="ARIAL" w:hAnsi="ARIAL"/>
          <w:sz w:val="19"/>
        </w:rPr>
      </w:pPr>
      <w:r>
        <w:rPr>
          <w:rFonts w:ascii="ARIAL" w:hAnsi="ARIAL"/>
          <w:sz w:val="19"/>
        </w:rPr>
        <w:t xml:space="preserve">The purpose of this Plan is to assist Eligible Employees of the Company and its Designated Subsidiaries in acquiring a stock ownership interest in the Company. </w:t>
      </w:r>
    </w:p>
    <w:p>
      <w:pPr>
        <w:pStyle w:val="TextBody"/>
        <w:bidi w:val="0"/>
        <w:spacing w:before="240" w:after="0"/>
        <w:jc w:val="left"/>
        <w:rPr>
          <w:rFonts w:ascii="ARIAL" w:hAnsi="ARIAL"/>
          <w:sz w:val="19"/>
        </w:rPr>
      </w:pPr>
      <w:r>
        <w:rPr>
          <w:rFonts w:ascii="ARIAL" w:hAnsi="ARIAL"/>
          <w:sz w:val="19"/>
        </w:rPr>
        <w:t xml:space="preserve">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 Section 423 Component will operate and be administered in the same manner as the Section 423 Component. Offerings intended to be made under the Non-Section 423 Component will be designated as such by the Administrator at or prior to the time of such Offering. </w:t>
      </w:r>
    </w:p>
    <w:p>
      <w:pPr>
        <w:pStyle w:val="TextBody"/>
        <w:bidi w:val="0"/>
        <w:spacing w:before="240" w:after="0"/>
        <w:jc w:val="left"/>
        <w:rPr>
          <w:rFonts w:ascii="ARIAL" w:hAnsi="ARIAL"/>
          <w:sz w:val="19"/>
        </w:rPr>
      </w:pPr>
      <w:r>
        <w:rPr>
          <w:rFonts w:ascii="ARIAL" w:hAnsi="ARIAL"/>
          <w:sz w:val="19"/>
        </w:rPr>
        <w:t xml:space="preserve">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 </w:t>
      </w:r>
    </w:p>
    <w:p>
      <w:pPr>
        <w:pStyle w:val="TextBody"/>
        <w:bidi w:val="0"/>
        <w:spacing w:before="240" w:after="0"/>
        <w:jc w:val="left"/>
        <w:rPr>
          <w:rFonts w:ascii="ARIAL" w:hAnsi="ARIAL"/>
          <w:b/>
          <w:sz w:val="19"/>
        </w:rPr>
      </w:pPr>
      <w:r>
        <w:rPr>
          <w:rFonts w:ascii="ARIAL" w:hAnsi="ARIAL"/>
          <w:b/>
          <w:sz w:val="19"/>
        </w:rPr>
        <w:t xml:space="preserve">ARTICLE II. DEFINITIONS AND CONSTRUCTION </w:t>
      </w:r>
    </w:p>
    <w:p>
      <w:pPr>
        <w:pStyle w:val="TextBody"/>
        <w:bidi w:val="0"/>
        <w:spacing w:before="120" w:after="0"/>
        <w:jc w:val="left"/>
        <w:rPr>
          <w:rFonts w:ascii="ARIAL" w:hAnsi="ARIAL"/>
          <w:sz w:val="19"/>
        </w:rPr>
      </w:pPr>
      <w:r>
        <w:rPr>
          <w:rFonts w:ascii="ARIAL" w:hAnsi="ARIAL"/>
          <w:sz w:val="19"/>
        </w:rPr>
        <w:t xml:space="preserve">Wherever the following terms are used in the Plan they shall have the meanings specified below, unless the context clearly indicates otherwise. </w:t>
      </w:r>
    </w:p>
    <w:p>
      <w:pPr>
        <w:pStyle w:val="TextBody"/>
        <w:bidi w:val="0"/>
        <w:spacing w:before="240" w:after="0"/>
        <w:jc w:val="left"/>
        <w:rPr>
          <w:rFonts w:ascii="ARIAL" w:hAnsi="ARIAL"/>
          <w:sz w:val="19"/>
        </w:rPr>
      </w:pPr>
      <w:r>
        <w:rPr>
          <w:rFonts w:ascii="ARIAL" w:hAnsi="ARIAL"/>
          <w:sz w:val="19"/>
        </w:rPr>
        <w:t>2.1 “</w:t>
      </w:r>
      <w:r>
        <w:rPr>
          <w:rFonts w:ascii="ARIAL" w:hAnsi="ARIAL"/>
          <w:b/>
          <w:i/>
          <w:sz w:val="19"/>
        </w:rPr>
        <w:t>Administrator</w:t>
      </w:r>
      <w:r>
        <w:rPr>
          <w:rFonts w:ascii="ARIAL" w:hAnsi="ARIAL"/>
          <w:sz w:val="19"/>
        </w:rPr>
        <w:t xml:space="preserve">” means the entity that conducts the general administration of the Plan as provided in Article XI. </w:t>
      </w:r>
    </w:p>
    <w:p>
      <w:pPr>
        <w:pStyle w:val="TextBody"/>
        <w:bidi w:val="0"/>
        <w:spacing w:before="240" w:after="0"/>
        <w:jc w:val="left"/>
        <w:rPr>
          <w:rFonts w:ascii="ARIAL" w:hAnsi="ARIAL"/>
          <w:sz w:val="19"/>
        </w:rPr>
      </w:pPr>
      <w:r>
        <w:rPr>
          <w:rFonts w:ascii="ARIAL" w:hAnsi="ARIAL"/>
          <w:sz w:val="19"/>
        </w:rPr>
        <w:t>2.2 “</w:t>
      </w:r>
      <w:r>
        <w:rPr>
          <w:rFonts w:ascii="ARIAL" w:hAnsi="ARIAL"/>
          <w:b/>
          <w:i/>
          <w:sz w:val="19"/>
        </w:rPr>
        <w:t>Agent</w:t>
      </w:r>
      <w:r>
        <w:rPr>
          <w:rFonts w:ascii="ARIAL" w:hAnsi="ARIAL"/>
          <w:sz w:val="19"/>
        </w:rPr>
        <w:t xml:space="preserve">” means the brokerage firm, bank or other financial institution, entity or person(s), if any, engaged, retained, appointed or authorized to act as the agent of the Company or an Employee with regard to the Plan. </w:t>
      </w:r>
    </w:p>
    <w:p>
      <w:pPr>
        <w:pStyle w:val="TextBody"/>
        <w:bidi w:val="0"/>
        <w:spacing w:before="240" w:after="0"/>
        <w:jc w:val="left"/>
        <w:rPr>
          <w:rFonts w:ascii="ARIAL" w:hAnsi="ARIAL"/>
          <w:sz w:val="19"/>
        </w:rPr>
      </w:pPr>
      <w:r>
        <w:rPr>
          <w:rFonts w:ascii="ARIAL" w:hAnsi="ARIAL"/>
          <w:sz w:val="19"/>
        </w:rPr>
        <w:t>2.3 “</w:t>
      </w:r>
      <w:r>
        <w:rPr>
          <w:rFonts w:ascii="ARIAL" w:hAnsi="ARIAL"/>
          <w:b/>
          <w:i/>
          <w:sz w:val="19"/>
        </w:rPr>
        <w:t>Applicable Law</w:t>
      </w:r>
      <w:r>
        <w:rPr>
          <w:rFonts w:ascii="ARIAL" w:hAnsi="ARIAL"/>
          <w:sz w:val="19"/>
        </w:rPr>
        <w:t xml:space="preserve">”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 </w:t>
      </w:r>
    </w:p>
    <w:p>
      <w:pPr>
        <w:pStyle w:val="TextBody"/>
        <w:bidi w:val="0"/>
        <w:spacing w:before="240" w:after="0"/>
        <w:jc w:val="left"/>
        <w:rPr>
          <w:rFonts w:ascii="ARIAL" w:hAnsi="ARIAL"/>
          <w:sz w:val="19"/>
        </w:rPr>
      </w:pPr>
      <w:r>
        <w:rPr>
          <w:rFonts w:ascii="ARIAL" w:hAnsi="ARIAL"/>
          <w:sz w:val="19"/>
        </w:rPr>
        <w:t>2.4 “</w:t>
      </w:r>
      <w:r>
        <w:rPr>
          <w:rFonts w:ascii="ARIAL" w:hAnsi="ARIAL"/>
          <w:b/>
          <w:i/>
          <w:sz w:val="19"/>
        </w:rPr>
        <w:t>Board</w:t>
      </w:r>
      <w:r>
        <w:rPr>
          <w:rFonts w:ascii="ARIAL" w:hAnsi="ARIAL"/>
          <w:sz w:val="19"/>
        </w:rPr>
        <w:t xml:space="preserve">” means the Board of Directors of the Company. </w:t>
      </w:r>
    </w:p>
    <w:p>
      <w:pPr>
        <w:pStyle w:val="TextBody"/>
        <w:bidi w:val="0"/>
        <w:spacing w:before="240" w:after="0"/>
        <w:jc w:val="left"/>
        <w:rPr>
          <w:rFonts w:ascii="ARIAL" w:hAnsi="ARIAL"/>
          <w:sz w:val="19"/>
        </w:rPr>
      </w:pPr>
      <w:r>
        <w:rPr>
          <w:rFonts w:ascii="ARIAL" w:hAnsi="ARIAL"/>
          <w:sz w:val="19"/>
        </w:rPr>
        <w:t>2.5 “</w:t>
      </w:r>
      <w:r>
        <w:rPr>
          <w:rFonts w:ascii="ARIAL" w:hAnsi="ARIAL"/>
          <w:b/>
          <w:i/>
          <w:sz w:val="19"/>
        </w:rPr>
        <w:t>Code</w:t>
      </w:r>
      <w:r>
        <w:rPr>
          <w:rFonts w:ascii="ARIAL" w:hAnsi="ARIAL"/>
          <w:sz w:val="19"/>
        </w:rPr>
        <w:t xml:space="preserve">” means the U.S. Internal Revenue Code of 1986, as amended, and the regulations issued thereunder. </w:t>
      </w:r>
    </w:p>
    <w:p>
      <w:pPr>
        <w:pStyle w:val="TextBody"/>
        <w:bidi w:val="0"/>
        <w:spacing w:before="240" w:after="0"/>
        <w:jc w:val="left"/>
        <w:rPr>
          <w:rFonts w:ascii="ARIAL" w:hAnsi="ARIAL"/>
          <w:sz w:val="19"/>
        </w:rPr>
      </w:pPr>
      <w:r>
        <w:rPr>
          <w:rFonts w:ascii="ARIAL" w:hAnsi="ARIAL"/>
          <w:sz w:val="19"/>
        </w:rPr>
        <w:t>2.6 “</w:t>
      </w:r>
      <w:r>
        <w:rPr>
          <w:rFonts w:ascii="ARIAL" w:hAnsi="ARIAL"/>
          <w:b/>
          <w:i/>
          <w:sz w:val="19"/>
        </w:rPr>
        <w:t>Common Stock</w:t>
      </w:r>
      <w:r>
        <w:rPr>
          <w:rFonts w:ascii="ARIAL" w:hAnsi="ARIAL"/>
          <w:sz w:val="19"/>
        </w:rPr>
        <w:t xml:space="preserve">” means the common stock, par value $0.01 per shares, of the Company and such other securities of the Company that may be substituted therefor.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8"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63" descr=""/>
                          <pic:cNvPicPr>
                            <a:picLocks noChangeAspect="1" noChangeArrowheads="1"/>
                          </pic:cNvPicPr>
                        </pic:nvPicPr>
                        <pic:blipFill>
                          <a:blip r:embed="rId37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2.7 “</w:t>
      </w:r>
      <w:r>
        <w:rPr>
          <w:rFonts w:ascii="ARIAL" w:hAnsi="ARIAL"/>
          <w:b/>
          <w:i/>
          <w:sz w:val="19"/>
        </w:rPr>
        <w:t>Company</w:t>
      </w:r>
      <w:r>
        <w:rPr>
          <w:rFonts w:ascii="ARIAL" w:hAnsi="ARIAL"/>
          <w:sz w:val="19"/>
        </w:rPr>
        <w:t xml:space="preserve">” means CoStar Group, Inc., a Delaware corporation, or any successor. </w:t>
      </w:r>
    </w:p>
    <w:p>
      <w:pPr>
        <w:pStyle w:val="TextBody"/>
        <w:bidi w:val="0"/>
        <w:spacing w:before="240" w:after="0"/>
        <w:jc w:val="left"/>
        <w:rPr>
          <w:rFonts w:ascii="ARIAL" w:hAnsi="ARIAL"/>
          <w:sz w:val="19"/>
        </w:rPr>
      </w:pPr>
      <w:r>
        <w:rPr>
          <w:rFonts w:ascii="ARIAL" w:hAnsi="ARIAL"/>
          <w:sz w:val="19"/>
        </w:rPr>
        <w:t>2.8 “</w:t>
      </w:r>
      <w:r>
        <w:rPr>
          <w:rFonts w:ascii="ARIAL" w:hAnsi="ARIAL"/>
          <w:b/>
          <w:i/>
          <w:sz w:val="19"/>
        </w:rPr>
        <w:t>Compensation</w:t>
      </w:r>
      <w:r>
        <w:rPr>
          <w:rFonts w:ascii="ARIAL" w:hAnsi="ARIAL"/>
          <w:sz w:val="19"/>
        </w:rPr>
        <w:t xml:space="preserve">” of an Eligible Employee means, unless otherwise determined by the Administrator, the total compensation subject to federal income tax and paid to such Eligible Employee by the Company or any Designated Subsidiary, excluding reimbursements or other expense allowances, fringe benefits, relocation expenses, stock-based compensation and severance benefits. For purposes of the Plan, (a) salary deferrals in connection with participation in the Plan or any other plan or arrangement (such as Section 401(k) of the Code, Section 125 of the Code or qualified transportation fringe benefits) shall be included as Compensation, and (b) compensation shall be recognized only for the period in which a person is actually an eligible Participant in the Plan. </w:t>
      </w:r>
    </w:p>
    <w:p>
      <w:pPr>
        <w:pStyle w:val="TextBody"/>
        <w:bidi w:val="0"/>
        <w:spacing w:before="240" w:after="0"/>
        <w:jc w:val="left"/>
        <w:rPr>
          <w:rFonts w:ascii="ARIAL" w:hAnsi="ARIAL"/>
          <w:sz w:val="19"/>
        </w:rPr>
      </w:pPr>
      <w:r>
        <w:rPr>
          <w:rFonts w:ascii="ARIAL" w:hAnsi="ARIAL"/>
          <w:sz w:val="19"/>
        </w:rPr>
        <w:t>2.9 “</w:t>
      </w:r>
      <w:r>
        <w:rPr>
          <w:rFonts w:ascii="ARIAL" w:hAnsi="ARIAL"/>
          <w:b/>
          <w:i/>
          <w:sz w:val="19"/>
        </w:rPr>
        <w:t>Designated Beneficiary</w:t>
      </w:r>
      <w:r>
        <w:rPr>
          <w:rFonts w:ascii="ARIAL" w:hAnsi="ARIAL"/>
          <w:sz w:val="19"/>
        </w:rPr>
        <w:t xml:space="preserve">”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 </w:t>
      </w:r>
    </w:p>
    <w:p>
      <w:pPr>
        <w:pStyle w:val="TextBody"/>
        <w:bidi w:val="0"/>
        <w:spacing w:before="240" w:after="0"/>
        <w:jc w:val="left"/>
        <w:rPr>
          <w:rFonts w:ascii="ARIAL" w:hAnsi="ARIAL"/>
          <w:sz w:val="19"/>
        </w:rPr>
      </w:pPr>
      <w:r>
        <w:rPr>
          <w:rFonts w:ascii="ARIAL" w:hAnsi="ARIAL"/>
          <w:sz w:val="19"/>
        </w:rPr>
        <w:t>2.10 “</w:t>
      </w:r>
      <w:r>
        <w:rPr>
          <w:rFonts w:ascii="ARIAL" w:hAnsi="ARIAL"/>
          <w:b/>
          <w:i/>
          <w:sz w:val="19"/>
        </w:rPr>
        <w:t>Designated Subsidiary</w:t>
      </w:r>
      <w:r>
        <w:rPr>
          <w:rFonts w:ascii="ARIAL" w:hAnsi="ARIAL"/>
          <w:sz w:val="19"/>
        </w:rPr>
        <w:t xml:space="preserve">”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 </w:t>
      </w:r>
    </w:p>
    <w:p>
      <w:pPr>
        <w:pStyle w:val="TextBody"/>
        <w:bidi w:val="0"/>
        <w:spacing w:before="240" w:after="0"/>
        <w:jc w:val="left"/>
        <w:rPr>
          <w:rFonts w:ascii="ARIAL" w:hAnsi="ARIAL"/>
          <w:sz w:val="19"/>
        </w:rPr>
      </w:pPr>
      <w:r>
        <w:rPr>
          <w:rFonts w:ascii="ARIAL" w:hAnsi="ARIAL"/>
          <w:sz w:val="19"/>
        </w:rPr>
        <w:t>2.11 “</w:t>
      </w:r>
      <w:r>
        <w:rPr>
          <w:rFonts w:ascii="ARIAL" w:hAnsi="ARIAL"/>
          <w:b/>
          <w:i/>
          <w:sz w:val="19"/>
        </w:rPr>
        <w:t>Effectiv</w:t>
      </w:r>
      <w:r>
        <w:rPr>
          <w:rFonts w:ascii="ARIAL" w:hAnsi="ARIAL"/>
          <w:sz w:val="19"/>
        </w:rPr>
        <w:t xml:space="preserve">e </w:t>
      </w:r>
      <w:r>
        <w:rPr>
          <w:rFonts w:ascii="ARIAL" w:hAnsi="ARIAL"/>
          <w:b/>
          <w:i/>
          <w:sz w:val="19"/>
        </w:rPr>
        <w:t>Date</w:t>
      </w:r>
      <w:r>
        <w:rPr>
          <w:rFonts w:ascii="ARIAL" w:hAnsi="ARIAL"/>
          <w:sz w:val="19"/>
        </w:rPr>
        <w:t xml:space="preserve">” means the date the Plan is approved by the Company’s stockholders. </w:t>
      </w:r>
    </w:p>
    <w:p>
      <w:pPr>
        <w:pStyle w:val="TextBody"/>
        <w:bidi w:val="0"/>
        <w:spacing w:before="240" w:after="0"/>
        <w:jc w:val="left"/>
        <w:rPr>
          <w:rFonts w:ascii="ARIAL" w:hAnsi="ARIAL"/>
          <w:sz w:val="19"/>
        </w:rPr>
      </w:pPr>
      <w:r>
        <w:rPr>
          <w:rFonts w:ascii="ARIAL" w:hAnsi="ARIAL"/>
          <w:sz w:val="19"/>
        </w:rPr>
        <w:t>2.12 “</w:t>
      </w:r>
      <w:r>
        <w:rPr>
          <w:rFonts w:ascii="ARIAL" w:hAnsi="ARIAL"/>
          <w:b/>
          <w:i/>
          <w:sz w:val="19"/>
        </w:rPr>
        <w:t>Eligible Employee</w:t>
      </w:r>
      <w:r>
        <w:rPr>
          <w:rFonts w:ascii="ARIAL" w:hAnsi="ARIAL"/>
          <w:sz w:val="19"/>
        </w:rPr>
        <w:t xml:space="preserve">” means: </w:t>
      </w:r>
    </w:p>
    <w:p>
      <w:pPr>
        <w:pStyle w:val="TextBody"/>
        <w:bidi w:val="0"/>
        <w:spacing w:before="240" w:after="0"/>
        <w:jc w:val="left"/>
        <w:rPr>
          <w:rFonts w:ascii="ARIAL" w:hAnsi="ARIAL"/>
          <w:sz w:val="19"/>
        </w:rPr>
      </w:pPr>
      <w:r>
        <w:rPr>
          <w:rFonts w:ascii="ARIAL" w:hAnsi="ARIAL"/>
          <w:sz w:val="19"/>
        </w:rPr>
        <w:t xml:space="preserve">(a) 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w:t>
      </w:r>
    </w:p>
    <w:p>
      <w:pPr>
        <w:pStyle w:val="TextBody"/>
        <w:bidi w:val="0"/>
        <w:spacing w:before="240" w:after="0"/>
        <w:jc w:val="left"/>
        <w:rPr>
          <w:rFonts w:ascii="ARIAL" w:hAnsi="ARIAL"/>
          <w:sz w:val="19"/>
        </w:rPr>
      </w:pPr>
      <w:r>
        <w:rPr>
          <w:rFonts w:ascii="ARIAL" w:hAnsi="ARIAL"/>
          <w:sz w:val="19"/>
        </w:rPr>
        <w:t xml:space="preserve">(b) 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423(b)(4)(A) 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ARIAL" w:hAnsi="ARIAL"/>
          <w:sz w:val="19"/>
          <w:u w:val="single"/>
        </w:rPr>
        <w:t>provided</w:t>
      </w:r>
      <w:r>
        <w:rPr>
          <w:rFonts w:ascii="ARIAL" w:hAnsi="ARIAL"/>
          <w:sz w:val="19"/>
        </w:rPr>
        <w:t xml:space="preserve">, that any exclusion in clauses (i), (ii), (iii), (iv) or (v) shall be applied in an identical manner under each Offering Period to all Employees, in accordance with Treasury Regulation Section 1.423-2(e). </w:t>
      </w:r>
    </w:p>
    <w:p>
      <w:pPr>
        <w:pStyle w:val="TextBody"/>
        <w:bidi w:val="0"/>
        <w:spacing w:before="240" w:after="0"/>
        <w:jc w:val="left"/>
        <w:rPr>
          <w:rFonts w:ascii="ARIAL" w:hAnsi="ARIAL"/>
          <w:sz w:val="19"/>
        </w:rPr>
      </w:pPr>
      <w:r>
        <w:rPr>
          <w:rFonts w:ascii="ARIAL" w:hAnsi="ARIAL"/>
          <w:sz w:val="19"/>
        </w:rPr>
        <w:t xml:space="preserve">(c) Further notwithstanding the foregoing, with respect to the Non-Section 423 Component, (i) the Administrator may determine that any Employee is an “Eligible Employee” and (ii) to the extent the restrictions in the first sentence in this definition are not consistent with applicable local laws, the applicable local laws shall control. </w:t>
      </w:r>
    </w:p>
    <w:p>
      <w:pPr>
        <w:pStyle w:val="TextBody"/>
        <w:bidi w:val="0"/>
        <w:spacing w:before="240" w:after="0"/>
        <w:jc w:val="left"/>
        <w:rPr>
          <w:rFonts w:ascii="ARIAL" w:hAnsi="ARIAL"/>
          <w:sz w:val="19"/>
        </w:rPr>
      </w:pPr>
      <w:r>
        <w:rPr>
          <w:rFonts w:ascii="ARIAL" w:hAnsi="ARIAL"/>
          <w:sz w:val="19"/>
        </w:rPr>
        <w:t>2.13 “</w:t>
      </w:r>
      <w:r>
        <w:rPr>
          <w:rFonts w:ascii="ARIAL" w:hAnsi="ARIAL"/>
          <w:b/>
          <w:i/>
          <w:sz w:val="19"/>
        </w:rPr>
        <w:t>Employee</w:t>
      </w:r>
      <w:r>
        <w:rPr>
          <w:rFonts w:ascii="ARIAL" w:hAnsi="ARIAL"/>
          <w:sz w:val="19"/>
        </w:rPr>
        <w:t xml:space="preserve">” means any individual who renders services to the Company or any Designated Subsidiary in the status of an employee, and, with respect to the Section 423 Component, a person who is an employee of the Company or any Designated Subsidiary within the meaning of Section 3401(c) of the Code. For purposes of an individual’s participation in, or other rights under the Plan, all determinations by the Company shall be final, binding and conclusive, notwithstanding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89"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64" descr=""/>
                          <pic:cNvPicPr>
                            <a:picLocks noChangeAspect="1" noChangeArrowheads="1"/>
                          </pic:cNvPicPr>
                        </pic:nvPicPr>
                        <pic:blipFill>
                          <a:blip r:embed="rId37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 month period. </w:t>
      </w:r>
    </w:p>
    <w:p>
      <w:pPr>
        <w:pStyle w:val="TextBody"/>
        <w:bidi w:val="0"/>
        <w:spacing w:before="240" w:after="0"/>
        <w:jc w:val="left"/>
        <w:rPr>
          <w:rFonts w:ascii="ARIAL" w:hAnsi="ARIAL"/>
          <w:sz w:val="19"/>
        </w:rPr>
      </w:pPr>
      <w:r>
        <w:rPr>
          <w:rFonts w:ascii="ARIAL" w:hAnsi="ARIAL"/>
          <w:sz w:val="19"/>
        </w:rPr>
        <w:t>2.14 “</w:t>
      </w:r>
      <w:r>
        <w:rPr>
          <w:rFonts w:ascii="ARIAL" w:hAnsi="ARIAL"/>
          <w:b/>
          <w:i/>
          <w:sz w:val="19"/>
        </w:rPr>
        <w:t>Enrollment Date</w:t>
      </w:r>
      <w:r>
        <w:rPr>
          <w:rFonts w:ascii="ARIAL" w:hAnsi="ARIAL"/>
          <w:sz w:val="19"/>
        </w:rPr>
        <w:t xml:space="preserve">” means the first Trading Day of each Offering Period. </w:t>
      </w:r>
    </w:p>
    <w:p>
      <w:pPr>
        <w:pStyle w:val="TextBody"/>
        <w:bidi w:val="0"/>
        <w:spacing w:before="240" w:after="0"/>
        <w:jc w:val="left"/>
        <w:rPr>
          <w:rFonts w:ascii="ARIAL" w:hAnsi="ARIAL"/>
          <w:sz w:val="19"/>
        </w:rPr>
      </w:pPr>
      <w:r>
        <w:rPr>
          <w:rFonts w:ascii="ARIAL" w:hAnsi="ARIAL"/>
          <w:sz w:val="19"/>
        </w:rPr>
        <w:t>2.15 “</w:t>
      </w:r>
      <w:r>
        <w:rPr>
          <w:rFonts w:ascii="ARIAL" w:hAnsi="ARIAL"/>
          <w:b/>
          <w:i/>
          <w:sz w:val="19"/>
        </w:rPr>
        <w:t>Fair Market Value</w:t>
      </w:r>
      <w:r>
        <w:rPr>
          <w:rFonts w:ascii="ARIAL" w:hAnsi="ARIAL"/>
          <w:sz w:val="19"/>
        </w:rPr>
        <w:t xml:space="preserve">”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Shares, the Administrator will determine the Fair Market Value in its discretion. </w:t>
      </w:r>
    </w:p>
    <w:p>
      <w:pPr>
        <w:pStyle w:val="TextBody"/>
        <w:bidi w:val="0"/>
        <w:spacing w:before="240" w:after="0"/>
        <w:jc w:val="left"/>
        <w:rPr>
          <w:rFonts w:ascii="ARIAL" w:hAnsi="ARIAL"/>
          <w:sz w:val="19"/>
        </w:rPr>
      </w:pPr>
      <w:r>
        <w:rPr>
          <w:rFonts w:ascii="ARIAL" w:hAnsi="ARIAL"/>
          <w:sz w:val="19"/>
        </w:rPr>
        <w:t>2.16 “</w:t>
      </w:r>
      <w:r>
        <w:rPr>
          <w:rFonts w:ascii="ARIAL" w:hAnsi="ARIAL"/>
          <w:b/>
          <w:i/>
          <w:sz w:val="19"/>
        </w:rPr>
        <w:t>Non-Section 423 Component</w:t>
      </w:r>
      <w:r>
        <w:rPr>
          <w:rFonts w:ascii="ARIAL" w:hAnsi="ARIAL"/>
          <w:sz w:val="19"/>
        </w:rPr>
        <w:t xml:space="preserve">”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 </w:t>
      </w:r>
    </w:p>
    <w:p>
      <w:pPr>
        <w:pStyle w:val="TextBody"/>
        <w:bidi w:val="0"/>
        <w:spacing w:before="240" w:after="0"/>
        <w:jc w:val="left"/>
        <w:rPr>
          <w:rFonts w:ascii="ARIAL" w:hAnsi="ARIAL"/>
          <w:sz w:val="19"/>
        </w:rPr>
      </w:pPr>
      <w:r>
        <w:rPr>
          <w:rFonts w:ascii="ARIAL" w:hAnsi="ARIAL"/>
          <w:sz w:val="19"/>
        </w:rPr>
        <w:t>2.17 “</w:t>
      </w:r>
      <w:r>
        <w:rPr>
          <w:rFonts w:ascii="ARIAL" w:hAnsi="ARIAL"/>
          <w:b/>
          <w:i/>
          <w:sz w:val="19"/>
        </w:rPr>
        <w:t>Offering</w:t>
      </w:r>
      <w:r>
        <w:rPr>
          <w:rFonts w:ascii="ARIAL" w:hAnsi="ARIAL"/>
          <w:sz w:val="19"/>
        </w:rPr>
        <w:t xml:space="preserve">” means an offer by the Company under the Plan to Eligible Employees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 </w:t>
      </w:r>
    </w:p>
    <w:p>
      <w:pPr>
        <w:pStyle w:val="TextBody"/>
        <w:bidi w:val="0"/>
        <w:spacing w:before="240" w:after="0"/>
        <w:jc w:val="left"/>
        <w:rPr>
          <w:rFonts w:ascii="ARIAL" w:hAnsi="ARIAL"/>
          <w:sz w:val="19"/>
        </w:rPr>
      </w:pPr>
      <w:r>
        <w:rPr>
          <w:rFonts w:ascii="ARIAL" w:hAnsi="ARIAL"/>
          <w:sz w:val="19"/>
        </w:rPr>
        <w:t>2.18 “</w:t>
      </w:r>
      <w:r>
        <w:rPr>
          <w:rFonts w:ascii="ARIAL" w:hAnsi="ARIAL"/>
          <w:b/>
          <w:i/>
          <w:sz w:val="19"/>
        </w:rPr>
        <w:t>Offering Document</w:t>
      </w:r>
      <w:r>
        <w:rPr>
          <w:rFonts w:ascii="ARIAL" w:hAnsi="ARIAL"/>
          <w:sz w:val="19"/>
        </w:rPr>
        <w:t xml:space="preserve">” has the meaning given to such term in Section 4.1. </w:t>
      </w:r>
    </w:p>
    <w:p>
      <w:pPr>
        <w:pStyle w:val="TextBody"/>
        <w:bidi w:val="0"/>
        <w:spacing w:before="240" w:after="0"/>
        <w:jc w:val="left"/>
        <w:rPr>
          <w:rFonts w:ascii="ARIAL" w:hAnsi="ARIAL"/>
          <w:sz w:val="19"/>
        </w:rPr>
      </w:pPr>
      <w:r>
        <w:rPr>
          <w:rFonts w:ascii="ARIAL" w:hAnsi="ARIAL"/>
          <w:sz w:val="19"/>
        </w:rPr>
        <w:t>2.19 “</w:t>
      </w:r>
      <w:r>
        <w:rPr>
          <w:rFonts w:ascii="ARIAL" w:hAnsi="ARIAL"/>
          <w:b/>
          <w:i/>
          <w:sz w:val="19"/>
        </w:rPr>
        <w:t>Offering Period</w:t>
      </w:r>
      <w:r>
        <w:rPr>
          <w:rFonts w:ascii="ARIAL" w:hAnsi="ARIAL"/>
          <w:sz w:val="19"/>
        </w:rPr>
        <w:t xml:space="preserve">” has the meaning given to such term in Section 4.1. </w:t>
      </w:r>
    </w:p>
    <w:p>
      <w:pPr>
        <w:pStyle w:val="TextBody"/>
        <w:bidi w:val="0"/>
        <w:spacing w:before="240" w:after="0"/>
        <w:jc w:val="left"/>
        <w:rPr>
          <w:rFonts w:ascii="ARIAL" w:hAnsi="ARIAL"/>
          <w:sz w:val="19"/>
        </w:rPr>
      </w:pPr>
      <w:r>
        <w:rPr>
          <w:rFonts w:ascii="ARIAL" w:hAnsi="ARIAL"/>
          <w:sz w:val="19"/>
        </w:rPr>
        <w:t>2.20 “</w:t>
      </w:r>
      <w:r>
        <w:rPr>
          <w:rFonts w:ascii="ARIAL" w:hAnsi="ARIAL"/>
          <w:b/>
          <w:i/>
          <w:sz w:val="19"/>
        </w:rPr>
        <w:t>Parent</w:t>
      </w:r>
      <w:r>
        <w:rPr>
          <w:rFonts w:ascii="ARIAL" w:hAnsi="ARIAL"/>
          <w:sz w:val="19"/>
        </w:rPr>
        <w:t xml:space="preserve">”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 </w:t>
      </w:r>
    </w:p>
    <w:p>
      <w:pPr>
        <w:pStyle w:val="TextBody"/>
        <w:bidi w:val="0"/>
        <w:spacing w:before="240" w:after="0"/>
        <w:jc w:val="left"/>
        <w:rPr>
          <w:rFonts w:ascii="ARIAL" w:hAnsi="ARIAL"/>
          <w:sz w:val="19"/>
        </w:rPr>
      </w:pPr>
      <w:r>
        <w:rPr>
          <w:rFonts w:ascii="ARIAL" w:hAnsi="ARIAL"/>
          <w:sz w:val="19"/>
        </w:rPr>
        <w:t>2.21 “</w:t>
      </w:r>
      <w:r>
        <w:rPr>
          <w:rFonts w:ascii="ARIAL" w:hAnsi="ARIAL"/>
          <w:b/>
          <w:i/>
          <w:sz w:val="19"/>
        </w:rPr>
        <w:t>Participant</w:t>
      </w:r>
      <w:r>
        <w:rPr>
          <w:rFonts w:ascii="ARIAL" w:hAnsi="ARIAL"/>
          <w:sz w:val="19"/>
        </w:rPr>
        <w:t xml:space="preserve">” means any Eligible Employee who has executed a subscription agreement and been granted rights to purchase Shares pursuant to the Plan. </w:t>
      </w:r>
    </w:p>
    <w:p>
      <w:pPr>
        <w:pStyle w:val="TextBody"/>
        <w:bidi w:val="0"/>
        <w:spacing w:before="240" w:after="0"/>
        <w:jc w:val="left"/>
        <w:rPr>
          <w:rFonts w:ascii="ARIAL" w:hAnsi="ARIAL"/>
          <w:sz w:val="19"/>
        </w:rPr>
      </w:pPr>
      <w:r>
        <w:rPr>
          <w:rFonts w:ascii="ARIAL" w:hAnsi="ARIAL"/>
          <w:sz w:val="19"/>
        </w:rPr>
        <w:t>2.22 “</w:t>
      </w:r>
      <w:r>
        <w:rPr>
          <w:rFonts w:ascii="ARIAL" w:hAnsi="ARIAL"/>
          <w:b/>
          <w:i/>
          <w:sz w:val="19"/>
        </w:rPr>
        <w:t>Payday</w:t>
      </w:r>
      <w:r>
        <w:rPr>
          <w:rFonts w:ascii="ARIAL" w:hAnsi="ARIAL"/>
          <w:sz w:val="19"/>
        </w:rPr>
        <w:t xml:space="preserve">” means the regular and recurring established day for payment of Compensation to an Employee of the Company or any Designated Subsidiary. </w:t>
      </w:r>
    </w:p>
    <w:p>
      <w:pPr>
        <w:pStyle w:val="TextBody"/>
        <w:bidi w:val="0"/>
        <w:spacing w:before="240" w:after="0"/>
        <w:jc w:val="left"/>
        <w:rPr>
          <w:rFonts w:ascii="ARIAL" w:hAnsi="ARIAL"/>
          <w:sz w:val="19"/>
        </w:rPr>
      </w:pPr>
      <w:r>
        <w:rPr>
          <w:rFonts w:ascii="ARIAL" w:hAnsi="ARIAL"/>
          <w:sz w:val="19"/>
        </w:rPr>
        <w:t>2.23 “</w:t>
      </w:r>
      <w:r>
        <w:rPr>
          <w:rFonts w:ascii="ARIAL" w:hAnsi="ARIAL"/>
          <w:b/>
          <w:i/>
          <w:sz w:val="19"/>
        </w:rPr>
        <w:t>Plan</w:t>
      </w:r>
      <w:r>
        <w:rPr>
          <w:rFonts w:ascii="ARIAL" w:hAnsi="ARIAL"/>
          <w:sz w:val="19"/>
        </w:rPr>
        <w:t xml:space="preserve">” means this 2026 Employee Stock Purchase Plan, including both the Section 423 Component and Non-Section 423 Component and any other sub-plans or appendices hereto, as amended from time to time. </w:t>
      </w:r>
    </w:p>
    <w:p>
      <w:pPr>
        <w:pStyle w:val="TextBody"/>
        <w:bidi w:val="0"/>
        <w:spacing w:before="240" w:after="0"/>
        <w:jc w:val="left"/>
        <w:rPr>
          <w:rFonts w:ascii="ARIAL" w:hAnsi="ARIAL"/>
          <w:sz w:val="19"/>
        </w:rPr>
      </w:pPr>
      <w:r>
        <w:rPr>
          <w:rFonts w:ascii="ARIAL" w:hAnsi="ARIAL"/>
          <w:sz w:val="19"/>
        </w:rPr>
        <w:t>2.24 “</w:t>
      </w:r>
      <w:r>
        <w:rPr>
          <w:rFonts w:ascii="ARIAL" w:hAnsi="ARIAL"/>
          <w:b/>
          <w:i/>
          <w:sz w:val="19"/>
        </w:rPr>
        <w:t>Purchase Date</w:t>
      </w:r>
      <w:r>
        <w:rPr>
          <w:rFonts w:ascii="ARIAL" w:hAnsi="ARIAL"/>
          <w:sz w:val="19"/>
        </w:rPr>
        <w:t xml:space="preserve">” means the last Trading Day of each Purchase Period or such other date as determined by the Administrator and set forth in the Offering Document. </w:t>
      </w:r>
    </w:p>
    <w:p>
      <w:pPr>
        <w:pStyle w:val="TextBody"/>
        <w:bidi w:val="0"/>
        <w:spacing w:before="240" w:after="0"/>
        <w:jc w:val="left"/>
        <w:rPr>
          <w:rFonts w:ascii="ARIAL" w:hAnsi="ARIAL"/>
          <w:sz w:val="19"/>
        </w:rPr>
      </w:pPr>
      <w:r>
        <w:rPr>
          <w:rFonts w:ascii="ARIAL" w:hAnsi="ARIAL"/>
          <w:sz w:val="19"/>
        </w:rPr>
        <w:t>2.25 “</w:t>
      </w:r>
      <w:r>
        <w:rPr>
          <w:rFonts w:ascii="ARIAL" w:hAnsi="ARIAL"/>
          <w:b/>
          <w:i/>
          <w:sz w:val="19"/>
        </w:rPr>
        <w:t>Purchase Period</w:t>
      </w:r>
      <w:r>
        <w:rPr>
          <w:rFonts w:ascii="ARIAL" w:hAnsi="ARIAL"/>
          <w:sz w:val="19"/>
        </w:rPr>
        <w:t xml:space="preserve">” shall refer to one or more periods within an Offering Period, as designated in the applicable Offering Document;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in the event no Purchase Period is designated by the Administrator in the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0"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65" descr=""/>
                          <pic:cNvPicPr>
                            <a:picLocks noChangeAspect="1" noChangeArrowheads="1"/>
                          </pic:cNvPicPr>
                        </pic:nvPicPr>
                        <pic:blipFill>
                          <a:blip r:embed="rId37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applicable Offering Document, the Purchase Period for each Offering Period covered by such Offering Document shall be the same as the applicable Offering Period. </w:t>
      </w:r>
    </w:p>
    <w:p>
      <w:pPr>
        <w:pStyle w:val="TextBody"/>
        <w:bidi w:val="0"/>
        <w:spacing w:before="240" w:after="0"/>
        <w:jc w:val="left"/>
        <w:rPr>
          <w:rFonts w:ascii="ARIAL" w:hAnsi="ARIAL"/>
          <w:sz w:val="19"/>
        </w:rPr>
      </w:pPr>
      <w:r>
        <w:rPr>
          <w:rFonts w:ascii="ARIAL" w:hAnsi="ARIAL"/>
          <w:sz w:val="19"/>
        </w:rPr>
        <w:t>2.26 “</w:t>
      </w:r>
      <w:r>
        <w:rPr>
          <w:rFonts w:ascii="ARIAL" w:hAnsi="ARIAL"/>
          <w:b/>
          <w:i/>
          <w:sz w:val="19"/>
        </w:rPr>
        <w:t>Purchase Price</w:t>
      </w:r>
      <w:r>
        <w:rPr>
          <w:rFonts w:ascii="ARIAL" w:hAnsi="ARIAL"/>
          <w:sz w:val="19"/>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hAnsi="ARIAL"/>
          <w:sz w:val="19"/>
          <w:u w:val="single"/>
        </w:rPr>
        <w:t>provided</w:t>
      </w:r>
      <w:r>
        <w:rPr>
          <w:rFonts w:ascii="ARIAL" w:hAnsi="ARIAL"/>
          <w:sz w:val="19"/>
        </w:rPr>
        <w:t xml:space="preserve">, </w:t>
      </w:r>
      <w:r>
        <w:rPr>
          <w:rFonts w:ascii="ARIAL" w:hAnsi="ARIAL"/>
          <w:sz w:val="19"/>
          <w:u w:val="single"/>
        </w:rPr>
        <w:t>further</w:t>
      </w:r>
      <w:r>
        <w:rPr>
          <w:rFonts w:ascii="ARIAL" w:hAnsi="ARIAL"/>
          <w:sz w:val="19"/>
        </w:rPr>
        <w:t xml:space="preserve">, that the Purchase Price may be adjusted by the Administrator pursuant to Article VIII and shall not be less than the par value of a Share. </w:t>
      </w:r>
    </w:p>
    <w:p>
      <w:pPr>
        <w:pStyle w:val="TextBody"/>
        <w:bidi w:val="0"/>
        <w:spacing w:before="240" w:after="0"/>
        <w:jc w:val="left"/>
        <w:rPr>
          <w:rFonts w:ascii="ARIAL" w:hAnsi="ARIAL"/>
          <w:sz w:val="19"/>
        </w:rPr>
      </w:pPr>
      <w:r>
        <w:rPr>
          <w:rFonts w:ascii="ARIAL" w:hAnsi="ARIAL"/>
          <w:sz w:val="19"/>
        </w:rPr>
        <w:t>2.27 “</w:t>
      </w:r>
      <w:r>
        <w:rPr>
          <w:rFonts w:ascii="ARIAL" w:hAnsi="ARIAL"/>
          <w:b/>
          <w:i/>
          <w:sz w:val="19"/>
        </w:rPr>
        <w:t>Section</w:t>
      </w:r>
      <w:r>
        <w:rPr>
          <w:rFonts w:ascii="ARIAL" w:hAnsi="ARIAL"/>
          <w:sz w:val="19"/>
        </w:rPr>
        <w:t> </w:t>
      </w:r>
      <w:r>
        <w:rPr>
          <w:rFonts w:ascii="ARIAL" w:hAnsi="ARIAL"/>
          <w:b/>
          <w:i/>
          <w:sz w:val="19"/>
        </w:rPr>
        <w:t>423 Component</w:t>
      </w:r>
      <w:r>
        <w:rPr>
          <w:rFonts w:ascii="ARIAL" w:hAnsi="ARIAL"/>
          <w:sz w:val="19"/>
        </w:rPr>
        <w:t xml:space="preserve">” means those Offerings under the Plan, together with the sub- plans, appendices, rules or procedures, if any, adopted by the Administrator as a part of this Plan or any Offering(s),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 </w:t>
      </w:r>
    </w:p>
    <w:p>
      <w:pPr>
        <w:pStyle w:val="TextBody"/>
        <w:bidi w:val="0"/>
        <w:spacing w:before="240" w:after="0"/>
        <w:jc w:val="left"/>
        <w:rPr>
          <w:rFonts w:ascii="ARIAL" w:hAnsi="ARIAL"/>
          <w:sz w:val="19"/>
        </w:rPr>
      </w:pPr>
      <w:r>
        <w:rPr>
          <w:rFonts w:ascii="ARIAL" w:hAnsi="ARIAL"/>
          <w:sz w:val="19"/>
        </w:rPr>
        <w:t>2.28 “</w:t>
      </w:r>
      <w:r>
        <w:rPr>
          <w:rFonts w:ascii="ARIAL" w:hAnsi="ARIAL"/>
          <w:b/>
          <w:i/>
          <w:sz w:val="19"/>
        </w:rPr>
        <w:t>Securities Act</w:t>
      </w:r>
      <w:r>
        <w:rPr>
          <w:rFonts w:ascii="ARIAL" w:hAnsi="ARIAL"/>
          <w:sz w:val="19"/>
        </w:rPr>
        <w:t xml:space="preserve">” means the U.S. Securities Act of 1933, as amended. </w:t>
      </w:r>
    </w:p>
    <w:p>
      <w:pPr>
        <w:pStyle w:val="TextBody"/>
        <w:bidi w:val="0"/>
        <w:spacing w:before="240" w:after="0"/>
        <w:jc w:val="left"/>
        <w:rPr>
          <w:rFonts w:ascii="ARIAL" w:hAnsi="ARIAL"/>
          <w:sz w:val="19"/>
        </w:rPr>
      </w:pPr>
      <w:r>
        <w:rPr>
          <w:rFonts w:ascii="ARIAL" w:hAnsi="ARIAL"/>
          <w:sz w:val="19"/>
        </w:rPr>
        <w:t>2.29 “</w:t>
      </w:r>
      <w:r>
        <w:rPr>
          <w:rFonts w:ascii="ARIAL" w:hAnsi="ARIAL"/>
          <w:b/>
          <w:i/>
          <w:sz w:val="19"/>
        </w:rPr>
        <w:t>Share</w:t>
      </w:r>
      <w:r>
        <w:rPr>
          <w:rFonts w:ascii="ARIAL" w:hAnsi="ARIAL"/>
          <w:sz w:val="19"/>
        </w:rPr>
        <w:t xml:space="preserve">” means a share of Common Stock. </w:t>
      </w:r>
    </w:p>
    <w:p>
      <w:pPr>
        <w:pStyle w:val="TextBody"/>
        <w:bidi w:val="0"/>
        <w:spacing w:before="240" w:after="0"/>
        <w:jc w:val="left"/>
        <w:rPr>
          <w:rFonts w:ascii="ARIAL" w:hAnsi="ARIAL"/>
          <w:sz w:val="19"/>
        </w:rPr>
      </w:pPr>
      <w:r>
        <w:rPr>
          <w:rFonts w:ascii="ARIAL" w:hAnsi="ARIAL"/>
          <w:sz w:val="19"/>
        </w:rPr>
        <w:t>2.30 “</w:t>
      </w:r>
      <w:r>
        <w:rPr>
          <w:rFonts w:ascii="ARIAL" w:hAnsi="ARIAL"/>
          <w:b/>
          <w:i/>
          <w:sz w:val="19"/>
        </w:rPr>
        <w:t>Subsidiary</w:t>
      </w:r>
      <w:r>
        <w:rPr>
          <w:rFonts w:ascii="ARIAL" w:hAnsi="ARIAL"/>
          <w:sz w:val="19"/>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hAnsi="ARIAL"/>
          <w:sz w:val="19"/>
          <w:u w:val="single"/>
        </w:rPr>
        <w:t>provided</w:t>
      </w:r>
      <w:r>
        <w:rPr>
          <w:rFonts w:ascii="ARIAL" w:hAnsi="ARIAL"/>
          <w:sz w:val="19"/>
        </w:rPr>
        <w:t xml:space="preserve">, however,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 </w:t>
      </w:r>
    </w:p>
    <w:p>
      <w:pPr>
        <w:pStyle w:val="TextBody"/>
        <w:bidi w:val="0"/>
        <w:spacing w:before="240" w:after="0"/>
        <w:jc w:val="left"/>
        <w:rPr>
          <w:rFonts w:ascii="ARIAL" w:hAnsi="ARIAL"/>
          <w:sz w:val="19"/>
        </w:rPr>
      </w:pPr>
      <w:r>
        <w:rPr>
          <w:rFonts w:ascii="ARIAL" w:hAnsi="ARIAL"/>
          <w:sz w:val="19"/>
        </w:rPr>
        <w:t>2.31 “</w:t>
      </w:r>
      <w:r>
        <w:rPr>
          <w:rFonts w:ascii="ARIAL" w:hAnsi="ARIAL"/>
          <w:b/>
          <w:i/>
          <w:sz w:val="19"/>
        </w:rPr>
        <w:t>Trading Day</w:t>
      </w:r>
      <w:r>
        <w:rPr>
          <w:rFonts w:ascii="ARIAL" w:hAnsi="ARIAL"/>
          <w:sz w:val="19"/>
        </w:rPr>
        <w:t xml:space="preserve">” means a day on which national stock exchanges in the United States are open for trading. </w:t>
      </w:r>
    </w:p>
    <w:p>
      <w:pPr>
        <w:pStyle w:val="TextBody"/>
        <w:bidi w:val="0"/>
        <w:spacing w:before="240" w:after="0"/>
        <w:jc w:val="left"/>
        <w:rPr>
          <w:rFonts w:ascii="ARIAL" w:hAnsi="ARIAL"/>
          <w:sz w:val="19"/>
        </w:rPr>
      </w:pPr>
      <w:r>
        <w:rPr>
          <w:rFonts w:ascii="ARIAL" w:hAnsi="ARIAL"/>
          <w:sz w:val="19"/>
        </w:rPr>
        <w:t>2.32 “</w:t>
      </w:r>
      <w:r>
        <w:rPr>
          <w:rFonts w:ascii="ARIAL" w:hAnsi="ARIAL"/>
          <w:b/>
          <w:i/>
          <w:sz w:val="19"/>
        </w:rPr>
        <w:t>Treas. Reg.</w:t>
      </w:r>
      <w:r>
        <w:rPr>
          <w:rFonts w:ascii="ARIAL" w:hAnsi="ARIAL"/>
          <w:sz w:val="19"/>
        </w:rPr>
        <w:t xml:space="preserve">” means U.S. Department of the Treasury regulations. </w:t>
      </w:r>
    </w:p>
    <w:p>
      <w:pPr>
        <w:pStyle w:val="TextBody"/>
        <w:bidi w:val="0"/>
        <w:spacing w:before="240" w:after="0"/>
        <w:jc w:val="left"/>
        <w:rPr>
          <w:rFonts w:ascii="ARIAL" w:hAnsi="ARIAL"/>
          <w:b/>
          <w:sz w:val="19"/>
        </w:rPr>
      </w:pPr>
      <w:r>
        <w:rPr>
          <w:rFonts w:ascii="ARIAL" w:hAnsi="ARIAL"/>
          <w:b/>
          <w:sz w:val="19"/>
        </w:rPr>
        <w:t xml:space="preserve">ARTICLE III. SHARES SUBJECT TO THE PLAN </w:t>
      </w:r>
    </w:p>
    <w:p>
      <w:pPr>
        <w:pStyle w:val="TextBody"/>
        <w:bidi w:val="0"/>
        <w:spacing w:before="120" w:after="0"/>
        <w:jc w:val="left"/>
        <w:rPr>
          <w:rFonts w:ascii="ARIAL" w:hAnsi="ARIAL"/>
          <w:sz w:val="19"/>
        </w:rPr>
      </w:pPr>
      <w:r>
        <w:rPr>
          <w:rFonts w:ascii="ARIAL" w:hAnsi="ARIAL"/>
          <w:sz w:val="19"/>
        </w:rPr>
        <w:t xml:space="preserve">3.1 </w:t>
      </w:r>
      <w:r>
        <w:rPr>
          <w:rFonts w:ascii="ARIAL" w:hAnsi="ARIAL"/>
          <w:sz w:val="19"/>
          <w:u w:val="single"/>
        </w:rPr>
        <w:t>Number of Shares</w:t>
      </w:r>
      <w:r>
        <w:rPr>
          <w:rFonts w:ascii="ARIAL" w:hAnsi="ARIAL"/>
          <w:sz w:val="19"/>
        </w:rPr>
        <w:t xml:space="preserve">. Subject to Article VIII, the aggregate number of Shares that may be issued pursuant to rights granted under the Plan shall be 2,500,000 Shares, all of which may be granted under the Section 423 Component of the Plan. If any right granted under the Plan shall for any reason terminate without having been exercised, the Shares not purchased under such right shall again become available for issuance under the Plan. </w:t>
      </w:r>
    </w:p>
    <w:p>
      <w:pPr>
        <w:pStyle w:val="TextBody"/>
        <w:bidi w:val="0"/>
        <w:spacing w:before="240" w:after="0"/>
        <w:jc w:val="left"/>
        <w:rPr>
          <w:rFonts w:ascii="ARIAL" w:hAnsi="ARIAL"/>
          <w:sz w:val="19"/>
        </w:rPr>
      </w:pPr>
      <w:r>
        <w:rPr>
          <w:rFonts w:ascii="ARIAL" w:hAnsi="ARIAL"/>
          <w:sz w:val="19"/>
        </w:rPr>
        <w:t xml:space="preserve">3.2 </w:t>
      </w:r>
      <w:r>
        <w:rPr>
          <w:rFonts w:ascii="ARIAL" w:hAnsi="ARIAL"/>
          <w:sz w:val="19"/>
          <w:u w:val="single"/>
        </w:rPr>
        <w:t>Shares Distributed</w:t>
      </w:r>
      <w:r>
        <w:rPr>
          <w:rFonts w:ascii="ARIAL" w:hAnsi="ARIAL"/>
          <w:sz w:val="19"/>
        </w:rPr>
        <w:t xml:space="preserve">. Any Shares distributed pursuant to the Plan may consist, in whole or in part, of authorized and unissued Shares, treasury shares or Shares purchased on the open market. </w:t>
      </w:r>
    </w:p>
    <w:p>
      <w:pPr>
        <w:pStyle w:val="TextBody"/>
        <w:bidi w:val="0"/>
        <w:spacing w:before="240" w:after="0"/>
        <w:jc w:val="left"/>
        <w:rPr>
          <w:rFonts w:ascii="ARIAL" w:hAnsi="ARIAL"/>
          <w:b/>
          <w:sz w:val="19"/>
        </w:rPr>
      </w:pPr>
      <w:r>
        <w:rPr>
          <w:rFonts w:ascii="ARIAL" w:hAnsi="ARIAL"/>
          <w:b/>
          <w:sz w:val="19"/>
        </w:rPr>
        <w:t xml:space="preserve">ARTICLE IV. OFFERING PERIODS; OFFERING DOCUMENTS; PURCHASE DATES </w:t>
      </w:r>
    </w:p>
    <w:p>
      <w:pPr>
        <w:pStyle w:val="TextBody"/>
        <w:bidi w:val="0"/>
        <w:spacing w:before="120" w:after="0"/>
        <w:jc w:val="left"/>
        <w:rPr>
          <w:rFonts w:ascii="ARIAL" w:hAnsi="ARIAL"/>
          <w:sz w:val="19"/>
        </w:rPr>
      </w:pPr>
      <w:r>
        <w:rPr>
          <w:rFonts w:ascii="ARIAL" w:hAnsi="ARIAL"/>
          <w:sz w:val="19"/>
        </w:rPr>
        <w:t xml:space="preserve">4.1 </w:t>
      </w:r>
      <w:r>
        <w:rPr>
          <w:rFonts w:ascii="ARIAL" w:hAnsi="ARIAL"/>
          <w:sz w:val="19"/>
          <w:u w:val="single"/>
        </w:rPr>
        <w:t>Offering Periods</w:t>
      </w:r>
      <w:r>
        <w:rPr>
          <w:rFonts w:ascii="ARIAL" w:hAnsi="ARIAL"/>
          <w:sz w:val="19"/>
        </w:rPr>
        <w:t>. The Administrator may from time to time grant or provide for the grant of rights to purchase Shares under the Plan to Eligible Employees during one or more periods (each, an “</w:t>
      </w:r>
      <w:r>
        <w:rPr>
          <w:rFonts w:ascii="ARIAL" w:hAnsi="ARIAL"/>
          <w:b/>
          <w:i/>
          <w:sz w:val="19"/>
        </w:rPr>
        <w:t>Offering Period</w:t>
      </w:r>
      <w:r>
        <w:rPr>
          <w:rFonts w:ascii="ARIAL" w:hAnsi="ARIAL"/>
          <w:sz w:val="19"/>
        </w:rPr>
        <w:t>”) selected by the Administrator. The terms and conditions applicable to each Offering Period shall be set forth in an “</w:t>
      </w:r>
      <w:r>
        <w:rPr>
          <w:rFonts w:ascii="ARIAL" w:hAnsi="ARIAL"/>
          <w:b/>
          <w:i/>
          <w:sz w:val="19"/>
        </w:rPr>
        <w:t>Offering Document</w:t>
      </w:r>
      <w:r>
        <w:rPr>
          <w:rFonts w:ascii="ARIAL" w:hAnsi="ARIAL"/>
          <w:sz w:val="19"/>
        </w:rPr>
        <w:t xml:space="preserve">”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Administrator shall establish in each Offering Document one or more Purchase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1"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66" descr=""/>
                          <pic:cNvPicPr>
                            <a:picLocks noChangeAspect="1" noChangeArrowheads="1"/>
                          </pic:cNvPicPr>
                        </pic:nvPicPr>
                        <pic:blipFill>
                          <a:blip r:embed="rId378"/>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Periods during such Offering Period during which rights granted under the Plan shall be exercised and purchases of Shares carried out during such Offering Period in accordance with such Offering Document and the Plan. The provisions of separate Offerings or Offering Periods under the Plan may be partially or wholly concurrent and need not be identical. </w:t>
      </w:r>
    </w:p>
    <w:p>
      <w:pPr>
        <w:pStyle w:val="TextBody"/>
        <w:bidi w:val="0"/>
        <w:spacing w:before="240" w:after="0"/>
        <w:jc w:val="left"/>
        <w:rPr>
          <w:rFonts w:ascii="ARIAL" w:hAnsi="ARIAL"/>
          <w:sz w:val="19"/>
        </w:rPr>
      </w:pPr>
      <w:r>
        <w:rPr>
          <w:rFonts w:ascii="ARIAL" w:hAnsi="ARIAL"/>
          <w:sz w:val="19"/>
        </w:rPr>
        <w:t xml:space="preserve">4.2 </w:t>
      </w:r>
      <w:r>
        <w:rPr>
          <w:rFonts w:ascii="ARIAL" w:hAnsi="ARIAL"/>
          <w:sz w:val="19"/>
          <w:u w:val="single"/>
        </w:rPr>
        <w:t>Offering Documents</w:t>
      </w:r>
      <w:r>
        <w:rPr>
          <w:rFonts w:ascii="ARIAL" w:hAnsi="ARIAL"/>
          <w:sz w:val="19"/>
        </w:rPr>
        <w:t xml:space="preserve">. Each Offering Document with respect to an Offering Period shall specify (through incorporation of the provisions of this Plan by reference or otherwise): </w:t>
      </w:r>
    </w:p>
    <w:p>
      <w:pPr>
        <w:pStyle w:val="TextBody"/>
        <w:bidi w:val="0"/>
        <w:spacing w:before="240" w:after="0"/>
        <w:jc w:val="left"/>
        <w:rPr>
          <w:rFonts w:ascii="ARIAL" w:hAnsi="ARIAL"/>
          <w:sz w:val="19"/>
        </w:rPr>
      </w:pPr>
      <w:r>
        <w:rPr>
          <w:rFonts w:ascii="ARIAL" w:hAnsi="ARIAL"/>
          <w:sz w:val="19"/>
        </w:rPr>
        <w:t xml:space="preserve">(a) the length of the Offering Period, which period shall not exceed twenty-seven months; </w:t>
      </w:r>
    </w:p>
    <w:p>
      <w:pPr>
        <w:pStyle w:val="TextBody"/>
        <w:bidi w:val="0"/>
        <w:spacing w:before="240" w:after="0"/>
        <w:jc w:val="left"/>
        <w:rPr>
          <w:rFonts w:ascii="ARIAL" w:hAnsi="ARIAL"/>
          <w:sz w:val="19"/>
        </w:rPr>
      </w:pPr>
      <w:r>
        <w:rPr>
          <w:rFonts w:ascii="ARIAL" w:hAnsi="ARIAL"/>
          <w:sz w:val="19"/>
        </w:rPr>
        <w:t xml:space="preserve">(b) the length of the Purchase Period(s) within the Offering Period; </w:t>
      </w:r>
    </w:p>
    <w:p>
      <w:pPr>
        <w:pStyle w:val="TextBody"/>
        <w:bidi w:val="0"/>
        <w:spacing w:before="240" w:after="0"/>
        <w:jc w:val="left"/>
        <w:rPr>
          <w:rFonts w:ascii="ARIAL" w:hAnsi="ARIAL"/>
          <w:sz w:val="19"/>
        </w:rPr>
      </w:pPr>
      <w:r>
        <w:rPr>
          <w:rFonts w:ascii="ARIAL" w:hAnsi="ARIAL"/>
          <w:sz w:val="19"/>
        </w:rPr>
        <w:t xml:space="preserve">(c) the maximum number of Shares that may be purchased by any Eligible Employee during such Offering Period, which, in the absence of a contrary designation by the Administrator, shall be 1,000,000 Shares (and which, for the Section 423 Component Offering Periods, shall be subject to the limitations described in Section 5.5 below); </w:t>
      </w:r>
    </w:p>
    <w:p>
      <w:pPr>
        <w:pStyle w:val="TextBody"/>
        <w:bidi w:val="0"/>
        <w:spacing w:before="240" w:after="0"/>
        <w:jc w:val="left"/>
        <w:rPr>
          <w:rFonts w:ascii="ARIAL" w:hAnsi="ARIAL"/>
          <w:sz w:val="19"/>
        </w:rPr>
      </w:pPr>
      <w:r>
        <w:rPr>
          <w:rFonts w:ascii="ARIAL" w:hAnsi="ARIAL"/>
          <w:sz w:val="19"/>
        </w:rPr>
        <w:t xml:space="preserve">(d) in connection with each Offering Period that contains more than one Purchase Period, the maximum aggregate number of Shares which may be purchased by any Eligible Employee during each Purchase Period, which, in the absence of a contrary designation by the Administrator, shall be 1,000,000 Shares (and which, for the Section 423 Component Offering Periods, shall be subject to the limitations described in Section 5.5 below); and </w:t>
      </w:r>
    </w:p>
    <w:p>
      <w:pPr>
        <w:pStyle w:val="TextBody"/>
        <w:bidi w:val="0"/>
        <w:spacing w:before="240" w:after="0"/>
        <w:jc w:val="left"/>
        <w:rPr>
          <w:rFonts w:ascii="ARIAL" w:hAnsi="ARIAL"/>
          <w:sz w:val="19"/>
        </w:rPr>
      </w:pPr>
      <w:r>
        <w:rPr>
          <w:rFonts w:ascii="ARIAL" w:hAnsi="ARIAL"/>
          <w:sz w:val="19"/>
        </w:rPr>
        <w:t xml:space="preserve">(e) such other provisions as the Administrator determines are appropriate, subject to the Plan. </w:t>
      </w:r>
    </w:p>
    <w:p>
      <w:pPr>
        <w:pStyle w:val="TextBody"/>
        <w:bidi w:val="0"/>
        <w:spacing w:before="240" w:after="0"/>
        <w:jc w:val="left"/>
        <w:rPr>
          <w:rFonts w:ascii="ARIAL" w:hAnsi="ARIAL"/>
          <w:b/>
          <w:sz w:val="19"/>
        </w:rPr>
      </w:pPr>
      <w:r>
        <w:rPr>
          <w:rFonts w:ascii="ARIAL" w:hAnsi="ARIAL"/>
          <w:b/>
          <w:sz w:val="19"/>
        </w:rPr>
        <w:t xml:space="preserve">ARTICLE V. ELIGIBILITY AND PARTICIPATION </w:t>
      </w:r>
    </w:p>
    <w:p>
      <w:pPr>
        <w:pStyle w:val="TextBody"/>
        <w:bidi w:val="0"/>
        <w:spacing w:before="120" w:after="0"/>
        <w:jc w:val="left"/>
        <w:rPr>
          <w:rFonts w:ascii="ARIAL" w:hAnsi="ARIAL"/>
          <w:sz w:val="19"/>
        </w:rPr>
      </w:pPr>
      <w:r>
        <w:rPr>
          <w:rFonts w:ascii="ARIAL" w:hAnsi="ARIAL"/>
          <w:sz w:val="19"/>
        </w:rPr>
        <w:t xml:space="preserve">5.1 </w:t>
      </w:r>
      <w:r>
        <w:rPr>
          <w:rFonts w:ascii="ARIAL" w:hAnsi="ARIAL"/>
          <w:sz w:val="19"/>
          <w:u w:val="single"/>
        </w:rPr>
        <w:t>Eligibility</w:t>
      </w:r>
      <w:r>
        <w:rPr>
          <w:rFonts w:ascii="ARIAL" w:hAnsi="ARIAL"/>
          <w:sz w:val="19"/>
        </w:rPr>
        <w:t xml:space="preserve">.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 </w:t>
      </w:r>
    </w:p>
    <w:p>
      <w:pPr>
        <w:pStyle w:val="TextBody"/>
        <w:bidi w:val="0"/>
        <w:spacing w:before="240" w:after="0"/>
        <w:jc w:val="left"/>
        <w:rPr>
          <w:rFonts w:ascii="ARIAL" w:hAnsi="ARIAL"/>
          <w:sz w:val="19"/>
        </w:rPr>
      </w:pPr>
      <w:r>
        <w:rPr>
          <w:rFonts w:ascii="ARIAL" w:hAnsi="ARIAL"/>
          <w:sz w:val="19"/>
        </w:rPr>
        <w:t xml:space="preserve">5.2 </w:t>
      </w:r>
      <w:r>
        <w:rPr>
          <w:rFonts w:ascii="ARIAL" w:hAnsi="ARIAL"/>
          <w:sz w:val="19"/>
          <w:u w:val="single"/>
        </w:rPr>
        <w:t>Enrollment in Plan</w:t>
      </w:r>
      <w:r>
        <w:rPr>
          <w:rFonts w:ascii="ARIAL" w:hAnsi="ARIAL"/>
          <w:sz w:val="19"/>
        </w:rPr>
        <w:t xml:space="preserve">. </w:t>
      </w:r>
    </w:p>
    <w:p>
      <w:pPr>
        <w:pStyle w:val="TextBody"/>
        <w:bidi w:val="0"/>
        <w:spacing w:before="240" w:after="0"/>
        <w:jc w:val="left"/>
        <w:rPr>
          <w:rFonts w:ascii="ARIAL" w:hAnsi="ARIAL"/>
          <w:sz w:val="19"/>
        </w:rPr>
      </w:pPr>
      <w:r>
        <w:rPr>
          <w:rFonts w:ascii="ARIAL" w:hAnsi="ARIAL"/>
          <w:sz w:val="19"/>
        </w:rPr>
        <w:t xml:space="preserve">(a) 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 </w:t>
      </w:r>
    </w:p>
    <w:p>
      <w:pPr>
        <w:pStyle w:val="TextBody"/>
        <w:bidi w:val="0"/>
        <w:spacing w:before="240" w:after="0"/>
        <w:jc w:val="left"/>
        <w:rPr>
          <w:rFonts w:ascii="ARIAL" w:hAnsi="ARIAL"/>
          <w:sz w:val="19"/>
        </w:rPr>
      </w:pPr>
      <w:r>
        <w:rPr>
          <w:rFonts w:ascii="ARIAL" w:hAnsi="ARIAL"/>
          <w:sz w:val="19"/>
        </w:rPr>
        <w:t xml:space="preserve">(b) Except as otherwise determined by the Administrator, each subscription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25% in the absence of any such designation) as payroll deductions. The payroll deductions made for each Participant shall be credited to an account for such Participant under the Plan and shall be deposited with the general funds of the Company. </w:t>
      </w:r>
    </w:p>
    <w:p>
      <w:pPr>
        <w:pStyle w:val="TextBody"/>
        <w:bidi w:val="0"/>
        <w:spacing w:before="240" w:after="0"/>
        <w:jc w:val="left"/>
        <w:rPr>
          <w:rFonts w:ascii="ARIAL" w:hAnsi="ARIAL"/>
          <w:sz w:val="19"/>
        </w:rPr>
      </w:pPr>
      <w:r>
        <w:rPr>
          <w:rFonts w:ascii="ARIAL" w:hAnsi="ARIAL"/>
          <w:sz w:val="19"/>
        </w:rPr>
        <w:t xml:space="preserve">(c) A Participant may increase or decrease the percentage of Compensation designated in his or her subscription agreement, or may suspend his or her payroll deductions, at any time during an Offering Period;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suspend his or her payroll deduction elections one time during each Offering Period and shall not be allowed to increase or decrease his or her payroll deductions during an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during an Offering Period, such Participant’s cumulative unapplied payroll deductions prior to the suspension (if any) shall be refunded to the Participant as soon as practicable and such Participant will need to reenroll in the Plan for future Offering Periods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2"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67" descr=""/>
                          <pic:cNvPicPr>
                            <a:picLocks noChangeAspect="1" noChangeArrowheads="1"/>
                          </pic:cNvPicPr>
                        </pic:nvPicPr>
                        <pic:blipFill>
                          <a:blip r:embed="rId379"/>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(d) Except as otherwise set forth in an Offering Document or as otherwise determined by the Administrator, a Participant may participate in the Plan only by means of payroll deduction and may not make contributions by lump sum payment for any Offering Period. </w:t>
      </w:r>
    </w:p>
    <w:p>
      <w:pPr>
        <w:pStyle w:val="TextBody"/>
        <w:bidi w:val="0"/>
        <w:spacing w:before="240" w:after="0"/>
        <w:jc w:val="left"/>
        <w:rPr>
          <w:rFonts w:ascii="ARIAL" w:hAnsi="ARIAL"/>
          <w:sz w:val="19"/>
        </w:rPr>
      </w:pPr>
      <w:r>
        <w:rPr>
          <w:rFonts w:ascii="ARIAL" w:hAnsi="ARIAL"/>
          <w:sz w:val="19"/>
        </w:rPr>
        <w:t xml:space="preserve">5.3 </w:t>
      </w:r>
      <w:r>
        <w:rPr>
          <w:rFonts w:ascii="ARIAL" w:hAnsi="ARIAL"/>
          <w:sz w:val="19"/>
          <w:u w:val="single"/>
        </w:rPr>
        <w:t>Payroll Deductions</w:t>
      </w:r>
      <w:r>
        <w:rPr>
          <w:rFonts w:ascii="ARIAL" w:hAnsi="ARIAL"/>
          <w:sz w:val="19"/>
        </w:rPr>
        <w:t xml:space="preserve">. Except as otherwise provided in the applicable Offering Document or determined by the Administrator,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any non-U.S. jurisdiction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shall take into consideration any limitations under Section 423 of the Code when applying an alternative method of contribution. </w:t>
      </w:r>
    </w:p>
    <w:p>
      <w:pPr>
        <w:pStyle w:val="TextBody"/>
        <w:bidi w:val="0"/>
        <w:spacing w:before="240" w:after="0"/>
        <w:jc w:val="left"/>
        <w:rPr>
          <w:rFonts w:ascii="ARIAL" w:hAnsi="ARIAL"/>
          <w:sz w:val="19"/>
        </w:rPr>
      </w:pPr>
      <w:r>
        <w:rPr>
          <w:rFonts w:ascii="ARIAL" w:hAnsi="ARIAL"/>
          <w:sz w:val="19"/>
        </w:rPr>
        <w:t xml:space="preserve">5.4 </w:t>
      </w:r>
      <w:r>
        <w:rPr>
          <w:rFonts w:ascii="ARIAL" w:hAnsi="ARIAL"/>
          <w:sz w:val="19"/>
          <w:u w:val="single"/>
        </w:rPr>
        <w:t>Effect of Enrollment</w:t>
      </w:r>
      <w:r>
        <w:rPr>
          <w:rFonts w:ascii="ARIAL" w:hAnsi="ARIAL"/>
          <w:sz w:val="19"/>
        </w:rPr>
        <w:t xml:space="preserve">.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 </w:t>
      </w:r>
    </w:p>
    <w:p>
      <w:pPr>
        <w:pStyle w:val="TextBody"/>
        <w:bidi w:val="0"/>
        <w:spacing w:before="240" w:after="0"/>
        <w:jc w:val="left"/>
        <w:rPr>
          <w:rFonts w:ascii="ARIAL" w:hAnsi="ARIAL"/>
          <w:sz w:val="19"/>
        </w:rPr>
      </w:pPr>
      <w:r>
        <w:rPr>
          <w:rFonts w:ascii="ARIAL" w:hAnsi="ARIAL"/>
          <w:sz w:val="19"/>
        </w:rPr>
        <w:t xml:space="preserve">5.5 </w:t>
      </w:r>
      <w:r>
        <w:rPr>
          <w:rFonts w:ascii="ARIAL" w:hAnsi="ARIAL"/>
          <w:sz w:val="19"/>
          <w:u w:val="single"/>
        </w:rPr>
        <w:t>Limitation on Purchase of Shares</w:t>
      </w:r>
      <w:r>
        <w:rPr>
          <w:rFonts w:ascii="ARIAL" w:hAnsi="ARIAL"/>
          <w:sz w:val="19"/>
        </w:rPr>
        <w:t xml:space="preserve">.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 </w:t>
      </w:r>
    </w:p>
    <w:p>
      <w:pPr>
        <w:pStyle w:val="TextBody"/>
        <w:bidi w:val="0"/>
        <w:spacing w:before="240" w:after="0"/>
        <w:jc w:val="left"/>
        <w:rPr>
          <w:rFonts w:ascii="ARIAL" w:hAnsi="ARIAL"/>
          <w:sz w:val="19"/>
        </w:rPr>
      </w:pPr>
      <w:r>
        <w:rPr>
          <w:rFonts w:ascii="ARIAL" w:hAnsi="ARIAL"/>
          <w:sz w:val="19"/>
        </w:rPr>
        <w:t xml:space="preserve">5.6 </w:t>
      </w:r>
      <w:r>
        <w:rPr>
          <w:rFonts w:ascii="ARIAL" w:hAnsi="ARIAL"/>
          <w:sz w:val="19"/>
          <w:u w:val="single"/>
        </w:rPr>
        <w:t>Suspension of Payroll Deductions</w:t>
      </w:r>
      <w:r>
        <w:rPr>
          <w:rFonts w:ascii="ARIAL" w:hAnsi="ARIAL"/>
          <w:sz w:val="19"/>
        </w:rPr>
        <w:t xml:space="preserve">.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but not more than 30 days, after the Purchase Date. </w:t>
      </w:r>
    </w:p>
    <w:p>
      <w:pPr>
        <w:pStyle w:val="TextBody"/>
        <w:bidi w:val="0"/>
        <w:spacing w:before="240" w:after="0"/>
        <w:jc w:val="left"/>
        <w:rPr>
          <w:rFonts w:ascii="ARIAL" w:hAnsi="ARIAL"/>
          <w:sz w:val="19"/>
        </w:rPr>
      </w:pPr>
      <w:r>
        <w:rPr>
          <w:rFonts w:ascii="ARIAL" w:hAnsi="ARIAL"/>
          <w:sz w:val="19"/>
        </w:rPr>
        <w:t xml:space="preserve">5.7 </w:t>
      </w:r>
      <w:r>
        <w:rPr>
          <w:rFonts w:ascii="ARIAL" w:hAnsi="ARIAL"/>
          <w:sz w:val="19"/>
          <w:u w:val="single"/>
        </w:rPr>
        <w:t>Foreign Employees</w:t>
      </w:r>
      <w:r>
        <w:rPr>
          <w:rFonts w:ascii="ARIAL" w:hAnsi="ARIAL"/>
          <w:sz w:val="19"/>
        </w:rPr>
        <w:t xml:space="preserve">. In order to facilitate participation in the Plan, the Administrator may provide for such special terms, rules and procedures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11.2(g).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3"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68" descr=""/>
                          <pic:cNvPicPr>
                            <a:picLocks noChangeAspect="1" noChangeArrowheads="1"/>
                          </pic:cNvPicPr>
                        </pic:nvPicPr>
                        <pic:blipFill>
                          <a:blip r:embed="rId380"/>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B-6</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5.8 </w:t>
      </w:r>
      <w:r>
        <w:rPr>
          <w:rFonts w:ascii="ARIAL" w:hAnsi="ARIAL"/>
          <w:sz w:val="19"/>
          <w:u w:val="single"/>
        </w:rPr>
        <w:t>Leave of Absence</w:t>
      </w:r>
      <w:r>
        <w:rPr>
          <w:rFonts w:ascii="ARIAL" w:hAnsi="ARIAL"/>
          <w:sz w:val="19"/>
        </w:rPr>
        <w:t xml:space="preserve">. During leaves of absence approved by the Company meeting the requirements of Treasury Regulation Section 1.421-1(h)(2) under the Code, unless otherwise set forth in the terms of an Offering Document, a Participant may continue participation in the Plan by making cash payments to the Company on his or her normal Payday equal to the Participant’s authorized payroll deduction. </w:t>
      </w:r>
    </w:p>
    <w:p>
      <w:pPr>
        <w:pStyle w:val="TextBody"/>
        <w:bidi w:val="0"/>
        <w:spacing w:before="240" w:after="0"/>
        <w:jc w:val="left"/>
        <w:rPr>
          <w:rFonts w:ascii="ARIAL" w:hAnsi="ARIAL"/>
          <w:b/>
          <w:sz w:val="19"/>
        </w:rPr>
      </w:pPr>
      <w:r>
        <w:rPr>
          <w:rFonts w:ascii="ARIAL" w:hAnsi="ARIAL"/>
          <w:b/>
          <w:sz w:val="19"/>
        </w:rPr>
        <w:t xml:space="preserve">ARTICLE VI. GRANT AND EXERCISE OF RIGHTS </w:t>
      </w:r>
    </w:p>
    <w:p>
      <w:pPr>
        <w:pStyle w:val="TextBody"/>
        <w:bidi w:val="0"/>
        <w:spacing w:before="120" w:after="0"/>
        <w:jc w:val="left"/>
        <w:rPr>
          <w:rFonts w:ascii="ARIAL" w:hAnsi="ARIAL"/>
          <w:sz w:val="19"/>
        </w:rPr>
      </w:pPr>
      <w:r>
        <w:rPr>
          <w:rFonts w:ascii="ARIAL" w:hAnsi="ARIAL"/>
          <w:sz w:val="19"/>
        </w:rPr>
        <w:t xml:space="preserve">6.1 </w:t>
      </w:r>
      <w:r>
        <w:rPr>
          <w:rFonts w:ascii="ARIAL" w:hAnsi="ARIAL"/>
          <w:sz w:val="19"/>
          <w:u w:val="single"/>
        </w:rPr>
        <w:t>Grant of Rights</w:t>
      </w:r>
      <w:r>
        <w:rPr>
          <w:rFonts w:ascii="ARIAL" w:hAnsi="ARIAL"/>
          <w:sz w:val="19"/>
        </w:rPr>
        <w:t xml:space="preserve">.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earliest of: (x) the last Purchase Date of the Offering Period, (y) the last day of the Offering Period, and (z) the date on which the Participant withdraws in accordance with Section 7.1 or Section 7.3. </w:t>
      </w:r>
    </w:p>
    <w:p>
      <w:pPr>
        <w:pStyle w:val="TextBody"/>
        <w:bidi w:val="0"/>
        <w:spacing w:before="240" w:after="0"/>
        <w:jc w:val="left"/>
        <w:rPr>
          <w:rFonts w:ascii="ARIAL" w:hAnsi="ARIAL"/>
          <w:sz w:val="19"/>
        </w:rPr>
      </w:pPr>
      <w:r>
        <w:rPr>
          <w:rFonts w:ascii="ARIAL" w:hAnsi="ARIAL"/>
          <w:sz w:val="19"/>
        </w:rPr>
        <w:t xml:space="preserve">6.2 </w:t>
      </w:r>
      <w:r>
        <w:rPr>
          <w:rFonts w:ascii="ARIAL" w:hAnsi="ARIAL"/>
          <w:sz w:val="19"/>
          <w:u w:val="single"/>
        </w:rPr>
        <w:t>Exercise of Rights</w:t>
      </w:r>
      <w:r>
        <w:rPr>
          <w:rFonts w:ascii="ARIAL" w:hAnsi="ARIAL"/>
          <w:sz w:val="19"/>
        </w:rPr>
        <w:t xml:space="preserve">.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Purchase Period, unless the Administrator provides that such amounts should be returned to the Participant in one lump sum payment in a subsequent payroll check. Shares issued pursuant to the Plan may be evidenced in such manner as the Administrator may determine and may be issued in certificated form or issued pursuant to book-entry procedures. </w:t>
      </w:r>
    </w:p>
    <w:p>
      <w:pPr>
        <w:pStyle w:val="TextBody"/>
        <w:bidi w:val="0"/>
        <w:spacing w:before="240" w:after="0"/>
        <w:jc w:val="left"/>
        <w:rPr>
          <w:rFonts w:ascii="ARIAL" w:hAnsi="ARIAL"/>
          <w:sz w:val="19"/>
        </w:rPr>
      </w:pPr>
      <w:r>
        <w:rPr>
          <w:rFonts w:ascii="ARIAL" w:hAnsi="ARIAL"/>
          <w:sz w:val="19"/>
        </w:rPr>
        <w:t xml:space="preserve">6.3 </w:t>
      </w:r>
      <w:r>
        <w:rPr>
          <w:rFonts w:ascii="ARIAL" w:hAnsi="ARIAL"/>
          <w:sz w:val="19"/>
          <w:u w:val="single"/>
        </w:rPr>
        <w:t>Pro Rata Allocation of Shares</w:t>
      </w:r>
      <w:r>
        <w:rPr>
          <w:rFonts w:ascii="ARIAL" w:hAnsi="ARIAL"/>
          <w:sz w:val="19"/>
        </w:rPr>
        <w:t xml:space="preserve">.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 </w:t>
      </w:r>
    </w:p>
    <w:p>
      <w:pPr>
        <w:pStyle w:val="TextBody"/>
        <w:bidi w:val="0"/>
        <w:spacing w:before="240" w:after="0"/>
        <w:jc w:val="left"/>
        <w:rPr>
          <w:rFonts w:ascii="ARIAL" w:hAnsi="ARIAL"/>
          <w:sz w:val="19"/>
        </w:rPr>
      </w:pPr>
      <w:r>
        <w:rPr>
          <w:rFonts w:ascii="ARIAL" w:hAnsi="ARIAL"/>
          <w:sz w:val="19"/>
        </w:rPr>
        <w:t xml:space="preserve">6.4 </w:t>
      </w:r>
      <w:r>
        <w:rPr>
          <w:rFonts w:ascii="ARIAL" w:hAnsi="ARIAL"/>
          <w:sz w:val="19"/>
          <w:u w:val="single"/>
        </w:rPr>
        <w:t>Withholding</w:t>
      </w:r>
      <w:r>
        <w:rPr>
          <w:rFonts w:ascii="ARIAL" w:hAnsi="ARIAL"/>
          <w:sz w:val="19"/>
        </w:rPr>
        <w:t xml:space="preserve">.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 </w:t>
      </w:r>
    </w:p>
    <w:p>
      <w:pPr>
        <w:pStyle w:val="TextBody"/>
        <w:bidi w:val="0"/>
        <w:spacing w:before="240" w:after="0"/>
        <w:jc w:val="left"/>
        <w:rPr>
          <w:rFonts w:ascii="ARIAL" w:hAnsi="ARIAL"/>
          <w:sz w:val="19"/>
        </w:rPr>
      </w:pPr>
      <w:r>
        <w:rPr>
          <w:rFonts w:ascii="ARIAL" w:hAnsi="ARIAL"/>
          <w:sz w:val="19"/>
        </w:rPr>
        <w:t xml:space="preserve">6.5 </w:t>
      </w:r>
      <w:r>
        <w:rPr>
          <w:rFonts w:ascii="ARIAL" w:hAnsi="ARIAL"/>
          <w:sz w:val="19"/>
          <w:u w:val="single"/>
        </w:rPr>
        <w:t>Conditions to Issuance of Shares</w:t>
      </w:r>
      <w:r>
        <w:rPr>
          <w:rFonts w:ascii="ARIAL" w:hAnsi="ARIAL"/>
          <w:sz w:val="19"/>
        </w:rPr>
        <w:t xml:space="preserve">.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4"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69" descr=""/>
                          <pic:cNvPicPr>
                            <a:picLocks noChangeAspect="1" noChangeArrowheads="1"/>
                          </pic:cNvPicPr>
                        </pic:nvPicPr>
                        <pic:blipFill>
                          <a:blip r:embed="rId381"/>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B-7</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 </w:t>
      </w:r>
    </w:p>
    <w:p>
      <w:pPr>
        <w:pStyle w:val="TextBody"/>
        <w:bidi w:val="0"/>
        <w:spacing w:before="240" w:after="0"/>
        <w:jc w:val="left"/>
        <w:rPr>
          <w:rFonts w:ascii="ARIAL" w:hAnsi="ARIAL"/>
          <w:b/>
          <w:sz w:val="19"/>
        </w:rPr>
      </w:pPr>
      <w:r>
        <w:rPr>
          <w:rFonts w:ascii="ARIAL" w:hAnsi="ARIAL"/>
          <w:b/>
          <w:sz w:val="19"/>
        </w:rPr>
        <w:t xml:space="preserve">ARTICLE VII. WITHDRAWAL; CESSATION OF ELIGIBILITY </w:t>
      </w:r>
    </w:p>
    <w:p>
      <w:pPr>
        <w:pStyle w:val="TextBody"/>
        <w:bidi w:val="0"/>
        <w:spacing w:before="120" w:after="0"/>
        <w:jc w:val="left"/>
        <w:rPr>
          <w:rFonts w:ascii="ARIAL" w:hAnsi="ARIAL"/>
          <w:sz w:val="19"/>
        </w:rPr>
      </w:pPr>
      <w:r>
        <w:rPr>
          <w:rFonts w:ascii="ARIAL" w:hAnsi="ARIAL"/>
          <w:sz w:val="19"/>
        </w:rPr>
        <w:t xml:space="preserve">7.1 </w:t>
      </w:r>
      <w:r>
        <w:rPr>
          <w:rFonts w:ascii="ARIAL" w:hAnsi="ARIAL"/>
          <w:sz w:val="19"/>
          <w:u w:val="single"/>
        </w:rPr>
        <w:t>Withdrawal</w:t>
      </w:r>
      <w:r>
        <w:rPr>
          <w:rFonts w:ascii="ARIAL" w:hAnsi="ARIAL"/>
          <w:sz w:val="19"/>
        </w:rPr>
        <w:t xml:space="preserve">.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then-applicable Purchase Period (or such shorter or longer period as may be specified by the Administrator in the applicable Offering Document). All of the Participant’s payroll deductions credited to his or her account during such Purchase Period and not yet used to exercise rights under the Plan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any subsequent Offering Period unless the Participant is an Eligible Employee and timely delivers to the Company a new subscription agreement by the applicable enrollment deadline for any such subsequent Offering Period, as determined by the Administrator. </w:t>
      </w:r>
    </w:p>
    <w:p>
      <w:pPr>
        <w:pStyle w:val="TextBody"/>
        <w:bidi w:val="0"/>
        <w:spacing w:before="240" w:after="0"/>
        <w:jc w:val="left"/>
        <w:rPr>
          <w:rFonts w:ascii="ARIAL" w:hAnsi="ARIAL"/>
          <w:sz w:val="19"/>
        </w:rPr>
      </w:pPr>
      <w:r>
        <w:rPr>
          <w:rFonts w:ascii="ARIAL" w:hAnsi="ARIAL"/>
          <w:sz w:val="19"/>
        </w:rPr>
        <w:t xml:space="preserve">7.2 </w:t>
      </w:r>
      <w:r>
        <w:rPr>
          <w:rFonts w:ascii="ARIAL" w:hAnsi="ARIAL"/>
          <w:sz w:val="19"/>
          <w:u w:val="single"/>
        </w:rPr>
        <w:t>Future Participation</w:t>
      </w:r>
      <w:r>
        <w:rPr>
          <w:rFonts w:ascii="ARIAL" w:hAnsi="ARIAL"/>
          <w:sz w:val="19"/>
        </w:rPr>
        <w:t xml:space="preserve">. A Participant’s withdrawal from an Offering Period shall not have any effect upon his or her eligibility to participate in any similar plan that may hereafter be adopted by the Company or a Designated Subsidiary or in any subsequent Offering Period that commences after the termination of the Offering Period from which the Participant withdraws. </w:t>
      </w:r>
    </w:p>
    <w:p>
      <w:pPr>
        <w:pStyle w:val="TextBody"/>
        <w:bidi w:val="0"/>
        <w:spacing w:before="240" w:after="0"/>
        <w:jc w:val="left"/>
        <w:rPr>
          <w:rFonts w:ascii="ARIAL" w:hAnsi="ARIAL"/>
          <w:sz w:val="19"/>
        </w:rPr>
      </w:pPr>
      <w:r>
        <w:rPr>
          <w:rFonts w:ascii="ARIAL" w:hAnsi="ARIAL"/>
          <w:sz w:val="19"/>
        </w:rPr>
        <w:t xml:space="preserve">7.3 </w:t>
      </w:r>
      <w:r>
        <w:rPr>
          <w:rFonts w:ascii="ARIAL" w:hAnsi="ARIAL"/>
          <w:sz w:val="19"/>
          <w:u w:val="single"/>
        </w:rPr>
        <w:t>Cessation of Eligibility</w:t>
      </w:r>
      <w:r>
        <w:rPr>
          <w:rFonts w:ascii="ARIAL" w:hAnsi="ARIAL"/>
          <w:sz w:val="19"/>
        </w:rPr>
        <w:t xml:space="preserve">. Upon a Participant’s ceasing to be an Eligible Employee for any reason, he or she shall be deemed to have elected to withdraw from the Plan pursuant to this Article VII and the payroll deductions credited to such Participant’s account during the then-current Purchase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under the Plan, but the Participant shall immediately cease to participate in the Section 423 Component; however, any contributions made for the then-current Purchase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 or other Applicable Law. </w:t>
      </w:r>
    </w:p>
    <w:p>
      <w:pPr>
        <w:pStyle w:val="TextBody"/>
        <w:bidi w:val="0"/>
        <w:spacing w:before="240" w:after="0"/>
        <w:jc w:val="left"/>
        <w:rPr>
          <w:rFonts w:ascii="ARIAL" w:hAnsi="ARIAL"/>
          <w:b/>
          <w:sz w:val="19"/>
        </w:rPr>
      </w:pPr>
      <w:r>
        <w:rPr>
          <w:rFonts w:ascii="ARIAL" w:hAnsi="ARIAL"/>
          <w:b/>
          <w:sz w:val="19"/>
        </w:rPr>
        <w:t xml:space="preserve">ARTICLE VIII. ADJUSTMENTS UPON CHANGES IN SHARES </w:t>
      </w:r>
    </w:p>
    <w:p>
      <w:pPr>
        <w:pStyle w:val="TextBody"/>
        <w:bidi w:val="0"/>
        <w:spacing w:before="120" w:after="0"/>
        <w:jc w:val="left"/>
        <w:rPr>
          <w:rFonts w:ascii="ARIAL" w:hAnsi="ARIAL"/>
          <w:sz w:val="19"/>
        </w:rPr>
      </w:pPr>
      <w:r>
        <w:rPr>
          <w:rFonts w:ascii="ARIAL" w:hAnsi="ARIAL"/>
          <w:sz w:val="19"/>
        </w:rPr>
        <w:t xml:space="preserve">8.1 </w:t>
      </w:r>
      <w:r>
        <w:rPr>
          <w:rFonts w:ascii="ARIAL" w:hAnsi="ARIAL"/>
          <w:sz w:val="19"/>
          <w:u w:val="single"/>
        </w:rPr>
        <w:t>Changes in Capitalization</w:t>
      </w:r>
      <w:r>
        <w:rPr>
          <w:rFonts w:ascii="ARIAL" w:hAnsi="ARIAL"/>
          <w:sz w:val="19"/>
        </w:rPr>
        <w:t xml:space="preserve">.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5"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70" descr=""/>
                          <pic:cNvPicPr>
                            <a:picLocks noChangeAspect="1" noChangeArrowheads="1"/>
                          </pic:cNvPicPr>
                        </pic:nvPicPr>
                        <pic:blipFill>
                          <a:blip r:embed="rId382"/>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B-8</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 </w:t>
      </w:r>
    </w:p>
    <w:p>
      <w:pPr>
        <w:pStyle w:val="TextBody"/>
        <w:bidi w:val="0"/>
        <w:spacing w:before="240" w:after="0"/>
        <w:jc w:val="left"/>
        <w:rPr>
          <w:rFonts w:ascii="ARIAL" w:hAnsi="ARIAL"/>
          <w:sz w:val="19"/>
        </w:rPr>
      </w:pPr>
      <w:r>
        <w:rPr>
          <w:rFonts w:ascii="ARIAL" w:hAnsi="ARIAL"/>
          <w:sz w:val="19"/>
        </w:rPr>
        <w:t xml:space="preserve">8.2 </w:t>
      </w:r>
      <w:r>
        <w:rPr>
          <w:rFonts w:ascii="ARIAL" w:hAnsi="ARIAL"/>
          <w:sz w:val="19"/>
          <w:u w:val="single"/>
        </w:rPr>
        <w:t>Other Adjustments</w:t>
      </w:r>
      <w:r>
        <w:rPr>
          <w:rFonts w:ascii="ARIAL" w:hAnsi="ARIAL"/>
          <w:sz w:val="19"/>
        </w:rPr>
        <w:t xml:space="preserve">.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 </w:t>
      </w:r>
    </w:p>
    <w:p>
      <w:pPr>
        <w:pStyle w:val="TextBody"/>
        <w:bidi w:val="0"/>
        <w:spacing w:before="240" w:after="0"/>
        <w:jc w:val="left"/>
        <w:rPr>
          <w:rFonts w:ascii="ARIAL" w:hAnsi="ARIAL"/>
          <w:sz w:val="19"/>
        </w:rPr>
      </w:pPr>
      <w:r>
        <w:rPr>
          <w:rFonts w:ascii="ARIAL" w:hAnsi="ARIAL"/>
          <w:sz w:val="19"/>
        </w:rPr>
        <w:t xml:space="preserve">(a) 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 </w:t>
      </w:r>
    </w:p>
    <w:p>
      <w:pPr>
        <w:pStyle w:val="TextBody"/>
        <w:bidi w:val="0"/>
        <w:spacing w:before="240" w:after="0"/>
        <w:jc w:val="left"/>
        <w:rPr>
          <w:rFonts w:ascii="ARIAL" w:hAnsi="ARIAL"/>
          <w:sz w:val="19"/>
        </w:rPr>
      </w:pPr>
      <w:r>
        <w:rPr>
          <w:rFonts w:ascii="ARIAL" w:hAnsi="ARIAL"/>
          <w:sz w:val="19"/>
        </w:rPr>
        <w:t xml:space="preserve">(b) 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 </w:t>
      </w:r>
    </w:p>
    <w:p>
      <w:pPr>
        <w:pStyle w:val="TextBody"/>
        <w:bidi w:val="0"/>
        <w:spacing w:before="240" w:after="0"/>
        <w:jc w:val="left"/>
        <w:rPr>
          <w:rFonts w:ascii="ARIAL" w:hAnsi="ARIAL"/>
          <w:sz w:val="19"/>
        </w:rPr>
      </w:pPr>
      <w:r>
        <w:rPr>
          <w:rFonts w:ascii="ARIAL" w:hAnsi="ARIAL"/>
          <w:sz w:val="19"/>
        </w:rPr>
        <w:t xml:space="preserve">(c) To make adjustments in the number and type of Shares (or other securities or property) subject to outstanding rights under the Plan and/or in the terms and conditions of outstanding rights and rights that may be granted in the future; </w:t>
      </w:r>
    </w:p>
    <w:p>
      <w:pPr>
        <w:pStyle w:val="TextBody"/>
        <w:bidi w:val="0"/>
        <w:spacing w:before="240" w:after="0"/>
        <w:jc w:val="left"/>
        <w:rPr>
          <w:rFonts w:ascii="ARIAL" w:hAnsi="ARIAL"/>
          <w:sz w:val="19"/>
        </w:rPr>
      </w:pPr>
      <w:r>
        <w:rPr>
          <w:rFonts w:ascii="ARIAL" w:hAnsi="ARIAL"/>
          <w:sz w:val="19"/>
        </w:rPr>
        <w:t xml:space="preserve">(d) 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 </w:t>
      </w:r>
    </w:p>
    <w:p>
      <w:pPr>
        <w:pStyle w:val="TextBody"/>
        <w:bidi w:val="0"/>
        <w:spacing w:before="240" w:after="0"/>
        <w:jc w:val="left"/>
        <w:rPr>
          <w:rFonts w:ascii="ARIAL" w:hAnsi="ARIAL"/>
          <w:sz w:val="19"/>
        </w:rPr>
      </w:pPr>
      <w:r>
        <w:rPr>
          <w:rFonts w:ascii="ARIAL" w:hAnsi="ARIAL"/>
          <w:sz w:val="19"/>
        </w:rPr>
        <w:t xml:space="preserve">(e) To provide that all outstanding rights shall terminate without being exercised. </w:t>
      </w:r>
    </w:p>
    <w:p>
      <w:pPr>
        <w:pStyle w:val="TextBody"/>
        <w:bidi w:val="0"/>
        <w:spacing w:before="240" w:after="0"/>
        <w:jc w:val="left"/>
        <w:rPr>
          <w:rFonts w:ascii="ARIAL" w:hAnsi="ARIAL"/>
          <w:sz w:val="19"/>
        </w:rPr>
      </w:pPr>
      <w:r>
        <w:rPr>
          <w:rFonts w:ascii="ARIAL" w:hAnsi="ARIAL"/>
          <w:sz w:val="19"/>
        </w:rPr>
        <w:t xml:space="preserve">8.3 </w:t>
      </w:r>
      <w:r>
        <w:rPr>
          <w:rFonts w:ascii="ARIAL" w:hAnsi="ARIAL"/>
          <w:sz w:val="19"/>
          <w:u w:val="single"/>
        </w:rPr>
        <w:t>No Adjustment Under Certain Circumstances</w:t>
      </w:r>
      <w:r>
        <w:rPr>
          <w:rFonts w:ascii="ARIAL" w:hAnsi="ARIAL"/>
          <w:sz w:val="19"/>
        </w:rPr>
        <w:t xml:space="preserve">.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 </w:t>
      </w:r>
    </w:p>
    <w:p>
      <w:pPr>
        <w:pStyle w:val="TextBody"/>
        <w:bidi w:val="0"/>
        <w:spacing w:before="240" w:after="0"/>
        <w:jc w:val="left"/>
        <w:rPr>
          <w:rFonts w:ascii="ARIAL" w:hAnsi="ARIAL"/>
          <w:sz w:val="19"/>
        </w:rPr>
      </w:pPr>
      <w:r>
        <w:rPr>
          <w:rFonts w:ascii="ARIAL" w:hAnsi="ARIAL"/>
          <w:sz w:val="19"/>
        </w:rPr>
        <w:t xml:space="preserve">8.4 </w:t>
      </w:r>
      <w:r>
        <w:rPr>
          <w:rFonts w:ascii="ARIAL" w:hAnsi="ARIAL"/>
          <w:sz w:val="19"/>
          <w:u w:val="single"/>
        </w:rPr>
        <w:t>No Other Rights</w:t>
      </w:r>
      <w:r>
        <w:rPr>
          <w:rFonts w:ascii="ARIAL" w:hAnsi="ARIAL"/>
          <w:sz w:val="19"/>
        </w:rPr>
        <w:t xml:space="preserve">.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 </w:t>
      </w:r>
    </w:p>
    <w:p>
      <w:pPr>
        <w:pStyle w:val="TextBody"/>
        <w:bidi w:val="0"/>
        <w:spacing w:before="240" w:after="0"/>
        <w:jc w:val="left"/>
        <w:rPr>
          <w:rFonts w:ascii="ARIAL" w:hAnsi="ARIAL"/>
          <w:b/>
          <w:sz w:val="19"/>
        </w:rPr>
      </w:pPr>
      <w:r>
        <w:rPr>
          <w:rFonts w:ascii="ARIAL" w:hAnsi="ARIAL"/>
          <w:b/>
          <w:sz w:val="19"/>
        </w:rPr>
        <w:t xml:space="preserve">ARTICLE IX. AMENDMENT, MODIFICATION AND TERMINATION </w:t>
      </w:r>
    </w:p>
    <w:p>
      <w:pPr>
        <w:pStyle w:val="TextBody"/>
        <w:bidi w:val="0"/>
        <w:spacing w:before="120" w:after="0"/>
        <w:jc w:val="left"/>
        <w:rPr>
          <w:rFonts w:ascii="ARIAL" w:hAnsi="ARIAL"/>
          <w:sz w:val="19"/>
        </w:rPr>
      </w:pPr>
      <w:r>
        <w:rPr>
          <w:rFonts w:ascii="ARIAL" w:hAnsi="ARIAL"/>
          <w:sz w:val="19"/>
        </w:rPr>
        <w:t xml:space="preserve">9.1 </w:t>
      </w:r>
      <w:r>
        <w:rPr>
          <w:rFonts w:ascii="ARIAL" w:hAnsi="ARIAL"/>
          <w:sz w:val="19"/>
          <w:u w:val="single"/>
        </w:rPr>
        <w:t>Amendment, Modification and Termination</w:t>
      </w:r>
      <w:r>
        <w:rPr>
          <w:rFonts w:ascii="ARIAL" w:hAnsi="ARIAL"/>
          <w:sz w:val="19"/>
        </w:rPr>
        <w:t xml:space="preserve">. The Administrator may amend, suspend or terminate the Plan at any time and from time to time; </w:t>
      </w:r>
      <w:r>
        <w:rPr>
          <w:rFonts w:ascii="ARIAL" w:hAnsi="ARIAL"/>
          <w:sz w:val="19"/>
          <w:u w:val="single"/>
        </w:rPr>
        <w:t>provided</w:t>
      </w:r>
      <w:r>
        <w:rPr>
          <w:rFonts w:ascii="ARIAL" w:hAnsi="ARIAL"/>
          <w:i/>
          <w:sz w:val="19"/>
        </w:rPr>
        <w:t xml:space="preserve">, </w:t>
      </w:r>
      <w:r>
        <w:rPr>
          <w:rFonts w:ascii="ARIAL" w:hAnsi="ARIAL"/>
          <w:sz w:val="19"/>
          <w:u w:val="single"/>
        </w:rPr>
        <w:t>however</w:t>
      </w:r>
      <w:r>
        <w:rPr>
          <w:rFonts w:ascii="ARIAL" w:hAnsi="ARIAL"/>
          <w:sz w:val="19"/>
        </w:rPr>
        <w:t xml:space="preserve">, that approval of the Company’s stockholders shall be required to amend the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505"/>
        <w:gridCol w:w="120"/>
        <w:gridCol w:w="201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6"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71" descr=""/>
                          <pic:cNvPicPr>
                            <a:picLocks noChangeAspect="1" noChangeArrowheads="1"/>
                          </pic:cNvPicPr>
                        </pic:nvPicPr>
                        <pic:blipFill>
                          <a:blip r:embed="rId383"/>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B-9</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 </w:t>
      </w:r>
    </w:p>
    <w:p>
      <w:pPr>
        <w:pStyle w:val="TextBody"/>
        <w:bidi w:val="0"/>
        <w:spacing w:before="240" w:after="0"/>
        <w:jc w:val="left"/>
        <w:rPr>
          <w:rFonts w:ascii="ARIAL" w:hAnsi="ARIAL"/>
          <w:sz w:val="19"/>
        </w:rPr>
      </w:pPr>
      <w:r>
        <w:rPr>
          <w:rFonts w:ascii="ARIAL" w:hAnsi="ARIAL"/>
          <w:sz w:val="19"/>
        </w:rPr>
        <w:t xml:space="preserve">9.2 </w:t>
      </w:r>
      <w:r>
        <w:rPr>
          <w:rFonts w:ascii="ARIAL" w:hAnsi="ARIAL"/>
          <w:sz w:val="19"/>
          <w:u w:val="single"/>
        </w:rPr>
        <w:t>Certain Changes to Plan</w:t>
      </w:r>
      <w:r>
        <w:rPr>
          <w:rFonts w:ascii="ARIAL" w:hAnsi="ARIAL"/>
          <w:sz w:val="19"/>
        </w:rPr>
        <w:t xml:space="preserve">. Without stockholder consent and without regard to whether any Participant rights may be considered to have been adversely affected (and, with respect to the Section 423 Component of the Plan,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 </w:t>
      </w:r>
    </w:p>
    <w:p>
      <w:pPr>
        <w:pStyle w:val="TextBody"/>
        <w:bidi w:val="0"/>
        <w:spacing w:before="240" w:after="0"/>
        <w:jc w:val="left"/>
        <w:rPr>
          <w:rFonts w:ascii="ARIAL" w:hAnsi="ARIAL"/>
          <w:sz w:val="19"/>
        </w:rPr>
      </w:pPr>
      <w:r>
        <w:rPr>
          <w:rFonts w:ascii="ARIAL" w:hAnsi="ARIAL"/>
          <w:sz w:val="19"/>
        </w:rPr>
        <w:t xml:space="preserve">9.3 </w:t>
      </w:r>
      <w:r>
        <w:rPr>
          <w:rFonts w:ascii="ARIAL" w:hAnsi="ARIAL"/>
          <w:sz w:val="19"/>
          <w:u w:val="single"/>
        </w:rPr>
        <w:t>Actions In the Event of Unfavorable Financial Accounting Consequences</w:t>
      </w:r>
      <w:r>
        <w:rPr>
          <w:rFonts w:ascii="ARIAL" w:hAnsi="ARIAL"/>
          <w:sz w:val="19"/>
        </w:rPr>
        <w:t xml:space="preserve">.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 </w:t>
      </w:r>
    </w:p>
    <w:p>
      <w:pPr>
        <w:pStyle w:val="TextBody"/>
        <w:bidi w:val="0"/>
        <w:spacing w:before="240" w:after="0"/>
        <w:jc w:val="left"/>
        <w:rPr>
          <w:rFonts w:ascii="ARIAL" w:hAnsi="ARIAL"/>
          <w:sz w:val="19"/>
        </w:rPr>
      </w:pPr>
      <w:r>
        <w:rPr>
          <w:rFonts w:ascii="ARIAL" w:hAnsi="ARIAL"/>
          <w:sz w:val="19"/>
        </w:rPr>
        <w:t xml:space="preserve">(a) altering the Purchase Price for any Offering Period, including an Offering Period underway at the time of the change in Purchase Price; </w:t>
      </w:r>
    </w:p>
    <w:p>
      <w:pPr>
        <w:pStyle w:val="TextBody"/>
        <w:bidi w:val="0"/>
        <w:spacing w:before="240" w:after="0"/>
        <w:jc w:val="left"/>
        <w:rPr>
          <w:rFonts w:ascii="ARIAL" w:hAnsi="ARIAL"/>
          <w:sz w:val="19"/>
        </w:rPr>
      </w:pPr>
      <w:r>
        <w:rPr>
          <w:rFonts w:ascii="ARIAL" w:hAnsi="ARIAL"/>
          <w:sz w:val="19"/>
        </w:rPr>
        <w:t xml:space="preserve">(b) shortening any Offering Period so that the Offering Period ends on a new Purchase Date, including an Offering Period underway at the time of the Administrator action; and </w:t>
      </w:r>
    </w:p>
    <w:p>
      <w:pPr>
        <w:pStyle w:val="TextBody"/>
        <w:bidi w:val="0"/>
        <w:spacing w:before="240" w:after="0"/>
        <w:jc w:val="left"/>
        <w:rPr>
          <w:rFonts w:ascii="ARIAL" w:hAnsi="ARIAL"/>
          <w:sz w:val="19"/>
        </w:rPr>
      </w:pPr>
      <w:r>
        <w:rPr>
          <w:rFonts w:ascii="ARIAL" w:hAnsi="ARIAL"/>
          <w:sz w:val="19"/>
        </w:rPr>
        <w:t xml:space="preserve">(c) allocating Shares. </w:t>
      </w:r>
    </w:p>
    <w:p>
      <w:pPr>
        <w:pStyle w:val="TextBody"/>
        <w:bidi w:val="0"/>
        <w:spacing w:before="240" w:after="0"/>
        <w:jc w:val="left"/>
        <w:rPr>
          <w:rFonts w:ascii="ARIAL" w:hAnsi="ARIAL"/>
          <w:sz w:val="19"/>
        </w:rPr>
      </w:pPr>
      <w:r>
        <w:rPr>
          <w:rFonts w:ascii="ARIAL" w:hAnsi="ARIAL"/>
          <w:sz w:val="19"/>
        </w:rPr>
        <w:t xml:space="preserve">Such modifications or amendments shall not require stockholder approval or if the Administrator so determines, the consent of any Participant. </w:t>
      </w:r>
    </w:p>
    <w:p>
      <w:pPr>
        <w:pStyle w:val="TextBody"/>
        <w:bidi w:val="0"/>
        <w:spacing w:before="240" w:after="0"/>
        <w:jc w:val="left"/>
        <w:rPr>
          <w:rFonts w:ascii="ARIAL" w:hAnsi="ARIAL"/>
          <w:sz w:val="19"/>
        </w:rPr>
      </w:pPr>
      <w:r>
        <w:rPr>
          <w:rFonts w:ascii="ARIAL" w:hAnsi="ARIAL"/>
          <w:sz w:val="19"/>
        </w:rPr>
        <w:t xml:space="preserve">9.4 </w:t>
      </w:r>
      <w:r>
        <w:rPr>
          <w:rFonts w:ascii="ARIAL" w:hAnsi="ARIAL"/>
          <w:sz w:val="19"/>
          <w:u w:val="single"/>
        </w:rPr>
        <w:t>Payments Upon Termination of Plan</w:t>
      </w:r>
      <w:r>
        <w:rPr>
          <w:rFonts w:ascii="ARIAL" w:hAnsi="ARIAL"/>
          <w:sz w:val="19"/>
        </w:rPr>
        <w:t xml:space="preserve">.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 </w:t>
      </w:r>
    </w:p>
    <w:p>
      <w:pPr>
        <w:pStyle w:val="TextBody"/>
        <w:bidi w:val="0"/>
        <w:spacing w:before="240" w:after="0"/>
        <w:jc w:val="left"/>
        <w:rPr>
          <w:rFonts w:ascii="ARIAL" w:hAnsi="ARIAL"/>
          <w:b/>
          <w:sz w:val="19"/>
        </w:rPr>
      </w:pPr>
      <w:r>
        <w:rPr>
          <w:rFonts w:ascii="ARIAL" w:hAnsi="ARIAL"/>
          <w:b/>
          <w:sz w:val="19"/>
        </w:rPr>
        <w:t xml:space="preserve">ARTICLE X. TERM OF PLAN </w:t>
      </w:r>
    </w:p>
    <w:p>
      <w:pPr>
        <w:pStyle w:val="TextBody"/>
        <w:bidi w:val="0"/>
        <w:spacing w:before="120" w:after="0"/>
        <w:jc w:val="left"/>
        <w:rPr>
          <w:rFonts w:ascii="ARIAL" w:hAnsi="ARIAL"/>
          <w:sz w:val="19"/>
        </w:rPr>
      </w:pPr>
      <w:r>
        <w:rPr>
          <w:rFonts w:ascii="ARIAL" w:hAnsi="ARIAL"/>
          <w:sz w:val="19"/>
        </w:rPr>
        <w:t xml:space="preserve">The Plan shall become effective on the Effective Date. The effectiveness of the Section 423 Component of the Plan shall be subject to approval of the Plan by the Company’s stockholders within twelve months following the date the Plan is first approved by the Board. No right may be granted under the Section 423 Component of the Plan prior to such stockholder approval. The Plan shall remain in effect until terminated under Section 9.1. No rights may be granted under the Plan during any period of suspension of the Plan or after termination of the Plan. </w:t>
      </w:r>
    </w:p>
    <w:p>
      <w:pPr>
        <w:pStyle w:val="TextBody"/>
        <w:bidi w:val="0"/>
        <w:spacing w:before="240" w:after="0"/>
        <w:jc w:val="left"/>
        <w:rPr>
          <w:rFonts w:ascii="ARIAL" w:hAnsi="ARIAL"/>
          <w:b/>
          <w:sz w:val="19"/>
        </w:rPr>
      </w:pPr>
      <w:r>
        <w:rPr>
          <w:rFonts w:ascii="ARIAL" w:hAnsi="ARIAL"/>
          <w:b/>
          <w:sz w:val="19"/>
        </w:rPr>
        <w:t xml:space="preserve">ARTICLE XI. ADMINISTRATION </w:t>
      </w:r>
    </w:p>
    <w:p>
      <w:pPr>
        <w:pStyle w:val="TextBody"/>
        <w:bidi w:val="0"/>
        <w:spacing w:before="120" w:after="0"/>
        <w:jc w:val="left"/>
        <w:rPr>
          <w:rFonts w:ascii="ARIAL" w:hAnsi="ARIAL"/>
          <w:sz w:val="19"/>
        </w:rPr>
      </w:pPr>
      <w:r>
        <w:rPr>
          <w:rFonts w:ascii="ARIAL" w:hAnsi="ARIAL"/>
          <w:sz w:val="19"/>
        </w:rPr>
        <w:t xml:space="preserve">11.1 </w:t>
      </w:r>
      <w:r>
        <w:rPr>
          <w:rFonts w:ascii="ARIAL" w:hAnsi="ARIAL"/>
          <w:sz w:val="19"/>
          <w:u w:val="single"/>
        </w:rPr>
        <w:t>Administrator</w:t>
      </w:r>
      <w:r>
        <w:rPr>
          <w:rFonts w:ascii="ARIAL" w:hAnsi="ARIAL"/>
          <w:sz w:val="19"/>
        </w:rPr>
        <w:t xml:space="preserve">. Unless otherwise determined by the Board, the Administrator of the Plan shall be the Compensation Committee of the Board (or another committee or a subcommittee of the Board to which the Board delegates administration of the Plan). The Board may at any time re-vest in itself any previously-delegated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 </w:t>
      </w:r>
    </w:p>
    <w:p>
      <w:pPr>
        <w:pStyle w:val="TextBody"/>
        <w:bidi w:val="0"/>
        <w:spacing w:before="240" w:after="0"/>
        <w:jc w:val="left"/>
        <w:rPr>
          <w:rFonts w:ascii="ARIAL" w:hAnsi="ARIAL"/>
          <w:sz w:val="19"/>
        </w:rPr>
      </w:pPr>
      <w:r>
        <w:rPr>
          <w:rFonts w:ascii="ARIAL" w:hAnsi="ARIAL"/>
          <w:sz w:val="19"/>
        </w:rPr>
        <w:t xml:space="preserve">11.2 </w:t>
      </w:r>
      <w:r>
        <w:rPr>
          <w:rFonts w:ascii="ARIAL" w:hAnsi="ARIAL"/>
          <w:sz w:val="19"/>
          <w:u w:val="single"/>
        </w:rPr>
        <w:t>Authority of Administrator</w:t>
      </w:r>
      <w:r>
        <w:rPr>
          <w:rFonts w:ascii="ARIAL" w:hAnsi="ARIAL"/>
          <w:sz w:val="19"/>
        </w:rPr>
        <w:t xml:space="preserve">. The Administrator shall have the power, subject to, and within the limitations of, the express provisions of the Plan: </w:t>
      </w:r>
    </w:p>
    <w:p>
      <w:pPr>
        <w:pStyle w:val="TextBody"/>
        <w:bidi w:val="0"/>
        <w:spacing w:before="240" w:after="0"/>
        <w:jc w:val="left"/>
        <w:rPr>
          <w:rFonts w:ascii="ARIAL" w:hAnsi="ARIAL"/>
          <w:sz w:val="19"/>
        </w:rPr>
      </w:pPr>
      <w:r>
        <w:rPr>
          <w:rFonts w:ascii="ARIAL" w:hAnsi="ARIAL"/>
          <w:sz w:val="19"/>
        </w:rPr>
        <w:t xml:space="preserve">(a) To determine when and how rights to purchase Shares shall be granted and the provisions of each offering of such rights (which need not be identical).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1505"/>
        <w:gridCol w:w="120"/>
        <w:gridCol w:w="209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7"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72" descr=""/>
                          <pic:cNvPicPr>
                            <a:picLocks noChangeAspect="1" noChangeArrowheads="1"/>
                          </pic:cNvPicPr>
                        </pic:nvPicPr>
                        <pic:blipFill>
                          <a:blip r:embed="rId384"/>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B-10</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(b) To designate from time to time which Subsidiaries of the Company shall be Designated Subsidiaries, which designation may be made without the approval of the stockholders of the Company. </w:t>
      </w:r>
    </w:p>
    <w:p>
      <w:pPr>
        <w:pStyle w:val="TextBody"/>
        <w:bidi w:val="0"/>
        <w:spacing w:before="240" w:after="0"/>
        <w:jc w:val="left"/>
        <w:rPr>
          <w:rFonts w:ascii="ARIAL" w:hAnsi="ARIAL"/>
          <w:sz w:val="19"/>
        </w:rPr>
      </w:pPr>
      <w:r>
        <w:rPr>
          <w:rFonts w:ascii="ARIAL" w:hAnsi="ARIAL"/>
          <w:sz w:val="19"/>
        </w:rPr>
        <w:t xml:space="preserve">(c) To impose a mandatory holding period pursuant to which Participants may not dispose of or transfer Shares purchased under the Plan for a period of time determined by the Administrator in its discretion. </w:t>
      </w:r>
    </w:p>
    <w:p>
      <w:pPr>
        <w:pStyle w:val="TextBody"/>
        <w:bidi w:val="0"/>
        <w:spacing w:before="240" w:after="0"/>
        <w:jc w:val="left"/>
        <w:rPr>
          <w:rFonts w:ascii="ARIAL" w:hAnsi="ARIAL"/>
          <w:sz w:val="19"/>
        </w:rPr>
      </w:pPr>
      <w:r>
        <w:rPr>
          <w:rFonts w:ascii="ARIAL" w:hAnsi="ARIAL"/>
          <w:sz w:val="19"/>
        </w:rPr>
        <w:t xml:space="preserve">(d) 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 </w:t>
      </w:r>
    </w:p>
    <w:p>
      <w:pPr>
        <w:pStyle w:val="TextBody"/>
        <w:bidi w:val="0"/>
        <w:spacing w:before="240" w:after="0"/>
        <w:jc w:val="left"/>
        <w:rPr>
          <w:rFonts w:ascii="ARIAL" w:hAnsi="ARIAL"/>
          <w:sz w:val="19"/>
        </w:rPr>
      </w:pPr>
      <w:r>
        <w:rPr>
          <w:rFonts w:ascii="ARIAL" w:hAnsi="ARIAL"/>
          <w:sz w:val="19"/>
        </w:rPr>
        <w:t xml:space="preserve">(e) To amend, suspend or terminate the Plan as provided in Article IX. </w:t>
      </w:r>
    </w:p>
    <w:p>
      <w:pPr>
        <w:pStyle w:val="TextBody"/>
        <w:bidi w:val="0"/>
        <w:spacing w:before="240" w:after="0"/>
        <w:jc w:val="left"/>
        <w:rPr>
          <w:rFonts w:ascii="ARIAL" w:hAnsi="ARIAL"/>
          <w:sz w:val="19"/>
        </w:rPr>
      </w:pPr>
      <w:r>
        <w:rPr>
          <w:rFonts w:ascii="ARIAL" w:hAnsi="ARIAL"/>
          <w:sz w:val="19"/>
        </w:rPr>
        <w:t xml:space="preserve">(f) 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 </w:t>
      </w:r>
    </w:p>
    <w:p>
      <w:pPr>
        <w:pStyle w:val="TextBody"/>
        <w:bidi w:val="0"/>
        <w:spacing w:before="240" w:after="0"/>
        <w:jc w:val="left"/>
        <w:rPr>
          <w:rFonts w:ascii="ARIAL" w:hAnsi="ARIAL"/>
          <w:sz w:val="19"/>
        </w:rPr>
      </w:pPr>
      <w:r>
        <w:rPr>
          <w:rFonts w:ascii="ARIAL" w:hAnsi="ARIAL"/>
          <w:sz w:val="19"/>
        </w:rPr>
        <w:t xml:space="preserve">(g) 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 </w:t>
      </w:r>
    </w:p>
    <w:p>
      <w:pPr>
        <w:pStyle w:val="TextBody"/>
        <w:bidi w:val="0"/>
        <w:spacing w:before="240" w:after="0"/>
        <w:jc w:val="left"/>
        <w:rPr>
          <w:rFonts w:ascii="ARIAL" w:hAnsi="ARIAL"/>
          <w:sz w:val="19"/>
        </w:rPr>
      </w:pPr>
      <w:r>
        <w:rPr>
          <w:rFonts w:ascii="ARIAL" w:hAnsi="ARIAL"/>
          <w:sz w:val="19"/>
        </w:rPr>
        <w:t xml:space="preserve">11.3 </w:t>
      </w:r>
      <w:r>
        <w:rPr>
          <w:rFonts w:ascii="ARIAL" w:hAnsi="ARIAL"/>
          <w:sz w:val="19"/>
          <w:u w:val="single"/>
        </w:rPr>
        <w:t>Decisions Binding</w:t>
      </w:r>
      <w:r>
        <w:rPr>
          <w:rFonts w:ascii="ARIAL" w:hAnsi="ARIAL"/>
          <w:sz w:val="19"/>
        </w:rPr>
        <w:t xml:space="preserve">. The Administrator’s interpretation of the Plan, any rights granted pursuant to the Plan, any subscription agreement and all decisions and determinations by the Administrator with respect to the Plan are final, binding, and conclusive on all parties. </w:t>
      </w:r>
    </w:p>
    <w:p>
      <w:pPr>
        <w:pStyle w:val="TextBody"/>
        <w:bidi w:val="0"/>
        <w:spacing w:before="240" w:after="0"/>
        <w:jc w:val="left"/>
        <w:rPr>
          <w:rFonts w:ascii="ARIAL" w:hAnsi="ARIAL"/>
          <w:b/>
          <w:sz w:val="19"/>
        </w:rPr>
      </w:pPr>
      <w:r>
        <w:rPr>
          <w:rFonts w:ascii="ARIAL" w:hAnsi="ARIAL"/>
          <w:b/>
          <w:sz w:val="19"/>
        </w:rPr>
        <w:t xml:space="preserve">ARTICLE XII. MISCELLANEOUS </w:t>
      </w:r>
    </w:p>
    <w:p>
      <w:pPr>
        <w:pStyle w:val="TextBody"/>
        <w:bidi w:val="0"/>
        <w:spacing w:before="120" w:after="0"/>
        <w:jc w:val="left"/>
        <w:rPr>
          <w:rFonts w:ascii="ARIAL" w:hAnsi="ARIAL"/>
          <w:sz w:val="19"/>
        </w:rPr>
      </w:pPr>
      <w:r>
        <w:rPr>
          <w:rFonts w:ascii="ARIAL" w:hAnsi="ARIAL"/>
          <w:sz w:val="19"/>
        </w:rPr>
        <w:t xml:space="preserve">12.1 </w:t>
      </w:r>
      <w:r>
        <w:rPr>
          <w:rFonts w:ascii="ARIAL" w:hAnsi="ARIAL"/>
          <w:sz w:val="19"/>
          <w:u w:val="single"/>
        </w:rPr>
        <w:t>Restriction upon Assignment</w:t>
      </w:r>
      <w:r>
        <w:rPr>
          <w:rFonts w:ascii="ARIAL" w:hAnsi="ARIAL"/>
          <w:sz w:val="19"/>
        </w:rPr>
        <w:t xml:space="preserve">.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 </w:t>
      </w:r>
    </w:p>
    <w:p>
      <w:pPr>
        <w:pStyle w:val="TextBody"/>
        <w:bidi w:val="0"/>
        <w:spacing w:before="240" w:after="0"/>
        <w:jc w:val="left"/>
        <w:rPr>
          <w:rFonts w:ascii="ARIAL" w:hAnsi="ARIAL"/>
          <w:sz w:val="19"/>
        </w:rPr>
      </w:pPr>
      <w:r>
        <w:rPr>
          <w:rFonts w:ascii="ARIAL" w:hAnsi="ARIAL"/>
          <w:sz w:val="19"/>
        </w:rPr>
        <w:t xml:space="preserve">12.2 </w:t>
      </w:r>
      <w:r>
        <w:rPr>
          <w:rFonts w:ascii="ARIAL" w:hAnsi="ARIAL"/>
          <w:sz w:val="19"/>
          <w:u w:val="single"/>
        </w:rPr>
        <w:t>Rights as a Stockholder</w:t>
      </w:r>
      <w:r>
        <w:rPr>
          <w:rFonts w:ascii="ARIAL" w:hAnsi="ARIAL"/>
          <w:sz w:val="19"/>
        </w:rPr>
        <w:t xml:space="preserve">. With respect to Shares subject to a right granted under the Plan, no Participant or Designated Beneficiary shall be deemed to be a stockholder of the Company, and no Participant or Designated Beneficiary shall have any of the rights or privileges of a stockholder, until such Shares have been issued to the Participant or the Designated Beneficiary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 </w:t>
      </w:r>
    </w:p>
    <w:p>
      <w:pPr>
        <w:pStyle w:val="TextBody"/>
        <w:bidi w:val="0"/>
        <w:spacing w:before="240" w:after="0"/>
        <w:jc w:val="left"/>
        <w:rPr>
          <w:rFonts w:ascii="ARIAL" w:hAnsi="ARIAL"/>
          <w:sz w:val="19"/>
        </w:rPr>
      </w:pPr>
      <w:r>
        <w:rPr>
          <w:rFonts w:ascii="ARIAL" w:hAnsi="ARIAL"/>
          <w:sz w:val="19"/>
        </w:rPr>
        <w:t xml:space="preserve">12.3 </w:t>
      </w:r>
      <w:r>
        <w:rPr>
          <w:rFonts w:ascii="ARIAL" w:hAnsi="ARIAL"/>
          <w:sz w:val="19"/>
          <w:u w:val="single"/>
        </w:rPr>
        <w:t>Interest</w:t>
      </w:r>
      <w:r>
        <w:rPr>
          <w:rFonts w:ascii="ARIAL" w:hAnsi="ARIAL"/>
          <w:sz w:val="19"/>
        </w:rPr>
        <w:t xml:space="preserve">. No interest shall accrue on the payroll deductions or contributions of a Participant under the Plan. </w:t>
      </w:r>
    </w:p>
    <w:p>
      <w:pPr>
        <w:pStyle w:val="TextBody"/>
        <w:bidi w:val="0"/>
        <w:spacing w:before="240" w:after="0"/>
        <w:jc w:val="left"/>
        <w:rPr>
          <w:rFonts w:ascii="ARIAL" w:hAnsi="ARIAL"/>
          <w:sz w:val="19"/>
        </w:rPr>
      </w:pPr>
      <w:r>
        <w:rPr>
          <w:rFonts w:ascii="ARIAL" w:hAnsi="ARIAL"/>
          <w:sz w:val="19"/>
        </w:rPr>
        <w:t xml:space="preserve">12.4 </w:t>
      </w:r>
      <w:r>
        <w:rPr>
          <w:rFonts w:ascii="ARIAL" w:hAnsi="ARIAL"/>
          <w:sz w:val="19"/>
          <w:u w:val="single"/>
        </w:rPr>
        <w:t>Designation of Beneficiary</w:t>
      </w:r>
      <w:r>
        <w:rPr>
          <w:rFonts w:ascii="ARIAL" w:hAnsi="ARIAL"/>
          <w:sz w:val="19"/>
        </w:rPr>
        <w:t xml:space="preserve">. </w:t>
      </w:r>
    </w:p>
    <w:p>
      <w:pPr>
        <w:pStyle w:val="TextBody"/>
        <w:bidi w:val="0"/>
        <w:spacing w:before="240" w:after="0"/>
        <w:jc w:val="left"/>
        <w:rPr>
          <w:rFonts w:ascii="ARIAL" w:hAnsi="ARIAL"/>
          <w:sz w:val="19"/>
        </w:rPr>
      </w:pPr>
      <w:r>
        <w:rPr>
          <w:rFonts w:ascii="ARIAL" w:hAnsi="ARIAL"/>
          <w:sz w:val="19"/>
        </w:rPr>
        <w:t xml:space="preserve">(a) 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1505"/>
        <w:gridCol w:w="120"/>
        <w:gridCol w:w="209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8"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73" descr=""/>
                          <pic:cNvPicPr>
                            <a:picLocks noChangeAspect="1" noChangeArrowheads="1"/>
                          </pic:cNvPicPr>
                        </pic:nvPicPr>
                        <pic:blipFill>
                          <a:blip r:embed="rId385"/>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B-11</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 xml:space="preserve">(b) 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240" w:after="0"/>
        <w:jc w:val="left"/>
        <w:rPr>
          <w:rFonts w:ascii="ARIAL" w:hAnsi="ARIAL"/>
          <w:sz w:val="19"/>
        </w:rPr>
      </w:pPr>
      <w:r>
        <w:rPr>
          <w:rFonts w:ascii="ARIAL" w:hAnsi="ARIAL"/>
          <w:sz w:val="19"/>
        </w:rPr>
        <w:t xml:space="preserve">12.5 </w:t>
      </w:r>
      <w:r>
        <w:rPr>
          <w:rFonts w:ascii="ARIAL" w:hAnsi="ARIAL"/>
          <w:sz w:val="19"/>
          <w:u w:val="single"/>
        </w:rPr>
        <w:t>Notices</w:t>
      </w:r>
      <w:r>
        <w:rPr>
          <w:rFonts w:ascii="ARIAL" w:hAnsi="ARIAL"/>
          <w:sz w:val="19"/>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w:t>
      </w:r>
    </w:p>
    <w:p>
      <w:pPr>
        <w:pStyle w:val="TextBody"/>
        <w:bidi w:val="0"/>
        <w:spacing w:before="240" w:after="0"/>
        <w:jc w:val="left"/>
        <w:rPr>
          <w:rFonts w:ascii="ARIAL" w:hAnsi="ARIAL"/>
          <w:sz w:val="19"/>
        </w:rPr>
      </w:pPr>
      <w:r>
        <w:rPr>
          <w:rFonts w:ascii="ARIAL" w:hAnsi="ARIAL"/>
          <w:sz w:val="19"/>
        </w:rPr>
        <w:t xml:space="preserve">12.6 </w:t>
      </w:r>
      <w:r>
        <w:rPr>
          <w:rFonts w:ascii="ARIAL" w:hAnsi="ARIAL"/>
          <w:sz w:val="19"/>
          <w:u w:val="single"/>
        </w:rPr>
        <w:t>Equal Rights and Privileges</w:t>
      </w:r>
      <w:r>
        <w:rPr>
          <w:rFonts w:ascii="ARIAL" w:hAnsi="ARIAL"/>
          <w:sz w:val="19"/>
        </w:rPr>
        <w:t xml:space="preserve">.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 </w:t>
      </w:r>
    </w:p>
    <w:p>
      <w:pPr>
        <w:pStyle w:val="TextBody"/>
        <w:bidi w:val="0"/>
        <w:spacing w:before="240" w:after="0"/>
        <w:jc w:val="left"/>
        <w:rPr>
          <w:rFonts w:ascii="ARIAL" w:hAnsi="ARIAL"/>
          <w:sz w:val="19"/>
        </w:rPr>
      </w:pPr>
      <w:r>
        <w:rPr>
          <w:rFonts w:ascii="ARIAL" w:hAnsi="ARIAL"/>
          <w:sz w:val="19"/>
        </w:rPr>
        <w:t xml:space="preserve">12.7 </w:t>
      </w:r>
      <w:r>
        <w:rPr>
          <w:rFonts w:ascii="ARIAL" w:hAnsi="ARIAL"/>
          <w:sz w:val="19"/>
          <w:u w:val="single"/>
        </w:rPr>
        <w:t>Use of Funds</w:t>
      </w:r>
      <w:r>
        <w:rPr>
          <w:rFonts w:ascii="ARIAL" w:hAnsi="ARIAL"/>
          <w:sz w:val="19"/>
        </w:rPr>
        <w:t xml:space="preserve">. All payroll deductions received or held by the Company under the Plan may be used by the Company for any corporate purpose, and the Company shall not be obligated to segregate such payroll deductions. </w:t>
      </w:r>
    </w:p>
    <w:p>
      <w:pPr>
        <w:pStyle w:val="TextBody"/>
        <w:bidi w:val="0"/>
        <w:spacing w:before="240" w:after="0"/>
        <w:jc w:val="left"/>
        <w:rPr>
          <w:rFonts w:ascii="ARIAL" w:hAnsi="ARIAL"/>
          <w:sz w:val="19"/>
        </w:rPr>
      </w:pPr>
      <w:r>
        <w:rPr>
          <w:rFonts w:ascii="ARIAL" w:hAnsi="ARIAL"/>
          <w:sz w:val="19"/>
        </w:rPr>
        <w:t xml:space="preserve">12.8 </w:t>
      </w:r>
      <w:r>
        <w:rPr>
          <w:rFonts w:ascii="ARIAL" w:hAnsi="ARIAL"/>
          <w:sz w:val="19"/>
          <w:u w:val="single"/>
        </w:rPr>
        <w:t>Reports</w:t>
      </w:r>
      <w:r>
        <w:rPr>
          <w:rFonts w:ascii="ARIAL" w:hAnsi="ARIAL"/>
          <w:sz w:val="19"/>
        </w:rPr>
        <w:t xml:space="preserve">. Statements of account shall be given to Participants at least annually, which statements shall set forth the amounts of payroll deductions, the Purchase Price, the number of Shares purchased and the remaining cash balance, if any. </w:t>
      </w:r>
    </w:p>
    <w:p>
      <w:pPr>
        <w:pStyle w:val="TextBody"/>
        <w:bidi w:val="0"/>
        <w:spacing w:before="240" w:after="0"/>
        <w:jc w:val="left"/>
        <w:rPr>
          <w:rFonts w:ascii="ARIAL" w:hAnsi="ARIAL"/>
          <w:sz w:val="19"/>
        </w:rPr>
      </w:pPr>
      <w:r>
        <w:rPr>
          <w:rFonts w:ascii="ARIAL" w:hAnsi="ARIAL"/>
          <w:sz w:val="19"/>
        </w:rPr>
        <w:t xml:space="preserve">12.9 </w:t>
      </w:r>
      <w:r>
        <w:rPr>
          <w:rFonts w:ascii="ARIAL" w:hAnsi="ARIAL"/>
          <w:sz w:val="19"/>
          <w:u w:val="single"/>
        </w:rPr>
        <w:t>No Employment Rights</w:t>
      </w:r>
      <w:r>
        <w:rPr>
          <w:rFonts w:ascii="ARIAL" w:hAnsi="ARIAL"/>
          <w:sz w:val="19"/>
        </w:rPr>
        <w:t xml:space="preserve">. Nothing in the Plan shall be construed to give any person (including any Eligible Employee or Participant) the right to remain in the employ or service of the Company or any Parent or Subsidiary or affect the right of the Company or any Parent or Subsidiary to terminate the employment or service of any person (including any Eligible Employee or Participant) at any time, with or without cause. </w:t>
      </w:r>
    </w:p>
    <w:p>
      <w:pPr>
        <w:pStyle w:val="TextBody"/>
        <w:bidi w:val="0"/>
        <w:spacing w:before="240" w:after="0"/>
        <w:jc w:val="left"/>
        <w:rPr>
          <w:rFonts w:ascii="ARIAL" w:hAnsi="ARIAL"/>
          <w:sz w:val="19"/>
        </w:rPr>
      </w:pPr>
      <w:r>
        <w:rPr>
          <w:rFonts w:ascii="ARIAL" w:hAnsi="ARIAL"/>
          <w:sz w:val="19"/>
        </w:rPr>
        <w:t xml:space="preserve">12.10 </w:t>
      </w:r>
      <w:r>
        <w:rPr>
          <w:rFonts w:ascii="ARIAL" w:hAnsi="ARIAL"/>
          <w:sz w:val="19"/>
          <w:u w:val="single"/>
        </w:rPr>
        <w:t>Notice of Disposition of Shares</w:t>
      </w:r>
      <w:r>
        <w:rPr>
          <w:rFonts w:ascii="ARIAL" w:hAnsi="ARIAL"/>
          <w:sz w:val="19"/>
        </w:rPr>
        <w:t xml:space="preserve">.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before="240" w:after="0"/>
        <w:jc w:val="left"/>
        <w:rPr>
          <w:rFonts w:ascii="ARIAL" w:hAnsi="ARIAL"/>
          <w:sz w:val="19"/>
        </w:rPr>
      </w:pPr>
      <w:r>
        <w:rPr>
          <w:rFonts w:ascii="ARIAL" w:hAnsi="ARIAL"/>
          <w:sz w:val="19"/>
        </w:rPr>
        <w:t xml:space="preserve">12.11 </w:t>
      </w:r>
      <w:r>
        <w:rPr>
          <w:rFonts w:ascii="ARIAL" w:hAnsi="ARIAL"/>
          <w:sz w:val="19"/>
          <w:u w:val="single"/>
        </w:rPr>
        <w:t>Limitations on Liability</w:t>
      </w:r>
      <w:r>
        <w:rPr>
          <w:rFonts w:ascii="ARIAL" w:hAnsi="ARIAL"/>
          <w:sz w:val="19"/>
        </w:rPr>
        <w:t xml:space="preserve">. Notwithstanding any other provisions of the Plan, no individual acting as a director, officer, other employee or agent of the Company or any Subsidiary will be liable to any Participant, former Participant, Designated Beneficiary or any other person for any claim, loss, liability, or expense incurred in connection with the Plan or any Offering Period,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w:t>
      </w:r>
    </w:p>
    <w:p>
      <w:pPr>
        <w:pStyle w:val="TextBody"/>
        <w:bidi w:val="0"/>
        <w:spacing w:before="240" w:after="0"/>
        <w:jc w:val="left"/>
        <w:rPr>
          <w:rFonts w:ascii="ARIAL" w:hAnsi="ARIAL"/>
          <w:sz w:val="19"/>
        </w:rPr>
      </w:pPr>
      <w:r>
        <w:rPr>
          <w:rFonts w:ascii="ARIAL" w:hAnsi="ARIAL"/>
          <w:sz w:val="19"/>
        </w:rPr>
        <w:t xml:space="preserve">12.12 </w:t>
      </w:r>
      <w:r>
        <w:rPr>
          <w:rFonts w:ascii="ARIAL" w:hAnsi="ARIAL"/>
          <w:sz w:val="19"/>
          <w:u w:val="single"/>
        </w:rPr>
        <w:t>Data Privacy</w:t>
      </w:r>
      <w:r>
        <w:rPr>
          <w:rFonts w:ascii="ARIAL" w:hAnsi="ARIAL"/>
          <w:sz w:val="19"/>
        </w:rPr>
        <w:t xml:space="preserve">. As a condition for participation in the Plan, each Participant acknowledges and agrees that the Company (acting as data controller) may hold certain personal information about the Participant, including the Participant’s name, address and telephone number; birthdate; social security number, insurance number or other identification number;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1505"/>
        <w:gridCol w:w="120"/>
        <w:gridCol w:w="209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399"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74" descr=""/>
                          <pic:cNvPicPr>
                            <a:picLocks noChangeAspect="1" noChangeArrowheads="1"/>
                          </pic:cNvPicPr>
                        </pic:nvPicPr>
                        <pic:blipFill>
                          <a:blip r:embed="rId386"/>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B-12</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93" w:type="dxa"/>
        <w:jc w:val="left"/>
        <w:tblInd w:w="0" w:type="dxa"/>
        <w:tblLayout w:type="fixed"/>
        <w:tblCellMar>
          <w:top w:w="0" w:type="dxa"/>
          <w:left w:w="0" w:type="dxa"/>
          <w:bottom w:w="0" w:type="dxa"/>
          <w:right w:w="0" w:type="dxa"/>
        </w:tblCellMar>
      </w:tblPr>
      <w:tblGrid>
        <w:gridCol w:w="38"/>
        <w:gridCol w:w="1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6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120" w:type="dxa"/>
              <w:right w:w="40" w:type="dxa"/>
            </w:tcMar>
            <w:vAlign w:val="center"/>
          </w:tcPr>
          <w:p>
            <w:pPr>
              <w:pStyle w:val="TableContents"/>
              <w:bidi w:val="0"/>
              <w:spacing w:before="0" w:after="283"/>
              <w:jc w:val="center"/>
              <w:rPr>
                <w:b/>
              </w:rPr>
            </w:pPr>
            <w:r>
              <w:rPr>
                <w:b/>
              </w:rPr>
              <w:t>APPENDIX B</w:t>
            </w:r>
          </w:p>
        </w:tc>
      </w:tr>
    </w:tbl>
    <w:p>
      <w:pPr>
        <w:pStyle w:val="TextBody"/>
        <w:bidi w:val="0"/>
        <w:spacing w:before="0" w:after="0"/>
        <w:jc w:val="left"/>
        <w:rPr/>
      </w:pPr>
      <w:r>
        <w:rPr/>
        <w:t> </w:t>
      </w:r>
    </w:p>
    <w:p>
      <w:pPr>
        <w:pStyle w:val="TextBody"/>
        <w:bidi w:val="0"/>
        <w:spacing w:before="0" w:after="0"/>
        <w:jc w:val="left"/>
        <w:rPr>
          <w:rFonts w:ascii="ARIAL" w:hAnsi="ARIAL"/>
          <w:sz w:val="19"/>
        </w:rPr>
      </w:pPr>
      <w:r>
        <w:rPr>
          <w:rFonts w:ascii="ARIAL" w:hAnsi="ARIAL"/>
          <w:sz w:val="19"/>
        </w:rPr>
        <w:t>salary; nationality; job title(s); any Shares held in the Company or its Subsidiaries and affiliates; and participation details (the “</w:t>
      </w:r>
      <w:r>
        <w:rPr>
          <w:rFonts w:ascii="ARIAL" w:hAnsi="ARIAL"/>
          <w:b/>
          <w:i/>
          <w:sz w:val="19"/>
        </w:rPr>
        <w:t>Data</w:t>
      </w:r>
      <w:r>
        <w:rPr>
          <w:rFonts w:ascii="ARIAL" w:hAnsi="ARIAL"/>
          <w:sz w:val="19"/>
        </w:rPr>
        <w:t xml:space="preserve">”) to implement, manage and administer the Plan and any Offering Period(s). The Company may receive the Data from its Subsidiaries and affiliates or the Participant, and may share the Data with its Subsidiaries and to third parties assisting the Company with the Plan implementation, administration and management including to a broker or other third party with whom the Company or the Participant may elect to deposit any Shares. These recipients may be located outside of the Participant’s country (and outside of the United States, European Economic Area or United Kingdom), and in such cases the Data will be transferred in accordance with applicable law, including where required using approved international data transfer mechanisms such as standard contractual clauses. The Data related to a Participant will be held only as long as necessary to implement, administer, and manage the Participant’s participation in the Plan. To the extent permitted under applicable law, a Participant may, at any time, exercise their right to request access to their Data, to delete or correct their Data, to object to the Company’s use of the Data, to request that the Company restricts the use of Data or shares the Data with another controller, or to raise any issues around the Company’s use of Data with the Company or any data privacy regulator. To contact the Company, request a copy of any international data transfer mechanism, exercise any data privacy right, or find out more information about how the Company uses the Data, a Participant may contact their local human resources representative. </w:t>
      </w:r>
    </w:p>
    <w:p>
      <w:pPr>
        <w:pStyle w:val="TextBody"/>
        <w:bidi w:val="0"/>
        <w:spacing w:before="240" w:after="0"/>
        <w:jc w:val="left"/>
        <w:rPr>
          <w:rFonts w:ascii="ARIAL" w:hAnsi="ARIAL"/>
          <w:sz w:val="19"/>
        </w:rPr>
      </w:pPr>
      <w:r>
        <w:rPr>
          <w:rFonts w:ascii="ARIAL" w:hAnsi="ARIAL"/>
          <w:sz w:val="19"/>
        </w:rPr>
        <w:t xml:space="preserve">12.13 </w:t>
      </w:r>
      <w:r>
        <w:rPr>
          <w:rFonts w:ascii="ARIAL" w:hAnsi="ARIAL"/>
          <w:sz w:val="19"/>
          <w:u w:val="single"/>
        </w:rPr>
        <w:t>Severability</w:t>
      </w:r>
      <w:r>
        <w:rPr>
          <w:rFonts w:ascii="ARIAL" w:hAnsi="ARIAL"/>
          <w:sz w:val="19"/>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 </w:t>
      </w:r>
    </w:p>
    <w:p>
      <w:pPr>
        <w:pStyle w:val="TextBody"/>
        <w:bidi w:val="0"/>
        <w:spacing w:before="240" w:after="0"/>
        <w:jc w:val="left"/>
        <w:rPr>
          <w:rFonts w:ascii="ARIAL" w:hAnsi="ARIAL"/>
          <w:sz w:val="19"/>
        </w:rPr>
      </w:pPr>
      <w:r>
        <w:rPr>
          <w:rFonts w:ascii="ARIAL" w:hAnsi="ARIAL"/>
          <w:sz w:val="19"/>
        </w:rPr>
        <w:t xml:space="preserve">12.14 </w:t>
      </w:r>
      <w:r>
        <w:rPr>
          <w:rFonts w:ascii="ARIAL" w:hAnsi="ARIAL"/>
          <w:sz w:val="19"/>
          <w:u w:val="single"/>
        </w:rPr>
        <w:t>Titles and Headings</w:t>
      </w:r>
      <w:r>
        <w:rPr>
          <w:rFonts w:ascii="ARIAL" w:hAnsi="ARIAL"/>
          <w:sz w:val="19"/>
        </w:rPr>
        <w:t xml:space="preserve">. The titles and headings in the Plan are for convenience of reference only and, if any conflict, the Plan’s text, rather than such titles or headings, will control. </w:t>
      </w:r>
    </w:p>
    <w:p>
      <w:pPr>
        <w:pStyle w:val="TextBody"/>
        <w:bidi w:val="0"/>
        <w:spacing w:before="240" w:after="0"/>
        <w:jc w:val="left"/>
        <w:rPr>
          <w:rFonts w:ascii="ARIAL" w:hAnsi="ARIAL"/>
          <w:sz w:val="19"/>
        </w:rPr>
      </w:pPr>
      <w:r>
        <w:rPr>
          <w:rFonts w:ascii="ARIAL" w:hAnsi="ARIAL"/>
          <w:sz w:val="19"/>
        </w:rPr>
        <w:t xml:space="preserve">12.15 </w:t>
      </w:r>
      <w:r>
        <w:rPr>
          <w:rFonts w:ascii="ARIAL" w:hAnsi="ARIAL"/>
          <w:sz w:val="19"/>
          <w:u w:val="single"/>
        </w:rPr>
        <w:t>Conformity to Securities Laws</w:t>
      </w:r>
      <w:r>
        <w:rPr>
          <w:rFonts w:ascii="ARIAL" w:hAnsi="ARIAL"/>
          <w:sz w:val="19"/>
        </w:rPr>
        <w:t xml:space="preserve">. Participant acknowledges that the Plan is intended to conform to the extent necessary with Applicable Laws. Notwithstanding anything herein to the contrary, the Plan and all Offering Periods will be administered only in conformance with Applicable Laws. To the extent Applicable Laws permit, the Plan and all Offering Periods will be deemed amended as necessary to conform to Applicable Laws. </w:t>
      </w:r>
    </w:p>
    <w:p>
      <w:pPr>
        <w:pStyle w:val="TextBody"/>
        <w:bidi w:val="0"/>
        <w:spacing w:before="240" w:after="0"/>
        <w:jc w:val="left"/>
        <w:rPr>
          <w:rFonts w:ascii="ARIAL" w:hAnsi="ARIAL"/>
          <w:sz w:val="19"/>
        </w:rPr>
      </w:pPr>
      <w:r>
        <w:rPr>
          <w:rFonts w:ascii="ARIAL" w:hAnsi="ARIAL"/>
          <w:sz w:val="19"/>
        </w:rPr>
        <w:t xml:space="preserve">12.16 </w:t>
      </w:r>
      <w:r>
        <w:rPr>
          <w:rFonts w:ascii="ARIAL" w:hAnsi="ARIAL"/>
          <w:sz w:val="19"/>
          <w:u w:val="single"/>
        </w:rPr>
        <w:t>Relationship to Other Benefits</w:t>
      </w:r>
      <w:r>
        <w:rPr>
          <w:rFonts w:ascii="ARIAL" w:hAnsi="ARIAL"/>
          <w:sz w:val="19"/>
        </w:rPr>
        <w:t xml:space="preserve">.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 </w:t>
      </w:r>
    </w:p>
    <w:p>
      <w:pPr>
        <w:pStyle w:val="TextBody"/>
        <w:bidi w:val="0"/>
        <w:spacing w:before="240" w:after="0"/>
        <w:jc w:val="left"/>
        <w:rPr>
          <w:rFonts w:ascii="ARIAL" w:hAnsi="ARIAL"/>
          <w:sz w:val="19"/>
        </w:rPr>
      </w:pPr>
      <w:r>
        <w:rPr>
          <w:rFonts w:ascii="ARIAL" w:hAnsi="ARIAL"/>
          <w:sz w:val="19"/>
        </w:rPr>
        <w:t xml:space="preserve">12.17 </w:t>
      </w:r>
      <w:r>
        <w:rPr>
          <w:rFonts w:ascii="ARIAL" w:hAnsi="ARIAL"/>
          <w:sz w:val="19"/>
          <w:u w:val="single"/>
        </w:rPr>
        <w:t>Governing Law</w:t>
      </w:r>
      <w:r>
        <w:rPr>
          <w:rFonts w:ascii="ARIAL" w:hAnsi="ARIAL"/>
          <w:sz w:val="19"/>
        </w:rPr>
        <w:t xml:space="preserve">. The Plan and any agreements hereunder shall be administered, interpreted and enforced in accordance with the laws of the State of Delaware, disregarding any state’s choice of law principles requiring the application of a jurisdiction’s laws other than the State of Delaware. </w:t>
      </w:r>
    </w:p>
    <w:p>
      <w:pPr>
        <w:pStyle w:val="TextBody"/>
        <w:bidi w:val="0"/>
        <w:spacing w:before="240" w:after="0"/>
        <w:jc w:val="left"/>
        <w:rPr>
          <w:rFonts w:ascii="ARIAL" w:hAnsi="ARIAL"/>
          <w:sz w:val="19"/>
        </w:rPr>
      </w:pPr>
      <w:r>
        <w:rPr>
          <w:rFonts w:ascii="ARIAL" w:hAnsi="ARIAL"/>
          <w:sz w:val="19"/>
        </w:rPr>
        <w:t xml:space="preserve">12.18 </w:t>
      </w:r>
      <w:r>
        <w:rPr>
          <w:rFonts w:ascii="ARIAL" w:hAnsi="ARIAL"/>
          <w:sz w:val="19"/>
          <w:u w:val="single"/>
        </w:rPr>
        <w:t>Electronic Forms</w:t>
      </w:r>
      <w:r>
        <w:rPr>
          <w:rFonts w:ascii="ARIAL" w:hAnsi="ARIAL"/>
          <w:sz w:val="19"/>
        </w:rPr>
        <w:t xml:space="preserve">.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 </w:t>
      </w:r>
    </w:p>
    <w:p>
      <w:pPr>
        <w:pStyle w:val="TextBody"/>
        <w:bidi w:val="0"/>
        <w:spacing w:before="240" w:after="0"/>
        <w:jc w:val="left"/>
        <w:rPr>
          <w:rFonts w:ascii="ARIAL" w:hAnsi="ARIAL"/>
          <w:sz w:val="19"/>
        </w:rPr>
      </w:pPr>
      <w:r>
        <w:rPr>
          <w:rFonts w:ascii="ARIAL" w:hAnsi="ARIAL"/>
          <w:sz w:val="19"/>
        </w:rPr>
        <w:t xml:space="preserve">12.19 </w:t>
      </w:r>
      <w:r>
        <w:rPr>
          <w:rFonts w:ascii="ARIAL" w:hAnsi="ARIAL"/>
          <w:sz w:val="19"/>
          <w:u w:val="single"/>
        </w:rPr>
        <w:t>Section 409A</w:t>
      </w:r>
      <w:r>
        <w:rPr>
          <w:rFonts w:ascii="ARIAL" w:hAnsi="ARIAL"/>
          <w:sz w:val="19"/>
        </w:rPr>
        <w:t>. The Section 423 Component of the Plan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ARIAL" w:hAnsi="ARIAL"/>
          <w:b/>
          <w:i/>
          <w:sz w:val="19"/>
        </w:rPr>
        <w:t>Section</w:t>
      </w:r>
      <w:r>
        <w:rPr>
          <w:rFonts w:ascii="ARIAL" w:hAnsi="ARIAL"/>
          <w:sz w:val="19"/>
        </w:rPr>
        <w:t> </w:t>
      </w:r>
      <w:r>
        <w:rPr>
          <w:rFonts w:ascii="ARIAL" w:hAnsi="ARIAL"/>
          <w:b/>
          <w:i/>
          <w:sz w:val="19"/>
        </w:rPr>
        <w:t>409A</w:t>
      </w:r>
      <w:r>
        <w:rPr>
          <w:rFonts w:ascii="ARIAL" w:hAnsi="ARIAL"/>
          <w:sz w:val="19"/>
        </w:rPr>
        <w:t xml:space="preserve">”). Neither the Non-Section 423 Component nor any right to purchase Shares granted pursuant to an Offering thereunder is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 </w:t>
      </w:r>
    </w:p>
    <w:p>
      <w:pPr>
        <w:pStyle w:val="TextBody"/>
        <w:bidi w:val="0"/>
        <w:spacing w:before="240" w:after="0"/>
        <w:jc w:val="center"/>
        <w:rPr>
          <w:rFonts w:ascii="ARIAL" w:hAnsi="ARIAL"/>
          <w:b/>
          <w:sz w:val="19"/>
        </w:rPr>
      </w:pPr>
      <w:r>
        <w:rPr>
          <w:rFonts w:ascii="ARIAL" w:hAnsi="ARIAL"/>
          <w:b/>
          <w:sz w:val="19"/>
        </w:rPr>
        <w:t xml:space="preserve">* * * * *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1505"/>
        <w:gridCol w:w="120"/>
        <w:gridCol w:w="209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drawing>
                <wp:inline distT="0" distB="0" distL="0" distR="0">
                  <wp:extent cx="908050" cy="156210"/>
                  <wp:effectExtent l="0" t="0" r="0" b="0"/>
                  <wp:docPr id="400"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375" descr=""/>
                          <pic:cNvPicPr>
                            <a:picLocks noChangeAspect="1" noChangeArrowheads="1"/>
                          </pic:cNvPicPr>
                        </pic:nvPicPr>
                        <pic:blipFill>
                          <a:blip r:embed="rId387"/>
                          <a:stretch>
                            <a:fillRect/>
                          </a:stretch>
                        </pic:blipFill>
                        <pic:spPr bwMode="auto">
                          <a:xfrm>
                            <a:off x="0" y="0"/>
                            <a:ext cx="908050" cy="15621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right"/>
              <w:rPr>
                <w:rFonts w:ascii="ARIAL" w:hAnsi="ARIAL"/>
                <w:sz w:val="14"/>
              </w:rPr>
            </w:pPr>
            <w:r>
              <w:rPr>
                <w:rFonts w:ascii="ARIAL" w:hAnsi="ARIAL"/>
                <w:sz w:val="14"/>
              </w:rPr>
              <w:t>2026 PROXY STATEMENT </w:t>
            </w:r>
            <w:r>
              <w:rPr>
                <w:rFonts w:ascii="ARIAL" w:hAnsi="ARIAL"/>
                <w:b/>
                <w:color w:val="0054BA"/>
                <w:sz w:val="14"/>
              </w:rPr>
              <w:t>B-13</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24"/>
        <w:gridCol w:w="120"/>
        <w:gridCol w:w="8661"/>
      </w:tblGrid>
      <w:tr>
        <w:trPr/>
        <w:tc>
          <w:tcPr>
            <w:tcW w:w="14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61" w:type="dxa"/>
            <w:tcBorders/>
            <w:vAlign w:val="center"/>
          </w:tcPr>
          <w:p>
            <w:pPr>
              <w:pStyle w:val="TableContents"/>
              <w:bidi w:val="0"/>
              <w:spacing w:before="0" w:after="283"/>
              <w:jc w:val="left"/>
              <w:rPr>
                <w:sz w:val="4"/>
                <w:szCs w:val="4"/>
              </w:rPr>
            </w:pPr>
            <w:r>
              <w:rPr>
                <w:sz w:val="4"/>
                <w:szCs w:val="4"/>
              </w:rPr>
            </w:r>
          </w:p>
        </w:tc>
      </w:tr>
      <w:tr>
        <w:trPr/>
        <w:tc>
          <w:tcPr>
            <w:tcW w:w="1424"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i/>
                <w:sz w:val="16"/>
              </w:rPr>
            </w:pPr>
            <w:r>
              <w:rPr>
                <w:rFonts w:ascii="ARIAL" w:hAnsi="ARIAL"/>
                <w:i/>
                <w:sz w:val="16"/>
              </w:rPr>
              <w:t>COSTAR GROUP, INC.</w:t>
            </w:r>
          </w:p>
          <w:p>
            <w:pPr>
              <w:pStyle w:val="TableContents"/>
              <w:bidi w:val="0"/>
              <w:spacing w:before="0" w:after="0"/>
              <w:jc w:val="left"/>
              <w:rPr>
                <w:rFonts w:ascii="ARIAL" w:hAnsi="ARIAL"/>
                <w:i/>
                <w:sz w:val="16"/>
              </w:rPr>
            </w:pPr>
            <w:r>
              <w:rPr>
                <w:rFonts w:ascii="ARIAL" w:hAnsi="ARIAL"/>
                <w:i/>
                <w:sz w:val="16"/>
              </w:rPr>
              <w:t>1201 WILSON BLVD.</w:t>
            </w:r>
          </w:p>
          <w:p>
            <w:pPr>
              <w:pStyle w:val="TableContents"/>
              <w:bidi w:val="0"/>
              <w:spacing w:before="0" w:after="0"/>
              <w:jc w:val="left"/>
              <w:rPr>
                <w:rFonts w:ascii="ARIAL" w:hAnsi="ARIAL"/>
                <w:i/>
                <w:sz w:val="16"/>
              </w:rPr>
            </w:pPr>
            <w:r>
              <w:rPr>
                <w:rFonts w:ascii="ARIAL" w:hAnsi="ARIAL"/>
                <w:i/>
                <w:sz w:val="16"/>
              </w:rPr>
              <w:t>ARLINGTON, VIRGINIA 22209</w:t>
            </w:r>
          </w:p>
          <w:p>
            <w:pPr>
              <w:pStyle w:val="TableContents"/>
              <w:bidi w:val="0"/>
              <w:spacing w:before="0" w:after="20"/>
              <w:jc w:val="left"/>
              <w:rPr>
                <w:rFonts w:ascii="ARIAL" w:hAnsi="ARIAL"/>
                <w:i/>
                <w:sz w:val="16"/>
              </w:rPr>
            </w:pPr>
            <w:r>
              <w:rPr>
                <w:rFonts w:ascii="ARIAL" w:hAnsi="ARIAL"/>
                <w:i/>
                <w:sz w:val="16"/>
              </w:rPr>
              <w:t>ATTN: GENE BOXER</w:t>
            </w:r>
          </w:p>
        </w:tc>
        <w:tc>
          <w:tcPr>
            <w:tcW w:w="120" w:type="dxa"/>
            <w:tcBorders/>
            <w:vAlign w:val="center"/>
          </w:tcPr>
          <w:p>
            <w:pPr>
              <w:pStyle w:val="TableContents"/>
              <w:bidi w:val="0"/>
              <w:spacing w:before="0" w:after="283"/>
              <w:jc w:val="left"/>
              <w:rPr/>
            </w:pPr>
            <w:r>
              <w:rPr/>
              <w:t>  </w:t>
            </w:r>
          </w:p>
        </w:tc>
        <w:tc>
          <w:tcPr>
            <w:tcW w:w="8661" w:type="dxa"/>
            <w:tcBorders/>
            <w:vAlign w:val="center"/>
          </w:tcPr>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2078990" cy="506095"/>
                  <wp:effectExtent l="0" t="0" r="0" b="0"/>
                  <wp:docPr id="401"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376" descr=""/>
                          <pic:cNvPicPr>
                            <a:picLocks noChangeAspect="1" noChangeArrowheads="1"/>
                          </pic:cNvPicPr>
                        </pic:nvPicPr>
                        <pic:blipFill>
                          <a:blip r:embed="rId388"/>
                          <a:stretch>
                            <a:fillRect/>
                          </a:stretch>
                        </pic:blipFill>
                        <pic:spPr bwMode="auto">
                          <a:xfrm>
                            <a:off x="0" y="0"/>
                            <a:ext cx="2078990" cy="5060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VOTE BY INTERNET</w:t>
            </w:r>
          </w:p>
          <w:p>
            <w:pPr>
              <w:pStyle w:val="TableContents"/>
              <w:bidi w:val="0"/>
              <w:spacing w:before="0" w:after="0"/>
              <w:jc w:val="left"/>
              <w:rPr>
                <w:rFonts w:ascii="ARIAL" w:hAnsi="ARIAL"/>
                <w:sz w:val="16"/>
              </w:rPr>
            </w:pPr>
            <w:r>
              <w:rPr>
                <w:rFonts w:ascii="ARIAL" w:hAnsi="ARIAL"/>
                <w:i/>
                <w:sz w:val="16"/>
              </w:rPr>
              <w:t xml:space="preserve">Before The Meeting </w:t>
            </w:r>
            <w:r>
              <w:rPr>
                <w:rFonts w:ascii="ARIAL" w:hAnsi="ARIAL"/>
                <w:sz w:val="16"/>
              </w:rPr>
              <w:t xml:space="preserve">- Go to </w:t>
            </w:r>
            <w:r>
              <w:rPr>
                <w:rFonts w:ascii="ARIAL" w:hAnsi="ARIAL"/>
                <w:b/>
                <w:sz w:val="16"/>
                <w:u w:val="single"/>
              </w:rPr>
              <w:t>www.proxyvote.com</w:t>
            </w:r>
            <w:r>
              <w:rPr>
                <w:rFonts w:ascii="ARIAL" w:hAnsi="ARIAL"/>
                <w:b/>
                <w:sz w:val="16"/>
              </w:rPr>
              <w:t xml:space="preserve"> or scan the QR Barcode above</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Use the Internet to transmit your voting instructions and for electronic delivery of information. Vote by 11:59 p.m. EDT on June 22, 2026. Have your proxy card in hand when you access the website and follow the instructions to obtain your records and to create an electronic voting instruction form.</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i/>
                <w:sz w:val="16"/>
              </w:rPr>
              <w:t>During The Meeting</w:t>
            </w:r>
            <w:r>
              <w:rPr>
                <w:rFonts w:ascii="ARIAL" w:hAnsi="ARIAL"/>
                <w:sz w:val="16"/>
              </w:rPr>
              <w:t xml:space="preserve"> - Go to </w:t>
            </w:r>
            <w:r>
              <w:rPr>
                <w:rFonts w:ascii="ARIAL" w:hAnsi="ARIAL"/>
                <w:b/>
                <w:sz w:val="16"/>
                <w:u w:val="single"/>
              </w:rPr>
              <w:t>www.virtualshareholdermeeting.com/CSGP2026</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You may attend the meeting via the Internet and vote during the meeting. Have the information that is printed in the box marked by the arrow available and follow the instructions.</w:t>
            </w:r>
          </w:p>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VOTE BY PHONE - 1-800-690-6903</w:t>
            </w:r>
          </w:p>
          <w:p>
            <w:pPr>
              <w:pStyle w:val="TableContents"/>
              <w:bidi w:val="0"/>
              <w:spacing w:before="0" w:after="0"/>
              <w:jc w:val="left"/>
              <w:rPr>
                <w:rFonts w:ascii="ARIAL" w:hAnsi="ARIAL"/>
                <w:sz w:val="16"/>
              </w:rPr>
            </w:pPr>
            <w:r>
              <w:rPr>
                <w:rFonts w:ascii="ARIAL" w:hAnsi="ARIAL"/>
                <w:sz w:val="16"/>
              </w:rPr>
              <w:t>Use any touch-tone telephone to transmit your voting instructions. Vote by 11:59 p.m. EDT on June 22, 2026. Have your proxy card in hand when you call and then follow the instructions.</w:t>
            </w:r>
          </w:p>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VOTE BY MAIL</w:t>
            </w:r>
          </w:p>
          <w:p>
            <w:pPr>
              <w:pStyle w:val="TableContents"/>
              <w:bidi w:val="0"/>
              <w:spacing w:before="0" w:after="20"/>
              <w:jc w:val="left"/>
              <w:rPr>
                <w:rFonts w:ascii="ARIAL" w:hAnsi="ARIAL"/>
                <w:sz w:val="16"/>
              </w:rPr>
            </w:pPr>
            <w:r>
              <w:rPr>
                <w:rFonts w:ascii="ARIAL" w:hAnsi="ARIAL"/>
                <w:sz w:val="16"/>
              </w:rPr>
              <w:t>Mark, sign and date your proxy card and return it in the postage-paid envelope we have provided or return it to Vote Processing, c/o Broadridge, 51 Mercedes Way, Edgewood, NY 11717.</w:t>
            </w:r>
          </w:p>
        </w:tc>
      </w:tr>
    </w:tbl>
    <w:p>
      <w:pPr>
        <w:pStyle w:val="TextBody"/>
        <w:bidi w:val="0"/>
        <w:spacing w:before="960" w:after="0"/>
        <w:jc w:val="left"/>
        <w:rPr>
          <w:rFonts w:ascii="ARIAL" w:hAnsi="ARIAL"/>
          <w:sz w:val="16"/>
        </w:rPr>
      </w:pPr>
      <w:r>
        <w:rPr>
          <w:rFonts w:ascii="ARIAL" w:hAnsi="ARIAL"/>
          <w:sz w:val="16"/>
        </w:rPr>
        <w:t xml:space="preserve">TO VOTE, MARK BLOCKS BELOW IN BLUE OR BLACK INK AS FOLLOWS: </w:t>
      </w:r>
    </w:p>
    <w:p>
      <w:pPr>
        <w:pStyle w:val="TextBody"/>
        <w:bidi w:val="0"/>
        <w:spacing w:before="0" w:after="0"/>
        <w:jc w:val="right"/>
        <w:rPr>
          <w:rFonts w:ascii="ARIAL" w:hAnsi="ARIAL"/>
          <w:sz w:val="16"/>
        </w:rPr>
      </w:pPr>
      <w:r>
        <w:rPr>
          <w:rFonts w:ascii="ARIAL" w:hAnsi="ARIAL"/>
          <w:sz w:val="16"/>
        </w:rPr>
        <w:t xml:space="preserve">V97064-P53238     KEEP THIS PORTION FOR YOUR RECORDS </w:t>
      </w:r>
    </w:p>
    <w:p>
      <w:pPr>
        <w:pStyle w:val="TextBody"/>
        <w:bidi w:val="0"/>
        <w:spacing w:before="0" w:after="0"/>
        <w:jc w:val="center"/>
        <w:rPr/>
      </w:pPr>
      <w:r>
        <w:rPr/>
        <w:t xml:space="preserve"> — — — — — — — — — — — — — — — — — — — — — — — — — — — — — — — — — — — — — — — — — — — — — — — </w:t>
      </w:r>
    </w:p>
    <w:p>
      <w:pPr>
        <w:pStyle w:val="TextBody"/>
        <w:bidi w:val="0"/>
        <w:spacing w:before="0" w:after="0"/>
        <w:jc w:val="right"/>
        <w:rPr>
          <w:rFonts w:ascii="ARIAL" w:hAnsi="ARIAL"/>
          <w:sz w:val="14"/>
        </w:rPr>
      </w:pPr>
      <w:r>
        <w:rPr>
          <w:rFonts w:ascii="ARIAL" w:hAnsi="ARIAL"/>
          <w:sz w:val="14"/>
        </w:rPr>
        <w:t xml:space="preserve">DETACH AND RETURN THIS PORTION ONLY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bdr w:val="single" w:sz="12" w:space="2" w:color="000000"/>
        </w:rPr>
      </w:pPr>
      <w:r>
        <w:rPr>
          <w:bdr w:val="single" w:sz="12" w:space="2" w:color="000000"/>
        </w:rPr>
        <w:t> </w:t>
      </w:r>
    </w:p>
    <w:p>
      <w:pPr>
        <w:pStyle w:val="TextBody"/>
        <w:bidi w:val="0"/>
        <w:jc w:val="left"/>
        <w:rPr>
          <w:bdr w:val="single" w:sz="12" w:space="2" w:color="000000"/>
        </w:rPr>
      </w:pPr>
      <w:r>
        <w:rPr>
          <w:bdr w:val="single" w:sz="12" w:space="2" w:color="000000"/>
        </w:rPr>
        <w:t> </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3110230" cy="7084695"/>
                <wp:effectExtent l="0" t="0" r="0" b="0"/>
                <wp:wrapSquare wrapText="right"/>
                <wp:docPr id="402" name="Frame15"/>
                <a:graphic xmlns:a="http://schemas.openxmlformats.org/drawingml/2006/main">
                  <a:graphicData uri="http://schemas.microsoft.com/office/word/2010/wordprocessingShape">
                    <wps:wsp>
                      <wps:cNvSpPr txBox="1"/>
                      <wps:spPr>
                        <a:xfrm>
                          <a:off x="0" y="0"/>
                          <a:ext cx="3110230" cy="7084695"/>
                        </a:xfrm>
                        <a:prstGeom prst="rect"/>
                        <a:solidFill>
                          <a:srgbClr val="FFFFFF"/>
                        </a:solidFill>
                      </wps:spPr>
                      <wps:txbx>
                        <w:txbxContent>
                          <w:tbl>
                            <w:tblPr>
                              <w:tblW w:w="9550" w:type="dxa"/>
                              <w:jc w:val="left"/>
                              <w:tblInd w:w="0" w:type="dxa"/>
                              <w:tblLayout w:type="fixed"/>
                              <w:tblCellMar>
                                <w:top w:w="0" w:type="dxa"/>
                                <w:left w:w="0" w:type="dxa"/>
                                <w:bottom w:w="0" w:type="dxa"/>
                                <w:right w:w="0" w:type="dxa"/>
                              </w:tblCellMar>
                            </w:tblPr>
                            <w:tblGrid>
                              <w:gridCol w:w="275"/>
                              <w:gridCol w:w="60"/>
                              <w:gridCol w:w="7010"/>
                              <w:gridCol w:w="60"/>
                              <w:gridCol w:w="395"/>
                              <w:gridCol w:w="60"/>
                              <w:gridCol w:w="800"/>
                              <w:gridCol w:w="60"/>
                              <w:gridCol w:w="830"/>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vAlign w:val="center"/>
                                </w:tcPr>
                                <w:p>
                                  <w:pPr>
                                    <w:pStyle w:val="TableContents"/>
                                    <w:bidi w:val="0"/>
                                    <w:spacing w:before="0" w:after="283"/>
                                    <w:jc w:val="left"/>
                                    <w:rPr/>
                                  </w:pPr>
                                  <w:r>
                                    <w:rPr/>
                                    <w:t> </w:t>
                                  </w:r>
                                  <w:r>
                                    <w:rPr>
                                      <w:b/>
                                    </w:rPr>
                                    <w:t>COSTAR GROUP, INC.</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b/>
                                      <w:sz w:val="16"/>
                                    </w:rPr>
                                  </w:pPr>
                                  <w:r>
                                    <w:rPr>
                                      <w:rFonts w:ascii="ARIAL" w:hAnsi="ARIAL"/>
                                      <w:b/>
                                      <w:sz w:val="16"/>
                                    </w:rPr>
                                    <w:t>Company Proposals</w:t>
                                  </w:r>
                                </w:p>
                                <w:p>
                                  <w:pPr>
                                    <w:pStyle w:val="TableContents"/>
                                    <w:bidi w:val="0"/>
                                    <w:spacing w:before="0" w:after="0"/>
                                    <w:jc w:val="left"/>
                                    <w:rPr/>
                                  </w:pPr>
                                  <w:r>
                                    <w:rPr/>
                                    <w:t> </w:t>
                                  </w:r>
                                </w:p>
                                <w:p>
                                  <w:pPr>
                                    <w:pStyle w:val="TableContents"/>
                                    <w:bidi w:val="0"/>
                                    <w:spacing w:before="120" w:after="20"/>
                                    <w:jc w:val="left"/>
                                    <w:rPr>
                                      <w:rFonts w:ascii="ARIAL" w:hAnsi="ARIAL"/>
                                      <w:b/>
                                      <w:sz w:val="16"/>
                                    </w:rPr>
                                  </w:pPr>
                                  <w:r>
                                    <w:rPr>
                                      <w:rFonts w:ascii="ARIAL" w:hAnsi="ARIAL"/>
                                      <w:b/>
                                      <w:sz w:val="16"/>
                                    </w:rPr>
                                    <w:t>The Board of Directors recommends you vote FOR all the nominees listed in proposal 1:</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1.  Proposal for the election of directors.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b/>
                                      <w:sz w:val="16"/>
                                    </w:rPr>
                                  </w:pPr>
                                  <w:r>
                                    <w:rPr>
                                      <w:rFonts w:ascii="ARIAL" w:hAnsi="ARIAL"/>
                                      <w:b/>
                                      <w:sz w:val="16"/>
                                    </w:rPr>
                                    <w:t>Nominees: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1a.  Louise S. Sams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1b.  Andrew C. Florance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1c.  John L. Berisford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1d.  Angelique G. Brunner</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1e.  Rachel C. Glaser</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1f.   John W. Hill</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1g.  Christine M. McCarthy</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1h.  Robert W. Musslewhite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7.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550" w:type="dxa"/>
                        <w:jc w:val="left"/>
                        <w:tblInd w:w="0" w:type="dxa"/>
                        <w:tblLayout w:type="fixed"/>
                        <w:tblCellMar>
                          <w:top w:w="0" w:type="dxa"/>
                          <w:left w:w="0" w:type="dxa"/>
                          <w:bottom w:w="0" w:type="dxa"/>
                          <w:right w:w="0" w:type="dxa"/>
                        </w:tblCellMar>
                      </w:tblPr>
                      <w:tblGrid>
                        <w:gridCol w:w="275"/>
                        <w:gridCol w:w="60"/>
                        <w:gridCol w:w="7010"/>
                        <w:gridCol w:w="60"/>
                        <w:gridCol w:w="395"/>
                        <w:gridCol w:w="60"/>
                        <w:gridCol w:w="800"/>
                        <w:gridCol w:w="60"/>
                        <w:gridCol w:w="830"/>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vAlign w:val="center"/>
                          </w:tcPr>
                          <w:p>
                            <w:pPr>
                              <w:pStyle w:val="TableContents"/>
                              <w:bidi w:val="0"/>
                              <w:spacing w:before="0" w:after="283"/>
                              <w:jc w:val="left"/>
                              <w:rPr/>
                            </w:pPr>
                            <w:r>
                              <w:rPr/>
                              <w:t> </w:t>
                            </w:r>
                            <w:r>
                              <w:rPr>
                                <w:b/>
                              </w:rPr>
                              <w:t>COSTAR GROUP, INC.</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b/>
                                <w:sz w:val="16"/>
                              </w:rPr>
                            </w:pPr>
                            <w:r>
                              <w:rPr>
                                <w:rFonts w:ascii="ARIAL" w:hAnsi="ARIAL"/>
                                <w:b/>
                                <w:sz w:val="16"/>
                              </w:rPr>
                              <w:t>Company Proposals</w:t>
                            </w:r>
                          </w:p>
                          <w:p>
                            <w:pPr>
                              <w:pStyle w:val="TableContents"/>
                              <w:bidi w:val="0"/>
                              <w:spacing w:before="0" w:after="0"/>
                              <w:jc w:val="left"/>
                              <w:rPr/>
                            </w:pPr>
                            <w:r>
                              <w:rPr/>
                              <w:t> </w:t>
                            </w:r>
                          </w:p>
                          <w:p>
                            <w:pPr>
                              <w:pStyle w:val="TableContents"/>
                              <w:bidi w:val="0"/>
                              <w:spacing w:before="120" w:after="20"/>
                              <w:jc w:val="left"/>
                              <w:rPr>
                                <w:rFonts w:ascii="ARIAL" w:hAnsi="ARIAL"/>
                                <w:b/>
                                <w:sz w:val="16"/>
                              </w:rPr>
                            </w:pPr>
                            <w:r>
                              <w:rPr>
                                <w:rFonts w:ascii="ARIAL" w:hAnsi="ARIAL"/>
                                <w:b/>
                                <w:sz w:val="16"/>
                              </w:rPr>
                              <w:t>The Board of Directors recommends you vote FOR all the nominees listed in proposal 1:</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1.  Proposal for the election of directors.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b/>
                                <w:sz w:val="16"/>
                              </w:rPr>
                            </w:pPr>
                            <w:r>
                              <w:rPr>
                                <w:rFonts w:ascii="ARIAL" w:hAnsi="ARIAL"/>
                                <w:b/>
                                <w:sz w:val="16"/>
                              </w:rPr>
                              <w:t>Nominees: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1a.  Louise S. Sams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1b.  Andrew C. Florance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1c.  John L. Berisford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1d.  Angelique G. Brunner</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1e.  Rachel C. Glaser</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1f.   John W. Hill</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1g.  Christine M. McCarthy</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1h.  Robert W. Musslewhite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3175000" cy="4890770"/>
                <wp:effectExtent l="0" t="0" r="0" b="0"/>
                <wp:wrapSquare wrapText="right"/>
                <wp:docPr id="403" name="Frame16"/>
                <a:graphic xmlns:a="http://schemas.openxmlformats.org/drawingml/2006/main">
                  <a:graphicData uri="http://schemas.microsoft.com/office/word/2010/wordprocessingShape">
                    <wps:wsp>
                      <wps:cNvSpPr txBox="1"/>
                      <wps:spPr>
                        <a:xfrm>
                          <a:off x="0" y="0"/>
                          <a:ext cx="3175000" cy="4890770"/>
                        </a:xfrm>
                        <a:prstGeom prst="rect"/>
                        <a:solidFill>
                          <a:srgbClr val="FFFFFF"/>
                        </a:solidFill>
                      </wps:spPr>
                      <wps:txbx>
                        <w:txbxContent>
                          <w:tbl>
                            <w:tblPr>
                              <w:tblW w:w="576" w:type="dxa"/>
                              <w:jc w:val="left"/>
                              <w:tblInd w:w="0" w:type="dxa"/>
                              <w:tblLayout w:type="fixed"/>
                              <w:tblCellMar>
                                <w:top w:w="0" w:type="dxa"/>
                                <w:left w:w="0" w:type="dxa"/>
                                <w:bottom w:w="0" w:type="dxa"/>
                                <w:right w:w="0" w:type="dxa"/>
                              </w:tblCellMar>
                            </w:tblPr>
                            <w:tblGrid>
                              <w:gridCol w:w="38"/>
                              <w:gridCol w:w="60"/>
                              <w:gridCol w:w="38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0" w:type="dxa"/>
                                  <w:tcBorders>
                                    <w:right w:val="single" w:sz="12" w:space="0" w:color="000000"/>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8000"/>
                              <w:gridCol w:w="60"/>
                              <w:gridCol w:w="395"/>
                              <w:gridCol w:w="60"/>
                              <w:gridCol w:w="800"/>
                              <w:gridCol w:w="60"/>
                              <w:gridCol w:w="830"/>
                            </w:tblGrid>
                            <w:tr>
                              <w:trPr/>
                              <w:tc>
                                <w:tcPr>
                                  <w:tcW w:w="8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283"/>
                                    <w:jc w:val="left"/>
                                    <w:rPr>
                                      <w:b/>
                                      <w:sz w:val="16"/>
                                    </w:rPr>
                                  </w:pPr>
                                  <w:r>
                                    <w:rPr>
                                      <w:b/>
                                      <w:sz w:val="16"/>
                                    </w:rPr>
                                    <w:t>The Board of Directors recommends you vote FOR proposals 2, 3 and 4:</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0"/>
                                    <w:jc w:val="left"/>
                                    <w:rPr>
                                      <w:rFonts w:ascii="ARIAL" w:hAnsi="ARIAL"/>
                                      <w:sz w:val="16"/>
                                    </w:rPr>
                                  </w:pPr>
                                  <w:r>
                                    <w:rPr>
                                      <w:rFonts w:ascii="ARIAL" w:hAnsi="ARIAL"/>
                                      <w:sz w:val="16"/>
                                    </w:rPr>
                                    <w:t>2.  Proposal to ratify the appointment of Ernst &amp; Young LLP as the Company’s independent registered public accounting firm for 2026.</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0"/>
                                    <w:jc w:val="left"/>
                                    <w:rPr>
                                      <w:rFonts w:ascii="ARIAL" w:hAnsi="ARIAL"/>
                                      <w:sz w:val="16"/>
                                    </w:rPr>
                                  </w:pPr>
                                  <w:r>
                                    <w:rPr>
                                      <w:rFonts w:ascii="ARIAL" w:hAnsi="ARIAL"/>
                                      <w:sz w:val="16"/>
                                    </w:rPr>
                                    <w:t>3.  Proposal to approve, on an advisory basis, the Company’s executive compensation.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0"/>
                                    <w:jc w:val="left"/>
                                    <w:rPr>
                                      <w:rFonts w:ascii="ARIAL" w:hAnsi="ARIAL"/>
                                      <w:sz w:val="16"/>
                                    </w:rPr>
                                  </w:pPr>
                                  <w:r>
                                    <w:rPr>
                                      <w:rFonts w:ascii="ARIAL" w:hAnsi="ARIAL"/>
                                      <w:sz w:val="16"/>
                                    </w:rPr>
                                    <w:t>4.  Proposal to approve the CoStar Group, Inc. 2026 Employee Stock Purchase Plan.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bl>
                          <w:p>
                            <w:pPr>
                              <w:pStyle w:val="TextBody"/>
                              <w:bidi w:val="0"/>
                              <w:spacing w:before="120" w:after="0"/>
                              <w:ind w:left="0" w:right="1200" w:hanging="0"/>
                              <w:jc w:val="left"/>
                              <w:rPr>
                                <w:rFonts w:ascii="ARIAL" w:hAnsi="ARIAL"/>
                                <w:sz w:val="16"/>
                              </w:rPr>
                            </w:pPr>
                            <w:r>
                              <w:rPr>
                                <w:rFonts w:ascii="ARIAL" w:hAnsi="ARIAL"/>
                                <w:b/>
                                <w:sz w:val="16"/>
                              </w:rPr>
                              <w:t xml:space="preserve">NOTE: </w:t>
                            </w:r>
                            <w:r>
                              <w:rPr>
                                <w:rFonts w:ascii="ARIAL" w:hAnsi="ARIAL"/>
                                <w:sz w:val="16"/>
                              </w:rPr>
                              <w:t xml:space="preserve">I authorize the proxies to vote according to their discretion on any other matters that are properly presented before the Annual Meeting or any adjournment or postponement thereof.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85.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76" w:type="dxa"/>
                        <w:jc w:val="left"/>
                        <w:tblInd w:w="0" w:type="dxa"/>
                        <w:tblLayout w:type="fixed"/>
                        <w:tblCellMar>
                          <w:top w:w="0" w:type="dxa"/>
                          <w:left w:w="0" w:type="dxa"/>
                          <w:bottom w:w="0" w:type="dxa"/>
                          <w:right w:w="0" w:type="dxa"/>
                        </w:tblCellMar>
                      </w:tblPr>
                      <w:tblGrid>
                        <w:gridCol w:w="38"/>
                        <w:gridCol w:w="60"/>
                        <w:gridCol w:w="38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0" w:type="dxa"/>
                            <w:tcBorders>
                              <w:right w:val="single" w:sz="12" w:space="0" w:color="000000"/>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8000"/>
                        <w:gridCol w:w="60"/>
                        <w:gridCol w:w="395"/>
                        <w:gridCol w:w="60"/>
                        <w:gridCol w:w="800"/>
                        <w:gridCol w:w="60"/>
                        <w:gridCol w:w="830"/>
                      </w:tblGrid>
                      <w:tr>
                        <w:trPr/>
                        <w:tc>
                          <w:tcPr>
                            <w:tcW w:w="8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283"/>
                              <w:jc w:val="left"/>
                              <w:rPr>
                                <w:b/>
                                <w:sz w:val="16"/>
                              </w:rPr>
                            </w:pPr>
                            <w:r>
                              <w:rPr>
                                <w:b/>
                                <w:sz w:val="16"/>
                              </w:rPr>
                              <w:t>The Board of Directors recommends you vote FOR proposals 2, 3 and 4:</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0"/>
                              <w:jc w:val="left"/>
                              <w:rPr>
                                <w:rFonts w:ascii="ARIAL" w:hAnsi="ARIAL"/>
                                <w:sz w:val="16"/>
                              </w:rPr>
                            </w:pPr>
                            <w:r>
                              <w:rPr>
                                <w:rFonts w:ascii="ARIAL" w:hAnsi="ARIAL"/>
                                <w:sz w:val="16"/>
                              </w:rPr>
                              <w:t>2.  Proposal to ratify the appointment of Ernst &amp; Young LLP as the Company’s independent registered public accounting firm for 2026.</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0"/>
                              <w:jc w:val="left"/>
                              <w:rPr>
                                <w:rFonts w:ascii="ARIAL" w:hAnsi="ARIAL"/>
                                <w:sz w:val="16"/>
                              </w:rPr>
                            </w:pPr>
                            <w:r>
                              <w:rPr>
                                <w:rFonts w:ascii="ARIAL" w:hAnsi="ARIAL"/>
                                <w:sz w:val="16"/>
                              </w:rPr>
                              <w:t>3.  Proposal to approve, on an advisory basis, the Company’s executive compensation.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800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0"/>
                              <w:jc w:val="left"/>
                              <w:rPr>
                                <w:rFonts w:ascii="ARIAL" w:hAnsi="ARIAL"/>
                                <w:sz w:val="16"/>
                              </w:rPr>
                            </w:pPr>
                            <w:r>
                              <w:rPr>
                                <w:rFonts w:ascii="ARIAL" w:hAnsi="ARIAL"/>
                                <w:sz w:val="16"/>
                              </w:rPr>
                              <w:t>4.  Proposal to approve the CoStar Group, Inc. 2026 Employee Stock Purchase Plan.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bl>
                    <w:p>
                      <w:pPr>
                        <w:pStyle w:val="TextBody"/>
                        <w:bidi w:val="0"/>
                        <w:spacing w:before="120" w:after="0"/>
                        <w:ind w:left="0" w:right="1200" w:hanging="0"/>
                        <w:jc w:val="left"/>
                        <w:rPr>
                          <w:rFonts w:ascii="ARIAL" w:hAnsi="ARIAL"/>
                          <w:sz w:val="16"/>
                        </w:rPr>
                      </w:pPr>
                      <w:r>
                        <w:rPr>
                          <w:rFonts w:ascii="ARIAL" w:hAnsi="ARIAL"/>
                          <w:b/>
                          <w:sz w:val="16"/>
                        </w:rPr>
                        <w:t xml:space="preserve">NOTE: </w:t>
                      </w:r>
                      <w:r>
                        <w:rPr>
                          <w:rFonts w:ascii="ARIAL" w:hAnsi="ARIAL"/>
                          <w:sz w:val="16"/>
                        </w:rPr>
                        <w:t xml:space="preserve">I authorize the proxies to vote according to their discretion on any other matters that are properly presented before the Annual Meeting or any adjournment or postponement thereof. </w:t>
                      </w:r>
                    </w:p>
                  </w:txbxContent>
                </v:textbox>
                <w10:wrap type="square" side="right"/>
              </v:rect>
            </w:pict>
          </mc:Fallback>
        </mc:AlternateContent>
      </w:r>
    </w:p>
    <w:p>
      <w:pPr>
        <w:pStyle w:val="TextBody"/>
        <w:bidi w:val="0"/>
        <w:spacing w:before="0" w:after="0"/>
        <w:jc w:val="left"/>
        <w:rPr>
          <w:bdr w:val="single" w:sz="12" w:space="2" w:color="000000"/>
        </w:rPr>
      </w:pPr>
      <w:r>
        <w:rPr>
          <w:bdr w:val="single" w:sz="12" w:space="2" w:color="00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sz w:val="16"/>
              </w:rPr>
            </w:pPr>
            <w:r>
              <w:rPr>
                <w:rFonts w:ascii="ARIAL" w:hAnsi="ARIAL"/>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bl>
    <w:p>
      <w:pPr>
        <w:pStyle w:val="TextBody"/>
        <w:bidi w:val="0"/>
        <w:spacing w:before="0" w:after="0"/>
        <w:jc w:val="left"/>
        <w:rPr>
          <w:bdr w:val="single" w:sz="12" w:space="2" w:color="000000"/>
        </w:rPr>
      </w:pPr>
      <w:r>
        <w:rPr>
          <w:bdr w:val="single" w:sz="12" w:space="2" w:color="000000"/>
        </w:rPr>
        <w:t> </w:t>
      </w:r>
    </w:p>
    <w:tbl>
      <w:tblPr>
        <w:tblW w:w="10205" w:type="dxa"/>
        <w:jc w:val="left"/>
        <w:tblInd w:w="0" w:type="dxa"/>
        <w:tblLayout w:type="fixed"/>
        <w:tblCellMar>
          <w:top w:w="0" w:type="dxa"/>
          <w:left w:w="0" w:type="dxa"/>
          <w:bottom w:w="0" w:type="dxa"/>
          <w:right w:w="0" w:type="dxa"/>
        </w:tblCellMar>
      </w:tblPr>
      <w:tblGrid>
        <w:gridCol w:w="371"/>
        <w:gridCol w:w="60"/>
        <w:gridCol w:w="2933"/>
        <w:gridCol w:w="60"/>
        <w:gridCol w:w="60"/>
        <w:gridCol w:w="851"/>
        <w:gridCol w:w="60"/>
        <w:gridCol w:w="120"/>
        <w:gridCol w:w="23"/>
        <w:gridCol w:w="23"/>
        <w:gridCol w:w="23"/>
        <w:gridCol w:w="120"/>
        <w:gridCol w:w="23"/>
        <w:gridCol w:w="23"/>
        <w:gridCol w:w="23"/>
        <w:gridCol w:w="120"/>
        <w:gridCol w:w="60"/>
        <w:gridCol w:w="644"/>
        <w:gridCol w:w="60"/>
        <w:gridCol w:w="120"/>
        <w:gridCol w:w="23"/>
        <w:gridCol w:w="23"/>
        <w:gridCol w:w="23"/>
        <w:gridCol w:w="60"/>
        <w:gridCol w:w="1733"/>
        <w:gridCol w:w="60"/>
        <w:gridCol w:w="60"/>
        <w:gridCol w:w="659"/>
        <w:gridCol w:w="60"/>
        <w:gridCol w:w="120"/>
        <w:gridCol w:w="60"/>
        <w:gridCol w:w="1281"/>
        <w:gridCol w:w="60"/>
        <w:gridCol w:w="120"/>
        <w:gridCol w:w="23"/>
        <w:gridCol w:w="23"/>
        <w:gridCol w:w="40"/>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71" w:type="dxa"/>
            <w:tcBorders/>
            <w:vAlign w:val="center"/>
          </w:tcPr>
          <w:p>
            <w:pPr>
              <w:pStyle w:val="TableContents"/>
              <w:bidi w:val="0"/>
              <w:jc w:val="left"/>
              <w:rPr/>
            </w:pPr>
            <w:r>
              <w:rPr/>
            </w:r>
          </w:p>
          <w:p>
            <w:pPr>
              <w:pStyle w:val="TableContents"/>
              <w:bidi w:val="0"/>
              <w:spacing w:before="0" w:after="20"/>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933"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851"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733"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59"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3" w:type="dxa"/>
            <w:tcBorders/>
            <w:vAlign w:val="center"/>
          </w:tcPr>
          <w:p>
            <w:pPr>
              <w:pStyle w:val="TableContents"/>
              <w:bidi w:val="0"/>
              <w:spacing w:before="0" w:after="283"/>
              <w:jc w:val="left"/>
              <w:rPr>
                <w:sz w:val="16"/>
              </w:rPr>
            </w:pPr>
            <w:r>
              <w:rPr>
                <w:sz w:val="16"/>
              </w:rPr>
              <w:t>Signature [PLEASE SIGN WITHIN BOX]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sz w:val="16"/>
              </w:rPr>
            </w:pPr>
            <w:r>
              <w:rPr>
                <w:sz w:val="16"/>
              </w:rP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Signature (Joint Owners)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sz w:val="16"/>
              </w:rPr>
            </w:pPr>
            <w:r>
              <w:rPr>
                <w:sz w:val="16"/>
              </w:rP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6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0" w:after="0"/>
        <w:jc w:val="center"/>
        <w:rPr>
          <w:rFonts w:ascii="ARIAL" w:hAnsi="ARIAL"/>
          <w:sz w:val="19"/>
        </w:rPr>
      </w:pPr>
      <w:r>
        <w:rPr>
          <w:rFonts w:ascii="ARIAL" w:hAnsi="ARIAL"/>
          <w:sz w:val="19"/>
        </w:rPr>
        <w:t xml:space="preserve">The Notice, Proxy Statement and Annual Report to Stockholders are available at www.proxyvote.com. </w:t>
      </w:r>
    </w:p>
    <w:p>
      <w:pPr>
        <w:pStyle w:val="TextBody"/>
        <w:bidi w:val="0"/>
        <w:spacing w:before="0" w:after="0"/>
        <w:jc w:val="left"/>
        <w:rPr/>
      </w:pPr>
      <w:r>
        <w:rPr/>
        <w:t> </w:t>
      </w:r>
    </w:p>
    <w:p>
      <w:pPr>
        <w:pStyle w:val="TextBody"/>
        <w:bidi w:val="0"/>
        <w:spacing w:before="600" w:after="0"/>
        <w:jc w:val="center"/>
        <w:rPr/>
      </w:pPr>
      <w:r>
        <w:rPr/>
        <w:t xml:space="preserve">— — — — — — — — — — — — — — — — — — — — — — — — — — — — — — — — — — — — — — — —  </w:t>
      </w:r>
    </w:p>
    <w:p>
      <w:pPr>
        <w:pStyle w:val="TextBody"/>
        <w:bidi w:val="0"/>
        <w:spacing w:before="20" w:after="0"/>
        <w:jc w:val="right"/>
        <w:rPr>
          <w:rFonts w:ascii="ARIAL" w:hAnsi="ARIAL"/>
          <w:sz w:val="16"/>
        </w:rPr>
      </w:pPr>
      <w:r>
        <w:rPr>
          <w:rFonts w:ascii="ARIAL" w:hAnsi="ARIAL"/>
          <w:sz w:val="16"/>
        </w:rPr>
        <w:t xml:space="preserve">V97065-P53238   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bdr w:val="single" w:sz="12" w:space="2" w:color="000000"/>
        </w:rPr>
      </w:pPr>
      <w:r>
        <w:rPr>
          <w:bdr w:val="single" w:sz="12" w:space="2" w:color="000000"/>
        </w:rPr>
        <w:t> </w:t>
      </w:r>
    </w:p>
    <w:p>
      <w:pPr>
        <w:pStyle w:val="TextBody"/>
        <w:pBdr/>
        <w:bidi w:val="0"/>
        <w:spacing w:before="0" w:after="0"/>
        <w:jc w:val="center"/>
        <w:rPr>
          <w:rFonts w:ascii="ARIAL" w:hAnsi="ARIAL"/>
          <w:b/>
          <w:sz w:val="20"/>
          <w:bdr w:val="single" w:sz="12" w:space="2" w:color="000000"/>
        </w:rPr>
      </w:pPr>
      <w:r>
        <w:rPr>
          <w:rFonts w:ascii="ARIAL" w:hAnsi="ARIAL"/>
          <w:b/>
          <w:sz w:val="20"/>
          <w:bdr w:val="single" w:sz="12" w:space="2" w:color="000000"/>
        </w:rPr>
        <w:t xml:space="preserve">COSTAR GROUP, INC. </w:t>
      </w:r>
    </w:p>
    <w:p>
      <w:pPr>
        <w:pStyle w:val="TextBody"/>
        <w:bidi w:val="0"/>
        <w:spacing w:before="0" w:after="0"/>
        <w:jc w:val="center"/>
        <w:rPr>
          <w:rFonts w:ascii="ARIAL" w:hAnsi="ARIAL"/>
          <w:b/>
          <w:sz w:val="20"/>
          <w:bdr w:val="single" w:sz="12" w:space="2" w:color="000000"/>
        </w:rPr>
      </w:pPr>
      <w:r>
        <w:rPr>
          <w:rFonts w:ascii="ARIAL" w:hAnsi="ARIAL"/>
          <w:b/>
          <w:sz w:val="20"/>
          <w:bdr w:val="single" w:sz="12" w:space="2" w:color="000000"/>
        </w:rPr>
        <w:t xml:space="preserve">Annual Meeting of Stockholders </w:t>
      </w:r>
    </w:p>
    <w:p>
      <w:pPr>
        <w:pStyle w:val="TextBody"/>
        <w:bidi w:val="0"/>
        <w:spacing w:before="0" w:after="0"/>
        <w:jc w:val="center"/>
        <w:rPr>
          <w:rFonts w:ascii="ARIAL" w:hAnsi="ARIAL"/>
          <w:b/>
          <w:sz w:val="20"/>
          <w:bdr w:val="single" w:sz="12" w:space="2" w:color="000000"/>
        </w:rPr>
      </w:pPr>
      <w:r>
        <w:rPr>
          <w:rFonts w:ascii="ARIAL" w:hAnsi="ARIAL"/>
          <w:b/>
          <w:sz w:val="20"/>
          <w:bdr w:val="single" w:sz="12" w:space="2" w:color="000000"/>
        </w:rPr>
        <w:t xml:space="preserve">June 23, 2026 10:00 A.M. EDT </w:t>
      </w:r>
    </w:p>
    <w:p>
      <w:pPr>
        <w:pStyle w:val="TextBody"/>
        <w:bidi w:val="0"/>
        <w:spacing w:before="0" w:after="0"/>
        <w:jc w:val="center"/>
        <w:rPr>
          <w:rFonts w:ascii="ARIAL" w:hAnsi="ARIAL"/>
          <w:b/>
          <w:sz w:val="20"/>
          <w:bdr w:val="single" w:sz="12" w:space="2" w:color="000000"/>
        </w:rPr>
      </w:pPr>
      <w:r>
        <w:rPr>
          <w:rFonts w:ascii="ARIAL" w:hAnsi="ARIAL"/>
          <w:b/>
          <w:sz w:val="20"/>
          <w:bdr w:val="single" w:sz="12" w:space="2" w:color="000000"/>
        </w:rPr>
        <w:t xml:space="preserve">Via the Internet at www.virtualshareholdermeeting.com/CSGP2026 </w:t>
      </w:r>
    </w:p>
    <w:p>
      <w:pPr>
        <w:pStyle w:val="TextBody"/>
        <w:bidi w:val="0"/>
        <w:spacing w:before="0" w:after="0"/>
        <w:jc w:val="center"/>
        <w:rPr>
          <w:rFonts w:ascii="ARIAL" w:hAnsi="ARIAL"/>
          <w:b/>
          <w:sz w:val="20"/>
          <w:bdr w:val="single" w:sz="12" w:space="2" w:color="000000"/>
        </w:rPr>
      </w:pPr>
      <w:r>
        <w:rPr>
          <w:rFonts w:ascii="ARIAL" w:hAnsi="ARIAL"/>
          <w:b/>
          <w:sz w:val="20"/>
          <w:bdr w:val="single" w:sz="12" w:space="2" w:color="000000"/>
        </w:rPr>
        <w:t xml:space="preserve">This proxy is solicited by the Board of Directors </w:t>
      </w:r>
    </w:p>
    <w:p>
      <w:pPr>
        <w:pStyle w:val="TextBody"/>
        <w:bidi w:val="0"/>
        <w:spacing w:before="240" w:after="0"/>
        <w:jc w:val="left"/>
        <w:rPr>
          <w:rFonts w:ascii="ARIAL" w:hAnsi="ARIAL"/>
          <w:sz w:val="20"/>
          <w:bdr w:val="single" w:sz="12" w:space="2" w:color="000000"/>
        </w:rPr>
      </w:pPr>
      <w:r>
        <w:rPr>
          <w:rFonts w:ascii="ARIAL" w:hAnsi="ARIAL"/>
          <w:sz w:val="20"/>
          <w:bdr w:val="single" w:sz="12" w:space="2" w:color="000000"/>
        </w:rPr>
        <w:t xml:space="preserve">The undersigned stockholder of CoStar Group, Inc., a Delaware corporation (the “Company”), hereby acknowledgesreceipt of the Notice of 2026 Annual Meeting of Stockholders and Proxy Statement, each dated April 30, 2026, and of the 2025 Annual Report to Stockholders and hereby revokes any proxy or proxies previously given and hereby appoints Andrew C. Florance, Christian M. Lown and Gene Boxer or any of them, with full power to each of substitution on behalf and in the name of the undersigned, as the proxies and attorneys-in-fact to vote and otherwise represent all of the shares registered in the name of the undersigned at the 2026 Annual Meeting of Stockholders of the Company (the “Annual Meeting”) to be held online at www.virtualshareholdermeeting.com/CSGP2026, at 10:00 a.m. EDT on Tuesday, June 23, 2026, and any adjournment or postponement thereof, with the same effect as if the undersigned were present and voting such shares, on the matters and in the manner set forth on the reverse side of this proxy card. </w:t>
      </w:r>
    </w:p>
    <w:p>
      <w:pPr>
        <w:pStyle w:val="TextBody"/>
        <w:bidi w:val="0"/>
        <w:spacing w:before="240" w:after="0"/>
        <w:jc w:val="left"/>
        <w:rPr>
          <w:rFonts w:ascii="ARIAL" w:hAnsi="ARIAL"/>
          <w:b/>
          <w:sz w:val="20"/>
          <w:bdr w:val="single" w:sz="12" w:space="2" w:color="000000"/>
        </w:rPr>
      </w:pPr>
      <w:r>
        <w:rPr>
          <w:rFonts w:ascii="ARIAL" w:hAnsi="ARIAL"/>
          <w:b/>
          <w:sz w:val="20"/>
          <w:bdr w:val="single" w:sz="12" w:space="2" w:color="000000"/>
        </w:rPr>
        <w:t xml:space="preserve">THIS PROXY, WHEN PROPERLY EXECUTED AND TIMELY DELIVERED, WILL BE VOTED IN THE MANNER DIRECTED HEREIN BY THE UNDERSIGNED STOCKHOLDER. IF NO SUCH DIRECTIONS ARE GIVEN, THIS PROXY WILL BE VOTED “FOR” THE ELECTION OF EACH OF THE DIRECTOR NOMINEES LISTED IN PROPOSAL 1, “FOR” THE RATIFICATION OF THE APPOINTMENT OF THE COMPANY’S INDEPENDENT REGISTERED PUBLIC ACCOUNTING FIRM FOR 2026, “FOR” APPROVAL OF THE ADVISORY RESOLUTION TO APPROVE EXECUTIVE COMPENSATION, AND “FOR” APPROVAL OF THE COSTAR GROUP, INC. 2026 EMPLOYEE STOCK PURCHASE PLAN, AND IN ACCORDANCE WITH THE DISCRETION OF THE PROXIES AS TO SUCH OTHER MATTERS AS MAY PROPERLY COME BEFORE THE ANNUAL MEETING OR ANY ADJOURNMENT OR POSTPONEMENT THEREOF. </w:t>
      </w:r>
    </w:p>
    <w:p>
      <w:pPr>
        <w:pStyle w:val="TextBody"/>
        <w:pBdr/>
        <w:bidi w:val="0"/>
        <w:spacing w:before="600" w:after="0"/>
        <w:jc w:val="center"/>
        <w:rPr>
          <w:rFonts w:ascii="ARIAL" w:hAnsi="ARIAL"/>
          <w:b/>
          <w:sz w:val="20"/>
          <w:bdr w:val="single" w:sz="12" w:space="2" w:color="000000"/>
        </w:rPr>
      </w:pPr>
      <w:r>
        <w:rPr>
          <w:rFonts w:ascii="ARIAL" w:hAnsi="ARIAL"/>
          <w:b/>
          <w:sz w:val="20"/>
          <w:bdr w:val="single" w:sz="12" w:space="2" w:color="000000"/>
        </w:rPr>
        <w:t xml:space="preserve">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3.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3.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1.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3.jpeg"/><Relationship Id="rId36" Type="http://schemas.openxmlformats.org/officeDocument/2006/relationships/image" Target="media/image20.jpeg"/><Relationship Id="rId37" Type="http://schemas.openxmlformats.org/officeDocument/2006/relationships/image" Target="media/image3.jpeg"/><Relationship Id="rId38" Type="http://schemas.openxmlformats.org/officeDocument/2006/relationships/image" Target="media/image21.jpeg"/><Relationship Id="rId39" Type="http://schemas.openxmlformats.org/officeDocument/2006/relationships/image" Target="media/image22.jpeg"/><Relationship Id="rId40" Type="http://schemas.openxmlformats.org/officeDocument/2006/relationships/image" Target="media/image23.jpeg"/><Relationship Id="rId41" Type="http://schemas.openxmlformats.org/officeDocument/2006/relationships/image" Target="media/image3.jpeg"/><Relationship Id="rId42" Type="http://schemas.openxmlformats.org/officeDocument/2006/relationships/image" Target="media/image24.jpeg"/><Relationship Id="rId43" Type="http://schemas.openxmlformats.org/officeDocument/2006/relationships/image" Target="media/image25.jpeg"/><Relationship Id="rId44" Type="http://schemas.openxmlformats.org/officeDocument/2006/relationships/image" Target="media/image26.jpeg"/><Relationship Id="rId45" Type="http://schemas.openxmlformats.org/officeDocument/2006/relationships/image" Target="media/image27.jpeg"/><Relationship Id="rId46" Type="http://schemas.openxmlformats.org/officeDocument/2006/relationships/image" Target="media/image3.jpeg"/><Relationship Id="rId47" Type="http://schemas.openxmlformats.org/officeDocument/2006/relationships/image" Target="media/image28.jpeg"/><Relationship Id="rId48" Type="http://schemas.openxmlformats.org/officeDocument/2006/relationships/image" Target="media/image28.jpeg"/><Relationship Id="rId49" Type="http://schemas.openxmlformats.org/officeDocument/2006/relationships/image" Target="media/image28.jpeg"/><Relationship Id="rId50" Type="http://schemas.openxmlformats.org/officeDocument/2006/relationships/image" Target="media/image28.jpeg"/><Relationship Id="rId51" Type="http://schemas.openxmlformats.org/officeDocument/2006/relationships/image" Target="media/image28.jpeg"/><Relationship Id="rId52" Type="http://schemas.openxmlformats.org/officeDocument/2006/relationships/image" Target="media/image28.jpeg"/><Relationship Id="rId53" Type="http://schemas.openxmlformats.org/officeDocument/2006/relationships/image" Target="media/image28.jpeg"/><Relationship Id="rId54" Type="http://schemas.openxmlformats.org/officeDocument/2006/relationships/image" Target="media/image28.jpeg"/><Relationship Id="rId55" Type="http://schemas.openxmlformats.org/officeDocument/2006/relationships/image" Target="media/image28.jpeg"/><Relationship Id="rId56" Type="http://schemas.openxmlformats.org/officeDocument/2006/relationships/image" Target="media/image29.jpeg"/><Relationship Id="rId57" Type="http://schemas.openxmlformats.org/officeDocument/2006/relationships/image" Target="media/image30.jpeg"/><Relationship Id="rId58" Type="http://schemas.openxmlformats.org/officeDocument/2006/relationships/image" Target="media/image3.jpeg"/><Relationship Id="rId59" Type="http://schemas.openxmlformats.org/officeDocument/2006/relationships/image" Target="media/image31.jpeg"/><Relationship Id="rId60" Type="http://schemas.openxmlformats.org/officeDocument/2006/relationships/image" Target="media/image3.jpeg"/><Relationship Id="rId61" Type="http://schemas.openxmlformats.org/officeDocument/2006/relationships/image" Target="media/image32.jpeg"/><Relationship Id="rId62" Type="http://schemas.openxmlformats.org/officeDocument/2006/relationships/image" Target="media/image33.jpeg"/><Relationship Id="rId63" Type="http://schemas.openxmlformats.org/officeDocument/2006/relationships/image" Target="media/image34.jpeg"/><Relationship Id="rId64" Type="http://schemas.openxmlformats.org/officeDocument/2006/relationships/image" Target="media/image35.jpeg"/><Relationship Id="rId65" Type="http://schemas.openxmlformats.org/officeDocument/2006/relationships/image" Target="media/image36.jpeg"/><Relationship Id="rId66" Type="http://schemas.openxmlformats.org/officeDocument/2006/relationships/image" Target="media/image37.jpeg"/><Relationship Id="rId67" Type="http://schemas.openxmlformats.org/officeDocument/2006/relationships/image" Target="media/image38.jpeg"/><Relationship Id="rId68" Type="http://schemas.openxmlformats.org/officeDocument/2006/relationships/image" Target="media/image39.jpeg"/><Relationship Id="rId69" Type="http://schemas.openxmlformats.org/officeDocument/2006/relationships/image" Target="media/image40.jpeg"/><Relationship Id="rId70" Type="http://schemas.openxmlformats.org/officeDocument/2006/relationships/image" Target="media/image3.jpeg"/><Relationship Id="rId71" Type="http://schemas.openxmlformats.org/officeDocument/2006/relationships/image" Target="media/image41.jpeg"/><Relationship Id="rId72" Type="http://schemas.openxmlformats.org/officeDocument/2006/relationships/image" Target="media/image42.jpeg"/><Relationship Id="rId73" Type="http://schemas.openxmlformats.org/officeDocument/2006/relationships/image" Target="media/image43.jpeg"/><Relationship Id="rId74" Type="http://schemas.openxmlformats.org/officeDocument/2006/relationships/image" Target="media/image44.jpeg"/><Relationship Id="rId75" Type="http://schemas.openxmlformats.org/officeDocument/2006/relationships/image" Target="media/image45.jpeg"/><Relationship Id="rId76" Type="http://schemas.openxmlformats.org/officeDocument/2006/relationships/image" Target="media/image46.jpeg"/><Relationship Id="rId77" Type="http://schemas.openxmlformats.org/officeDocument/2006/relationships/image" Target="media/image47.jpeg"/><Relationship Id="rId78" Type="http://schemas.openxmlformats.org/officeDocument/2006/relationships/image" Target="media/image43.jpeg"/><Relationship Id="rId79" Type="http://schemas.openxmlformats.org/officeDocument/2006/relationships/image" Target="media/image46.jpeg"/><Relationship Id="rId80" Type="http://schemas.openxmlformats.org/officeDocument/2006/relationships/image" Target="media/image48.jpeg"/><Relationship Id="rId81" Type="http://schemas.openxmlformats.org/officeDocument/2006/relationships/image" Target="media/image43.jpeg"/><Relationship Id="rId82" Type="http://schemas.openxmlformats.org/officeDocument/2006/relationships/image" Target="media/image43.jpeg"/><Relationship Id="rId83" Type="http://schemas.openxmlformats.org/officeDocument/2006/relationships/image" Target="media/image49.jpeg"/><Relationship Id="rId84" Type="http://schemas.openxmlformats.org/officeDocument/2006/relationships/image" Target="media/image44.jpeg"/><Relationship Id="rId85" Type="http://schemas.openxmlformats.org/officeDocument/2006/relationships/image" Target="media/image50.jpeg"/><Relationship Id="rId86" Type="http://schemas.openxmlformats.org/officeDocument/2006/relationships/image" Target="media/image43.jpeg"/><Relationship Id="rId87" Type="http://schemas.openxmlformats.org/officeDocument/2006/relationships/image" Target="media/image51.jpeg"/><Relationship Id="rId88" Type="http://schemas.openxmlformats.org/officeDocument/2006/relationships/image" Target="media/image52.jpeg"/><Relationship Id="rId89" Type="http://schemas.openxmlformats.org/officeDocument/2006/relationships/image" Target="media/image52.jpeg"/><Relationship Id="rId90" Type="http://schemas.openxmlformats.org/officeDocument/2006/relationships/image" Target="media/image46.jpeg"/><Relationship Id="rId91" Type="http://schemas.openxmlformats.org/officeDocument/2006/relationships/image" Target="media/image3.jpeg"/><Relationship Id="rId92" Type="http://schemas.openxmlformats.org/officeDocument/2006/relationships/image" Target="media/image53.jpeg"/><Relationship Id="rId93" Type="http://schemas.openxmlformats.org/officeDocument/2006/relationships/image" Target="media/image54.jpeg"/><Relationship Id="rId94" Type="http://schemas.openxmlformats.org/officeDocument/2006/relationships/image" Target="media/image55.jpeg"/><Relationship Id="rId95" Type="http://schemas.openxmlformats.org/officeDocument/2006/relationships/image" Target="media/image56.jpeg"/><Relationship Id="rId96" Type="http://schemas.openxmlformats.org/officeDocument/2006/relationships/image" Target="media/image57.jpeg"/><Relationship Id="rId97" Type="http://schemas.openxmlformats.org/officeDocument/2006/relationships/image" Target="media/image58.jpeg"/><Relationship Id="rId98" Type="http://schemas.openxmlformats.org/officeDocument/2006/relationships/image" Target="media/image59.jpeg"/><Relationship Id="rId99" Type="http://schemas.openxmlformats.org/officeDocument/2006/relationships/image" Target="media/image60.jpeg"/><Relationship Id="rId100" Type="http://schemas.openxmlformats.org/officeDocument/2006/relationships/image" Target="media/image61.jpeg"/><Relationship Id="rId101" Type="http://schemas.openxmlformats.org/officeDocument/2006/relationships/image" Target="media/image62.jpeg"/><Relationship Id="rId102" Type="http://schemas.openxmlformats.org/officeDocument/2006/relationships/image" Target="media/image63.jpeg"/><Relationship Id="rId103" Type="http://schemas.openxmlformats.org/officeDocument/2006/relationships/image" Target="media/image64.jpeg"/><Relationship Id="rId104" Type="http://schemas.openxmlformats.org/officeDocument/2006/relationships/image" Target="media/image65.jpeg"/><Relationship Id="rId105" Type="http://schemas.openxmlformats.org/officeDocument/2006/relationships/image" Target="media/image66.jpeg"/><Relationship Id="rId106" Type="http://schemas.openxmlformats.org/officeDocument/2006/relationships/image" Target="media/image67.jpeg"/><Relationship Id="rId107" Type="http://schemas.openxmlformats.org/officeDocument/2006/relationships/image" Target="media/image68.jpeg"/><Relationship Id="rId108" Type="http://schemas.openxmlformats.org/officeDocument/2006/relationships/image" Target="media/image69.jpeg"/><Relationship Id="rId109" Type="http://schemas.openxmlformats.org/officeDocument/2006/relationships/image" Target="media/image70.jpeg"/><Relationship Id="rId110" Type="http://schemas.openxmlformats.org/officeDocument/2006/relationships/image" Target="media/image71.jpeg"/><Relationship Id="rId111" Type="http://schemas.openxmlformats.org/officeDocument/2006/relationships/image" Target="media/image3.jpeg"/><Relationship Id="rId112" Type="http://schemas.openxmlformats.org/officeDocument/2006/relationships/image" Target="media/image72.jpeg"/><Relationship Id="rId113" Type="http://schemas.openxmlformats.org/officeDocument/2006/relationships/image" Target="media/image72.jpeg"/><Relationship Id="rId114" Type="http://schemas.openxmlformats.org/officeDocument/2006/relationships/image" Target="media/image73.jpeg"/><Relationship Id="rId115" Type="http://schemas.openxmlformats.org/officeDocument/2006/relationships/image" Target="media/image3.jpeg"/><Relationship Id="rId116" Type="http://schemas.openxmlformats.org/officeDocument/2006/relationships/image" Target="media/image73.jpeg"/><Relationship Id="rId117" Type="http://schemas.openxmlformats.org/officeDocument/2006/relationships/image" Target="media/image3.jpeg"/><Relationship Id="rId118" Type="http://schemas.openxmlformats.org/officeDocument/2006/relationships/image" Target="media/image3.jpeg"/><Relationship Id="rId119" Type="http://schemas.openxmlformats.org/officeDocument/2006/relationships/image" Target="media/image3.jpeg"/><Relationship Id="rId120" Type="http://schemas.openxmlformats.org/officeDocument/2006/relationships/image" Target="media/image74.jpeg"/><Relationship Id="rId121" Type="http://schemas.openxmlformats.org/officeDocument/2006/relationships/image" Target="media/image3.jpeg"/><Relationship Id="rId122" Type="http://schemas.openxmlformats.org/officeDocument/2006/relationships/image" Target="media/image3.jpeg"/><Relationship Id="rId123" Type="http://schemas.openxmlformats.org/officeDocument/2006/relationships/image" Target="media/image75.jpeg"/><Relationship Id="rId124" Type="http://schemas.openxmlformats.org/officeDocument/2006/relationships/image" Target="media/image76.jpeg"/><Relationship Id="rId125" Type="http://schemas.openxmlformats.org/officeDocument/2006/relationships/image" Target="media/image77.jpeg"/><Relationship Id="rId126" Type="http://schemas.openxmlformats.org/officeDocument/2006/relationships/image" Target="media/image78.jpeg"/><Relationship Id="rId127" Type="http://schemas.openxmlformats.org/officeDocument/2006/relationships/image" Target="media/image79.jpeg"/><Relationship Id="rId128" Type="http://schemas.openxmlformats.org/officeDocument/2006/relationships/image" Target="media/image80.jpeg"/><Relationship Id="rId129" Type="http://schemas.openxmlformats.org/officeDocument/2006/relationships/image" Target="media/image81.jpeg"/><Relationship Id="rId130" Type="http://schemas.openxmlformats.org/officeDocument/2006/relationships/image" Target="media/image82.jpeg"/><Relationship Id="rId131" Type="http://schemas.openxmlformats.org/officeDocument/2006/relationships/image" Target="media/image83.jpeg"/><Relationship Id="rId132" Type="http://schemas.openxmlformats.org/officeDocument/2006/relationships/image" Target="media/image84.jpeg"/><Relationship Id="rId133" Type="http://schemas.openxmlformats.org/officeDocument/2006/relationships/image" Target="media/image84.jpeg"/><Relationship Id="rId134" Type="http://schemas.openxmlformats.org/officeDocument/2006/relationships/image" Target="media/image83.jpeg"/><Relationship Id="rId135" Type="http://schemas.openxmlformats.org/officeDocument/2006/relationships/image" Target="media/image84.jpeg"/><Relationship Id="rId136" Type="http://schemas.openxmlformats.org/officeDocument/2006/relationships/image" Target="media/image83.jpeg"/><Relationship Id="rId137" Type="http://schemas.openxmlformats.org/officeDocument/2006/relationships/image" Target="media/image83.jpeg"/><Relationship Id="rId138" Type="http://schemas.openxmlformats.org/officeDocument/2006/relationships/image" Target="media/image83.jpeg"/><Relationship Id="rId139" Type="http://schemas.openxmlformats.org/officeDocument/2006/relationships/image" Target="media/image83.jpeg"/><Relationship Id="rId140" Type="http://schemas.openxmlformats.org/officeDocument/2006/relationships/image" Target="media/image83.jpeg"/><Relationship Id="rId141" Type="http://schemas.openxmlformats.org/officeDocument/2006/relationships/image" Target="media/image83.jpeg"/><Relationship Id="rId142" Type="http://schemas.openxmlformats.org/officeDocument/2006/relationships/image" Target="media/image83.jpeg"/><Relationship Id="rId143" Type="http://schemas.openxmlformats.org/officeDocument/2006/relationships/image" Target="media/image83.jpeg"/><Relationship Id="rId144" Type="http://schemas.openxmlformats.org/officeDocument/2006/relationships/image" Target="media/image83.jpeg"/><Relationship Id="rId145" Type="http://schemas.openxmlformats.org/officeDocument/2006/relationships/image" Target="media/image83.jpeg"/><Relationship Id="rId146" Type="http://schemas.openxmlformats.org/officeDocument/2006/relationships/image" Target="media/image83.jpeg"/><Relationship Id="rId147" Type="http://schemas.openxmlformats.org/officeDocument/2006/relationships/image" Target="media/image83.jpeg"/><Relationship Id="rId148" Type="http://schemas.openxmlformats.org/officeDocument/2006/relationships/image" Target="media/image83.jpeg"/><Relationship Id="rId149" Type="http://schemas.openxmlformats.org/officeDocument/2006/relationships/image" Target="media/image83.jpeg"/><Relationship Id="rId150" Type="http://schemas.openxmlformats.org/officeDocument/2006/relationships/image" Target="media/image83.jpeg"/><Relationship Id="rId151" Type="http://schemas.openxmlformats.org/officeDocument/2006/relationships/image" Target="media/image83.jpeg"/><Relationship Id="rId152" Type="http://schemas.openxmlformats.org/officeDocument/2006/relationships/image" Target="media/image83.jpeg"/><Relationship Id="rId153" Type="http://schemas.openxmlformats.org/officeDocument/2006/relationships/image" Target="media/image83.jpeg"/><Relationship Id="rId154" Type="http://schemas.openxmlformats.org/officeDocument/2006/relationships/image" Target="media/image84.jpeg"/><Relationship Id="rId155" Type="http://schemas.openxmlformats.org/officeDocument/2006/relationships/image" Target="media/image84.jpeg"/><Relationship Id="rId156" Type="http://schemas.openxmlformats.org/officeDocument/2006/relationships/image" Target="media/image84.jpeg"/><Relationship Id="rId157" Type="http://schemas.openxmlformats.org/officeDocument/2006/relationships/image" Target="media/image83.jpeg"/><Relationship Id="rId158" Type="http://schemas.openxmlformats.org/officeDocument/2006/relationships/image" Target="media/image84.jpeg"/><Relationship Id="rId159" Type="http://schemas.openxmlformats.org/officeDocument/2006/relationships/image" Target="media/image83.jpeg"/><Relationship Id="rId160" Type="http://schemas.openxmlformats.org/officeDocument/2006/relationships/image" Target="media/image83.jpeg"/><Relationship Id="rId161" Type="http://schemas.openxmlformats.org/officeDocument/2006/relationships/image" Target="media/image83.jpeg"/><Relationship Id="rId162" Type="http://schemas.openxmlformats.org/officeDocument/2006/relationships/image" Target="media/image83.jpeg"/><Relationship Id="rId163" Type="http://schemas.openxmlformats.org/officeDocument/2006/relationships/image" Target="media/image84.jpeg"/><Relationship Id="rId164" Type="http://schemas.openxmlformats.org/officeDocument/2006/relationships/image" Target="media/image83.jpeg"/><Relationship Id="rId165" Type="http://schemas.openxmlformats.org/officeDocument/2006/relationships/image" Target="media/image83.jpeg"/><Relationship Id="rId166" Type="http://schemas.openxmlformats.org/officeDocument/2006/relationships/image" Target="media/image83.jpeg"/><Relationship Id="rId167" Type="http://schemas.openxmlformats.org/officeDocument/2006/relationships/image" Target="media/image84.jpeg"/><Relationship Id="rId168" Type="http://schemas.openxmlformats.org/officeDocument/2006/relationships/image" Target="media/image83.jpeg"/><Relationship Id="rId169" Type="http://schemas.openxmlformats.org/officeDocument/2006/relationships/image" Target="media/image83.jpeg"/><Relationship Id="rId170" Type="http://schemas.openxmlformats.org/officeDocument/2006/relationships/image" Target="media/image84.jpeg"/><Relationship Id="rId171" Type="http://schemas.openxmlformats.org/officeDocument/2006/relationships/image" Target="media/image83.jpeg"/><Relationship Id="rId172" Type="http://schemas.openxmlformats.org/officeDocument/2006/relationships/image" Target="media/image83.jpeg"/><Relationship Id="rId173" Type="http://schemas.openxmlformats.org/officeDocument/2006/relationships/image" Target="media/image83.jpeg"/><Relationship Id="rId174" Type="http://schemas.openxmlformats.org/officeDocument/2006/relationships/image" Target="media/image83.jpeg"/><Relationship Id="rId175" Type="http://schemas.openxmlformats.org/officeDocument/2006/relationships/image" Target="media/image83.jpeg"/><Relationship Id="rId176" Type="http://schemas.openxmlformats.org/officeDocument/2006/relationships/image" Target="media/image83.jpeg"/><Relationship Id="rId177" Type="http://schemas.openxmlformats.org/officeDocument/2006/relationships/image" Target="media/image83.jpeg"/><Relationship Id="rId178" Type="http://schemas.openxmlformats.org/officeDocument/2006/relationships/image" Target="media/image83.jpeg"/><Relationship Id="rId179" Type="http://schemas.openxmlformats.org/officeDocument/2006/relationships/image" Target="media/image83.jpeg"/><Relationship Id="rId180" Type="http://schemas.openxmlformats.org/officeDocument/2006/relationships/image" Target="media/image84.jpeg"/><Relationship Id="rId181" Type="http://schemas.openxmlformats.org/officeDocument/2006/relationships/image" Target="media/image83.jpeg"/><Relationship Id="rId182" Type="http://schemas.openxmlformats.org/officeDocument/2006/relationships/image" Target="media/image83.jpeg"/><Relationship Id="rId183" Type="http://schemas.openxmlformats.org/officeDocument/2006/relationships/image" Target="media/image84.jpeg"/><Relationship Id="rId184" Type="http://schemas.openxmlformats.org/officeDocument/2006/relationships/image" Target="media/image83.jpeg"/><Relationship Id="rId185" Type="http://schemas.openxmlformats.org/officeDocument/2006/relationships/image" Target="media/image83.jpeg"/><Relationship Id="rId186" Type="http://schemas.openxmlformats.org/officeDocument/2006/relationships/image" Target="media/image83.jpeg"/><Relationship Id="rId187" Type="http://schemas.openxmlformats.org/officeDocument/2006/relationships/image" Target="media/image83.jpeg"/><Relationship Id="rId188" Type="http://schemas.openxmlformats.org/officeDocument/2006/relationships/image" Target="media/image84.jpeg"/><Relationship Id="rId189" Type="http://schemas.openxmlformats.org/officeDocument/2006/relationships/image" Target="media/image83.jpeg"/><Relationship Id="rId190" Type="http://schemas.openxmlformats.org/officeDocument/2006/relationships/image" Target="media/image83.jpeg"/><Relationship Id="rId191" Type="http://schemas.openxmlformats.org/officeDocument/2006/relationships/image" Target="media/image84.jpeg"/><Relationship Id="rId192" Type="http://schemas.openxmlformats.org/officeDocument/2006/relationships/image" Target="media/image84.jpeg"/><Relationship Id="rId193" Type="http://schemas.openxmlformats.org/officeDocument/2006/relationships/image" Target="media/image83.jpeg"/><Relationship Id="rId194" Type="http://schemas.openxmlformats.org/officeDocument/2006/relationships/image" Target="media/image83.jpeg"/><Relationship Id="rId195" Type="http://schemas.openxmlformats.org/officeDocument/2006/relationships/image" Target="media/image84.jpeg"/><Relationship Id="rId196" Type="http://schemas.openxmlformats.org/officeDocument/2006/relationships/image" Target="media/image83.jpeg"/><Relationship Id="rId197" Type="http://schemas.openxmlformats.org/officeDocument/2006/relationships/image" Target="media/image83.jpeg"/><Relationship Id="rId198" Type="http://schemas.openxmlformats.org/officeDocument/2006/relationships/image" Target="media/image83.jpeg"/><Relationship Id="rId199" Type="http://schemas.openxmlformats.org/officeDocument/2006/relationships/image" Target="media/image84.jpeg"/><Relationship Id="rId200" Type="http://schemas.openxmlformats.org/officeDocument/2006/relationships/image" Target="media/image83.jpeg"/><Relationship Id="rId201" Type="http://schemas.openxmlformats.org/officeDocument/2006/relationships/image" Target="media/image83.jpeg"/><Relationship Id="rId202" Type="http://schemas.openxmlformats.org/officeDocument/2006/relationships/image" Target="media/image83.jpeg"/><Relationship Id="rId203" Type="http://schemas.openxmlformats.org/officeDocument/2006/relationships/image" Target="media/image83.jpeg"/><Relationship Id="rId204" Type="http://schemas.openxmlformats.org/officeDocument/2006/relationships/image" Target="media/image83.jpeg"/><Relationship Id="rId205" Type="http://schemas.openxmlformats.org/officeDocument/2006/relationships/image" Target="media/image83.jpeg"/><Relationship Id="rId206" Type="http://schemas.openxmlformats.org/officeDocument/2006/relationships/image" Target="media/image83.jpeg"/><Relationship Id="rId207" Type="http://schemas.openxmlformats.org/officeDocument/2006/relationships/image" Target="media/image83.jpeg"/><Relationship Id="rId208" Type="http://schemas.openxmlformats.org/officeDocument/2006/relationships/image" Target="media/image83.jpeg"/><Relationship Id="rId209" Type="http://schemas.openxmlformats.org/officeDocument/2006/relationships/image" Target="media/image83.jpeg"/><Relationship Id="rId210" Type="http://schemas.openxmlformats.org/officeDocument/2006/relationships/image" Target="media/image83.jpeg"/><Relationship Id="rId211" Type="http://schemas.openxmlformats.org/officeDocument/2006/relationships/image" Target="media/image84.jpeg"/><Relationship Id="rId212" Type="http://schemas.openxmlformats.org/officeDocument/2006/relationships/image" Target="media/image84.jpeg"/><Relationship Id="rId213" Type="http://schemas.openxmlformats.org/officeDocument/2006/relationships/image" Target="media/image84.jpeg"/><Relationship Id="rId214" Type="http://schemas.openxmlformats.org/officeDocument/2006/relationships/image" Target="media/image83.jpeg"/><Relationship Id="rId215" Type="http://schemas.openxmlformats.org/officeDocument/2006/relationships/image" Target="media/image84.jpeg"/><Relationship Id="rId216" Type="http://schemas.openxmlformats.org/officeDocument/2006/relationships/image" Target="media/image83.jpeg"/><Relationship Id="rId217" Type="http://schemas.openxmlformats.org/officeDocument/2006/relationships/image" Target="media/image84.jpeg"/><Relationship Id="rId218" Type="http://schemas.openxmlformats.org/officeDocument/2006/relationships/image" Target="media/image84.jpeg"/><Relationship Id="rId219" Type="http://schemas.openxmlformats.org/officeDocument/2006/relationships/image" Target="media/image83.jpeg"/><Relationship Id="rId220" Type="http://schemas.openxmlformats.org/officeDocument/2006/relationships/image" Target="media/image84.jpeg"/><Relationship Id="rId221" Type="http://schemas.openxmlformats.org/officeDocument/2006/relationships/image" Target="media/image84.jpeg"/><Relationship Id="rId222" Type="http://schemas.openxmlformats.org/officeDocument/2006/relationships/image" Target="media/image84.jpeg"/><Relationship Id="rId223" Type="http://schemas.openxmlformats.org/officeDocument/2006/relationships/image" Target="media/image84.jpeg"/><Relationship Id="rId224" Type="http://schemas.openxmlformats.org/officeDocument/2006/relationships/image" Target="media/image84.jpeg"/><Relationship Id="rId225" Type="http://schemas.openxmlformats.org/officeDocument/2006/relationships/image" Target="media/image83.jpeg"/><Relationship Id="rId226" Type="http://schemas.openxmlformats.org/officeDocument/2006/relationships/image" Target="media/image84.jpeg"/><Relationship Id="rId227" Type="http://schemas.openxmlformats.org/officeDocument/2006/relationships/image" Target="media/image83.jpeg"/><Relationship Id="rId228" Type="http://schemas.openxmlformats.org/officeDocument/2006/relationships/image" Target="media/image84.jpeg"/><Relationship Id="rId229" Type="http://schemas.openxmlformats.org/officeDocument/2006/relationships/image" Target="media/image84.jpeg"/><Relationship Id="rId230" Type="http://schemas.openxmlformats.org/officeDocument/2006/relationships/image" Target="media/image84.jpeg"/><Relationship Id="rId231" Type="http://schemas.openxmlformats.org/officeDocument/2006/relationships/image" Target="media/image84.jpeg"/><Relationship Id="rId232" Type="http://schemas.openxmlformats.org/officeDocument/2006/relationships/image" Target="media/image84.jpeg"/><Relationship Id="rId233" Type="http://schemas.openxmlformats.org/officeDocument/2006/relationships/image" Target="media/image84.jpeg"/><Relationship Id="rId234" Type="http://schemas.openxmlformats.org/officeDocument/2006/relationships/image" Target="media/image84.jpeg"/><Relationship Id="rId235" Type="http://schemas.openxmlformats.org/officeDocument/2006/relationships/image" Target="media/image83.jpeg"/><Relationship Id="rId236" Type="http://schemas.openxmlformats.org/officeDocument/2006/relationships/image" Target="media/image84.jpeg"/><Relationship Id="rId237" Type="http://schemas.openxmlformats.org/officeDocument/2006/relationships/image" Target="media/image3.jpeg"/><Relationship Id="rId238" Type="http://schemas.openxmlformats.org/officeDocument/2006/relationships/image" Target="media/image3.jpeg"/><Relationship Id="rId239" Type="http://schemas.openxmlformats.org/officeDocument/2006/relationships/image" Target="media/image85.jpeg"/><Relationship Id="rId240" Type="http://schemas.openxmlformats.org/officeDocument/2006/relationships/image" Target="media/image3.jpeg"/><Relationship Id="rId241" Type="http://schemas.openxmlformats.org/officeDocument/2006/relationships/image" Target="media/image86.jpeg"/><Relationship Id="rId242" Type="http://schemas.openxmlformats.org/officeDocument/2006/relationships/image" Target="media/image3.jpeg"/><Relationship Id="rId243" Type="http://schemas.openxmlformats.org/officeDocument/2006/relationships/image" Target="media/image87.jpeg"/><Relationship Id="rId244" Type="http://schemas.openxmlformats.org/officeDocument/2006/relationships/image" Target="media/image3.jpeg"/><Relationship Id="rId245" Type="http://schemas.openxmlformats.org/officeDocument/2006/relationships/image" Target="media/image88.jpeg"/><Relationship Id="rId246" Type="http://schemas.openxmlformats.org/officeDocument/2006/relationships/image" Target="media/image3.jpeg"/><Relationship Id="rId247" Type="http://schemas.openxmlformats.org/officeDocument/2006/relationships/image" Target="media/image89.jpeg"/><Relationship Id="rId248" Type="http://schemas.openxmlformats.org/officeDocument/2006/relationships/image" Target="media/image3.jpeg"/><Relationship Id="rId249" Type="http://schemas.openxmlformats.org/officeDocument/2006/relationships/image" Target="media/image90.jpeg"/><Relationship Id="rId250" Type="http://schemas.openxmlformats.org/officeDocument/2006/relationships/image" Target="media/image3.jpeg"/><Relationship Id="rId251" Type="http://schemas.openxmlformats.org/officeDocument/2006/relationships/image" Target="media/image91.jpeg"/><Relationship Id="rId252" Type="http://schemas.openxmlformats.org/officeDocument/2006/relationships/image" Target="media/image3.jpeg"/><Relationship Id="rId253" Type="http://schemas.openxmlformats.org/officeDocument/2006/relationships/image" Target="media/image92.jpeg"/><Relationship Id="rId254" Type="http://schemas.openxmlformats.org/officeDocument/2006/relationships/image" Target="media/image3.jpeg"/><Relationship Id="rId255" Type="http://schemas.openxmlformats.org/officeDocument/2006/relationships/image" Target="media/image3.jpeg"/><Relationship Id="rId256" Type="http://schemas.openxmlformats.org/officeDocument/2006/relationships/image" Target="media/image3.jpeg"/><Relationship Id="rId257" Type="http://schemas.openxmlformats.org/officeDocument/2006/relationships/image" Target="media/image93.jpeg"/><Relationship Id="rId258" Type="http://schemas.openxmlformats.org/officeDocument/2006/relationships/image" Target="media/image94.jpeg"/><Relationship Id="rId259" Type="http://schemas.openxmlformats.org/officeDocument/2006/relationships/image" Target="media/image3.jpeg"/><Relationship Id="rId260" Type="http://schemas.openxmlformats.org/officeDocument/2006/relationships/image" Target="media/image95.jpeg"/><Relationship Id="rId261" Type="http://schemas.openxmlformats.org/officeDocument/2006/relationships/image" Target="media/image96.jpeg"/><Relationship Id="rId262" Type="http://schemas.openxmlformats.org/officeDocument/2006/relationships/image" Target="media/image3.jpeg"/><Relationship Id="rId263" Type="http://schemas.openxmlformats.org/officeDocument/2006/relationships/image" Target="media/image3.jpeg"/><Relationship Id="rId264" Type="http://schemas.openxmlformats.org/officeDocument/2006/relationships/image" Target="media/image3.jpeg"/><Relationship Id="rId265" Type="http://schemas.openxmlformats.org/officeDocument/2006/relationships/image" Target="media/image3.jpeg"/><Relationship Id="rId266" Type="http://schemas.openxmlformats.org/officeDocument/2006/relationships/image" Target="media/image3.jpeg"/><Relationship Id="rId267" Type="http://schemas.openxmlformats.org/officeDocument/2006/relationships/image" Target="media/image3.jpeg"/><Relationship Id="rId268" Type="http://schemas.openxmlformats.org/officeDocument/2006/relationships/image" Target="media/image3.jpeg"/><Relationship Id="rId269" Type="http://schemas.openxmlformats.org/officeDocument/2006/relationships/image" Target="media/image97.jpeg"/><Relationship Id="rId270" Type="http://schemas.openxmlformats.org/officeDocument/2006/relationships/image" Target="media/image98.jpeg"/><Relationship Id="rId271" Type="http://schemas.openxmlformats.org/officeDocument/2006/relationships/image" Target="media/image3.jpeg"/><Relationship Id="rId272" Type="http://schemas.openxmlformats.org/officeDocument/2006/relationships/image" Target="media/image99.jpeg"/><Relationship Id="rId273" Type="http://schemas.openxmlformats.org/officeDocument/2006/relationships/image" Target="media/image100.jpeg"/><Relationship Id="rId274" Type="http://schemas.openxmlformats.org/officeDocument/2006/relationships/image" Target="media/image3.jpeg"/><Relationship Id="rId275" Type="http://schemas.openxmlformats.org/officeDocument/2006/relationships/image" Target="media/image101.jpeg"/><Relationship Id="rId276" Type="http://schemas.openxmlformats.org/officeDocument/2006/relationships/image" Target="media/image102.jpeg"/><Relationship Id="rId277" Type="http://schemas.openxmlformats.org/officeDocument/2006/relationships/image" Target="media/image3.jpeg"/><Relationship Id="rId278" Type="http://schemas.openxmlformats.org/officeDocument/2006/relationships/image" Target="media/image74.jpeg"/><Relationship Id="rId279" Type="http://schemas.openxmlformats.org/officeDocument/2006/relationships/image" Target="media/image3.jpeg"/><Relationship Id="rId280" Type="http://schemas.openxmlformats.org/officeDocument/2006/relationships/image" Target="media/image3.jpeg"/><Relationship Id="rId281" Type="http://schemas.openxmlformats.org/officeDocument/2006/relationships/image" Target="media/image3.jpeg"/><Relationship Id="rId282" Type="http://schemas.openxmlformats.org/officeDocument/2006/relationships/image" Target="media/image74.jpeg"/><Relationship Id="rId283" Type="http://schemas.openxmlformats.org/officeDocument/2006/relationships/image" Target="media/image3.jpeg"/><Relationship Id="rId284" Type="http://schemas.openxmlformats.org/officeDocument/2006/relationships/image" Target="media/image103.jpeg"/><Relationship Id="rId285" Type="http://schemas.openxmlformats.org/officeDocument/2006/relationships/image" Target="media/image104.jpeg"/><Relationship Id="rId286" Type="http://schemas.openxmlformats.org/officeDocument/2006/relationships/image" Target="media/image105.jpeg"/><Relationship Id="rId287" Type="http://schemas.openxmlformats.org/officeDocument/2006/relationships/image" Target="media/image3.jpeg"/><Relationship Id="rId288" Type="http://schemas.openxmlformats.org/officeDocument/2006/relationships/image" Target="media/image3.jpeg"/><Relationship Id="rId289" Type="http://schemas.openxmlformats.org/officeDocument/2006/relationships/image" Target="media/image106.jpeg"/><Relationship Id="rId290" Type="http://schemas.openxmlformats.org/officeDocument/2006/relationships/image" Target="media/image107.jpeg"/><Relationship Id="rId291" Type="http://schemas.openxmlformats.org/officeDocument/2006/relationships/image" Target="media/image108.jpeg"/><Relationship Id="rId292" Type="http://schemas.openxmlformats.org/officeDocument/2006/relationships/image" Target="media/image109.jpeg"/><Relationship Id="rId293" Type="http://schemas.openxmlformats.org/officeDocument/2006/relationships/image" Target="media/image110.jpeg"/><Relationship Id="rId294" Type="http://schemas.openxmlformats.org/officeDocument/2006/relationships/image" Target="media/image3.jpeg"/><Relationship Id="rId295" Type="http://schemas.openxmlformats.org/officeDocument/2006/relationships/image" Target="media/image111.jpeg"/><Relationship Id="rId296" Type="http://schemas.openxmlformats.org/officeDocument/2006/relationships/image" Target="media/image3.jpeg"/><Relationship Id="rId297" Type="http://schemas.openxmlformats.org/officeDocument/2006/relationships/image" Target="media/image3.jpeg"/><Relationship Id="rId298" Type="http://schemas.openxmlformats.org/officeDocument/2006/relationships/image" Target="media/image3.jpeg"/><Relationship Id="rId299" Type="http://schemas.openxmlformats.org/officeDocument/2006/relationships/image" Target="media/image112.jpeg"/><Relationship Id="rId300" Type="http://schemas.openxmlformats.org/officeDocument/2006/relationships/image" Target="media/image113.jpeg"/><Relationship Id="rId301" Type="http://schemas.openxmlformats.org/officeDocument/2006/relationships/image" Target="media/image114.jpeg"/><Relationship Id="rId302" Type="http://schemas.openxmlformats.org/officeDocument/2006/relationships/image" Target="media/image115.jpeg"/><Relationship Id="rId303" Type="http://schemas.openxmlformats.org/officeDocument/2006/relationships/image" Target="media/image3.jpeg"/><Relationship Id="rId304" Type="http://schemas.openxmlformats.org/officeDocument/2006/relationships/image" Target="media/image31.jpeg"/><Relationship Id="rId305" Type="http://schemas.openxmlformats.org/officeDocument/2006/relationships/image" Target="media/image3.jpeg"/><Relationship Id="rId306" Type="http://schemas.openxmlformats.org/officeDocument/2006/relationships/image" Target="media/image3.jpeg"/><Relationship Id="rId307" Type="http://schemas.openxmlformats.org/officeDocument/2006/relationships/image" Target="media/image3.jpeg"/><Relationship Id="rId308" Type="http://schemas.openxmlformats.org/officeDocument/2006/relationships/image" Target="media/image116.jpeg"/><Relationship Id="rId309" Type="http://schemas.openxmlformats.org/officeDocument/2006/relationships/image" Target="media/image117.jpeg"/><Relationship Id="rId310" Type="http://schemas.openxmlformats.org/officeDocument/2006/relationships/image" Target="media/image117.jpeg"/><Relationship Id="rId311" Type="http://schemas.openxmlformats.org/officeDocument/2006/relationships/image" Target="media/image118.jpeg"/><Relationship Id="rId312" Type="http://schemas.openxmlformats.org/officeDocument/2006/relationships/image" Target="media/image118.jpeg"/><Relationship Id="rId313" Type="http://schemas.openxmlformats.org/officeDocument/2006/relationships/image" Target="media/image3.jpeg"/><Relationship Id="rId314" Type="http://schemas.openxmlformats.org/officeDocument/2006/relationships/image" Target="media/image3.jpeg"/><Relationship Id="rId315" Type="http://schemas.openxmlformats.org/officeDocument/2006/relationships/image" Target="media/image3.jpeg"/><Relationship Id="rId316" Type="http://schemas.openxmlformats.org/officeDocument/2006/relationships/image" Target="media/image3.jpeg"/><Relationship Id="rId317" Type="http://schemas.openxmlformats.org/officeDocument/2006/relationships/image" Target="media/image119.jpeg"/><Relationship Id="rId318" Type="http://schemas.openxmlformats.org/officeDocument/2006/relationships/image" Target="media/image3.jpeg"/><Relationship Id="rId319" Type="http://schemas.openxmlformats.org/officeDocument/2006/relationships/image" Target="media/image120.jpeg"/><Relationship Id="rId320" Type="http://schemas.openxmlformats.org/officeDocument/2006/relationships/image" Target="media/image121.jpeg"/><Relationship Id="rId321" Type="http://schemas.openxmlformats.org/officeDocument/2006/relationships/image" Target="media/image3.jpeg"/><Relationship Id="rId322" Type="http://schemas.openxmlformats.org/officeDocument/2006/relationships/image" Target="media/image122.jpeg"/><Relationship Id="rId323" Type="http://schemas.openxmlformats.org/officeDocument/2006/relationships/image" Target="media/image123.jpeg"/><Relationship Id="rId324" Type="http://schemas.openxmlformats.org/officeDocument/2006/relationships/image" Target="media/image3.jpeg"/><Relationship Id="rId325" Type="http://schemas.openxmlformats.org/officeDocument/2006/relationships/image" Target="media/image124.jpeg"/><Relationship Id="rId326" Type="http://schemas.openxmlformats.org/officeDocument/2006/relationships/image" Target="media/image3.jpeg"/><Relationship Id="rId327" Type="http://schemas.openxmlformats.org/officeDocument/2006/relationships/image" Target="media/image3.jpeg"/><Relationship Id="rId328" Type="http://schemas.openxmlformats.org/officeDocument/2006/relationships/image" Target="media/image125.jpeg"/><Relationship Id="rId329" Type="http://schemas.openxmlformats.org/officeDocument/2006/relationships/image" Target="media/image3.jpeg"/><Relationship Id="rId330" Type="http://schemas.openxmlformats.org/officeDocument/2006/relationships/image" Target="media/image126.jpeg"/><Relationship Id="rId331" Type="http://schemas.openxmlformats.org/officeDocument/2006/relationships/image" Target="media/image127.jpeg"/><Relationship Id="rId332" Type="http://schemas.openxmlformats.org/officeDocument/2006/relationships/image" Target="media/image3.jpeg"/><Relationship Id="rId333" Type="http://schemas.openxmlformats.org/officeDocument/2006/relationships/image" Target="media/image116.jpeg"/><Relationship Id="rId334" Type="http://schemas.openxmlformats.org/officeDocument/2006/relationships/image" Target="media/image3.jpeg"/><Relationship Id="rId335" Type="http://schemas.openxmlformats.org/officeDocument/2006/relationships/image" Target="media/image128.jpeg"/><Relationship Id="rId336" Type="http://schemas.openxmlformats.org/officeDocument/2006/relationships/image" Target="media/image3.jpeg"/><Relationship Id="rId337" Type="http://schemas.openxmlformats.org/officeDocument/2006/relationships/image" Target="media/image3.jpeg"/><Relationship Id="rId338" Type="http://schemas.openxmlformats.org/officeDocument/2006/relationships/image" Target="media/image3.jpeg"/><Relationship Id="rId339" Type="http://schemas.openxmlformats.org/officeDocument/2006/relationships/image" Target="media/image3.jpeg"/><Relationship Id="rId340" Type="http://schemas.openxmlformats.org/officeDocument/2006/relationships/image" Target="media/image3.jpeg"/><Relationship Id="rId341" Type="http://schemas.openxmlformats.org/officeDocument/2006/relationships/image" Target="media/image3.jpeg"/><Relationship Id="rId342" Type="http://schemas.openxmlformats.org/officeDocument/2006/relationships/image" Target="media/image3.jpeg"/><Relationship Id="rId343" Type="http://schemas.openxmlformats.org/officeDocument/2006/relationships/image" Target="media/image3.jpeg"/><Relationship Id="rId344" Type="http://schemas.openxmlformats.org/officeDocument/2006/relationships/image" Target="media/image3.jpeg"/><Relationship Id="rId345" Type="http://schemas.openxmlformats.org/officeDocument/2006/relationships/image" Target="media/image3.jpeg"/><Relationship Id="rId346" Type="http://schemas.openxmlformats.org/officeDocument/2006/relationships/image" Target="media/image3.jpeg"/><Relationship Id="rId347" Type="http://schemas.openxmlformats.org/officeDocument/2006/relationships/image" Target="media/image3.jpeg"/><Relationship Id="rId348" Type="http://schemas.openxmlformats.org/officeDocument/2006/relationships/image" Target="media/image3.jpeg"/><Relationship Id="rId349" Type="http://schemas.openxmlformats.org/officeDocument/2006/relationships/image" Target="media/image3.jpeg"/><Relationship Id="rId350" Type="http://schemas.openxmlformats.org/officeDocument/2006/relationships/image" Target="media/image3.jpeg"/><Relationship Id="rId351" Type="http://schemas.openxmlformats.org/officeDocument/2006/relationships/image" Target="media/image3.jpeg"/><Relationship Id="rId352" Type="http://schemas.openxmlformats.org/officeDocument/2006/relationships/image" Target="media/image3.jpeg"/><Relationship Id="rId353" Type="http://schemas.openxmlformats.org/officeDocument/2006/relationships/image" Target="media/image3.jpeg"/><Relationship Id="rId354" Type="http://schemas.openxmlformats.org/officeDocument/2006/relationships/image" Target="media/image3.jpeg"/><Relationship Id="rId355" Type="http://schemas.openxmlformats.org/officeDocument/2006/relationships/image" Target="media/image129.jpeg"/><Relationship Id="rId356" Type="http://schemas.openxmlformats.org/officeDocument/2006/relationships/image" Target="media/image130.jpeg"/><Relationship Id="rId357" Type="http://schemas.openxmlformats.org/officeDocument/2006/relationships/image" Target="media/image131.jpeg"/><Relationship Id="rId358" Type="http://schemas.openxmlformats.org/officeDocument/2006/relationships/image" Target="media/image3.jpeg"/><Relationship Id="rId359" Type="http://schemas.openxmlformats.org/officeDocument/2006/relationships/image" Target="media/image3.jpeg"/><Relationship Id="rId360" Type="http://schemas.openxmlformats.org/officeDocument/2006/relationships/image" Target="media/image3.jpeg"/><Relationship Id="rId361" Type="http://schemas.openxmlformats.org/officeDocument/2006/relationships/image" Target="media/image3.jpeg"/><Relationship Id="rId362" Type="http://schemas.openxmlformats.org/officeDocument/2006/relationships/image" Target="media/image3.jpeg"/><Relationship Id="rId363" Type="http://schemas.openxmlformats.org/officeDocument/2006/relationships/image" Target="media/image3.jpeg"/><Relationship Id="rId364" Type="http://schemas.openxmlformats.org/officeDocument/2006/relationships/image" Target="media/image3.jpeg"/><Relationship Id="rId365" Type="http://schemas.openxmlformats.org/officeDocument/2006/relationships/image" Target="media/image74.jpeg"/><Relationship Id="rId366" Type="http://schemas.openxmlformats.org/officeDocument/2006/relationships/image" Target="media/image3.jpeg"/><Relationship Id="rId367" Type="http://schemas.openxmlformats.org/officeDocument/2006/relationships/image" Target="media/image3.jpeg"/><Relationship Id="rId368" Type="http://schemas.openxmlformats.org/officeDocument/2006/relationships/image" Target="media/image3.jpeg"/><Relationship Id="rId369" Type="http://schemas.openxmlformats.org/officeDocument/2006/relationships/image" Target="media/image3.jpeg"/><Relationship Id="rId370" Type="http://schemas.openxmlformats.org/officeDocument/2006/relationships/image" Target="media/image3.jpeg"/><Relationship Id="rId371" Type="http://schemas.openxmlformats.org/officeDocument/2006/relationships/image" Target="media/image3.jpeg"/><Relationship Id="rId372" Type="http://schemas.openxmlformats.org/officeDocument/2006/relationships/image" Target="media/image3.jpeg"/><Relationship Id="rId373" Type="http://schemas.openxmlformats.org/officeDocument/2006/relationships/image" Target="media/image3.jpeg"/><Relationship Id="rId374" Type="http://schemas.openxmlformats.org/officeDocument/2006/relationships/image" Target="media/image3.jpeg"/><Relationship Id="rId375" Type="http://schemas.openxmlformats.org/officeDocument/2006/relationships/image" Target="media/image3.jpeg"/><Relationship Id="rId376" Type="http://schemas.openxmlformats.org/officeDocument/2006/relationships/image" Target="media/image3.jpeg"/><Relationship Id="rId377" Type="http://schemas.openxmlformats.org/officeDocument/2006/relationships/image" Target="media/image3.jpeg"/><Relationship Id="rId378" Type="http://schemas.openxmlformats.org/officeDocument/2006/relationships/image" Target="media/image3.jpeg"/><Relationship Id="rId379" Type="http://schemas.openxmlformats.org/officeDocument/2006/relationships/image" Target="media/image3.jpeg"/><Relationship Id="rId380" Type="http://schemas.openxmlformats.org/officeDocument/2006/relationships/image" Target="media/image3.jpeg"/><Relationship Id="rId381" Type="http://schemas.openxmlformats.org/officeDocument/2006/relationships/image" Target="media/image3.jpeg"/><Relationship Id="rId382" Type="http://schemas.openxmlformats.org/officeDocument/2006/relationships/image" Target="media/image3.jpeg"/><Relationship Id="rId383" Type="http://schemas.openxmlformats.org/officeDocument/2006/relationships/image" Target="media/image3.jpeg"/><Relationship Id="rId384" Type="http://schemas.openxmlformats.org/officeDocument/2006/relationships/image" Target="media/image3.jpeg"/><Relationship Id="rId385" Type="http://schemas.openxmlformats.org/officeDocument/2006/relationships/image" Target="media/image3.jpeg"/><Relationship Id="rId386" Type="http://schemas.openxmlformats.org/officeDocument/2006/relationships/image" Target="media/image3.jpeg"/><Relationship Id="rId387" Type="http://schemas.openxmlformats.org/officeDocument/2006/relationships/image" Target="media/image3.jpeg"/><Relationship Id="rId388" Type="http://schemas.openxmlformats.org/officeDocument/2006/relationships/image" Target="media/image132.jpeg"/><Relationship Id="rId389" Type="http://schemas.openxmlformats.org/officeDocument/2006/relationships/fontTable" Target="fontTable.xml"/><Relationship Id="rId3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119</Pages>
  <Words>57179</Words>
  <Characters>325173</Characters>
  <CharactersWithSpaces>386140</CharactersWithSpaces>
  <Paragraphs>10388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