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0" w:lineRule="exact"/>
        <w:rPr>
          <w:sz w:val="24"/>
          <w:szCs w:val="24"/>
          <w:color w:val="auto"/>
        </w:rPr>
      </w:pPr>
    </w:p>
    <w:p>
      <w:pPr>
        <w:jc w:val="center"/>
        <w:ind w:left="4220" w:right="3020" w:hanging="1564"/>
        <w:spacing w:after="0" w:line="285" w:lineRule="auto"/>
        <w:tabs>
          <w:tab w:leader="none" w:pos="3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1" w:lineRule="exact"/>
        <w:rPr>
          <w:sz w:val="24"/>
          <w:szCs w:val="24"/>
          <w:color w:val="auto"/>
        </w:rPr>
      </w:pPr>
    </w:p>
    <w:p>
      <w:pPr>
        <w:jc w:val="center"/>
        <w:ind w:left="4220" w:right="3000" w:hanging="1557"/>
        <w:spacing w:after="0" w:line="275" w:lineRule="auto"/>
        <w:tabs>
          <w:tab w:leader="none" w:pos="346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color w:val="auto"/>
        </w:rPr>
        <w:t>For the transition period from ______ to 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CoStar Group, Inc.</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12" w:lineRule="exact"/>
        <w:rPr>
          <w:sz w:val="24"/>
          <w:szCs w:val="24"/>
          <w:color w:val="auto"/>
        </w:rPr>
      </w:pPr>
    </w:p>
    <w:tbl>
      <w:tblPr>
        <w:tblLayout w:type="fixed"/>
        <w:tblInd w:w="1400" w:type="dxa"/>
        <w:tblCellMar>
          <w:top w:w="0" w:type="dxa"/>
          <w:left w:w="0" w:type="dxa"/>
          <w:bottom w:w="0" w:type="dxa"/>
          <w:right w:w="0" w:type="dxa"/>
        </w:tblCellMar>
      </w:tblPr>
      <w:tr>
        <w:trPr>
          <w:trHeight w:val="184"/>
        </w:trPr>
        <w:tc>
          <w:tcPr>
            <w:tcW w:w="1600" w:type="dxa"/>
            <w:vAlign w:val="bottom"/>
          </w:tcPr>
          <w:p>
            <w:pPr>
              <w:spacing w:after="0"/>
              <w:rPr>
                <w:sz w:val="15"/>
                <w:szCs w:val="15"/>
                <w:color w:val="auto"/>
              </w:rPr>
            </w:pPr>
          </w:p>
        </w:tc>
        <w:tc>
          <w:tcPr>
            <w:tcW w:w="2660" w:type="dxa"/>
            <w:vAlign w:val="bottom"/>
            <w:gridSpan w:val="2"/>
          </w:tcPr>
          <w:p>
            <w:pPr>
              <w:jc w:val="center"/>
              <w:ind w:right="19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00" w:type="dxa"/>
            <w:vAlign w:val="bottom"/>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52-2091509</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80"/>
        </w:trPr>
        <w:tc>
          <w:tcPr>
            <w:tcW w:w="426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i w:val="1"/>
                <w:iCs w:val="1"/>
                <w:color w:val="auto"/>
                <w:w w:val="99"/>
              </w:rPr>
              <w:t>(State or other jurisdiction of incorporation or organization)</w:t>
            </w:r>
          </w:p>
        </w:tc>
        <w:tc>
          <w:tcPr>
            <w:tcW w:w="3500" w:type="dxa"/>
            <w:vAlign w:val="bottom"/>
          </w:tcPr>
          <w:p>
            <w:pPr>
              <w:jc w:val="center"/>
              <w:ind w:left="1161"/>
              <w:spacing w:after="0"/>
              <w:rPr>
                <w:sz w:val="20"/>
                <w:szCs w:val="20"/>
                <w:color w:val="auto"/>
              </w:rPr>
            </w:pPr>
            <w:r>
              <w:rPr>
                <w:rFonts w:ascii="Times New Roman" w:cs="Times New Roman" w:eastAsia="Times New Roman" w:hAnsi="Times New Roman"/>
                <w:sz w:val="16"/>
                <w:szCs w:val="16"/>
                <w:i w:val="1"/>
                <w:iCs w:val="1"/>
                <w:color w:val="auto"/>
                <w:w w:val="98"/>
              </w:rPr>
              <w:t>(I.R.S. Employer Identification No.)</w:t>
            </w:r>
          </w:p>
        </w:tc>
      </w:tr>
      <w:tr>
        <w:trPr>
          <w:trHeight w:val="411"/>
        </w:trPr>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20" w:type="dxa"/>
            <w:vAlign w:val="bottom"/>
            <w:gridSpan w:val="2"/>
          </w:tcPr>
          <w:p>
            <w:pPr>
              <w:ind w:left="1360"/>
              <w:spacing w:after="0"/>
              <w:rPr>
                <w:sz w:val="20"/>
                <w:szCs w:val="20"/>
                <w:color w:val="auto"/>
              </w:rPr>
            </w:pPr>
            <w:r>
              <w:rPr>
                <w:rFonts w:ascii="Times New Roman" w:cs="Times New Roman" w:eastAsia="Times New Roman" w:hAnsi="Times New Roman"/>
                <w:sz w:val="16"/>
                <w:szCs w:val="16"/>
                <w:b w:val="1"/>
                <w:bCs w:val="1"/>
                <w:color w:val="auto"/>
              </w:rPr>
              <w:t>1331 L Street, NW</w:t>
            </w:r>
          </w:p>
        </w:tc>
      </w:tr>
      <w:tr>
        <w:trPr>
          <w:trHeight w:val="239"/>
        </w:trPr>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2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Washington,</w:t>
            </w:r>
          </w:p>
        </w:tc>
        <w:tc>
          <w:tcPr>
            <w:tcW w:w="3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DC  20005</w:t>
            </w:r>
          </w:p>
        </w:tc>
      </w:tr>
    </w:tbl>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w:t>
      </w:r>
      <w:r>
        <w:rPr>
          <w:rFonts w:ascii="Times New Roman" w:cs="Times New Roman" w:eastAsia="Times New Roman" w:hAnsi="Times New Roman"/>
          <w:sz w:val="15"/>
          <w:szCs w:val="15"/>
          <w:i w:val="1"/>
          <w:iCs w:val="1"/>
          <w:color w:val="auto"/>
        </w:rPr>
        <w:t>dress of principal executive offices) (Zip Code)</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 346-6500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04"/>
        </w:trPr>
        <w:tc>
          <w:tcPr>
            <w:tcW w:w="246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67"/>
        </w:trPr>
        <w:tc>
          <w:tcPr>
            <w:tcW w:w="4640" w:type="dxa"/>
            <w:vAlign w:val="bottom"/>
            <w:gridSpan w:val="3"/>
          </w:tcPr>
          <w:p>
            <w:pPr>
              <w:jc w:val="center"/>
              <w:ind w:left="1401"/>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520" w:type="dxa"/>
            <w:vAlign w:val="bottom"/>
          </w:tcPr>
          <w:p>
            <w:pPr>
              <w:spacing w:after="0"/>
              <w:rPr>
                <w:sz w:val="23"/>
                <w:szCs w:val="2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CSGP</w:t>
            </w:r>
          </w:p>
        </w:tc>
        <w:tc>
          <w:tcPr>
            <w:tcW w:w="260" w:type="dxa"/>
            <w:vAlign w:val="bottom"/>
          </w:tcPr>
          <w:p>
            <w:pPr>
              <w:spacing w:after="0"/>
              <w:rPr>
                <w:sz w:val="23"/>
                <w:szCs w:val="23"/>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bl>
    <w:p>
      <w:pPr>
        <w:spacing w:after="0" w:line="203"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3"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jc w:val="both"/>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760"/>
              <w:spacing w:after="0"/>
              <w:rPr>
                <w:sz w:val="20"/>
                <w:szCs w:val="20"/>
                <w:color w:val="auto"/>
              </w:rPr>
            </w:pPr>
            <w:r>
              <w:rPr>
                <w:rFonts w:ascii="Wingdings" w:cs="Wingdings" w:eastAsia="Wingdings" w:hAnsi="Wingdings"/>
                <w:sz w:val="16"/>
                <w:szCs w:val="16"/>
                <w:b w:val="1"/>
                <w:bCs w:val="1"/>
                <w:color w:val="auto"/>
              </w:rPr>
              <w:t>x</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90" w:lineRule="exact"/>
        <w:rPr>
          <w:sz w:val="24"/>
          <w:szCs w:val="24"/>
          <w:color w:val="auto"/>
        </w:rPr>
      </w:pPr>
    </w:p>
    <w:p>
      <w:pPr>
        <w:ind w:right="312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April 22, 2024, there were 408,342,326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537845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40" w:type="dxa"/>
            <w:vAlign w:val="bottom"/>
            <w:gridSpan w:val="2"/>
            <w:vMerge w:val="continu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36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300" w:type="dxa"/>
            <w:vAlign w:val="bottom"/>
            <w:gridSpan w:val="7"/>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Borders>
              <w:bottom w:val="single" w:sz="8" w:color="0000FF"/>
            </w:tcBorders>
            <w:gridSpan w:val="9"/>
            <w:vMerge w:val="continue"/>
          </w:tcPr>
          <w:p>
            <w:pPr>
              <w:spacing w:after="0"/>
              <w:rPr>
                <w:sz w:val="24"/>
                <w:szCs w:val="24"/>
                <w:color w:val="auto"/>
              </w:rPr>
            </w:pPr>
          </w:p>
        </w:tc>
        <w:tc>
          <w:tcPr>
            <w:tcW w:w="4300" w:type="dxa"/>
            <w:vAlign w:val="bottom"/>
            <w:gridSpan w:val="7"/>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Borders>
              <w:bottom w:val="single" w:sz="8" w:color="0000FF"/>
            </w:tcBorders>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470"/>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40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Changes in Stockholders’ Equity</w:t>
            </w:r>
          </w:p>
        </w:tc>
        <w:tc>
          <w:tcPr>
            <w:tcW w:w="274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424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10</w:t>
            </w:r>
          </w:p>
        </w:tc>
        <w:tc>
          <w:tcPr>
            <w:tcW w:w="0" w:type="dxa"/>
            <w:vAlign w:val="bottom"/>
          </w:tcPr>
          <w:p>
            <w:pPr>
              <w:spacing w:after="0"/>
              <w:rPr>
                <w:sz w:val="1"/>
                <w:szCs w:val="1"/>
                <w:color w:val="auto"/>
              </w:rPr>
            </w:pPr>
          </w:p>
        </w:tc>
      </w:tr>
      <w:tr>
        <w:trPr>
          <w:trHeight w:val="470"/>
        </w:trPr>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w w:val="99"/>
              </w:rPr>
              <w:t>11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634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60" w:type="dxa"/>
            <w:vAlign w:val="bottom"/>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6340" w:type="dxa"/>
            <w:vAlign w:val="bottom"/>
            <w:gridSpan w:val="15"/>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4280" w:type="dxa"/>
            <w:vAlign w:val="bottom"/>
            <w:tcBorders>
              <w:top w:val="single" w:sz="8" w:color="0000FF"/>
            </w:tcBorders>
            <w:gridSpan w:val="12"/>
            <w:vMerge w:val="restart"/>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20" w:type="dxa"/>
            <w:vAlign w:val="bottom"/>
            <w:gridSpan w:val="4"/>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46</w:t>
            </w: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gridSpan w:val="12"/>
            <w:vMerge w:val="continue"/>
          </w:tcPr>
          <w:p>
            <w:pPr>
              <w:spacing w:after="0"/>
              <w:rPr>
                <w:sz w:val="24"/>
                <w:szCs w:val="24"/>
                <w:color w:val="auto"/>
              </w:rPr>
            </w:pPr>
          </w:p>
        </w:tc>
        <w:tc>
          <w:tcPr>
            <w:tcW w:w="3620" w:type="dxa"/>
            <w:vAlign w:val="bottom"/>
            <w:gridSpan w:val="4"/>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9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6580" w:type="dxa"/>
            <w:vAlign w:val="bottom"/>
            <w:gridSpan w:val="12"/>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000" w:type="dxa"/>
            <w:vAlign w:val="bottom"/>
            <w:gridSpan w:val="14"/>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0" w:type="dxa"/>
            <w:vAlign w:val="bottom"/>
          </w:tcPr>
          <w:p>
            <w:pPr>
              <w:spacing w:after="0"/>
              <w:rPr>
                <w:sz w:val="1"/>
                <w:szCs w:val="1"/>
                <w:color w:val="auto"/>
              </w:rPr>
            </w:pPr>
          </w:p>
        </w:tc>
      </w:tr>
      <w:tr>
        <w:trPr>
          <w:trHeight w:val="282"/>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2"/>
            <w:vMerge w:val="continue"/>
          </w:tcPr>
          <w:p>
            <w:pPr>
              <w:spacing w:after="0"/>
              <w:rPr>
                <w:sz w:val="24"/>
                <w:szCs w:val="24"/>
                <w:color w:val="auto"/>
              </w:rPr>
            </w:pPr>
          </w:p>
        </w:tc>
        <w:tc>
          <w:tcPr>
            <w:tcW w:w="7000" w:type="dxa"/>
            <w:vAlign w:val="bottom"/>
            <w:gridSpan w:val="14"/>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42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620" w:type="dxa"/>
            <w:vAlign w:val="bottom"/>
            <w:gridSpan w:val="4"/>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48</w:t>
            </w:r>
          </w:p>
        </w:tc>
        <w:tc>
          <w:tcPr>
            <w:tcW w:w="0" w:type="dxa"/>
            <w:vAlign w:val="bottom"/>
          </w:tcPr>
          <w:p>
            <w:pPr>
              <w:spacing w:after="0"/>
              <w:rPr>
                <w:sz w:val="1"/>
                <w:szCs w:val="1"/>
                <w:color w:val="auto"/>
              </w:rPr>
            </w:pPr>
          </w:p>
        </w:tc>
      </w:tr>
      <w:tr>
        <w:trPr>
          <w:trHeight w:val="282"/>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4280" w:type="dxa"/>
            <w:vAlign w:val="bottom"/>
            <w:tcBorders>
              <w:bottom w:val="single" w:sz="8" w:color="0000FF"/>
            </w:tcBorders>
            <w:gridSpan w:val="12"/>
            <w:vMerge w:val="continue"/>
          </w:tcPr>
          <w:p>
            <w:pPr>
              <w:spacing w:after="0"/>
              <w:rPr>
                <w:sz w:val="24"/>
                <w:szCs w:val="24"/>
                <w:color w:val="auto"/>
              </w:rPr>
            </w:pPr>
          </w:p>
        </w:tc>
        <w:tc>
          <w:tcPr>
            <w:tcW w:w="3620" w:type="dxa"/>
            <w:vAlign w:val="bottom"/>
            <w:gridSpan w:val="4"/>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79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720" w:type="dxa"/>
            <w:vAlign w:val="bottom"/>
            <w:gridSpan w:val="3"/>
            <w:vMerge w:val="restart"/>
          </w:tcPr>
          <w:p>
            <w:pPr>
              <w:jc w:val="center"/>
              <w:ind w:left="1452"/>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7900" w:type="dxa"/>
            <w:vAlign w:val="bottom"/>
            <w:gridSpan w:val="16"/>
            <w:vMerge w:val="continue"/>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2280" w:type="dxa"/>
            <w:vAlign w:val="bottom"/>
            <w:tcBorders>
              <w:top w:val="single" w:sz="8" w:color="0000FF"/>
            </w:tcBorders>
            <w:gridSpan w:val="7"/>
            <w:vMerge w:val="restart"/>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20" w:type="dxa"/>
            <w:vAlign w:val="bottom"/>
            <w:gridSpan w:val="9"/>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48</w:t>
            </w: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gridSpan w:val="7"/>
            <w:vMerge w:val="continue"/>
          </w:tcPr>
          <w:p>
            <w:pPr>
              <w:spacing w:after="0"/>
              <w:rPr>
                <w:sz w:val="24"/>
                <w:szCs w:val="24"/>
                <w:color w:val="auto"/>
              </w:rPr>
            </w:pPr>
          </w:p>
        </w:tc>
        <w:tc>
          <w:tcPr>
            <w:tcW w:w="5620" w:type="dxa"/>
            <w:vAlign w:val="bottom"/>
            <w:gridSpan w:val="9"/>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1300" w:type="dxa"/>
            <w:vAlign w:val="bottom"/>
            <w:tcBorders>
              <w:top w:val="single" w:sz="8" w:color="0000FF"/>
            </w:tcBorders>
            <w:gridSpan w:val="3"/>
            <w:vMerge w:val="restart"/>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vMerge w:val="restart"/>
          </w:tcPr>
          <w:p>
            <w:pPr>
              <w:spacing w:after="0"/>
              <w:rPr>
                <w:sz w:val="16"/>
                <w:szCs w:val="16"/>
                <w:color w:val="auto"/>
              </w:rPr>
            </w:pPr>
          </w:p>
        </w:tc>
        <w:tc>
          <w:tcPr>
            <w:tcW w:w="6160" w:type="dxa"/>
            <w:vAlign w:val="bottom"/>
            <w:gridSpan w:val="10"/>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tcBorders>
              <w:top w:val="single" w:sz="8" w:color="0000FF"/>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48</w:t>
            </w:r>
          </w:p>
        </w:tc>
        <w:tc>
          <w:tcPr>
            <w:tcW w:w="0" w:type="dxa"/>
            <w:vAlign w:val="bottom"/>
          </w:tcPr>
          <w:p>
            <w:pPr>
              <w:spacing w:after="0"/>
              <w:rPr>
                <w:sz w:val="1"/>
                <w:szCs w:val="1"/>
                <w:color w:val="auto"/>
              </w:rPr>
            </w:pPr>
          </w:p>
        </w:tc>
      </w:tr>
      <w:tr>
        <w:trPr>
          <w:trHeight w:val="282"/>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3"/>
            <w:vMerge w:val="continue"/>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6160" w:type="dxa"/>
            <w:vAlign w:val="bottom"/>
            <w:gridSpan w:val="10"/>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40" w:type="dxa"/>
            <w:vAlign w:val="bottom"/>
            <w:tcBorders>
              <w:bottom w:val="single" w:sz="8" w:color="0000FF"/>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79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Exhibits</w:t>
            </w:r>
          </w:p>
        </w:tc>
        <w:tc>
          <w:tcPr>
            <w:tcW w:w="1720" w:type="dxa"/>
            <w:vAlign w:val="bottom"/>
            <w:gridSpan w:val="3"/>
            <w:vMerge w:val="restart"/>
          </w:tcPr>
          <w:p>
            <w:pPr>
              <w:jc w:val="center"/>
              <w:ind w:left="1452"/>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277"/>
        </w:trPr>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7900" w:type="dxa"/>
            <w:vAlign w:val="bottom"/>
            <w:gridSpan w:val="16"/>
            <w:vMerge w:val="continue"/>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40" w:type="dxa"/>
            <w:vAlign w:val="bottom"/>
            <w:gridSpan w:val="2"/>
            <w:vMerge w:val="continue"/>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20" w:type="dxa"/>
            <w:vAlign w:val="bottom"/>
            <w:gridSpan w:val="3"/>
          </w:tcPr>
          <w:p>
            <w:pPr>
              <w:jc w:val="center"/>
              <w:ind w:left="1452"/>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187325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40" w:top="1047"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abbreviations or acronyms used in this Quarterly Report on Form 10-Q (this "Report") are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5755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500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Abbreviation or Acronym</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
        </w:trPr>
        <w:tc>
          <w:tcPr>
            <w:tcW w:w="204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Credit Agreement</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 second amended and restated credit agreement, which amended and restated in its entirety the</w:t>
            </w:r>
          </w:p>
        </w:tc>
      </w:tr>
      <w:tr>
        <w:trPr>
          <w:trHeight w:val="212"/>
        </w:trPr>
        <w:tc>
          <w:tcPr>
            <w:tcW w:w="204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then-existing credit agreement originally entered into on April 1, 2014, dated July 1, 2020, as</w:t>
            </w:r>
          </w:p>
        </w:tc>
      </w:tr>
      <w:tr>
        <w:trPr>
          <w:trHeight w:val="212"/>
        </w:trPr>
        <w:tc>
          <w:tcPr>
            <w:tcW w:w="204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amended by the first amendment to the second amended and restated credit agreement, dated May</w:t>
            </w:r>
          </w:p>
        </w:tc>
      </w:tr>
      <w:tr>
        <w:trPr>
          <w:trHeight w:val="231"/>
        </w:trPr>
        <w:tc>
          <w:tcPr>
            <w:tcW w:w="204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8, 2023.</w:t>
            </w:r>
          </w:p>
        </w:tc>
      </w:tr>
      <w:tr>
        <w:trPr>
          <w:trHeight w:val="41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Form 10-K</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CoStar Group's Annual Report on Form 10-K for the year ended December 31, 2023 filed with</w:t>
            </w:r>
          </w:p>
        </w:tc>
      </w:tr>
      <w:tr>
        <w:trPr>
          <w:trHeight w:val="231"/>
        </w:trPr>
        <w:tc>
          <w:tcPr>
            <w:tcW w:w="204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 on February 21, 2024</w:t>
            </w:r>
          </w:p>
        </w:tc>
      </w:tr>
      <w:tr>
        <w:trPr>
          <w:trHeight w:val="4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4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Immo</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legal entity BIH, a French société par actions simplifiée, the owner and operator of Business</w:t>
            </w:r>
          </w:p>
        </w:tc>
      </w:tr>
      <w:tr>
        <w:trPr>
          <w:trHeight w:val="231"/>
        </w:trPr>
        <w:tc>
          <w:tcPr>
            <w:tcW w:w="2040" w:type="dxa"/>
            <w:vAlign w:val="bottom"/>
          </w:tcPr>
          <w:p>
            <w:pPr>
              <w:spacing w:after="0"/>
              <w:rPr>
                <w:sz w:val="20"/>
                <w:szCs w:val="20"/>
                <w:color w:val="auto"/>
              </w:rPr>
            </w:pP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Immo, a leading commercial real estate news service provider in France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Business Immo Acquisition</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CoStar UK's acquisition of the issued share capital of Business Immo on April 5, 2022</w:t>
            </w:r>
          </w:p>
        </w:tc>
      </w:tr>
      <w:tr>
        <w:trPr>
          <w:trHeight w:val="47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expected credit losses</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41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(also the</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CoStar Group, Inc., a Delaware corporation, one or more of its consolidated</w:t>
            </w:r>
          </w:p>
        </w:tc>
      </w:tr>
      <w:tr>
        <w:trPr>
          <w:trHeight w:val="212"/>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“we,” “us” or</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 or operating segments, or the entirety of CoStar Group, Inc. and its consolidated</w:t>
            </w:r>
          </w:p>
        </w:tc>
      </w:tr>
      <w:tr>
        <w:trPr>
          <w:trHeight w:val="231"/>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Share</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share of the common stock of the Company, par value $0.01 per share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UK</w:t>
            </w:r>
          </w:p>
        </w:tc>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legal entity, CoStar UK Limited, a wholly owned subsidiary of CoStar Group</w:t>
            </w:r>
          </w:p>
        </w:tc>
      </w:tr>
    </w:tbl>
    <w:p>
      <w:pPr>
        <w:spacing w:after="0" w:line="34" w:lineRule="exact"/>
        <w:rPr>
          <w:sz w:val="20"/>
          <w:szCs w:val="20"/>
          <w:color w:val="auto"/>
        </w:rPr>
      </w:pPr>
    </w:p>
    <w:p>
      <w:pPr>
        <w:ind w:left="2100" w:right="1099" w:hanging="2066"/>
        <w:spacing w:after="0" w:line="259" w:lineRule="auto"/>
        <w:rPr>
          <w:sz w:val="20"/>
          <w:szCs w:val="20"/>
          <w:color w:val="auto"/>
        </w:rPr>
      </w:pPr>
      <w:r>
        <w:rPr>
          <w:rFonts w:ascii="Times New Roman" w:cs="Times New Roman" w:eastAsia="Times New Roman" w:hAnsi="Times New Roman"/>
          <w:sz w:val="18"/>
          <w:szCs w:val="18"/>
          <w:color w:val="auto"/>
        </w:rPr>
        <w:t>Covenant Suspension Period A period of time defined in the 2020 Credit Agreement in which we maintain a corporate investment grade rating from any two of Standard &amp; Poor’s Rating Services, Fitch Ratings, Inc. or Moody’s Investors Services, Inc. and no event of default is continuing</w:t>
      </w:r>
    </w:p>
    <w:p>
      <w:pPr>
        <w:spacing w:after="0" w:line="19"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7"/>
          <w:szCs w:val="17"/>
          <w:color w:val="auto"/>
        </w:rPr>
        <w:t>CRI</w:t>
      </w:r>
      <w:r>
        <w:rPr>
          <w:sz w:val="20"/>
          <w:szCs w:val="20"/>
          <w:color w:val="auto"/>
        </w:rPr>
        <w:tab/>
      </w:r>
      <w:r>
        <w:rPr>
          <w:rFonts w:ascii="Times New Roman" w:cs="Times New Roman" w:eastAsia="Times New Roman" w:hAnsi="Times New Roman"/>
          <w:sz w:val="17"/>
          <w:szCs w:val="17"/>
          <w:color w:val="auto"/>
        </w:rPr>
        <w:t>CoStar Realty Information, Inc., a Delaware corporation and wholly owned subsidiary of CoStar</w:t>
      </w:r>
    </w:p>
    <w:p>
      <w:pPr>
        <w:spacing w:after="0" w:line="3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Group, Inc.</w:t>
      </w:r>
    </w:p>
    <w:p>
      <w:pPr>
        <w:spacing w:after="0" w:line="39"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DSUs</w:t>
      </w:r>
      <w:r>
        <w:rPr>
          <w:sz w:val="20"/>
          <w:szCs w:val="20"/>
          <w:color w:val="auto"/>
        </w:rPr>
        <w:tab/>
      </w:r>
      <w:r>
        <w:rPr>
          <w:rFonts w:ascii="Times New Roman" w:cs="Times New Roman" w:eastAsia="Times New Roman" w:hAnsi="Times New Roman"/>
          <w:sz w:val="18"/>
          <w:szCs w:val="18"/>
          <w:color w:val="auto"/>
        </w:rPr>
        <w:t>Deferred Stock Units</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EBITDA</w:t>
      </w:r>
      <w:r>
        <w:rPr>
          <w:sz w:val="20"/>
          <w:szCs w:val="20"/>
          <w:color w:val="auto"/>
        </w:rPr>
        <w:tab/>
      </w:r>
      <w:r>
        <w:rPr>
          <w:rFonts w:ascii="Times New Roman" w:cs="Times New Roman" w:eastAsia="Times New Roman" w:hAnsi="Times New Roman"/>
          <w:sz w:val="18"/>
          <w:szCs w:val="18"/>
          <w:color w:val="auto"/>
        </w:rPr>
        <w:t>Net income before interest income or expense, net; other income or expense, net; loss on debt</w:t>
      </w:r>
    </w:p>
    <w:p>
      <w:pPr>
        <w:spacing w:after="0" w:line="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extinguishment; income taxes; depreciation and amortization</w:t>
      </w:r>
    </w:p>
    <w:p>
      <w:pPr>
        <w:spacing w:after="0" w:line="211"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ESG</w:t>
      </w:r>
      <w:r>
        <w:rPr>
          <w:sz w:val="20"/>
          <w:szCs w:val="20"/>
          <w:color w:val="auto"/>
        </w:rPr>
        <w:tab/>
      </w:r>
      <w:r>
        <w:rPr>
          <w:rFonts w:ascii="Times New Roman" w:cs="Times New Roman" w:eastAsia="Times New Roman" w:hAnsi="Times New Roman"/>
          <w:sz w:val="18"/>
          <w:szCs w:val="18"/>
          <w:color w:val="auto"/>
        </w:rPr>
        <w:t>Environmental, Social and Governance</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ESPP</w:t>
      </w:r>
      <w:r>
        <w:rPr>
          <w:sz w:val="20"/>
          <w:szCs w:val="20"/>
          <w:color w:val="auto"/>
        </w:rPr>
        <w:tab/>
      </w:r>
      <w:r>
        <w:rPr>
          <w:rFonts w:ascii="Times New Roman" w:cs="Times New Roman" w:eastAsia="Times New Roman" w:hAnsi="Times New Roman"/>
          <w:sz w:val="18"/>
          <w:szCs w:val="18"/>
          <w:color w:val="auto"/>
        </w:rPr>
        <w:t>Employee Stock Purchase Plan</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EURIBOR</w:t>
      </w:r>
      <w:r>
        <w:rPr>
          <w:sz w:val="20"/>
          <w:szCs w:val="20"/>
          <w:color w:val="auto"/>
        </w:rPr>
        <w:tab/>
      </w:r>
      <w:r>
        <w:rPr>
          <w:rFonts w:ascii="Times New Roman" w:cs="Times New Roman" w:eastAsia="Times New Roman" w:hAnsi="Times New Roman"/>
          <w:sz w:val="18"/>
          <w:szCs w:val="18"/>
          <w:color w:val="auto"/>
        </w:rPr>
        <w:t>Euro Interbank Offered Rate</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FASB</w:t>
      </w:r>
      <w:r>
        <w:rPr>
          <w:sz w:val="20"/>
          <w:szCs w:val="20"/>
          <w:color w:val="auto"/>
        </w:rPr>
        <w:tab/>
      </w:r>
      <w:r>
        <w:rPr>
          <w:rFonts w:ascii="Times New Roman" w:cs="Times New Roman" w:eastAsia="Times New Roman" w:hAnsi="Times New Roman"/>
          <w:sz w:val="18"/>
          <w:szCs w:val="18"/>
          <w:color w:val="auto"/>
        </w:rPr>
        <w:t>Financial Accounting Standards Board</w:t>
      </w:r>
    </w:p>
    <w:p>
      <w:pPr>
        <w:spacing w:after="0" w:line="23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GAAP</w:t>
      </w:r>
      <w:r>
        <w:rPr>
          <w:sz w:val="20"/>
          <w:szCs w:val="20"/>
          <w:color w:val="auto"/>
        </w:rPr>
        <w:tab/>
      </w:r>
      <w:r>
        <w:rPr>
          <w:rFonts w:ascii="Times New Roman" w:cs="Times New Roman" w:eastAsia="Times New Roman" w:hAnsi="Times New Roman"/>
          <w:sz w:val="18"/>
          <w:szCs w:val="18"/>
          <w:color w:val="auto"/>
        </w:rPr>
        <w:t>Generally accepted accounting principles in the U.S.</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GILTI</w:t>
      </w:r>
      <w:r>
        <w:rPr>
          <w:sz w:val="20"/>
          <w:szCs w:val="20"/>
          <w:color w:val="auto"/>
        </w:rPr>
        <w:tab/>
      </w:r>
      <w:r>
        <w:rPr>
          <w:rFonts w:ascii="Times New Roman" w:cs="Times New Roman" w:eastAsia="Times New Roman" w:hAnsi="Times New Roman"/>
          <w:sz w:val="18"/>
          <w:szCs w:val="18"/>
          <w:color w:val="auto"/>
        </w:rPr>
        <w:t>Global intangible low taxed income inclusion</w:t>
      </w:r>
    </w:p>
    <w:p>
      <w:pPr>
        <w:spacing w:after="0" w:line="58"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Homes Group</w:t>
      </w:r>
      <w:r>
        <w:rPr>
          <w:sz w:val="20"/>
          <w:szCs w:val="20"/>
          <w:color w:val="auto"/>
        </w:rPr>
        <w:tab/>
      </w:r>
      <w:r>
        <w:rPr>
          <w:rFonts w:ascii="Times New Roman" w:cs="Times New Roman" w:eastAsia="Times New Roman" w:hAnsi="Times New Roman"/>
          <w:sz w:val="17"/>
          <w:szCs w:val="17"/>
          <w:color w:val="auto"/>
        </w:rPr>
        <w:t>The legal entity Homes Group, LLC</w:t>
      </w:r>
    </w:p>
    <w:p>
      <w:pPr>
        <w:spacing w:after="0" w:line="23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Homes.com</w:t>
      </w:r>
      <w:r>
        <w:rPr>
          <w:sz w:val="20"/>
          <w:szCs w:val="20"/>
          <w:color w:val="auto"/>
        </w:rPr>
        <w:tab/>
      </w:r>
      <w:r>
        <w:rPr>
          <w:rFonts w:ascii="Times New Roman" w:cs="Times New Roman" w:eastAsia="Times New Roman" w:hAnsi="Times New Roman"/>
          <w:sz w:val="18"/>
          <w:szCs w:val="18"/>
          <w:color w:val="auto"/>
        </w:rPr>
        <w:t>A homes for-sale listings site</w:t>
      </w:r>
    </w:p>
    <w:p>
      <w:pPr>
        <w:spacing w:after="0" w:line="23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Homes.com Acquisition</w:t>
      </w:r>
      <w:r>
        <w:rPr>
          <w:sz w:val="20"/>
          <w:szCs w:val="20"/>
          <w:color w:val="auto"/>
        </w:rPr>
        <w:tab/>
      </w:r>
      <w:r>
        <w:rPr>
          <w:rFonts w:ascii="Times New Roman" w:cs="Times New Roman" w:eastAsia="Times New Roman" w:hAnsi="Times New Roman"/>
          <w:sz w:val="17"/>
          <w:szCs w:val="17"/>
          <w:color w:val="auto"/>
        </w:rPr>
        <w:t>CRI's acquisition of Homes.com completed on May 24, 2021 pursuant to a securities purchase</w:t>
      </w:r>
    </w:p>
    <w:p>
      <w:pPr>
        <w:spacing w:after="0" w:line="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agreement dated April 14, 2021 between Landmark, Homes Group, LLC and CRI</w:t>
      </w:r>
    </w:p>
    <w:p>
      <w:pPr>
        <w:spacing w:after="0" w:line="211"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Homes.com Network</w:t>
      </w:r>
      <w:r>
        <w:rPr>
          <w:sz w:val="20"/>
          <w:szCs w:val="20"/>
          <w:color w:val="auto"/>
        </w:rPr>
        <w:tab/>
      </w:r>
      <w:r>
        <w:rPr>
          <w:rFonts w:ascii="Times New Roman" w:cs="Times New Roman" w:eastAsia="Times New Roman" w:hAnsi="Times New Roman"/>
          <w:sz w:val="17"/>
          <w:szCs w:val="17"/>
          <w:color w:val="auto"/>
        </w:rPr>
        <w:t>Homes.com, the flagship brand of our North American network of online platforms that manage</w:t>
      </w:r>
    </w:p>
    <w:p>
      <w:pPr>
        <w:spacing w:after="0" w:line="24" w:lineRule="exact"/>
        <w:rPr>
          <w:sz w:val="20"/>
          <w:szCs w:val="20"/>
          <w:color w:val="auto"/>
        </w:rPr>
      </w:pPr>
    </w:p>
    <w:p>
      <w:pPr>
        <w:ind w:left="2100" w:right="1499"/>
        <w:spacing w:after="0" w:line="251" w:lineRule="auto"/>
        <w:rPr>
          <w:sz w:val="20"/>
          <w:szCs w:val="20"/>
          <w:color w:val="auto"/>
        </w:rPr>
      </w:pPr>
      <w:r>
        <w:rPr>
          <w:rFonts w:ascii="Times New Roman" w:cs="Times New Roman" w:eastAsia="Times New Roman" w:hAnsi="Times New Roman"/>
          <w:sz w:val="18"/>
          <w:szCs w:val="18"/>
          <w:color w:val="auto"/>
        </w:rPr>
        <w:t>workflow and marketing for residential real estate agents and brokers and provide portals for homebuyers to view residential property listings</w:t>
      </w:r>
    </w:p>
    <w:p>
      <w:pPr>
        <w:spacing w:after="0" w:line="25"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Land.com Network</w:t>
      </w:r>
      <w:r>
        <w:rPr>
          <w:sz w:val="20"/>
          <w:szCs w:val="20"/>
          <w:color w:val="auto"/>
        </w:rPr>
        <w:tab/>
      </w:r>
      <w:r>
        <w:rPr>
          <w:rFonts w:ascii="Times New Roman" w:cs="Times New Roman" w:eastAsia="Times New Roman" w:hAnsi="Times New Roman"/>
          <w:sz w:val="17"/>
          <w:szCs w:val="17"/>
          <w:color w:val="auto"/>
        </w:rPr>
        <w:t>Our network of sites featuring rural lands for sale including: LandsofAmerica, LandAndFarm and</w:t>
      </w:r>
    </w:p>
    <w:p>
      <w:pPr>
        <w:spacing w:after="0" w:line="2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LandWatch</w:t>
      </w:r>
    </w:p>
    <w:p>
      <w:pPr>
        <w:spacing w:after="0" w:line="39"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Landmark</w:t>
      </w:r>
      <w:r>
        <w:rPr>
          <w:sz w:val="20"/>
          <w:szCs w:val="20"/>
          <w:color w:val="auto"/>
        </w:rPr>
        <w:tab/>
      </w:r>
      <w:r>
        <w:rPr>
          <w:rFonts w:ascii="Times New Roman" w:cs="Times New Roman" w:eastAsia="Times New Roman" w:hAnsi="Times New Roman"/>
          <w:sz w:val="18"/>
          <w:szCs w:val="18"/>
          <w:color w:val="auto"/>
        </w:rPr>
        <w:t>Landmark Media Enterprise, LLC</w:t>
      </w:r>
    </w:p>
    <w:p>
      <w:pPr>
        <w:spacing w:after="0" w:line="23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8"/>
          <w:szCs w:val="18"/>
          <w:color w:val="auto"/>
        </w:rPr>
        <w:t>LIBOR</w:t>
      </w:r>
      <w:r>
        <w:rPr>
          <w:sz w:val="20"/>
          <w:szCs w:val="20"/>
          <w:color w:val="auto"/>
        </w:rPr>
        <w:tab/>
      </w:r>
      <w:r>
        <w:rPr>
          <w:rFonts w:ascii="Times New Roman" w:cs="Times New Roman" w:eastAsia="Times New Roman" w:hAnsi="Times New Roman"/>
          <w:sz w:val="18"/>
          <w:szCs w:val="18"/>
          <w:color w:val="auto"/>
        </w:rPr>
        <w:t>London Interbank Offered Rate</w:t>
      </w:r>
    </w:p>
    <w:p>
      <w:pPr>
        <w:sectPr>
          <w:pgSz w:w="11900" w:h="16838" w:orient="portrait"/>
          <w:cols w:equalWidth="0" w:num="1">
            <w:col w:w="10139"/>
          </w:cols>
          <w:pgMar w:left="320" w:top="1047" w:right="1440" w:bottom="5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047" w:right="1440" w:bottom="597"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Abbreviation or Acronym</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
        </w:trPr>
        <w:tc>
          <w:tcPr>
            <w:tcW w:w="204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Matching RSUs</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Awards of matching restricted stock units awarded under the Company's Management Stock</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Purchase Plan</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Matterport, Inc., a Delaware corporation and provider of a technology platform that uses spatial</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data to transform physical buildings and spaces into dimensionally accurate, digital images</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Common Stock</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Each share of Matterport Class A common stock, par value $0.0001 per share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Matrix Merger Sub, Inc., a Delaware corporation and wholly owned subsidiary of the Company</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II</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Matrix Merger Sub II LLC, a Delaware limited liability company and wholly owned subsidiary of</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Company</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Exchange Ratio</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ratio determined based on the average of the volume-weighted average prices at which the</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CoStar Group Shares trade on Nasdaq Global Select Market for the 20 consecutive Trading Days</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defined in the Merger Agreement) ending on (and including) the Trading Day that is three</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Trading Days prior to the date of the First Effective Time (the “Average CoStar Group Share</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Price”) and shall be subject to a symmetrical collar, applied as follows: (i) if the Average CoStar</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Group Share Price is greater than or equal to $94.62 (the “Ceiling Price”), then the Merger</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Exchange Ratio shall be set at 0.02906; (ii) if the Average CoStar Group Share Price is less than</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 equal to $77.42 (the “Floor Price”), then the Merger Exchange Ratio shall be set at 0.03552; or</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(iii) if the Average CoStar Group Share Price is greater than the Floor Price and less than the</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Ceiling Price, then the Merger Exchange Ratio shall be equal to the quotient of (x) $2.75 divided</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(y) the Average CoStar Group Share Price.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MLS</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Multiple listing services</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MSPP</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 Stock Purchase Plan</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OnTheMarket</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legal entity OnTheMarket Ltd. (formerly OnTheMarket Plc), the operator of</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onthemarket.com, a leading U.K. residential property portal.</w:t>
            </w:r>
          </w:p>
        </w:tc>
      </w:tr>
      <w:tr>
        <w:trPr>
          <w:trHeight w:val="418"/>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OnTheMarket Acquisition</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CoStar UK's acquisition of OnTheMarket completed in December 2023, pursuant to Rule 2.7 of</w:t>
            </w:r>
          </w:p>
        </w:tc>
      </w:tr>
      <w:tr>
        <w:trPr>
          <w:trHeight w:val="212"/>
        </w:trPr>
        <w:tc>
          <w:tcPr>
            <w:tcW w:w="2040" w:type="dxa"/>
            <w:vAlign w:val="bottom"/>
          </w:tcPr>
          <w:p>
            <w:pPr>
              <w:spacing w:after="0"/>
              <w:rPr>
                <w:sz w:val="18"/>
                <w:szCs w:val="18"/>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United Kingdom City Code on Takeovers and Mergers. The acquisition has been implemented</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 means of a court-sanctioned scheme of arrangement under the U.K. Companies Act 2006</w:t>
            </w:r>
          </w:p>
        </w:tc>
      </w:tr>
      <w:tr>
        <w:trPr>
          <w:trHeight w:val="47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Right-of-use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4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2.800% notes issued by CoStar Group, Inc. due July 15, 2030</w:t>
            </w:r>
          </w:p>
        </w:tc>
      </w:tr>
      <w:tr>
        <w:trPr>
          <w:trHeight w:val="4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SONIA</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Sterling Overnight Index Average</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STR, LLC together with STR Global Ltd is a global data and analytics company that specializes</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benchmarking hotel performance and providing market insights to the industry</w:t>
            </w:r>
          </w:p>
        </w:tc>
      </w:tr>
      <w:tr>
        <w:trPr>
          <w:trHeight w:val="437"/>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Ten-X</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legal entity Ten-X Holding Company, Inc. and its directly and indirectly owned subsidiaries</w:t>
            </w:r>
          </w:p>
        </w:tc>
      </w:tr>
      <w:tr>
        <w:trPr>
          <w:trHeight w:val="24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forward-looking SOFR term rates administered by CME Group Benchmark Administration</w:t>
            </w:r>
          </w:p>
        </w:tc>
      </w:tr>
      <w:tr>
        <w:trPr>
          <w:trHeight w:val="231"/>
        </w:trPr>
        <w:tc>
          <w:tcPr>
            <w:tcW w:w="2040" w:type="dxa"/>
            <w:vAlign w:val="bottom"/>
          </w:tcPr>
          <w:p>
            <w:pPr>
              <w:spacing w:after="0"/>
              <w:rPr>
                <w:sz w:val="20"/>
                <w:szCs w:val="20"/>
                <w:color w:val="auto"/>
              </w:rPr>
            </w:pP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Limited</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w:t>
            </w:r>
          </w:p>
        </w:tc>
      </w:tr>
      <w:tr>
        <w:trPr>
          <w:trHeight w:val="265"/>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United States of America</w:t>
            </w:r>
          </w:p>
        </w:tc>
      </w:tr>
      <w:tr>
        <w:trPr>
          <w:trHeight w:val="875"/>
        </w:trPr>
        <w:tc>
          <w:tcPr>
            <w:tcW w:w="2040" w:type="dxa"/>
            <w:vAlign w:val="bottom"/>
          </w:tcPr>
          <w:p>
            <w:pPr>
              <w:spacing w:after="0"/>
              <w:rPr>
                <w:sz w:val="24"/>
                <w:szCs w:val="24"/>
                <w:color w:val="auto"/>
              </w:rPr>
            </w:pPr>
          </w:p>
        </w:tc>
        <w:tc>
          <w:tcPr>
            <w:tcW w:w="702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24"/>
                <w:szCs w:val="24"/>
                <w:color w:val="auto"/>
              </w:rPr>
            </w:pPr>
          </w:p>
        </w:tc>
      </w:tr>
      <w:tr>
        <w:trPr>
          <w:trHeight w:val="284"/>
        </w:trPr>
        <w:tc>
          <w:tcPr>
            <w:tcW w:w="204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5755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5005" cy="8255"/>
                    </a:xfrm>
                    <a:prstGeom prst="rect">
                      <a:avLst/>
                    </a:prstGeom>
                    <a:noFill/>
                  </pic:spPr>
                </pic:pic>
              </a:graphicData>
            </a:graphic>
          </wp:anchor>
        </w:drawing>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4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5"/>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65"/>
        </w:trPr>
        <w:tc>
          <w:tcPr>
            <w:tcW w:w="8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4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3"/>
        </w:trPr>
        <w:tc>
          <w:tcPr>
            <w:tcW w:w="86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2"/>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outstanding shares - basic</w:t>
            </w: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Weighted-average outstanding shares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0"/>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w w:val="98"/>
              </w:rPr>
              <w:t>(4.3)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040" w:type="dxa"/>
            <w:vAlign w:val="bottom"/>
            <w:vMerge w:val="restart"/>
          </w:tcPr>
          <w:p>
            <w:pPr>
              <w:ind w:left="3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0" w:type="dxa"/>
            <w:vAlign w:val="bottom"/>
          </w:tcPr>
          <w:p>
            <w:pPr>
              <w:spacing w:after="0"/>
              <w:rPr>
                <w:sz w:val="1"/>
                <w:szCs w:val="1"/>
                <w:color w:val="auto"/>
              </w:rPr>
            </w:pPr>
          </w:p>
        </w:tc>
      </w:tr>
      <w:tr>
        <w:trPr>
          <w:trHeight w:val="24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3"/>
        </w:trPr>
        <w:tc>
          <w:tcPr>
            <w:tcW w:w="8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3"/>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5,476.1</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3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right-of-use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3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commission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4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40" w:type="dxa"/>
            <w:vAlign w:val="bottom"/>
            <w:tcBorders>
              <w:bottom w:val="single" w:sz="8" w:color="CCEEFF"/>
            </w:tcBorders>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65"/>
        </w:trPr>
        <w:tc>
          <w:tcPr>
            <w:tcW w:w="8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4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0" w:type="dxa"/>
            <w:vAlign w:val="bottom"/>
          </w:tcPr>
          <w:p>
            <w:pPr>
              <w:spacing w:after="0"/>
              <w:rPr>
                <w:sz w:val="1"/>
                <w:szCs w:val="1"/>
                <w:color w:val="auto"/>
              </w:rPr>
            </w:pPr>
          </w:p>
        </w:tc>
      </w:tr>
      <w:tr>
        <w:trPr>
          <w:trHeight w:val="245"/>
        </w:trPr>
        <w:tc>
          <w:tcPr>
            <w:tcW w:w="80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0" w:type="dxa"/>
            <w:vAlign w:val="bottom"/>
          </w:tcPr>
          <w:p>
            <w:pPr>
              <w:spacing w:after="0"/>
              <w:rPr>
                <w:sz w:val="1"/>
                <w:szCs w:val="1"/>
                <w:color w:val="auto"/>
              </w:rPr>
            </w:pPr>
          </w:p>
        </w:tc>
      </w:tr>
      <w:tr>
        <w:trPr>
          <w:trHeight w:val="25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00"/>
          </w:cols>
          <w:pgMar w:left="320" w:top="1047" w:right="379" w:bottom="1440" w:gutter="0" w:footer="0" w:header="0"/>
        </w:sectPr>
      </w:pP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47" w:right="3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18"/>
                <w:szCs w:val="18"/>
                <w:color w:val="auto"/>
              </w:rPr>
            </w:pPr>
          </w:p>
        </w:tc>
        <w:tc>
          <w:tcPr>
            <w:tcW w:w="206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6"/>
                <w:szCs w:val="16"/>
                <w:color w:val="auto"/>
              </w:rPr>
            </w:pPr>
          </w:p>
        </w:tc>
        <w:tc>
          <w:tcPr>
            <w:tcW w:w="108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6"/>
                <w:szCs w:val="16"/>
                <w:color w:val="auto"/>
              </w:rPr>
            </w:pPr>
          </w:p>
        </w:tc>
        <w:tc>
          <w:tcPr>
            <w:tcW w:w="1260" w:type="dxa"/>
            <w:vAlign w:val="bottom"/>
          </w:tcPr>
          <w:p>
            <w:pPr>
              <w:jc w:val="center"/>
              <w:ind w:right="52"/>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6"/>
        </w:trPr>
        <w:tc>
          <w:tcPr>
            <w:tcW w:w="3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0" w:type="dxa"/>
            <w:vAlign w:val="bottom"/>
          </w:tcPr>
          <w:p>
            <w:pPr>
              <w:spacing w:after="0"/>
              <w:rPr>
                <w:sz w:val="1"/>
                <w:szCs w:val="1"/>
                <w:color w:val="auto"/>
              </w:rPr>
            </w:pPr>
          </w:p>
        </w:tc>
      </w:tr>
      <w:tr>
        <w:trPr>
          <w:trHeight w:val="233"/>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8"/>
        </w:trPr>
        <w:tc>
          <w:tcPr>
            <w:tcW w:w="3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grants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5"/>
        </w:trPr>
        <w:tc>
          <w:tcPr>
            <w:tcW w:w="3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20" w:type="dxa"/>
            <w:vAlign w:val="bottom"/>
          </w:tcPr>
          <w:p>
            <w:pPr>
              <w:spacing w:after="0"/>
              <w:rPr>
                <w:sz w:val="18"/>
                <w:szCs w:val="18"/>
                <w:color w:val="auto"/>
              </w:rPr>
            </w:pPr>
          </w:p>
        </w:tc>
        <w:tc>
          <w:tcPr>
            <w:tcW w:w="206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6"/>
                <w:szCs w:val="16"/>
                <w:color w:val="auto"/>
              </w:rPr>
            </w:pPr>
          </w:p>
        </w:tc>
        <w:tc>
          <w:tcPr>
            <w:tcW w:w="20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8"/>
                <w:szCs w:val="18"/>
                <w:b w:val="1"/>
                <w:bCs w:val="1"/>
                <w:color w:val="auto"/>
                <w:w w:val="96"/>
              </w:rPr>
              <w:t>Comprehensive</w:t>
            </w:r>
          </w:p>
        </w:tc>
        <w:tc>
          <w:tcPr>
            <w:tcW w:w="180" w:type="dxa"/>
            <w:vAlign w:val="bottom"/>
          </w:tcPr>
          <w:p>
            <w:pPr>
              <w:spacing w:after="0"/>
              <w:rPr>
                <w:sz w:val="16"/>
                <w:szCs w:val="16"/>
                <w:color w:val="auto"/>
              </w:rPr>
            </w:pPr>
          </w:p>
        </w:tc>
        <w:tc>
          <w:tcPr>
            <w:tcW w:w="108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6"/>
                <w:szCs w:val="16"/>
                <w:color w:val="auto"/>
              </w:rPr>
            </w:pPr>
          </w:p>
        </w:tc>
        <w:tc>
          <w:tcPr>
            <w:tcW w:w="1280" w:type="dxa"/>
            <w:vAlign w:val="bottom"/>
          </w:tcPr>
          <w:p>
            <w:pPr>
              <w:jc w:val="center"/>
              <w:ind w:right="72"/>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5"/>
        </w:trPr>
        <w:tc>
          <w:tcPr>
            <w:tcW w:w="3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5,065.5</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0" w:type="dxa"/>
            <w:vAlign w:val="bottom"/>
          </w:tcPr>
          <w:p>
            <w:pPr>
              <w:spacing w:after="0"/>
              <w:rPr>
                <w:sz w:val="1"/>
                <w:szCs w:val="1"/>
                <w:color w:val="auto"/>
              </w:rPr>
            </w:pPr>
          </w:p>
        </w:tc>
      </w:tr>
      <w:tr>
        <w:trPr>
          <w:trHeight w:val="198"/>
        </w:trPr>
        <w:tc>
          <w:tcPr>
            <w:tcW w:w="34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14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vMerge w:val="continue"/>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8"/>
        </w:trPr>
        <w:tc>
          <w:tcPr>
            <w:tcW w:w="34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grants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0"/>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5,069.8</w:t>
            </w:r>
          </w:p>
        </w:tc>
        <w:tc>
          <w:tcPr>
            <w:tcW w:w="1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1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6,965.6</w:t>
            </w: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19685</wp:posOffset>
            </wp:positionV>
            <wp:extent cx="17665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8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Senior Notes discount and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Credit loss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9"/>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2"/>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equipment and other assets for new campuses</w:t>
            </w:r>
          </w:p>
        </w:tc>
        <w:tc>
          <w:tcPr>
            <w:tcW w:w="30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72"/>
        </w:trPr>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00"/>
          </w:cols>
          <w:pgMar w:left="320" w:top="1086" w:right="379" w:bottom="244"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0946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Repurchase of restricted stock to satisfy tax withholding obligations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09460"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financing activities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094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946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65"/>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65"/>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12"/>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00" w:lineRule="exact"/>
        <w:rPr>
          <w:sz w:val="20"/>
          <w:szCs w:val="20"/>
          <w:color w:val="auto"/>
        </w:rPr>
      </w:pPr>
    </w:p>
    <w:p>
      <w:pPr>
        <w:sectPr>
          <w:pgSz w:w="11900" w:h="16838" w:orient="portrait"/>
          <w:cols w:equalWidth="0" w:num="2">
            <w:col w:w="7700" w:space="720"/>
            <w:col w:w="2780"/>
          </w:cols>
          <w:pgMar w:left="320" w:top="1086" w:right="379" w:bottom="244" w:gutter="0" w:footer="0" w:header="0"/>
          <w:type w:val="continuous"/>
        </w:sectPr>
      </w:pPr>
    </w:p>
    <w:p>
      <w:pPr>
        <w:spacing w:after="0" w:line="125" w:lineRule="exact"/>
        <w:rPr>
          <w:sz w:val="20"/>
          <w:szCs w:val="20"/>
          <w:color w:val="auto"/>
        </w:rPr>
      </w:pPr>
    </w:p>
    <w:p>
      <w:pPr>
        <w:ind w:left="20" w:right="2660"/>
        <w:spacing w:after="0" w:line="335" w:lineRule="auto"/>
        <w:rPr>
          <w:sz w:val="20"/>
          <w:szCs w:val="20"/>
          <w:color w:val="auto"/>
        </w:rPr>
      </w:pPr>
      <w:r>
        <w:rPr>
          <w:rFonts w:ascii="Times New Roman" w:cs="Times New Roman" w:eastAsia="Times New Roman" w:hAnsi="Times New Roman"/>
          <w:sz w:val="18"/>
          <w:szCs w:val="18"/>
          <w:color w:val="auto"/>
        </w:rPr>
        <w:t>Effect of foreign currency exchange rates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09460" cy="277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9460" cy="27749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09460" cy="19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9460" cy="19367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7109460" cy="168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94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12"/>
        </w:trPr>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345"/>
        </w:trPr>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4,968.0</w:t>
            </w:r>
          </w:p>
        </w:tc>
      </w:tr>
      <w:tr>
        <w:trPr>
          <w:trHeight w:val="25"/>
        </w:trPr>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3"/>
        </w:trPr>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100" w:type="dxa"/>
            <w:vAlign w:val="bottom"/>
          </w:tcPr>
          <w:p>
            <w:pPr>
              <w:spacing w:after="0"/>
              <w:rPr>
                <w:sz w:val="20"/>
                <w:szCs w:val="20"/>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5,055.7</w:t>
            </w:r>
          </w:p>
        </w:tc>
      </w:tr>
      <w:tr>
        <w:trPr>
          <w:trHeight w:val="26"/>
        </w:trPr>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700" w:space="720"/>
            <w:col w:w="2780"/>
          </w:cols>
          <w:pgMar w:left="320" w:top="1086" w:right="379" w:bottom="244"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23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
        </w:trPr>
        <w:tc>
          <w:tcPr>
            <w:tcW w:w="66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236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6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2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9"/>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capital expenditures and non-cash landlord incentives</w:t>
            </w:r>
          </w:p>
        </w:tc>
        <w:tc>
          <w:tcPr>
            <w:tcW w:w="23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00"/>
          </w:cols>
          <w:pgMar w:left="320" w:top="1086" w:right="379" w:bottom="244"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086" w:right="379" w:bottom="244" w:gutter="0" w:footer="0" w:header="0"/>
          <w:type w:val="continuous"/>
        </w:sectPr>
      </w:pPr>
    </w:p>
    <w:bookmarkStart w:id="10" w:name="page11"/>
    <w:bookmarkEnd w:id="10"/>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9" w:lineRule="exact"/>
        <w:rPr>
          <w:sz w:val="20"/>
          <w:szCs w:val="20"/>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CoStar Group (the “Company”) provides information, analytics, online marketplaces and auction services to the commercial real estate and related business community through its comprehensive, proprietary database of commercial real estate information and related tools. The Company provides online marketplaces for commercial real estate, apartment rentals, residential real estate, land for sale and businesses for sale, and its services are typically distributed to its clients under subscription-based agreements that typically renew automatically, a majority of which have a term of at least one year. The Company operates within two operating segments, North America, which includes the U.S. and Canada, and International, which primarily includes Europe, Asia-Pacific and Latin America.</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acquired OnTheMarket in December 2023. Through the previous Homes.com Acquisition, and the OnTheMarket Acquisition, the Company also offers online platforms that manage workflow and marketing for residential real estate agents and brokers and provide portals for homebuyers to view residential property listings. See Note 5 for further discussion of the OnTheMarket Acquisition.</w:t>
      </w:r>
    </w:p>
    <w:p>
      <w:pPr>
        <w:spacing w:after="0" w:line="149" w:lineRule="exact"/>
        <w:rPr>
          <w:sz w:val="20"/>
          <w:szCs w:val="20"/>
          <w:color w:val="auto"/>
        </w:rPr>
      </w:pPr>
    </w:p>
    <w:p>
      <w:pPr>
        <w:ind w:right="6000" w:firstLine="6"/>
        <w:spacing w:after="0" w:line="446" w:lineRule="auto"/>
        <w:tabs>
          <w:tab w:leader="none" w:pos="63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GAAP for interim financial information. In the opinion of the Company’s management, the financial statements reflect all adjustments, consisting only of a normal recurring nature, necessary to present fairly the Company’s financial position at March 31, 2024 and December 31, 2023, the results of its operations for the three months ended March 31, 2024 and 2023, its comprehensive income for the three months ended March 31, 2024 and 2023, its changes in stockholders' equity for the three months ended March 31, 2024 and 2023 and its cash flows for the three months ended March 31, 2024 and 2023.</w:t>
      </w:r>
    </w:p>
    <w:p>
      <w:pPr>
        <w:spacing w:after="0" w:line="1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Certain notes and other information have been condensed or omitted from the interim financial statements presented in this Report. Therefore, these financial statements should be read in conjunction with the Company’s 2023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income taxes, accounting for business combinations, stock-based compensation, estimating the Company's incremental borrowing rate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derives revenues primarily by (i) providing access to its proprietary database of commercial real estate information, including benchmarking and analytics for the hospitality industry, and (ii) providing online marketplaces for professional property management companies, property owners, real estate agents and brokers and landlords, in each case, typically through a fixed monthly fee for its subscription-based services. Other subscription-based services include (i) real estate and lease management solutions to commercial customers, real estate investors and lenders, (ii) access to applications to</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manage workflow and advertising and marketing services for residential real estate agents and (iii) market research, portfolio and debt analysis, management and reporting capabilities.</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Subscription contract rates are generally based on the number of sites, number of users, organization size, the client’s business focus, geography, the number of properties reported on or analyzed, the number and types of services to which a client subscribes, the number of properties a client advertises, the number of transactions and average transaction size a broker or agent has closed and the prominence and placement of a client's advertised properties in the search results. The Company’s subscription-based license or membership agreements typically renew automatically, and a majority have a term of at least one year. Revenues from our subscription-based contracts were approximately 96% and 95% of total revenues for the three months ended March 31, 2024 and 2023, respectively.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also derives revenues from transaction-based services including: (i) an online auction platform for commercial real estate through Ten-X,</w:t>
      </w:r>
    </w:p>
    <w:p>
      <w:pPr>
        <w:spacing w:after="0" w:line="36" w:lineRule="exact"/>
        <w:rPr>
          <w:sz w:val="20"/>
          <w:szCs w:val="20"/>
          <w:color w:val="auto"/>
        </w:rPr>
      </w:pPr>
    </w:p>
    <w:p>
      <w:pPr>
        <w:ind w:firstLine="6"/>
        <w:spacing w:after="0" w:line="251" w:lineRule="auto"/>
        <w:tabs>
          <w:tab w:leader="none" w:pos="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online tenant applications, including background and credit checks, and rental payment processing and (iii) ancillary products and services that are sold on an ad hoc basis.</w:t>
      </w:r>
    </w:p>
    <w:p>
      <w:pPr>
        <w:spacing w:after="0" w:line="14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 Revenues from transaction-based services are recognized when the promised product or services are delivered, which, in the case of Ten-X auctions, is at the time of a successful closing for the sale of a property.</w:t>
      </w:r>
    </w:p>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limited circumstances, the Company's contracts with customers include promises to transfer multiple services, such as contracts for its subscription-based services and professional services. For these contracts, the Company accounts for individual performance obligations separately if they are distinct, which involves the determination of the standalone selling price for each distinct performance obligation.</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sales commissions are considered incremental and recoverable costs of obtaining a contract with a customer. Sales commissions incurred for obtaining new contracts are deferred and then amortized as selling and marketing expenses on a straight-line basis over a period of benefit that the Company has determined to be two years for our residential products and three years for all other products. The amortization periods were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3 for further discussion of the Company's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 of revenues principally consists of salaries, benefits, bonuses, stock-based compensation expenses and other indirect costs for the Company's researchers who collect and analyze the real estate data that is the basis for the Company's information, analytics and online marketplaces and for employees that support these products. Additionally, cost of revenues includes the cost of data from third-party data sources, product hosting costs and costs related to advertising purchased on behalf of customers, credit card and other transaction fees relating to processing customer transactions, which are expensed as incurred, and the amortization of acquired trade names, technology and certain other intangible assets.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9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Company’s reporting currency is the U.S. dollar. The functional currency for the majority of its operations is the local currency, with the exception of certain international locations for which the functional currency is the British Pound. Assets and liabilities denominated in a foreign currency are translated into U.S. dollars using the exchange rates in effect as of the balance sheet date. Gains and losses resulting from translation are included in accumulated other comprehensive loss. Currency g</w:t>
      </w:r>
      <w:r>
        <w:rPr>
          <w:rFonts w:ascii="Times New Roman" w:cs="Times New Roman" w:eastAsia="Times New Roman" w:hAnsi="Times New Roman"/>
          <w:sz w:val="17"/>
          <w:szCs w:val="17"/>
          <w:color w:val="252525"/>
        </w:rPr>
        <w:t>ains and losses on the translation of intercompany loans made to foreign subsidiaries that are of a long-term investment nature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are also included </w:t>
      </w:r>
      <w:r>
        <w:rPr>
          <w:rFonts w:ascii="Times New Roman" w:cs="Times New Roman" w:eastAsia="Times New Roman" w:hAnsi="Times New Roman"/>
          <w:sz w:val="17"/>
          <w:szCs w:val="17"/>
          <w:color w:val="000000"/>
        </w:rPr>
        <w:t>in accumulated other comprehensive loss. Gains and losses resulting from transactions denominated in a currency other than the functional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currency of the entity are included in other (expense) income, net in the condensed consolidated statements of operations using the average exchange rates in effect during the period. The Company recognized a net foreign currency loss of $0.1 million and $0.4 million for the three months ended March 31, 2024 and 2023, respectively. This foreign currency activity is included in other (expense) income, net on the condensed consolidated statement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4"/>
        </w:trPr>
        <w:tc>
          <w:tcPr>
            <w:tcW w:w="8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 (in millions):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Foreign currency translation loss</w:t>
            </w:r>
          </w:p>
        </w:tc>
        <w:tc>
          <w:tcPr>
            <w:tcW w:w="2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2"/>
        </w:trPr>
        <w:tc>
          <w:tcPr>
            <w:tcW w:w="8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13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8040" w:type="dxa"/>
            <w:vAlign w:val="bottom"/>
          </w:tcPr>
          <w:p>
            <w:pPr>
              <w:ind w:left="340"/>
              <w:spacing w:after="0" w:line="165" w:lineRule="exact"/>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5"/>
        </w:trPr>
        <w:tc>
          <w:tcPr>
            <w:tcW w:w="8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amounts reclassified out of accumulated other comprehensive loss to the condensed consolidated statements of operations for the three months ended March 31, 2024 and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elected to record the GILTI under the current-period cost method.</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11 for further discussion of the Company's accounting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Net income per share is computed by dividing net income by the weighted-average number of common shares outstanding during the period on a basic and diluted basis.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per share (in millions, except per share data):</w:t>
      </w:r>
    </w:p>
    <w:p>
      <w:pPr>
        <w:spacing w:after="0" w:line="162"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Denominator for basic net income per share — weighted-average outstanding shares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4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restricted stock awards and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Denominator for diluted net income per share — weighted-average outstanding shares</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potentially dilutive securities include outstanding stock options, unvested stock-based awards, which include restricted stock awards that vest over a specific service period, restricted stock awards with a performance and market condition, restricted stock units and Matching RSUs awarded under the MSPP. Shares underlying unvested restricted stock awards that vest based on a performance and a market condition that have not been achieved as of the end of the period are not included in the computation of basic or diluted earnings per share. Diluted net income per share considers the impact of potentially dilutive securities except when the inclusion of the potentially dilutive securities would have an anti-dilutive effect.</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shares underlying the unvested performance-based restricted stock and anti-dilutive securities excluded from the basic and diluted earnings per share calculations (in millions):</w:t>
      </w:r>
    </w:p>
    <w:p>
      <w:pPr>
        <w:spacing w:after="0" w:line="10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
        </w:trPr>
        <w:tc>
          <w:tcPr>
            <w:tcW w:w="86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9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awards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0"/>
        </w:trPr>
        <w:tc>
          <w:tcPr>
            <w:tcW w:w="9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fair-value based method and the fair value of such equity instruments is recognized as expense in the condensed consolidated statements of operations.</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both a performance and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stock awards and restricted stock units issued under equity incentive plans, stock purchases under the ESPP, DSUs and Matching RSUs awarded under the MSPP included in the Company’s condensed consolidated statements of operations were as follows (in millions):</w:t>
      </w:r>
    </w:p>
    <w:p>
      <w:pPr>
        <w:spacing w:after="0" w:line="189"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
        </w:trPr>
        <w:tc>
          <w:tcPr>
            <w:tcW w:w="8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
        </w:trPr>
        <w:tc>
          <w:tcPr>
            <w:tcW w:w="8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had no restricted cash as of March 31, 2024 and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write-off trends. Based on the Company’s experience, the customer's delinquency status, which is analyzed periodically, is the strongest indicator of the credit quality of the underlying trade receivables. The Company’s policy is to write off trade receivables when they are deemed uncollectible. A majority of the Company's trade receivables are less than 365 days outstanding.</w:t>
      </w:r>
    </w:p>
    <w:p>
      <w:pPr>
        <w:spacing w:after="0" w:line="1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CECL impairment model, the Company develops and documents its allowance for credit losses on its trade receivables based on five portfolio segments. The determination of portfolio segments is based primarily on the qualitative consideration of the nature of the Company’s business operations and the characteristics of the underlying trade receivables, as follows:</w:t>
      </w:r>
    </w:p>
    <w:p>
      <w:pPr>
        <w:spacing w:after="0" w:line="136" w:lineRule="exact"/>
        <w:rPr>
          <w:sz w:val="20"/>
          <w:szCs w:val="20"/>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CoStar Portfolio Segment </w:t>
      </w:r>
      <w:r>
        <w:rPr>
          <w:rFonts w:ascii="Times New Roman" w:cs="Times New Roman" w:eastAsia="Times New Roman" w:hAnsi="Times New Roman"/>
          <w:sz w:val="18"/>
          <w:szCs w:val="18"/>
          <w:color w:val="auto"/>
        </w:rPr>
        <w:t>- The CoStar portfolio segment consists of two classes of trade receivables based on geographical location: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International.</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Services Portfolio Segment </w:t>
      </w:r>
      <w:r>
        <w:rPr>
          <w:rFonts w:ascii="Times New Roman" w:cs="Times New Roman" w:eastAsia="Times New Roman" w:hAnsi="Times New Roman"/>
          <w:sz w:val="18"/>
          <w:szCs w:val="18"/>
          <w:color w:val="auto"/>
        </w:rPr>
        <w:t>- The Information Services portfolio segment consists of four classes of trade receivables: CoStar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Information Services, North America; Hospitality, North America and Hospitality, International.</w:t>
      </w:r>
    </w:p>
    <w:p>
      <w:pPr>
        <w:spacing w:after="0" w:line="13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Multifamily Portfolio Segment </w:t>
      </w:r>
      <w:r>
        <w:rPr>
          <w:rFonts w:ascii="Times New Roman" w:cs="Times New Roman" w:eastAsia="Times New Roman" w:hAnsi="Times New Roman"/>
          <w:sz w:val="18"/>
          <w:szCs w:val="18"/>
          <w:color w:val="auto"/>
        </w:rPr>
        <w:t>- The Multifamily portfolio segment consists of one class of trade receivables.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LoopNet Portfolio Segment </w:t>
      </w:r>
      <w:r>
        <w:rPr>
          <w:rFonts w:ascii="Times New Roman" w:cs="Times New Roman" w:eastAsia="Times New Roman" w:hAnsi="Times New Roman"/>
          <w:sz w:val="18"/>
          <w:szCs w:val="18"/>
          <w:color w:val="auto"/>
        </w:rPr>
        <w:t>- The LoopNet portfolio segment consists of one class of trade receivables.</w:t>
      </w:r>
    </w:p>
    <w:p>
      <w:pPr>
        <w:spacing w:after="0" w:line="177"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Marketplaces Portfolio Segment </w:t>
      </w:r>
      <w:r>
        <w:rPr>
          <w:rFonts w:ascii="Times New Roman" w:cs="Times New Roman" w:eastAsia="Times New Roman" w:hAnsi="Times New Roman"/>
          <w:sz w:val="18"/>
          <w:szCs w:val="18"/>
          <w:color w:val="auto"/>
        </w:rPr>
        <w:t>- The Other Marketplaces portfolio segment consists of two classes of trade receivables: Ten-X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Residential accounts receivable and the related allowance for credit losses are not material.</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4 for further discussion of the Company’s accounting for allowance for credit losses.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the commencement of the arrangement, at which time the Company also measures and recognizes an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noncancelable portion of the lease term, plus any periods covered by an option to extend the lease if it is reasonably certain that the option will be exercised.</w:t>
      </w:r>
    </w:p>
    <w:p>
      <w:pPr>
        <w:spacing w:after="0" w:line="14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 costs related to the Company's operating leases are generally recognized as a single ratable lease cost over the lease term.</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accounting for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 Intangible Assets and Goodwill</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The Company capitalizes interest on borrowings during the active construction period of major capital projects. Capitalized interest is added to the cost of the underlying asset and amortized over the estimated useful life of the asset.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 The Company removes the cost and accumulated amortization of intangible assets as they become fully amortized.</w:t>
      </w:r>
    </w:p>
    <w:p>
      <w:pPr>
        <w:spacing w:after="0" w:line="1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Goodwill is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Operations and Other Income, Expense</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2024, the Company closed on the purchase of an office tower and the land on which it rests in Arlington, Virginia and intends to build out space to house the employees currently in our Washington, DC headquarters and support anticipated growth and expansion of its operations in the coming years. Maintenance, physical facilities, leasing, property management and other key responsibilities related to property ownership are outsourced to professional real-estate managers.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office tower measures approximately 550,000 rentable square feet. At March 31, 2024, the Company occupied a negligible percentage of the property with the remainder leased or available to be leased to third parties.</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the net income from building operations and leases, including building depreciation and operating expenses for space occupied by third parties, as other (expense) income, net in the condensed consolidated statements of operations as leasing is not core to the Company's operations. Building depreciation and operating expenses for space occupied by the Company is allocated between cost of revenues, selling and marketing (excluding customer base amortization), software development and general and administrative expenses in the condensed consolidated statement of operations based on headcount.</w:t>
      </w:r>
    </w:p>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from the recovery of all or a portion of the operating expenses and real estate taxes of the respective assets.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periods as the related expenses are incurred. Variable lease income was not material for the three months ended March 31, 2024. Components of other (expense) income, net for the three months ended March 31, 2024 were as follows (in millions):</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-135890</wp:posOffset>
            </wp:positionV>
            <wp:extent cx="6882130" cy="277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2130" cy="277495"/>
                    </a:xfrm>
                    <a:prstGeom prst="rect">
                      <a:avLst/>
                    </a:prstGeom>
                    <a:noFill/>
                  </pic:spPr>
                </pic:pic>
              </a:graphicData>
            </a:graphic>
          </wp:anchor>
        </w:drawing>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31750</wp:posOffset>
            </wp:positionV>
            <wp:extent cx="688213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2130" cy="16827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Depreciation and amortization expense</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11"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w:t>
      </w:r>
    </w:p>
    <w:p>
      <w:pPr>
        <w:spacing w:after="0" w:line="5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1.5</w:t>
      </w:r>
    </w:p>
    <w:p>
      <w:pPr>
        <w:spacing w:after="0" w:line="5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4808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5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38735</wp:posOffset>
            </wp:positionV>
            <wp:extent cx="14808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8082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64135</wp:posOffset>
            </wp:positionV>
            <wp:extent cx="14808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020" w:space="720"/>
            <w:col w:w="2500"/>
          </w:cols>
          <w:pgMar w:left="320" w:top="530" w:right="339" w:bottom="1440" w:gutter="0" w:footer="0" w:header="0"/>
          <w:type w:val="continuous"/>
        </w:sectPr>
      </w:pPr>
    </w:p>
    <w:p>
      <w:pPr>
        <w:spacing w:after="0" w:line="12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acquisition of this building was accounted for as an asset acquisition. The Company accounts for asset acquisitions at cost, including transaction costs. The Company estimates the fair values of acquired tangible assets (consisting of land, buildings and improvements and other assets, as applicable), identified intangible assets and liabilities (consisting of in-place leases and above- and below-market leases, as applicable), and other liabilities, as applicable, based on our evaluation of information and estimates available at the date of acquisition. Based on these estimates, the Company allocate the purchase price, including all transaction costs related to the acquisition, to the identified assets acquired and liabilities assumed based on their relative fair value.</w:t>
      </w:r>
    </w:p>
    <w:p>
      <w:pPr>
        <w:spacing w:after="0" w:line="12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fair value of the building and building improvements consists of the physical structure containing rentable area, as well as amenities such as parking structures and was valued as if vacant, using the cost approach, which uses replacement cost data obtained from industry recognized guides less depreciation as an input to estimate the fair value, with consideration given to its age, functionality, use classification, construction quality, replacement cost new, and accumulated depreciation (effective age vs. economic life). The Company also considered the value of the building using an income approach. The income approach uses market leasing assumptions to estimate the fair value of the property as if vacant assuming lease-up at prevailing market rental rates over a market-based lease-up period, including deductions for lost-rent during lease-up and leasing costs. The cost and income approaches are reconciled to arrive at an estimated building fair value. The Company assessed the fair value of land based on market comparisons.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identified intangible assets and liabilities were determined based on the following:</w:t>
      </w:r>
    </w:p>
    <w:p>
      <w:pPr>
        <w:spacing w:after="0" w:line="177" w:lineRule="exact"/>
        <w:rPr>
          <w:sz w:val="20"/>
          <w:szCs w:val="20"/>
          <w:color w:val="auto"/>
        </w:rPr>
      </w:pPr>
    </w:p>
    <w:p>
      <w:pPr>
        <w:jc w:val="both"/>
        <w:ind w:left="640" w:hanging="316"/>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allocable to the above- or below-market component of an acquired in-place lease is determined based upon the present value (using a discount rate that reflects the risks associated with the acquired lease) of the difference between: (i) the contractual amounts to be received pursuant to the lease over its remaining term and (ii) management's estimate of the amounts that would be received using market rates current at the time of the acquisition for the remaining term of the lease. Amounts allocated to above-market leases are recorded as above-market leases in intangible assets, net in the condensed consolidated balance sheets. These intangibles are amortized on a straight line</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basis as a component of lease revenue to other (expense) income, net in our condensed, consolidated statements of operations over the remaining terms of the respective leases.</w:t>
      </w:r>
    </w:p>
    <w:p>
      <w:pPr>
        <w:spacing w:after="0" w:line="124" w:lineRule="exact"/>
        <w:rPr>
          <w:sz w:val="20"/>
          <w:szCs w:val="20"/>
          <w:color w:val="auto"/>
        </w:rPr>
      </w:pPr>
    </w:p>
    <w:p>
      <w:pPr>
        <w:jc w:val="both"/>
        <w:ind w:left="640" w:hanging="316"/>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considered in determining the value allocable to in-place leases during hypothetical lease-up periods related to space that is leased at the time of acquisition include: (i) lost rent and operating cost recoveries during the hypothetical lease-up period and (ii) theoretical leasing commissions required to execute similar leases. These intangible assets are recorded as in-place leases in intangible assets, net in our condensed consolidated balance sheets and are amortized to other (expense) income, net in our condensed consolidated statements of operations over the remaining term of the existing lease.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cost of the land and building was $343.0 million and was allocated to the following components (in millions):</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51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480" w:type="dxa"/>
            <w:vAlign w:val="bottom"/>
          </w:tcPr>
          <w:p>
            <w:pPr>
              <w:spacing w:after="0"/>
              <w:rPr>
                <w:sz w:val="20"/>
                <w:szCs w:val="20"/>
                <w:color w:val="auto"/>
              </w:rPr>
            </w:pPr>
          </w:p>
        </w:tc>
        <w:tc>
          <w:tcPr>
            <w:tcW w:w="186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
        </w:trPr>
        <w:tc>
          <w:tcPr>
            <w:tcW w:w="33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5"/>
        </w:trPr>
        <w:tc>
          <w:tcPr>
            <w:tcW w:w="33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 improvements</w:t>
            </w:r>
          </w:p>
        </w:tc>
        <w:tc>
          <w:tcPr>
            <w:tcW w:w="5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Above-market leases</w:t>
            </w:r>
          </w:p>
        </w:tc>
        <w:tc>
          <w:tcPr>
            <w:tcW w:w="5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5"/>
        </w:trPr>
        <w:tc>
          <w:tcPr>
            <w:tcW w:w="33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6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5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3"/>
        </w:trPr>
        <w:tc>
          <w:tcPr>
            <w:tcW w:w="33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8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5"/>
        </w:trPr>
        <w:tc>
          <w:tcPr>
            <w:tcW w:w="33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cash paid for this asset acquisition was included in the caption purchases of property, equipment and other assets for new campuses in the condensed consolidated statement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45" w:lineRule="exact"/>
        <w:rPr>
          <w:sz w:val="20"/>
          <w:szCs w:val="20"/>
          <w:color w:val="auto"/>
        </w:rPr>
      </w:pPr>
    </w:p>
    <w:p>
      <w:pPr>
        <w:ind w:right="1060" w:firstLine="318"/>
        <w:spacing w:after="0" w:line="453" w:lineRule="auto"/>
        <w:rPr>
          <w:sz w:val="20"/>
          <w:szCs w:val="20"/>
          <w:color w:val="auto"/>
        </w:rPr>
      </w:pPr>
      <w:r>
        <w:rPr>
          <w:rFonts w:ascii="Times New Roman" w:cs="Times New Roman" w:eastAsia="Times New Roman" w:hAnsi="Times New Roman"/>
          <w:sz w:val="18"/>
          <w:szCs w:val="18"/>
          <w:color w:val="auto"/>
        </w:rPr>
        <w:t xml:space="preserve">See Note 10 for further discussion of the Company's accounting for its outstanding debt, revolving credit facility and related issuance costs. </w:t>
      </w:r>
      <w:r>
        <w:rPr>
          <w:rFonts w:ascii="Times New Roman" w:cs="Times New Roman" w:eastAsia="Times New Roman" w:hAnsi="Times New Roman"/>
          <w:sz w:val="18"/>
          <w:szCs w:val="18"/>
          <w:b w:val="1"/>
          <w:bCs w:val="1"/>
          <w:color w:val="auto"/>
        </w:rPr>
        <w:t>Business Combinations</w:t>
      </w: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over the fair values of these identifiable assets and liabilities is recorded as goodwill.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spacing w:after="0" w:line="21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given acquisition, the Company may identify certain pre-acquisition contingencies as of the acquisition date and may extend its review and evaluation of these pre-acquisition contingencies throughout the measurement period in order to obtain</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sufficient information to assess whether the Company includes these contingencies as a part of the fair value estimates of assets acquired and liabilities assumed and, if so, to determine their estimated amounts.</w:t>
      </w:r>
    </w:p>
    <w:p>
      <w:pPr>
        <w:spacing w:after="0" w:line="124"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If the Company cannot reasonably determine the fair value of a pre-acquisition contingency (non-income tax-related) by the end of the measurement period, which is generally the case given the nature of such matters, the Company will recognize an asset or a liability for such pre-acquisition contingency if:</w:t>
      </w:r>
    </w:p>
    <w:p>
      <w:pPr>
        <w:jc w:val="both"/>
        <w:ind w:firstLine="6"/>
        <w:spacing w:after="0" w:line="248"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6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condensed consolidated statements of operations and comprehensive income and could have a material impact on its results of operations and financial position.</w:t>
      </w:r>
    </w:p>
    <w:p>
      <w:pPr>
        <w:spacing w:after="0" w:line="12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as incurred, and are included in general and administrative expenses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ASC 848 contains optional expedients and exceptions for applying GAAP to debt, contracts, hedging relationships and other transactions affected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rate reform. The provisions of ASC 848 must be applied to all contracts that are accounted for under a Topic, Subtopic or Industry Subtopic for all transactions other than derivatives, which may be applied at a hedging relationship level. Originally, the guidance was effective for fiscal years beginning after January 1, 2021, including interim periods within those fiscal years. However, in response to the deferral of the cessation date for certain overnight LIBOR measures, the FASB issued ASU 2022-06 on December 21, 2022, which extends the sunset date of Topic 848 to December 31, 2024. The Company's 2020 Credit Agreement provides for a $750 million revolving credit facility and a letter of credit sublimit of $20 million, with interest rates previously benchmarked to LIBOR. The Company adopted this accounting pronouncement with the execution of the First Amendment to the 2020 Credit Agreement in May 2023. This guidance provides an optional practical expedient that allows a qualifying modification to be accounted for as a debt modification rather than be analyzed under existing guidance to determine if the modification should be accounted for as a debt extinguishment. In adopting this accounting standard, we have elected to apply this optional expedient. Adopting this accounting standard did not have a material impact on the Company's consolidated financial statements and related disclosures.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10 for further discussion of the Company's accounting for its outstanding debt, revolving credit facility and related issuance costs.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primarily requires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currently evaluating the impact this ASU will have on its consolidated financial statements and related disclosures.</w:t>
      </w:r>
    </w:p>
    <w:p>
      <w:pPr>
        <w:spacing w:after="0" w:line="14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provides information, analytics and online marketplaces to the commercial real estate industry, hospitality industry, residential industry and related professionals. Revenues by operating segment and type of service consist of the following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8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CoStar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Services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LoopNet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5"/>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5"/>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Marketplaces</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52525"/>
              </w:rPr>
              <w:t>Deferred revenue as of March 31, 2024 and December 31, 2023 was as follows (in millions):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1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24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49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4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49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revenue</w:t>
            </w:r>
          </w:p>
        </w:tc>
        <w:tc>
          <w:tcPr>
            <w:tcW w:w="4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Changes in deferred revenue for the period were as follows (in millions):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r>
              <w:rPr>
                <w:rFonts w:ascii="Times New Roman" w:cs="Times New Roman" w:eastAsia="Times New Roman" w:hAnsi="Times New Roman"/>
                <w:sz w:val="22"/>
                <w:szCs w:val="22"/>
                <w:color w:val="auto"/>
                <w:vertAlign w:val="superscript"/>
              </w:rPr>
              <w:t>(1)</w:t>
            </w:r>
          </w:p>
        </w:tc>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111"/>
        </w:trPr>
        <w:tc>
          <w:tcPr>
            <w:tcW w:w="3160" w:type="dxa"/>
            <w:vAlign w:val="bottom"/>
            <w:tcBorders>
              <w:bottom w:val="single" w:sz="8" w:color="CCEEFF"/>
            </w:tcBorders>
            <w:shd w:val="clear" w:color="auto" w:fill="CCEEFF"/>
          </w:tcPr>
          <w:p>
            <w:pPr>
              <w:spacing w:after="0"/>
              <w:rPr>
                <w:sz w:val="9"/>
                <w:szCs w:val="9"/>
                <w:color w:val="auto"/>
              </w:rPr>
            </w:pPr>
          </w:p>
        </w:tc>
        <w:tc>
          <w:tcPr>
            <w:tcW w:w="49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2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gridSpan w:val="2"/>
            <w:vMerge w:val="continue"/>
            <w:shd w:val="clear" w:color="auto" w:fill="CCEEFF"/>
          </w:tcPr>
          <w:p>
            <w:pPr>
              <w:spacing w:after="0"/>
              <w:rPr>
                <w:sz w:val="9"/>
                <w:szCs w:val="9"/>
                <w:color w:val="auto"/>
              </w:rPr>
            </w:pPr>
          </w:p>
        </w:tc>
        <w:tc>
          <w:tcPr>
            <w:tcW w:w="13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recognized in the current period from the amounts in the beginning balance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5"/>
        </w:trPr>
        <w:tc>
          <w:tcPr>
            <w:tcW w:w="8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deferrals, net of amounts recognized in the current period</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4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foreign currency</w:t>
            </w: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191"/>
        </w:trPr>
        <w:tc>
          <w:tcPr>
            <w:tcW w:w="316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8" w:lineRule="exact"/>
        <w:rPr>
          <w:sz w:val="20"/>
          <w:szCs w:val="20"/>
          <w:color w:val="auto"/>
        </w:rPr>
      </w:pPr>
    </w:p>
    <w:p>
      <w:pPr>
        <w:ind w:left="140" w:hanging="134"/>
        <w:spacing w:after="0"/>
        <w:tabs>
          <w:tab w:leader="none" w:pos="14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balance includes $1.0 million of net new deferrals recognized in connection with business acquisitions made in 2023</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March 31, 2024 and December 31, 2023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20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24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28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52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52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
        </w:trPr>
        <w:tc>
          <w:tcPr>
            <w:tcW w:w="28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contract assets</w:t>
            </w:r>
          </w:p>
        </w:tc>
        <w:tc>
          <w:tcPr>
            <w:tcW w:w="5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were reduced by $0.1 million from contract assets for the three months ended March 31, 2024 and revenues recognized from contract assets for the three months ended March 31, 2023 were $0.5 million.</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Unsatisfied Performance Obligations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Remaining contract consideration for which revenue has not been recognized due to unsatisfied performance obligations was approximately $394 million at March 31, 2024, which the Company expects to recognize over the next five years. This amount does not include contract consideration for contracts with a duration of one year or less.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Commissions expense is included in selling and marketing expense in the Company's condensed consolidated statements of operations. Commissions expense activity for the three months ended March 31, 2024 and 2023 was as follows (in millions):</w:t>
      </w:r>
    </w:p>
    <w:p>
      <w:pPr>
        <w:spacing w:after="0" w:line="18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incurred</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45.6</w:t>
            </w:r>
          </w:p>
        </w:tc>
      </w:tr>
      <w:tr>
        <w:trPr>
          <w:trHeight w:val="24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capitalized in the current period</w:t>
            </w:r>
          </w:p>
        </w:tc>
        <w:tc>
          <w:tcPr>
            <w:tcW w:w="260" w:type="dxa"/>
            <w:vAlign w:val="bottom"/>
          </w:tcPr>
          <w:p>
            <w:pPr>
              <w:spacing w:after="0"/>
              <w:rPr>
                <w:sz w:val="20"/>
                <w:szCs w:val="20"/>
                <w:color w:val="auto"/>
              </w:rPr>
            </w:pPr>
          </w:p>
        </w:tc>
        <w:tc>
          <w:tcPr>
            <w:tcW w:w="96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6"/>
              </w:rPr>
              <w:t>(38.7)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rPr>
              <w:t>(32.3)</w:t>
            </w:r>
          </w:p>
        </w:tc>
      </w:tr>
      <w:tr>
        <w:trPr>
          <w:trHeight w:val="25"/>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21.9</w:t>
            </w:r>
          </w:p>
        </w:tc>
      </w:tr>
      <w:tr>
        <w:trPr>
          <w:trHeight w:val="258"/>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commissions expense</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determined that no deferred commissions were impaired as of March 31, 2024 and 2023.</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1280" w:hanging="638"/>
        <w:spacing w:after="0"/>
        <w:tabs>
          <w:tab w:leader="none" w:pos="1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CREDIT LOSSES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52525"/>
        </w:rPr>
        <w:t>The following tables detail the activity related to the allowance for credit losses for trade receivables by portfolio segment (in millions):</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33020</wp:posOffset>
            </wp:positionV>
            <wp:extent cx="5359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5940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Information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Marketplaces</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Beginning balance at December 31,</w:t>
            </w:r>
          </w:p>
        </w:tc>
        <w:tc>
          <w:tcPr>
            <w:tcW w:w="2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572"/>
              <w:spacing w:after="0" w:line="201" w:lineRule="exact"/>
              <w:rPr>
                <w:sz w:val="20"/>
                <w:szCs w:val="20"/>
                <w:color w:val="auto"/>
              </w:rPr>
            </w:pPr>
            <w:r>
              <w:rPr>
                <w:rFonts w:ascii="Times New Roman" w:cs="Times New Roman" w:eastAsia="Times New Roman" w:hAnsi="Times New Roman"/>
                <w:sz w:val="18"/>
                <w:szCs w:val="18"/>
                <w:color w:val="auto"/>
                <w:w w:val="97"/>
              </w:rPr>
              <w:t>9.7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2"/>
              <w:spacing w:after="0" w:line="201" w:lineRule="exact"/>
              <w:rPr>
                <w:sz w:val="20"/>
                <w:szCs w:val="20"/>
                <w:color w:val="auto"/>
              </w:rPr>
            </w:pPr>
            <w:r>
              <w:rPr>
                <w:rFonts w:ascii="Times New Roman" w:cs="Times New Roman" w:eastAsia="Times New Roman" w:hAnsi="Times New Roman"/>
                <w:sz w:val="18"/>
                <w:szCs w:val="18"/>
                <w:color w:val="auto"/>
                <w:w w:val="97"/>
              </w:rPr>
              <w:t>2.5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2"/>
              <w:spacing w:after="0" w:line="201" w:lineRule="exact"/>
              <w:rPr>
                <w:sz w:val="20"/>
                <w:szCs w:val="20"/>
                <w:color w:val="auto"/>
              </w:rPr>
            </w:pPr>
            <w:r>
              <w:rPr>
                <w:rFonts w:ascii="Times New Roman" w:cs="Times New Roman" w:eastAsia="Times New Roman" w:hAnsi="Times New Roman"/>
                <w:sz w:val="18"/>
                <w:szCs w:val="18"/>
                <w:color w:val="auto"/>
                <w:w w:val="97"/>
              </w:rPr>
              <w:t>7.3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612"/>
              <w:spacing w:after="0" w:line="201" w:lineRule="exact"/>
              <w:rPr>
                <w:sz w:val="20"/>
                <w:szCs w:val="20"/>
                <w:color w:val="auto"/>
              </w:rPr>
            </w:pPr>
            <w:r>
              <w:rPr>
                <w:rFonts w:ascii="Times New Roman" w:cs="Times New Roman" w:eastAsia="Times New Roman" w:hAnsi="Times New Roman"/>
                <w:sz w:val="18"/>
                <w:szCs w:val="18"/>
                <w:color w:val="auto"/>
                <w:w w:val="97"/>
              </w:rPr>
              <w:t>2.7</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000" w:type="dxa"/>
            <w:vAlign w:val="bottom"/>
            <w:vMerge w:val="restart"/>
          </w:tcPr>
          <w:p>
            <w:pPr>
              <w:jc w:val="center"/>
              <w:ind w:left="57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7"/>
              </w:rPr>
              <w:t>1.4</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net of recoveries and other</w:t>
            </w:r>
          </w:p>
        </w:tc>
        <w:tc>
          <w:tcPr>
            <w:tcW w:w="100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(4.9)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(0.7)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(2.5)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8"/>
              </w:rPr>
              <w:t>(1.7)</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Ending balance at March 31, 2024</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center"/>
              <w:ind w:left="572"/>
              <w:spacing w:after="0"/>
              <w:rPr>
                <w:sz w:val="20"/>
                <w:szCs w:val="20"/>
                <w:color w:val="auto"/>
              </w:rPr>
            </w:pPr>
            <w:r>
              <w:rPr>
                <w:rFonts w:ascii="Times New Roman" w:cs="Times New Roman" w:eastAsia="Times New Roman" w:hAnsi="Times New Roman"/>
                <w:sz w:val="18"/>
                <w:szCs w:val="18"/>
                <w:color w:val="auto"/>
                <w:w w:val="97"/>
              </w:rPr>
              <w:t>7.9</w:t>
            </w:r>
          </w:p>
        </w:tc>
        <w:tc>
          <w:tcPr>
            <w:tcW w:w="14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2.0</w:t>
            </w:r>
          </w:p>
        </w:tc>
        <w:tc>
          <w:tcPr>
            <w:tcW w:w="14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7.9</w:t>
            </w:r>
          </w:p>
        </w:tc>
        <w:tc>
          <w:tcPr>
            <w:tcW w:w="14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7"/>
              </w:rPr>
              <w:t>2.4</w:t>
            </w:r>
          </w:p>
        </w:tc>
        <w:tc>
          <w:tcPr>
            <w:tcW w:w="140" w:type="dxa"/>
            <w:vAlign w:val="bottom"/>
          </w:tcPr>
          <w:p>
            <w:pPr>
              <w:spacing w:after="0"/>
              <w:rPr>
                <w:sz w:val="14"/>
                <w:szCs w:val="14"/>
                <w:color w:val="auto"/>
              </w:rPr>
            </w:pPr>
          </w:p>
        </w:tc>
        <w:tc>
          <w:tcPr>
            <w:tcW w:w="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5"/>
        </w:trPr>
        <w:tc>
          <w:tcPr>
            <w:tcW w:w="30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33020</wp:posOffset>
            </wp:positionV>
            <wp:extent cx="5359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940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Information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Marketplaces</w:t>
            </w:r>
          </w:p>
        </w:tc>
        <w:tc>
          <w:tcPr>
            <w:tcW w:w="28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Beginning balance at December 31,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7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7"/>
              </w:rPr>
              <w:t>1.4</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2"/>
        </w:trPr>
        <w:tc>
          <w:tcPr>
            <w:tcW w:w="3000" w:type="dxa"/>
            <w:vAlign w:val="bottom"/>
            <w:tcBorders>
              <w:bottom w:val="single" w:sz="8" w:color="CCEEFF"/>
            </w:tcBorders>
            <w:gridSpan w:val="2"/>
            <w:shd w:val="clear" w:color="auto" w:fill="CCEEFF"/>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Current-period provision for expected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000" w:type="dxa"/>
            <w:vAlign w:val="bottom"/>
            <w:vMerge w:val="restart"/>
          </w:tcPr>
          <w:p>
            <w:pPr>
              <w:jc w:val="center"/>
              <w:ind w:left="572"/>
              <w:spacing w:after="0"/>
              <w:rPr>
                <w:sz w:val="20"/>
                <w:szCs w:val="20"/>
                <w:color w:val="auto"/>
              </w:rPr>
            </w:pPr>
            <w:r>
              <w:rPr>
                <w:rFonts w:ascii="Times New Roman" w:cs="Times New Roman" w:eastAsia="Times New Roman" w:hAnsi="Times New Roman"/>
                <w:sz w:val="18"/>
                <w:szCs w:val="18"/>
                <w:color w:val="auto"/>
                <w:w w:val="97"/>
              </w:rPr>
              <w:t>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7"/>
              </w:rPr>
              <w:t>1.0</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net of recoveries and other</w:t>
            </w:r>
          </w:p>
        </w:tc>
        <w:tc>
          <w:tcPr>
            <w:tcW w:w="100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8"/>
              </w:rPr>
              <w:t>(1.3)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8"/>
              </w:rPr>
              <w:t>(0.3)</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Ending balance at March 31, 2023</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center"/>
              <w:ind w:left="572"/>
              <w:spacing w:after="0"/>
              <w:rPr>
                <w:sz w:val="20"/>
                <w:szCs w:val="20"/>
                <w:color w:val="auto"/>
              </w:rPr>
            </w:pPr>
            <w:r>
              <w:rPr>
                <w:rFonts w:ascii="Times New Roman" w:cs="Times New Roman" w:eastAsia="Times New Roman" w:hAnsi="Times New Roman"/>
                <w:sz w:val="18"/>
                <w:szCs w:val="18"/>
                <w:color w:val="auto"/>
                <w:w w:val="97"/>
              </w:rPr>
              <w:t>5.2</w:t>
            </w:r>
          </w:p>
        </w:tc>
        <w:tc>
          <w:tcPr>
            <w:tcW w:w="14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4"/>
                <w:szCs w:val="14"/>
                <w:color w:val="auto"/>
              </w:rPr>
            </w:pPr>
          </w:p>
        </w:tc>
        <w:tc>
          <w:tcPr>
            <w:tcW w:w="6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5"/>
        </w:trPr>
        <w:tc>
          <w:tcPr>
            <w:tcW w:w="30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Credit loss expense is included in general and administrative expenses on the condensed consolidated statements of operations. Credit loss expense related to contract assets was not material for the three months ended March 31, 2024 and 2023. Residential accounts receivable and the related allowance for credit losses are not material.</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2" w:name="page23"/>
    <w:bookmarkEnd w:id="2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ind w:left="640" w:hanging="634"/>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OnTheMarket</w:t>
      </w:r>
    </w:p>
    <w:p>
      <w:pPr>
        <w:spacing w:after="0" w:line="179"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December 12, 2023, CoStar UK acquired OnTheMarket, the operator of onthemarket.com, a U.K. residential property portal. At the time of closing, CoStar UK acquired all of the then-issued ordinary share capital of OnTheMarket for cash consideration of 110 pence per share or £94.0 million ($117.9 million). OnTheMarket had certain share option contracts that had not been exercised at the time of closing for which CoStar UK has established a liability for £2.0 million ($2.6 million). This resulted in total consideration of £96.0 million ($120.4 million). Certain shares outstanding at the time of the closing resulted from contracts held by employees of OnTheMarket or its subsidiaries that required OnTheMarket to withhold income and employment taxes of £4.0 million ($5.1 million) which represented consideration payable at December 31, 2023 and were remitted in January 2024.</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summarized the amounts recorded for acquired assets and assumed liabilities recorded at their fair value as of the closing date of the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(in millions):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4"/>
        </w:trPr>
        <w:tc>
          <w:tcPr>
            <w:tcW w:w="3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6"/>
        </w:trPr>
        <w:tc>
          <w:tcPr>
            <w:tcW w:w="320" w:type="dxa"/>
            <w:vAlign w:val="bottom"/>
          </w:tcPr>
          <w:p>
            <w:pPr>
              <w:spacing w:after="0"/>
              <w:rPr>
                <w:sz w:val="20"/>
                <w:szCs w:val="20"/>
                <w:color w:val="auto"/>
              </w:rPr>
            </w:pPr>
          </w:p>
        </w:tc>
        <w:tc>
          <w:tcPr>
            <w:tcW w:w="9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12, 2023</w:t>
            </w:r>
          </w:p>
        </w:tc>
      </w:tr>
      <w:tr>
        <w:trPr>
          <w:trHeight w:val="221"/>
        </w:trPr>
        <w:tc>
          <w:tcPr>
            <w:tcW w:w="320" w:type="dxa"/>
            <w:vAlign w:val="bottom"/>
          </w:tcPr>
          <w:p>
            <w:pPr>
              <w:spacing w:after="0"/>
              <w:rPr>
                <w:sz w:val="19"/>
                <w:szCs w:val="19"/>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1132"/>
              <w:spacing w:after="0"/>
              <w:rPr>
                <w:sz w:val="20"/>
                <w:szCs w:val="20"/>
                <w:color w:val="auto"/>
              </w:rPr>
            </w:pPr>
            <w:r>
              <w:rPr>
                <w:rFonts w:ascii="Times New Roman" w:cs="Times New Roman" w:eastAsia="Times New Roman" w:hAnsi="Times New Roman"/>
                <w:sz w:val="18"/>
                <w:szCs w:val="18"/>
                <w:color w:val="auto"/>
                <w:w w:val="97"/>
              </w:rPr>
              <w:t>18.</w:t>
            </w:r>
          </w:p>
        </w:tc>
      </w:tr>
      <w:tr>
        <w:trPr>
          <w:trHeight w:val="225"/>
        </w:trPr>
        <w:tc>
          <w:tcPr>
            <w:tcW w:w="32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320" w:type="dxa"/>
            <w:vAlign w:val="bottom"/>
          </w:tcPr>
          <w:p>
            <w:pPr>
              <w:spacing w:after="0"/>
              <w:rPr>
                <w:sz w:val="19"/>
                <w:szCs w:val="19"/>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1132"/>
              <w:spacing w:after="0"/>
              <w:rPr>
                <w:sz w:val="20"/>
                <w:szCs w:val="20"/>
                <w:color w:val="auto"/>
              </w:rPr>
            </w:pPr>
            <w:r>
              <w:rPr>
                <w:rFonts w:ascii="Times New Roman" w:cs="Times New Roman" w:eastAsia="Times New Roman" w:hAnsi="Times New Roman"/>
                <w:sz w:val="18"/>
                <w:szCs w:val="18"/>
                <w:color w:val="auto"/>
                <w:w w:val="97"/>
              </w:rPr>
              <w:t>62.</w:t>
            </w:r>
          </w:p>
        </w:tc>
      </w:tr>
      <w:tr>
        <w:trPr>
          <w:trHeight w:val="225"/>
        </w:trPr>
        <w:tc>
          <w:tcPr>
            <w:tcW w:w="32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9"/>
                <w:szCs w:val="19"/>
                <w:color w:val="auto"/>
              </w:rPr>
            </w:pPr>
          </w:p>
        </w:tc>
        <w:tc>
          <w:tcPr>
            <w:tcW w:w="1440" w:type="dxa"/>
            <w:vAlign w:val="bottom"/>
          </w:tcPr>
          <w:p>
            <w:pPr>
              <w:jc w:val="center"/>
              <w:ind w:left="1132"/>
              <w:spacing w:after="0"/>
              <w:rPr>
                <w:sz w:val="20"/>
                <w:szCs w:val="20"/>
                <w:color w:val="auto"/>
              </w:rPr>
            </w:pPr>
            <w:r>
              <w:rPr>
                <w:rFonts w:ascii="Times New Roman" w:cs="Times New Roman" w:eastAsia="Times New Roman" w:hAnsi="Times New Roman"/>
                <w:sz w:val="18"/>
                <w:szCs w:val="18"/>
                <w:color w:val="auto"/>
                <w:w w:val="97"/>
              </w:rPr>
              <w:t>55.</w:t>
            </w:r>
          </w:p>
        </w:tc>
      </w:tr>
      <w:tr>
        <w:trPr>
          <w:trHeight w:val="225"/>
        </w:trPr>
        <w:tc>
          <w:tcPr>
            <w:tcW w:w="320" w:type="dxa"/>
            <w:vAlign w:val="bottom"/>
          </w:tcPr>
          <w:p>
            <w:pPr>
              <w:spacing w:after="0"/>
              <w:rPr>
                <w:sz w:val="19"/>
                <w:szCs w:val="19"/>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32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120" w:type="dxa"/>
            <w:vAlign w:val="bottom"/>
          </w:tcPr>
          <w:p>
            <w:pPr>
              <w:spacing w:after="0"/>
              <w:rPr>
                <w:sz w:val="19"/>
                <w:szCs w:val="19"/>
                <w:color w:val="auto"/>
              </w:rPr>
            </w:pPr>
          </w:p>
        </w:tc>
        <w:tc>
          <w:tcPr>
            <w:tcW w:w="1440" w:type="dxa"/>
            <w:vAlign w:val="bottom"/>
          </w:tcPr>
          <w:p>
            <w:pPr>
              <w:jc w:val="center"/>
              <w:ind w:left="1112"/>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320" w:type="dxa"/>
            <w:vAlign w:val="bottom"/>
          </w:tcPr>
          <w:p>
            <w:pPr>
              <w:spacing w:after="0"/>
              <w:rPr>
                <w:sz w:val="19"/>
                <w:szCs w:val="19"/>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1112"/>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320" w:type="dxa"/>
            <w:vAlign w:val="bottom"/>
          </w:tcPr>
          <w:p>
            <w:pPr>
              <w:spacing w:after="0"/>
              <w:rPr>
                <w:sz w:val="19"/>
                <w:szCs w:val="19"/>
                <w:color w:val="auto"/>
              </w:rPr>
            </w:pPr>
          </w:p>
        </w:tc>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112"/>
              <w:spacing w:after="0"/>
              <w:rPr>
                <w:sz w:val="20"/>
                <w:szCs w:val="20"/>
                <w:color w:val="auto"/>
              </w:rPr>
            </w:pPr>
            <w:r>
              <w:rPr>
                <w:rFonts w:ascii="Times New Roman" w:cs="Times New Roman" w:eastAsia="Times New Roman" w:hAnsi="Times New Roman"/>
                <w:sz w:val="18"/>
                <w:szCs w:val="18"/>
                <w:color w:val="auto"/>
              </w:rPr>
              <w:t>(0.</w:t>
            </w:r>
          </w:p>
        </w:tc>
      </w:tr>
      <w:tr>
        <w:trPr>
          <w:trHeight w:val="283"/>
        </w:trPr>
        <w:tc>
          <w:tcPr>
            <w:tcW w:w="320" w:type="dxa"/>
            <w:vAlign w:val="bottom"/>
          </w:tcPr>
          <w:p>
            <w:pPr>
              <w:spacing w:after="0"/>
              <w:rPr>
                <w:sz w:val="24"/>
                <w:szCs w:val="24"/>
                <w:color w:val="auto"/>
              </w:rPr>
            </w:pPr>
          </w:p>
        </w:tc>
        <w:tc>
          <w:tcPr>
            <w:tcW w:w="9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320" w:type="dxa"/>
            <w:vAlign w:val="bottom"/>
          </w:tcPr>
          <w:p>
            <w:pPr>
              <w:spacing w:after="0" w:line="20" w:lineRule="exact"/>
              <w:rPr>
                <w:sz w:val="1"/>
                <w:szCs w:val="1"/>
                <w:color w:val="auto"/>
              </w:rPr>
            </w:pPr>
          </w:p>
        </w:tc>
        <w:tc>
          <w:tcPr>
            <w:tcW w:w="9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net assets of OnTheMarket were recorded at their estimated fair values. In valuing the acquired assets and assumed liabilities, fair value estimates were based primarily on future expected cash flows, market rate assumptions for contractual obligations and appropriate discount rates. The purchase price allocation is preliminary, subject primarily to the Company's assessment of certain tax matters, contingencies and intangibles valuation. The estimated fair value of the customer base assets incorporated significant assumptions that had a material impact on the estimated fair value, such as discount rates, projected revenue growth rates, customer attrition rates and profit margins.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values (in millions) of the identifiable intangible assets acquired in the OnTheMarket Acquisition included in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International operating segment, their related estimated useful lives (in years) and their respective amortization methods: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Useful Life</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5"/>
              </w:rPr>
              <w:t>Amortization Method</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base</w:t>
            </w:r>
          </w:p>
        </w:tc>
        <w:tc>
          <w:tcPr>
            <w:tcW w:w="22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Accelerated</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Straight-line</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2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Straight-line</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8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OnTheMarket Acquisition includes, but is not limited to: (i) the expected synergies and other benefits that the Company believes will result from combining its operations with international operations and (ii) any intangible assets that do not qualify for separate recognition, such as the assembled workforce. The $62.8 million of goodwill recorded as part of the acquisition is associated with the Company's International operating segment, of which none is expected to be deductible for income tax purposes. Transaction costs associated with the OnTheMarket Acquisition were $11.0 million.</w:t>
      </w:r>
    </w:p>
    <w:p>
      <w:pPr>
        <w:spacing w:after="0" w:line="143" w:lineRule="exact"/>
        <w:rPr>
          <w:sz w:val="20"/>
          <w:szCs w:val="20"/>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FAIR VALUE MEASUREMENTS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March 31, 2024 and December 31, 2023, the Company's financial assets comprise Level 1 cash equivalents with original maturities of three months or less in the amount of $4.8 billion and $5.1 billion, respectively. The Company had no Level 2 or Level 3 financial assets measured at fair value.</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holds other financial instruments, including cash deposits, accounts receivable, accounts payable, accrued expenses and Senior Notes. The carrying value for such financial instruments, other than the Senior Notes, each approximated their fair values as of both March 31, 2024 and December 31, 2023. The estimated fair value of the Company's outstanding Senior Notes using quoted prices from the over-the-counter markets, considered Level 2 inputs, was $0.9 billion as of both March 31, 2024 and December 31, 2023.</w:t>
      </w:r>
    </w:p>
    <w:p>
      <w:pPr>
        <w:spacing w:after="0" w:line="152" w:lineRule="exact"/>
        <w:rPr>
          <w:sz w:val="20"/>
          <w:szCs w:val="20"/>
          <w:color w:val="auto"/>
        </w:rPr>
      </w:pPr>
    </w:p>
    <w:p>
      <w:pPr>
        <w:ind w:left="640" w:hanging="634"/>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its office facilities, data centers, and certain vehicles, as well as finance leases for office equipment. The Company's leases have remaining terms up to eight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Lease costs related to the Company's operating and finance leases included in the condensed consolidated statements of operations were as follows (in millions):</w:t>
      </w:r>
    </w:p>
    <w:p>
      <w:pPr>
        <w:spacing w:after="0" w:line="175"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6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
        </w:trPr>
        <w:tc>
          <w:tcPr>
            <w:tcW w:w="8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costs:</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8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8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costs</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Finance lease costs primarily relate to vehicles used by the Company's research teams, and the amortization of the ROU assets are recorded to cost of revenue in the consolidated statements of operations. The impact of lease costs related to short-term leases was not material for the three months ended March 31, 2024 and 2023.</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40" w:type="dxa"/>
            <w:vAlign w:val="bottom"/>
          </w:tcPr>
          <w:p>
            <w:pPr>
              <w:spacing w:after="0"/>
              <w:rPr>
                <w:sz w:val="20"/>
                <w:szCs w:val="20"/>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December 31, 2023</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tcBorders>
              <w:bottom w:val="single" w:sz="8" w:color="CCEEFF"/>
            </w:tcBorders>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8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right-of-use assets</w:t>
            </w: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80" w:type="dxa"/>
            <w:vAlign w:val="bottom"/>
            <w:gridSpan w:val="4"/>
            <w:vMerge w:val="restart"/>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6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shd w:val="clear" w:color="auto" w:fill="CCEEFF"/>
          </w:tcPr>
          <w:p>
            <w:pPr>
              <w:spacing w:after="0"/>
              <w:rPr>
                <w:sz w:val="15"/>
                <w:szCs w:val="15"/>
                <w:color w:val="auto"/>
              </w:rPr>
            </w:pPr>
          </w:p>
        </w:tc>
        <w:tc>
          <w:tcPr>
            <w:tcW w:w="3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240" w:type="dxa"/>
            <w:vAlign w:val="bottom"/>
            <w:tcBorders>
              <w:bottom w:val="single" w:sz="8" w:color="CCEEFF"/>
            </w:tcBorders>
            <w:vMerge w:val="continue"/>
            <w:shd w:val="clear" w:color="auto" w:fill="CCEEFF"/>
          </w:tcPr>
          <w:p>
            <w:pPr>
              <w:spacing w:after="0"/>
              <w:rPr>
                <w:sz w:val="15"/>
                <w:szCs w:val="15"/>
                <w:color w:val="auto"/>
              </w:rPr>
            </w:pPr>
          </w:p>
        </w:tc>
        <w:tc>
          <w:tcPr>
            <w:tcW w:w="380" w:type="dxa"/>
            <w:vAlign w:val="bottom"/>
            <w:tcBorders>
              <w:bottom w:val="single" w:sz="8" w:color="CCEEFF"/>
            </w:tcBorders>
            <w:gridSpan w:val="4"/>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8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3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gridSpan w:val="4"/>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478"/>
        </w:trPr>
        <w:tc>
          <w:tcPr>
            <w:tcW w:w="7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millions):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7"/>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7"/>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0.3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3.6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9"/>
        </w:trPr>
        <w:tc>
          <w:tcPr>
            <w:tcW w:w="4120" w:type="dxa"/>
            <w:vAlign w:val="bottom"/>
          </w:tcPr>
          <w:p>
            <w:pPr>
              <w:spacing w:after="0"/>
              <w:rPr>
                <w:sz w:val="24"/>
                <w:szCs w:val="24"/>
                <w:color w:val="auto"/>
              </w:rPr>
            </w:pPr>
          </w:p>
        </w:tc>
        <w:tc>
          <w:tcPr>
            <w:tcW w:w="37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6" w:name="page27"/>
    <w:bookmarkEnd w:id="26"/>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634"/>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consist of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60" w:type="dxa"/>
            <w:vAlign w:val="bottom"/>
          </w:tcPr>
          <w:p>
            <w:pPr>
              <w:spacing w:after="0"/>
              <w:rPr>
                <w:sz w:val="20"/>
                <w:szCs w:val="20"/>
                <w:color w:val="auto"/>
              </w:rPr>
            </w:pP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December 31, 2022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0" w:type="dxa"/>
            <w:vAlign w:val="bottom"/>
          </w:tcPr>
          <w:p>
            <w:pPr>
              <w:spacing w:after="0"/>
              <w:rPr>
                <w:sz w:val="1"/>
                <w:szCs w:val="1"/>
                <w:color w:val="auto"/>
              </w:rPr>
            </w:pPr>
          </w:p>
        </w:tc>
      </w:tr>
      <w:tr>
        <w:trPr>
          <w:trHeight w:val="307"/>
        </w:trPr>
        <w:tc>
          <w:tcPr>
            <w:tcW w:w="6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24"/>
                <w:szCs w:val="24"/>
                <w:color w:val="auto"/>
              </w:rPr>
            </w:pP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05"/>
        </w:trPr>
        <w:tc>
          <w:tcPr>
            <w:tcW w:w="6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December 31, 2023</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5"/>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40" w:hanging="134"/>
        <w:spacing w:after="0"/>
        <w:tabs>
          <w:tab w:leader="none" w:pos="14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International goodwill generated during the year ended December 31, 2023 from the OnTheMarket Acquisition was $62.8 million</w:t>
      </w:r>
      <w:r>
        <w:rPr>
          <w:rFonts w:ascii="Times New Roman" w:cs="Times New Roman" w:eastAsia="Times New Roman" w:hAnsi="Times New Roman"/>
          <w:sz w:val="16"/>
          <w:szCs w:val="16"/>
          <w:color w:val="auto"/>
        </w:rPr>
        <w: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impairments of the Company's goodwill were recognized during the three months ended March 31, 2024 and 2023.</w:t>
      </w:r>
    </w:p>
    <w:p>
      <w:pPr>
        <w:spacing w:after="0" w:line="175" w:lineRule="exact"/>
        <w:rPr>
          <w:sz w:val="20"/>
          <w:szCs w:val="20"/>
          <w:color w:val="auto"/>
        </w:rPr>
      </w:pPr>
    </w:p>
    <w:p>
      <w:pPr>
        <w:ind w:left="320" w:hanging="314"/>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92"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 (in millions, except amortization period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2"/>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2"/>
        </w:trPr>
        <w:tc>
          <w:tcPr>
            <w:tcW w:w="6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3"/>
        </w:trPr>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(in years)</w:t>
            </w:r>
          </w:p>
        </w:tc>
      </w:tr>
      <w:tr>
        <w:trPr>
          <w:trHeight w:val="25"/>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 and data</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 and data, net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 net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 intangible assets, net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 net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
        </w:trPr>
        <w:tc>
          <w:tcPr>
            <w:tcW w:w="6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 net</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5"/>
        </w:trPr>
        <w:tc>
          <w:tcPr>
            <w:tcW w:w="64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9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that the carrying value of such assets may not be recoverable. No impairments of the Company's intangible assets were recognized during the three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months ended March 31, 2024 and 2023. During the three months ended March 31, 2024, the Company removed $77.1 million of intangible assets that were fully amortized from the acquired intangible assets and accumulated amortization, which had no net impact on the Company's financial results.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80" w:type="dxa"/>
            <w:vAlign w:val="bottom"/>
          </w:tcPr>
          <w:p>
            <w:pPr>
              <w:spacing w:after="0"/>
              <w:rPr>
                <w:sz w:val="24"/>
                <w:szCs w:val="24"/>
                <w:color w:val="auto"/>
              </w:rPr>
            </w:pPr>
          </w:p>
        </w:tc>
        <w:tc>
          <w:tcPr>
            <w:tcW w:w="7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millions):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2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 Senior Notes due July 15, 2030</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78"/>
        </w:trPr>
        <w:tc>
          <w:tcPr>
            <w:tcW w:w="280" w:type="dxa"/>
            <w:vAlign w:val="bottom"/>
            <w:tcBorders>
              <w:bottom w:val="single" w:sz="8" w:color="CCEEFF"/>
            </w:tcBorders>
            <w:shd w:val="clear" w:color="auto" w:fill="CCEEFF"/>
          </w:tcPr>
          <w:p>
            <w:pPr>
              <w:spacing w:after="0"/>
              <w:rPr>
                <w:sz w:val="15"/>
                <w:szCs w:val="15"/>
                <w:color w:val="auto"/>
              </w:rPr>
            </w:pPr>
          </w:p>
        </w:tc>
        <w:tc>
          <w:tcPr>
            <w:tcW w:w="78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Credit Agreement, due July 1, 2025</w:t>
            </w:r>
          </w:p>
        </w:tc>
        <w:tc>
          <w:tcPr>
            <w:tcW w:w="2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face amount of 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4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Notes unamortized discount and issuance costs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March 31, 2024.</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1, 2020, the Company entered into the 2020 Credit Agreement, which provides for a $750 million revolving credit facility with a term of five years (maturing July 1, 2025) and a letter of credit sublimit of $20 million from a syndicate of financial institutions as lenders and issuing banks. A commitment fee of 0.25% to 0.30% per annum, depending on the Total Leverage Ratio (defined in 2020 Credit Agreement), is payable quarterly in arrears based on the unused revolving commitment. The Company and the syndicate of lenders and issuing banks entered into the First Amendment of the 2020 Credit Agreement in May 2023, which replaced LIBOR as the reference rate with Term SOFR for U.S. dollar denominated borrowings, SONIA rates for Sterling denominated borrowings and EURIBOR for Euro denominated borrowings.</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Borrowings under the 2020 Credit Agreement can be on a revolving basis or term basis, not to exceed the remaining term of the facility, and denominated in U.S. dollars, sterling, euros or other allowed currency at the Company's option, subject to a limit of $250 million U.S. dollar equivalent for non-U.S. dollar denominated borrowings. Borrowings bear interest at a floating rate which can be, at the Company’s option, either (a) an alternate base rate plus an applicable rate ranging from 0.50% to 1.25% or (b) a Term SOFR, SONIA rate or EURIBOR (with a floor of 0.0%) for the specified interest period plus an applicable rate ranging from 1.50% to 2.25%, in each case depending on the Company's Total Leverage Ratio (as defined in the 2020 Credit Agreement). Any borrowing with a Term SOFR reference rate includes an additional 0.10% credit spread adjustment.</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Funds drawn down on the revolving credit facility pursuant to the 2020 Credit Agreement may be used for working capital and other general corporate purposes of the Company and its restricted subsidiaries. The obligations under the 2020 Credit Agreement are guaranteed by each of the Company’s current and future direct or indirect wholly owned restricted domestic subsidiaries, other than certain excluded subsidiaries, in each case subject to certain exceptions, pursuant to guarantee agreements.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2020 Credit Agreement includes covenants, including ones that, subject to certain exceptions, restrict the ability of the Company and its subsidiaries to (i) incur additional indebtedness, (ii) incur liens, (iii) pay dividends or make certain other restricted payments, investments or acquisitions, (iv) merge or consolidate with another person, and (v) sell, assign, lease or otherwise dispose of all or substantially all of our assets. In May 2023, the Company amended the 2020 Credit Agreement to replace LIBOR as the reference rate with Term SOFR for U.S. dollar-denominated borrowings, SONIA rates for Sterling-denominated borrowings and EURIBOR for Euro-denominated borrowings.</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March 31, 2024, the Company was in a Covenant Suspension Period. During any Covenant Suspension Period, the Company will not be subject to certain of these covenants such as restrictions on the ability to incur indebtedness. The 2020 Credit Agreement also requires the Company to maintain a Total Leverage Ratio (as defined in the 2020 Credit Agreement) not exceeding 4.50 to 1.00. The Company was in compliance with the covenants in the 2020 Credit Agreement as of March 31, 2024.</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2024, the Company had no amounts drawn under this facility.</w:t>
      </w:r>
    </w:p>
    <w:p>
      <w:pPr>
        <w:spacing w:after="0" w:line="19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Company had $1.4 million and $1.6 million of deferred debt issuance costs as of March 31, 2024 and December 31, 2023, respectively, in connection with the 2020 Credit Agreement. These amounts are included in deposits and other assets on the Company's condensed consolidated balance sheets.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recognized interest expense as follows (in millions):</w:t>
      </w:r>
    </w:p>
    <w:p>
      <w:pPr>
        <w:spacing w:after="0" w:line="22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19685</wp:posOffset>
            </wp:positionV>
            <wp:extent cx="1631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outstanding borrowings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Senior Notes discount and issuance costs</w:t>
            </w:r>
          </w:p>
        </w:tc>
        <w:tc>
          <w:tcPr>
            <w:tcW w:w="260" w:type="dxa"/>
            <w:vAlign w:val="bottom"/>
          </w:tcPr>
          <w:p>
            <w:pPr>
              <w:spacing w:after="0"/>
              <w:rPr>
                <w:sz w:val="20"/>
                <w:szCs w:val="20"/>
                <w:color w:val="auto"/>
              </w:rPr>
            </w:pPr>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 for construction in process</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86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 and other</w:t>
            </w:r>
          </w:p>
        </w:tc>
        <w:tc>
          <w:tcPr>
            <w:tcW w:w="260" w:type="dxa"/>
            <w:vAlign w:val="bottom"/>
          </w:tcPr>
          <w:p>
            <w:pPr>
              <w:spacing w:after="0"/>
              <w:rPr>
                <w:sz w:val="20"/>
                <w:szCs w:val="20"/>
                <w:color w:val="auto"/>
              </w:rPr>
            </w:pPr>
          </w:p>
        </w:tc>
        <w:tc>
          <w:tcPr>
            <w:tcW w:w="9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
        </w:trPr>
        <w:tc>
          <w:tcPr>
            <w:tcW w:w="8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620" w:hanging="614"/>
        <w:spacing w:after="0"/>
        <w:tabs>
          <w:tab w:leader="none" w:pos="6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income tax provision reflects an effective tax rate of approximately 42% and 25% for the three months ended March 31, 2024 and 2023, respectively. The increase in the effective tax rate for the three months ended March 31, 2024 was primarily due to lower U.S. income and larger U.K. losses with no tax benefit for the three months ended March 31, 2024.</w:t>
      </w:r>
    </w:p>
    <w:p>
      <w:pPr>
        <w:spacing w:after="0" w:line="136" w:lineRule="exact"/>
        <w:rPr>
          <w:sz w:val="20"/>
          <w:szCs w:val="20"/>
          <w:color w:val="auto"/>
        </w:rPr>
      </w:pPr>
    </w:p>
    <w:p>
      <w:pPr>
        <w:ind w:left="640" w:hanging="634"/>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summarizes the Company's significant contractual obligations, including related payments due by period, as of March 31, 2024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Finance lease</w:t>
            </w:r>
          </w:p>
        </w:tc>
        <w:tc>
          <w:tcPr>
            <w:tcW w:w="140" w:type="dxa"/>
            <w:vAlign w:val="bottom"/>
          </w:tcPr>
          <w:p>
            <w:pPr>
              <w:spacing w:after="0"/>
              <w:rPr>
                <w:sz w:val="18"/>
                <w:szCs w:val="18"/>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Long-term interest</w:t>
            </w:r>
          </w:p>
        </w:tc>
        <w:tc>
          <w:tcPr>
            <w:tcW w:w="0" w:type="dxa"/>
            <w:vAlign w:val="bottom"/>
          </w:tcPr>
          <w:p>
            <w:pPr>
              <w:spacing w:after="0"/>
              <w:rPr>
                <w:sz w:val="1"/>
                <w:szCs w:val="1"/>
                <w:color w:val="auto"/>
              </w:rPr>
            </w:pPr>
          </w:p>
        </w:tc>
      </w:tr>
      <w:tr>
        <w:trPr>
          <w:trHeight w:val="17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79" w:lineRule="exact"/>
              <w:rPr>
                <w:sz w:val="20"/>
                <w:szCs w:val="20"/>
                <w:color w:val="auto"/>
              </w:rPr>
            </w:pPr>
            <w:r>
              <w:rPr>
                <w:rFonts w:ascii="Times New Roman" w:cs="Times New Roman" w:eastAsia="Times New Roman" w:hAnsi="Times New Roman"/>
                <w:sz w:val="18"/>
                <w:szCs w:val="18"/>
                <w:b w:val="1"/>
                <w:bCs w:val="1"/>
                <w:color w:val="auto"/>
                <w:w w:val="99"/>
              </w:rPr>
              <w:t>obligations</w:t>
            </w: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principal payments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5"/>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6"/>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leases office facilities under various non-cancelable operating leases, as well as data centers, and vehicles under finance lease arrangements. The leases contain various renewal options.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lease commitments.</w:t>
      </w:r>
    </w:p>
    <w:p>
      <w:pPr>
        <w:spacing w:after="0" w:line="1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consolidated financial position, future results of operations or liquidity. Legal defense costs are expensed as incurred.</w:t>
      </w:r>
    </w:p>
    <w:p>
      <w:pPr>
        <w:spacing w:after="0" w:line="144" w:lineRule="exact"/>
        <w:rPr>
          <w:sz w:val="20"/>
          <w:szCs w:val="20"/>
          <w:color w:val="auto"/>
        </w:rPr>
      </w:pPr>
    </w:p>
    <w:p>
      <w:pPr>
        <w:ind w:left="320" w:right="8620" w:hanging="314"/>
        <w:spacing w:after="0" w:line="481" w:lineRule="auto"/>
        <w:tabs>
          <w:tab w:leader="none" w:pos="633"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 Segment Information</w:t>
      </w: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manages its business geographically in two operating segments, with the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Management believes that operating segment EBITDA is an appropriate measure for evaluating the operational performance of the Company’s operating segments. EBITDA is used by management internally to measure operating and management performance and to evaluate the performance of the business. However, this measure should be considered in addition to, not as a substitute for or superior to, (loss) income from operations or other measures of financial performance prepared in accordance with GAAP.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Summarized EBITDA information by operating segment consists of the following (in millions):</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50"/>
        </w:trPr>
        <w:tc>
          <w:tcPr>
            <w:tcW w:w="856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r>
      <w:tr>
        <w:trPr>
          <w:trHeight w:val="233"/>
        </w:trPr>
        <w:tc>
          <w:tcPr>
            <w:tcW w:w="8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gridSpan w:val="3"/>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Pr>
          <w:p>
            <w:pPr>
              <w:spacing w:after="0"/>
              <w:rPr>
                <w:sz w:val="20"/>
                <w:szCs w:val="20"/>
                <w:color w:val="auto"/>
              </w:rPr>
            </w:pPr>
          </w:p>
        </w:tc>
      </w:tr>
      <w:tr>
        <w:trPr>
          <w:trHeight w:val="25"/>
        </w:trPr>
        <w:tc>
          <w:tcPr>
            <w:tcW w:w="85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3"/>
        </w:trPr>
        <w:tc>
          <w:tcPr>
            <w:tcW w:w="856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r>
      <w:tr>
        <w:trPr>
          <w:trHeight w:val="25"/>
        </w:trPr>
        <w:tc>
          <w:tcPr>
            <w:tcW w:w="8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68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4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
        </w:trPr>
        <w:tc>
          <w:tcPr>
            <w:tcW w:w="85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83"/>
        </w:trPr>
        <w:tc>
          <w:tcPr>
            <w:tcW w:w="8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EBITDA</w:t>
            </w:r>
          </w:p>
        </w:tc>
        <w:tc>
          <w:tcPr>
            <w:tcW w:w="68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net income to EBITDA consists of the following (in millions):</w:t>
      </w:r>
    </w:p>
    <w:p>
      <w:pPr>
        <w:spacing w:after="0" w:line="162"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5481320</wp:posOffset>
            </wp:positionH>
            <wp:positionV relativeFrom="paragraph">
              <wp:posOffset>19685</wp:posOffset>
            </wp:positionV>
            <wp:extent cx="16573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cost of revenues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178"/>
        </w:trPr>
        <w:tc>
          <w:tcPr>
            <w:tcW w:w="86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05"/>
        </w:trPr>
        <w:tc>
          <w:tcPr>
            <w:tcW w:w="8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8"/>
        </w:trPr>
        <w:tc>
          <w:tcPr>
            <w:tcW w:w="8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hanging="136"/>
        <w:spacing w:after="0" w:line="217" w:lineRule="auto"/>
        <w:tabs>
          <w:tab w:leader="none" w:pos="16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$3.6 million of amortization and depreciation expense associated with lessor income.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Summarized information by operating segment consists of the following (in millions):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3"/>
        </w:trPr>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0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58"/>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goodwill</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w:t>
            </w:r>
          </w:p>
        </w:tc>
        <w:tc>
          <w:tcPr>
            <w:tcW w:w="0" w:type="dxa"/>
            <w:vAlign w:val="bottom"/>
          </w:tcPr>
          <w:p>
            <w:pPr>
              <w:spacing w:after="0"/>
              <w:rPr>
                <w:sz w:val="1"/>
                <w:szCs w:val="1"/>
                <w:color w:val="auto"/>
              </w:rPr>
            </w:pPr>
          </w:p>
        </w:tc>
      </w:tr>
      <w:tr>
        <w:trPr>
          <w:trHeight w:val="23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6"/>
        </w:trPr>
        <w:tc>
          <w:tcPr>
            <w:tcW w:w="8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58"/>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April 21, 2024, the Company entered into an Agreement and Plan of Merger and Reorganization (the “Merger Agreement”) with Matterport, Merger Sub I, and Merger Sub II, pursuant to which, among other things, and subject to its terms, (i) Merger Sub I will merge with and into Matterport (the “First Merger”), with Matterport surviving the First Merger as a wholly owned subsidiary of the Company (the “Surviving Corporation”) and (ii) in the event that the Threshold Percentage (as defined in the Merger Agreement) is at least 40%, immediately following the First Merger and as part of a single integrated transaction, the Surviving Corporation will merge with and into Merger Sub II (the “Second Merger” and, together with the First Merger, the “Mergers”), with Merger Sub II surviving the Second Merger as a wholly owned subsidiary of the Company.</w:t>
      </w:r>
    </w:p>
    <w:p>
      <w:pPr>
        <w:spacing w:after="0" w:line="9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share of Matterport Common Stock issued and outstanding immediately prior to the effective time of the First Merger (the “First Effective Time”) (other than any cancelled shares or Dissenting Shares (as defined in the Merger Agreement)) will be converted into (i) a number of CoStar Group Shares equal to the Merger Exchange Ratio (such consideration, the “Per Share Stock Consideration”) and (ii) $2.75 in cash per share, without interest (the “Per Share Cash Consideration”). Holders of Matterport Common Stock will receive cash in lieu of fractional CoStar Group Shares (the “Fractional Share Consideration” and, together with the Per Share Stock Consideration and the Per Share Cash Consideration, collectively, the “Merger Consideration”).</w:t>
      </w:r>
    </w:p>
    <w:p>
      <w:pPr>
        <w:spacing w:after="0" w:line="9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Consummation of the Mergers is subject to certain customary conditions, including, among others, the required approval of the Matterport stockholders, expiration or termination of the applicable waiting periods under the HSR Act and the Antitrust Laws (each as defined in the Merger Agreement) of certain other jurisdictions, the absence of any law, injunction, order or award restraining, enjoining or otherwise prohibiting or making illegal the consummation of the Mergers, the CoStar Shares to be issued in the Mergers being approved for listing on Nasdaq Global Select Market, and the registration statement registering the Merger Consideration becoming effective. Each party’s obligation to consummate the Mergers is subject to certain other conditions, including the accuracy of the representations and warranties of the other party, compliance in all material respects by the other party with its obligations under the Merger Agreement, and the absence of a material adverse effect related to the other party. Consummation of the Mergers is not subject to approval by the stockholders of the Company or to any financing condition.</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Merger Agreement requires the Company to pay a $85 million fee to Matterport in the event the Merger Agreement is terminated under specified circumstances including, among others, certain antitrust approvals are not obtained, or a governmental order related to antitrust or competition matters prohibits the consummation of the transaction. The Company intends to fund the cash consideration with cash on hand and expects the transaction to close in 2024. The cash consideration is estimated to be $940 million and the stock consideration would require the issuance of approximately 11.2 million shares of CoStar Group’s common stock using the share price of the Company at April 19, 2024, not considering Fractional Share Consideration. In addition, any award of restricted stock units relating to Matterport grants that is outstanding at the time of the First Merger will be converted into a corresponding award of CoStar Group Shares based on the Merger Consideration.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2" w:name="page33"/>
    <w:bookmarkEnd w:id="3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“Risk Factors” in Item 1A of Part I of our 2023 Form 10-K and "Risk Factors" in Item 1A of Part II of this Report, as well as those described from time to time in our filings with the SEC.</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filing, and we assume no obligation to update such statements, whether as a result of new information, future events or otherwise, except as required by law. The following discussion should be read in conjunction with our 2023 Form 10-K, our subsequent Quarterly Reports on Form 10-Q and Current Reports on Form 8-K and other filings with the SEC and the condensed consolidated financial statements and related notes included in this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CoStar Group, founded in 1987, is a leading provider of online real estate marketplaces, information and analytics in the U.S. and U.K., based on the fact that we own and operate leading online marketplaces for commercial real estate and apartment listings in the U.S., based on the numbers of unique visitors and site visits per month; provide more information, analytics and marketing services than any of our competitors; offer the most comprehensive commercial real estate database available; and have the largest commercial real estate research department in the industry. We have created and compiled a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land, mixed-use and hospitality. We also offer online platforms that manage workflow and marketing for residential real estate agents and brokers and provide portals for homebuyers to view residential property listings.</w:t>
      </w:r>
    </w:p>
    <w:p>
      <w:pPr>
        <w:spacing w:after="0" w:line="1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our primary areas of measurement and decision-making being North America, which includes the U.S. and Canada, and International, which primarily includes Europe, Asia-Pacific and Latin America.</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services are typically distributed to our clients under subscription-based license agreements that typically renew automatically, a majority of which have a term of at least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client’s business focus, the client's geographic location, the number of properties reported on or analyzed,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 Our transaction-based services primarily consist of auction fees from our Ten-X online auction platform for commercial real estate, which are generally calculated as a percentage of the final sales price for the commercial real estate property sold and recognized as revenue upon the successful closure of an auction. Other transaction-based services are described by service offering below.</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79"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portfolio of information, analytics and online marketplaces is branded and marketed to our customers and marketplace end users under the primary brands of CoStar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LoopNet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Apartments.com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Homes.com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,Ten-X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BizBuySell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Land.com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OnTheMarket. Our services are accessible via the internet and through our mobile applications. Our services are primarily derived from a database of building-specific information and offer customers specialized tools for accessing, analyzing and using our information. Over time, we have enhanced and expanded, and we expect to continue to enhance and expand, our existing information, analytics and online marketplace services. We have developed and we expect to continue to develop additional services leveraging our database to meet the needs of our existing customers as well as potential new categories of customers.</w:t>
      </w: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color w:val="auto"/>
        </w:rPr>
        <w:t>Our principal information, analytics and online marketplace services are described in the following paragraphs by type of services: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CoStar</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CoStar is our subscription-based integrated platform for commercial real estate intelligence, which includes information about office, industrial, retail, multifamily, hospitality and student housing properties, properties for sale, comparable sales, tenants, space available for lease, industry professionals and their business relationships, industry news and market status and provides benchmarking for the hospitality industry, lease analytical capabilities and risk management capabilities. CoStar's revenue growth rate for the three months ended March 31, 2024 decelerated compared to the revenue growth rate for the three months ended March 31, 2023 due to lower inflation-based price increases in 2023 relative to 2022. We expect CoStar's revenue growth rate for the year ending December 31, 2024 to be consistent with the revenue growth rate for the year ended December 31, 2023, primarily due to converting legacy STR customers to our new CoStar based benchmarking product offsetting lower inflation-based price adjustments.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Information Services</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provide real estate and lease management technology solutions, including lease administration, lease accounting and abstraction services, through our CoStar Real Estate Manager service offerings, as well as portfolio and debt analysis, management and reporting capabilities through our CoStar Risk Analytics service offerings. We also provide data and reports on an ad hoc basis to customers in the hospitality industry. We earn revenue on ad hoc transactions as reports or data are delivered to customers. We provide information services internationally, through our Business Immo, Belbex and Thomas Daily businesses in France, Spain and Germany, respectively. Information Services' revenue growth rate for the three months ended March 31, 2024 decelerated compared to the revenue growth rate for the three months ended March 31, 2023 as a result of the Business Immo Acquisition in April of 2022. We expect the Information Services revenue growth rate for the year ending December 31, 2024 to decrease compared to the revenue growth rate for the year ended December 31, 2023 as a result of converting legacy STR customers to our new CoStar-based benchmarking product.</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Multifamily</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Apartments.com is the flagship brand of our apartment marketing network of subscription-based advertising services and provides property management companies and landlords with a comprehensive advertising destination for their available rental units and offers renters a platform for searching for available rentals. This network also earns transaction-based revenue primarily from providing online tenant applications, including background and credit checks and rental payment processing. Multifamily's revenue growth rate for the three months ended March 31, 2024 was consistent with the revenue growth rate for the three months ended March 31, 2023. We expect the Multifamily revenue growth rate for the year ending December 31, 2024 to moderate compared to the revenue growth rate for the year ended December 31, 2023 due to lower inflation-based price adjustments.</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LoopNet</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LoopNet network of commercial real estate websites offers subscription-based, online marketplace services that enable commercial property owners, landlords and real estate agents working on their behalf to advertise properties for sale or for lease and to submit detailed information about property listings. Commercial real estate agents, buyers and tenants use the LoopNet network of online marketplace services to search for available property listings that meet their criteria. LoopNet's revenue growth rate for the three months ended March 31, 2024 decelerated compared to the revenue growth rate for the three months ended March 31, 2023 due to lower inflation-based price increases. We expect LoopNet's revenue growth rate for the year ended December 31, 2024 to decelerate compared to the revenue growth rate for the year ended December 31, 2023 as a result of disruptions related to transitioning sales and service activities to a dedicated LoopNet field sales team.</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19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Homes.com Network and the acquisition of OnTheMarket have enabled us to expand our offerings to the residential for sale market. Homes.com is a homes-for-sale listings site that combines our proprietary research with listing information to allow homebuyers an informative and collaborative experience finding homes for sale or lease. Homes.com provides residential real estate professionals subscription-based access to applications that manage residential real estate agent workflow and receives transaction-based revenue for marketing campaigns delivered on third-party platforms. In February 2024, we began selling Homes.com memberships, on a subscription basis, which promote an agent's profile and listings on our website. OnTheMarket is a property portal in the U.K., which primarily offers subscriptions-based advertising services to agents. Residential's revenues for the three months ended March 31, 2024 increased compared to the three months ended March 31,</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18"/>
          <w:szCs w:val="18"/>
          <w:color w:val="auto"/>
        </w:rPr>
        <w:t>2023 due to the OnTheMarket Acquisition and the launch of our new Homes.com product, partially offset by lost revenue due to the discontinuation of certain products and services that were inconsistent with our long-term business strategy. We expect Residential's revenues for the year ending December 31, 2024 to increase compared to the year ended December 31, 2023 due to the OnTheMarket Acquisition and the launch of our new Homes.com product.</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Marketplaces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other marketplaces include Ten-X, an online auction platform for commercial real estate, our BizBuySell network of sites and our Land.com Network of sites. The BizBuySell network provides online marketplaces for businesses and franchises for sale, and our Land.com Network provides online marketplaces for rural lands for sale. Other Marketplaces' revenues for the three months ended March 31, 2024 was consistent with the three months ended March 31, 2023. We expect other marketplaces revenue for the year ending December 31, 2024 to be consistent with the year ended December 31, 2023.</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Subscription-based Services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our revenue is generated from service offerings that are distributed to our clients under subscription-based agreements that typically renew automatically and have a term of at least one year. We recognize subscription revenues on a straight-line basis over the life of the contract.</w:t>
      </w:r>
    </w:p>
    <w:p>
      <w:pPr>
        <w:spacing w:after="0" w:line="1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three months ended March 31, 2024 and 2023, our annualized net new bookings of subscription-based services on all contracts were $86 million and $80 million, respectively. Net new bookings is calculated based on the annualized amount of change in our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revenues over time. Revenues from our subscription-based contracts were approximately 96% and 95% of total revenues for the three months ended March 31, 2024 and 2023, respectively. The increase was due to increased sales in our multifamily subscription products.</w:t>
      </w:r>
    </w:p>
    <w:p>
      <w:pPr>
        <w:spacing w:after="0" w:line="15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both the trailing 12 months ended March 31, 2024 and 2023, our contract renewal rates for existing company-wide CoStar Group subscription-based services for contracts with a term of at least one year were approximately 90%, and, therefore, our cancellation rates for those services for the same periods were approximately 10%. Contract renewal rates are calculated on all subscription-based contracts with a term of at least one year.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clients, reductions in customer spending or decreases in our customer base. Revenues from our subscription-based contracts with a term of at least one year were approximately 81% and 80% of total revenues for the trailing 12 months ended March 31, 2024 and 2023, respectively. The increase was primarily due to increased sales of CoStar and multifamily subscription products.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Development, Investments and Expansion</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plan to continue to invest in our business and our services, evaluate strategic growth opportunities and pursue our key priorities as described below. We are committed to supporting, improving and enhancing our information, analytics and online marketplace solutions,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key priorities for the remainder of 2024 currently include:</w:t>
      </w:r>
    </w:p>
    <w:p>
      <w:pPr>
        <w:spacing w:after="0" w:line="191" w:lineRule="exact"/>
        <w:rPr>
          <w:sz w:val="20"/>
          <w:szCs w:val="20"/>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Continuing to develop and invest in our residential marketplaces. For Homes.com we are creating additional content for neighborhoods, parks, schools and condos. In February 2024, we launched Homes.com memberships which promote an agent's profile and listings on our website. We intend to create an expanded, dedicated sales force, to supplement the efforts of our sales team already in place. We have launched a brand campaign plan to increase our residential marketing investment to raise brand awareness and drive users to our website.</w:t>
      </w:r>
    </w:p>
    <w:p>
      <w:pPr>
        <w:spacing w:after="0" w:line="180" w:lineRule="exact"/>
        <w:rPr>
          <w:rFonts w:ascii="Times New Roman" w:cs="Times New Roman" w:eastAsia="Times New Roman" w:hAnsi="Times New Roman"/>
          <w:sz w:val="18"/>
          <w:szCs w:val="18"/>
          <w:i w:val="1"/>
          <w:iCs w:val="1"/>
          <w:color w:val="auto"/>
        </w:rPr>
      </w:pPr>
    </w:p>
    <w:p>
      <w:pPr>
        <w:ind w:left="6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OnTheMarket, we are integrating OnTheMarket into the Company’s operations including additional investment in</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8"/>
          <w:szCs w:val="18"/>
          <w:color w:val="auto"/>
        </w:rPr>
        <w:t>marketing, content creation and enhancing OnTheMarket’s website to improve performance and facilitate better search engine optimization.</w:t>
      </w:r>
    </w:p>
    <w:p>
      <w:pPr>
        <w:spacing w:after="0" w:line="191" w:lineRule="exact"/>
        <w:rPr>
          <w:sz w:val="20"/>
          <w:szCs w:val="20"/>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our facilities. We are expanding our research and technology center in Richmond, Virginia. We broke ground on the expansion in November 2022 and expect construction to be substantially completed in the first half of 2026. The expansion includes construction of two new buildings spanning 750,000 square feet and will bring our campus footprint to over 1 million square feet when completed. We plan to increase our research, technology, operations, software development, marketing and sales teams in this location.</w:t>
      </w:r>
    </w:p>
    <w:p>
      <w:pPr>
        <w:spacing w:after="0" w:line="180"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In February 2024, we closed on the purchase of a building in Arlington, Virginia, and we plan to build out a space for our employees. The lease on our current Washington, DC headquarters ends in 2025.</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expect our investment in these priorities will increase our research, selling and marketing and facilities expenses, including potential impairments of assets associated with the acquired building, and increase in our cash spent on capital expenditures. Each of the increased expenses will reduce our net income, and the increase in these expenses and the capital expenditures are expected to reduce our cash on hand for the year ending December 31, 2024 compared to the year ended December 31, 2023. We intend to continue to assess the need for additional investments in our business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Impacts of Current Economic Conditions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response to the concerns over inflation risk, the U.S. Federal Reserve raised interest rates over the recent two years. It is currently unclear how the commercial real estate industry will ultimately be impacted by the current economic conditions. Rising interest rates or a period of elevated interest rates may reduce demand for all types of real estate. If the demand for office space or other real estate decreases significantly, there could be a downturn in the commercial real estate market that may materially adversely affect many of our clients. A depressed commercial real estate market would have a negative impact on our core customer base, which could impact our customers’ ability to subscribe and pay for our services and reduce demand for our services. Reduced demand and increased cancellations could cause our revenues or our revenue growth rates to decline and reduce our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adjusted EBITDA margin, non-GAAP net income and non-GAAP net income per diluted share. EBITDA is our net income before interest income or expense, net, other income or expense, net, loss on debt extinguishment, income taxes, depreciation and amortization.We typically disclose EBITDA on a consolidated and an operating segment basis in our earnings releases, investor conference calls and filings with the SEC. Adjusted EBITDA is different from EBITDA because we further adjust EBITDA for stock-based compensation expense, acquisition- and integration-related costs, restructuring costs and settlements and impairments incurred outside our ordinary course of business. Adjusted EBITDA margin represents adjusted EBITDA divided by revenues for the period. Non-GAAP net income is determined by adjusting our net income for stock-based compensation expense, acquisition- and integration-related costs, restructuring costs, settlement and impairment costs incurred outside our ordinary course of business and loss on debt extinguishment, as well as amortization of acquired intangible assets and other related costs, and then subtracting an assumed provision for income taxes. Non-GAAP net income per diluted share is a non-GAAP financial measure that represents non-GAAP net income divided by the number of diluted shares outstanding for the period used in the calculation of GAAP net income per diluted share.</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disclose adjusted EBITDA, adjusted EBITDA margin, non-GAAP net income and non-GAAP net income per diluted share on a consolidated basis in our earnings releases, investor conference calls and filings with the SEC.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6" w:name="page37"/>
    <w:bookmarkEnd w:id="36"/>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view EBITDA, adjusted EBITDA, adjusted EBITDA margin, non-GAAP net income and non-GAAP net income per diluted share as operating performance measures. We believe that the most directly comparable GAAP financial measure to EBITDA, adjusted EBITDA and non-GAAP net income is net income. We believe the most directly comparable GAAP financial measures to non-GAAP net income per diluted share and adjusted EBITDA margin are net income per diluted share and net income divided by revenues, respectively. In calculating EBITDA, adjusted EBITDA, adjusted EBITDA margin,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adjusted EBITDA margin, non-GAAP net income and non-GAAP net income per diluted share as a substitute for any GAAP financial measure, including net income and net income per diluted share.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adjusted EBITDA margin, non-GAAP net income and non-GAAP net income per diluted share.</w:t>
      </w:r>
    </w:p>
    <w:p>
      <w:pPr>
        <w:spacing w:after="0" w:line="17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EBITDA, adjusted EBITDA, adjusted EBITDA margin, non-GAAP net income and non-GAAP net income per diluted share may be used by management internally to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30 years building our database of commercial real estate information and expanding our markets and services partially through acquisitions of complementary businesses. Due to these acquisitions, our net income has included significant charges for amortization of acquired intangible assets, depreciation and other amortization, acquisition- and integration-related costs, restructuring costs and loss on debt extinguishment. Adjusted EBITDA, adjusted EBITDA margin,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costs, and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income or expense, net, other income or expense, net, income taxes, stock-based compensation expenses, acquisition- and integration-related costs,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financial items that have been excluded from net income to calculate EBITDA and the material limitations associated with using this non-GAAP financial measure as compared to net income:</w:t>
      </w:r>
    </w:p>
    <w:p>
      <w:pPr>
        <w:spacing w:after="0" w:line="124" w:lineRule="exact"/>
        <w:rPr>
          <w:sz w:val="20"/>
          <w:szCs w:val="20"/>
          <w:color w:val="auto"/>
        </w:rPr>
      </w:pPr>
    </w:p>
    <w:p>
      <w:pPr>
        <w:jc w:val="both"/>
        <w:ind w:left="640" w:hanging="316"/>
        <w:spacing w:after="0" w:line="25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income or expense, net and other income or expense, net we generate and incur may be useful for investors to consider and may result in current cash inflows and outflows. However, we do not consider the amount of interest income or expense, net and other income or expense, net, to be a representative component of the day-to-day operating performance of our business.</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13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137" w:lineRule="exact"/>
        <w:rPr>
          <w:sz w:val="20"/>
          <w:szCs w:val="20"/>
          <w:color w:val="auto"/>
        </w:rPr>
      </w:pPr>
    </w:p>
    <w:p>
      <w:pPr>
        <w:jc w:val="both"/>
        <w:ind w:left="640" w:hanging="316"/>
        <w:spacing w:after="0" w:line="274"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27" w:lineRule="exact"/>
        <w:rPr>
          <w:rFonts w:ascii="Times New Roman" w:cs="Times New Roman" w:eastAsia="Times New Roman" w:hAnsi="Times New Roman"/>
          <w:sz w:val="17"/>
          <w:szCs w:val="17"/>
          <w:color w:val="auto"/>
        </w:rPr>
      </w:pPr>
    </w:p>
    <w:p>
      <w:pPr>
        <w:jc w:val="both"/>
        <w:ind w:left="640" w:hanging="316"/>
        <w:spacing w:after="0" w:line="282"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19" w:lineRule="exact"/>
        <w:rPr>
          <w:rFonts w:ascii="Times New Roman" w:cs="Times New Roman" w:eastAsia="Times New Roman" w:hAnsi="Times New Roman"/>
          <w:sz w:val="17"/>
          <w:szCs w:val="17"/>
          <w:color w:val="auto"/>
        </w:rPr>
      </w:pPr>
    </w:p>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We do not believe these charges necessarily reflect the current and ongoing cash charges related to our operating cost structure.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restructuring costs incurred may be useful for investors to consider because they generally represent costs incurred in connection with a change in a contract or a change in the makeup of our properties or personnel. Because we do not carry out restructuring activities on a predictable cycle, we do not consider the amount of restructuring-related costs to be a representative component of the day-to-day operating performance of our business.</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integration-related costs, restructuring and related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In addition to these exclusions from net income, we subtract an assumed provision for income taxes to calculate non-GAAP net income. In both 2024 and 2023, we assume a 26% tax rate, which approximates our historical long-term statutory corporate tax rate, excluding the impact of discrete items.</w:t>
      </w:r>
    </w:p>
    <w:p>
      <w:pPr>
        <w:spacing w:after="0" w:line="14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compensate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137"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Part I of this Report for the reconciliation of our net income to our EBITDA.</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17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compares our selected consolidated results of operations for the three months ended March 31, 2024 and 2023 (in millions,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2"/>
                <w:szCs w:val="2"/>
                <w:color w:val="auto"/>
              </w:rPr>
            </w:pPr>
          </w:p>
        </w:tc>
        <w:tc>
          <w:tcPr>
            <w:tcW w:w="13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98"/>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10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(Decrease) (%)</w:t>
            </w: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CoStar</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Services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LoopNet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Marketplaces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460" w:type="dxa"/>
            <w:vAlign w:val="bottom"/>
            <w:tcBorders>
              <w:bottom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60" w:type="dxa"/>
            <w:vAlign w:val="bottom"/>
            <w:gridSpan w:val="2"/>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72"/>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spacing w:after="0"/>
              <w:rPr>
                <w:sz w:val="20"/>
                <w:szCs w:val="2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60" w:type="dxa"/>
            <w:vAlign w:val="bottom"/>
            <w:gridSpan w:val="2"/>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8"/>
        </w:trPr>
        <w:tc>
          <w:tcPr>
            <w:tcW w:w="59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46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36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2"/>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
        </w:trPr>
        <w:tc>
          <w:tcPr>
            <w:tcW w:w="5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460" w:type="dxa"/>
            <w:vAlign w:val="bottom"/>
            <w:tcBorders>
              <w:bottom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$72 million, or 12%, to $656 million. The increase in our revenues included:</w:t>
      </w:r>
    </w:p>
    <w:p>
      <w:pPr>
        <w:spacing w:after="0" w:line="179"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$44 million, or 21%, due to higher sales volume driven by an increase in the number of properties listed on our network and increases in pricing on renewals,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$25 million, or 11%, due to higher sales volume driven by an increase in subscribers, as well as, converting legacy STR customers to our new CoStar-based benchmarking product,</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$6 million, or 9%, due to an increase in the average price per listing,</w:t>
      </w:r>
    </w:p>
    <w:p>
      <w:pPr>
        <w:spacing w:after="0" w:line="17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Residential revenues of $5 million, or 41%, due to the OnTheMarket Acquisition and the launch of the new Homes.com membership subscriptions, partially offset by the discontinuation of certain products and services that were inconsistent with our long-term business strategy, and</w:t>
      </w:r>
    </w:p>
    <w:p>
      <w:pPr>
        <w:spacing w:after="0" w:line="114"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Information Services revenues of $9 million, or 21%, primarily attributable to converting legacy STR customers to our new CoStar-based benchmarking product,</w:t>
      </w:r>
    </w:p>
    <w:p>
      <w:pPr>
        <w:sectPr>
          <w:pgSz w:w="11900" w:h="16838" w:orient="portrait"/>
          <w:cols w:equalWidth="0" w:num="1">
            <w:col w:w="11240"/>
          </w:cols>
          <w:pgMar w:left="320" w:top="104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39" w:name="page40"/>
    <w:bookmarkEnd w:id="39"/>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Gross Profit and Cost of Revenues</w:t>
      </w:r>
      <w:r>
        <w:rPr>
          <w:rFonts w:ascii="Times New Roman" w:cs="Times New Roman" w:eastAsia="Times New Roman" w:hAnsi="Times New Roman"/>
          <w:sz w:val="18"/>
          <w:szCs w:val="18"/>
          <w:color w:val="auto"/>
        </w:rPr>
        <w:t>. Gross profit increased $50 million, or 11%, to $515 million, and the gross profit margin decreased from 80% to 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in gross profit was due to higher revenues, partially offset by an increase in cost of revenues. Cost of revenues increased $22 million, or 18%, to $141 million and, as a percentage of revenues, increased from 20% to 22%. The increase in cost of revenues included:</w:t>
      </w:r>
    </w:p>
    <w:p>
      <w:pPr>
        <w:spacing w:after="0" w:line="148" w:lineRule="exact"/>
        <w:rPr>
          <w:sz w:val="20"/>
          <w:szCs w:val="20"/>
          <w:color w:val="auto"/>
        </w:rPr>
      </w:pPr>
    </w:p>
    <w:p>
      <w:pPr>
        <w:ind w:left="6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$12 million related to rising headcount to support our residential research efforts, and increases in salaries and benefits costs for our existing employees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in equipment costs to support our research efforts.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Selling and Marketing Expenses (excluding customer base amortization)</w:t>
      </w:r>
      <w:r>
        <w:rPr>
          <w:rFonts w:ascii="Times New Roman" w:cs="Times New Roman" w:eastAsia="Times New Roman" w:hAnsi="Times New Roman"/>
          <w:sz w:val="18"/>
          <w:szCs w:val="18"/>
          <w:color w:val="auto"/>
        </w:rPr>
        <w:t>. Selling and marketing expenses (excluding customer base amortization)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$140 million, or 62%, to $366 million and, as a percentage of revenues, increased from 39% to 56%. The increase primarily included:</w:t>
      </w:r>
    </w:p>
    <w:p>
      <w:pPr>
        <w:spacing w:after="0" w:line="171"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marketing expenses of $125 million for advertising our brands and</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$12 million related to rising headcount in our sales force and in commissions expense due to increased sales volumes.</w:t>
      </w:r>
    </w:p>
    <w:p>
      <w:pPr>
        <w:spacing w:after="0" w:line="122"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Software Development Expenses</w:t>
      </w:r>
      <w:r>
        <w:rPr>
          <w:rFonts w:ascii="Times New Roman" w:cs="Times New Roman" w:eastAsia="Times New Roman" w:hAnsi="Times New Roman"/>
          <w:sz w:val="18"/>
          <w:szCs w:val="18"/>
          <w:color w:val="auto"/>
        </w:rPr>
        <w:t>. Software development expenses increased $16 million, or 24%, to $82 million and,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11% to 13%. The increase primarily included:</w:t>
      </w:r>
    </w:p>
    <w:p>
      <w:pPr>
        <w:spacing w:after="0" w:line="135" w:lineRule="exact"/>
        <w:rPr>
          <w:sz w:val="20"/>
          <w:szCs w:val="20"/>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$11 million related to increases in salaries, stock-based compensation and benefits costs for our existing employees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software and equipment costs.</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$9 million, or 10%, to $99 million and,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consistent at 15%. The increase included:</w:t>
      </w:r>
    </w:p>
    <w:p>
      <w:pPr>
        <w:spacing w:after="0" w:line="122"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services of $4 million,</w:t>
      </w:r>
    </w:p>
    <w:p>
      <w:pPr>
        <w:spacing w:after="0" w:line="164"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credit loss expense, primarily due to our expectations that the downturn in the commercial real estate market will increase delinquent trade receivables, and</w:t>
      </w:r>
    </w:p>
    <w:p>
      <w:pPr>
        <w:spacing w:after="0" w:line="124"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$2 million related to increases in salaries and stock-based compensation for our existing employees and rising headcount.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Customer Base Amortization Expense</w:t>
      </w:r>
      <w:r>
        <w:rPr>
          <w:rFonts w:ascii="Times New Roman" w:cs="Times New Roman" w:eastAsia="Times New Roman" w:hAnsi="Times New Roman"/>
          <w:sz w:val="18"/>
          <w:szCs w:val="18"/>
          <w:color w:val="auto"/>
        </w:rPr>
        <w:t>. Customer base amortization expense was consistent for the three months ended March 31, 2024 and 2023.</w:t>
      </w:r>
    </w:p>
    <w:p>
      <w:pPr>
        <w:spacing w:after="0" w:line="177"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increased $13 million, or 29%, to $56 million. The increase was primarily due to an increase in interest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cash equivalents.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was insignificant for both the three months ended March 31, 2024 and 2023.</w:t>
      </w:r>
    </w:p>
    <w:p>
      <w:pPr>
        <w:spacing w:after="0" w:line="177"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decreased $24 million, or 84%, to $5 million and the effective tax rate increased 17% to 42% of income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The decrease in income tax expense was primarily attributable to lower income before income taxes.</w:t>
      </w: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8"/>
          <w:szCs w:val="18"/>
          <w:b w:val="1"/>
          <w:bCs w:val="1"/>
          <w:color w:val="auto"/>
        </w:rPr>
        <w:t>Business Segment Results for Three Months Ended March 31, 2024 Compared to Three Months Ended March 31, 2023</w:t>
      </w:r>
    </w:p>
    <w:p>
      <w:pPr>
        <w:spacing w:after="0" w:line="19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our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Management believes that operating segment EBITDA is an appropriate measure for evaluating the operational performance of our operating segments. EBITDA is used by management internally to measure our operating and management performance and to evaluate the performance of our business. However, this measure should be considered in addition to, not as a substitute for or superior to, (loss) income from operations or other measures of financial performance prepared in accordance with GAAP. See “Non-GAAP Financial Measures” for further information regarding our segment operating results.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Segment Revenues. </w:t>
      </w:r>
      <w:r>
        <w:rPr>
          <w:rFonts w:ascii="Times New Roman" w:cs="Times New Roman" w:eastAsia="Times New Roman" w:hAnsi="Times New Roman"/>
          <w:sz w:val="18"/>
          <w:szCs w:val="18"/>
          <w:color w:val="auto"/>
        </w:rPr>
        <w:t>North America revenues increased $60 million, or 11%, to $623 million and included:</w:t>
      </w:r>
    </w:p>
    <w:p>
      <w:pPr>
        <w:spacing w:after="0" w:line="179" w:lineRule="exact"/>
        <w:rPr>
          <w:sz w:val="20"/>
          <w:szCs w:val="20"/>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$44 million due to higher sales volume driven by an increase in the number of properties listed on our network and increases in pricing on renewals,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$20 million due to higher sales volume driven by an increase in subscribers, as well as, converting legacy STR customers to our new CoStar based benchmarking product,</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$5 million due to an increase in the average price for listings,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Information Services revenues of $5 million primarily attributable to converting legacy STR customers to our new CoStar based benchmarking product and</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Residential revenues of $5 million due to the discontinuation of certain products and services that were inconsistent with our long-term business strategy, partially offset by revenue from the launch of the new Homes.com membership subscriptions.</w:t>
      </w:r>
    </w:p>
    <w:p>
      <w:pPr>
        <w:spacing w:after="0" w:line="12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$12 million, or 59%, increase in International revenues was primarily attributable to the impact of the OnTheMarket Acquisition, as well as, as an increase in CoStar sales driven by an increase in subscribers.</w:t>
      </w:r>
    </w:p>
    <w:p>
      <w:pPr>
        <w:spacing w:after="0" w:line="1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Segment EBITDA</w:t>
      </w:r>
      <w:r>
        <w:rPr>
          <w:rFonts w:ascii="Times New Roman" w:cs="Times New Roman" w:eastAsia="Times New Roman" w:hAnsi="Times New Roman"/>
          <w:sz w:val="18"/>
          <w:szCs w:val="18"/>
          <w:color w:val="auto"/>
        </w:rPr>
        <w:t>. North America EBITDA decreased $93 million, or 97%, to $3 million. The decrease in North America EBITDA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personnel costs, marketing costs and credit loss expense, partially offset by increases in revenues described above. International EBITDA decreased $17 million to a loss of $16 million. The decrease included an increase of $24 million of operating expense from the OnTheMarket Acquisition and an increase in personnel costs associated with the expansion of our international research team.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balance of cash and cash equivalents, which was $5.0 billion as of March 31, 2024, along with cash generated by ongoing operations and continued access to capital markets, will be sufficient to satisfy our cash requirements over the next 12 months and beyond. Other than the construction commitments and pending acquisition discussed below, our cash requirements have not changed materially from what is described in the 2023 Form 10-K.</w:t>
      </w:r>
    </w:p>
    <w:p>
      <w:pPr>
        <w:spacing w:after="0" w:line="13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Construction Commitments</w:t>
      </w:r>
      <w:r>
        <w:rPr>
          <w:rFonts w:ascii="Times New Roman" w:cs="Times New Roman" w:eastAsia="Times New Roman" w:hAnsi="Times New Roman"/>
          <w:sz w:val="18"/>
          <w:szCs w:val="18"/>
          <w:color w:val="auto"/>
        </w:rPr>
        <w:t>. We are expanding our Richmond, Virginia campus, which is expected to result in a material cash requirement in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We broke ground on the expansion in November 2022 and expect construction to be substantially completed in the first half of 2026.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incentives is dependent on our taxable income.</w:t>
      </w:r>
    </w:p>
    <w:p>
      <w:pPr>
        <w:spacing w:after="0" w:line="16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expect the total cost of construction, net of the estimated value of the tax incentives from 2023 to 2032, to be in the range of $450 – $600 million. We have engaged a project manager, architects and a general contractor on terms that generally require payments as services are provided or construction is performed. As of March 31, 2024, we have paid $156 million and we have committed to spend an additional $460 million as further work is performed under these contracts. We plan to amend these contracts to include additional commitments as construction progresses. Total cash expenditures for 2024 are expected to be approximately $385 million. We expect to fund the expansion with cash on hand.</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1" w:name="page42"/>
    <w:bookmarkEnd w:id="41"/>
    <w:p>
      <w:pPr>
        <w:jc w:val="both"/>
        <w:ind w:firstLine="318"/>
        <w:spacing w:after="0" w:line="272" w:lineRule="auto"/>
        <w:rPr>
          <w:sz w:val="20"/>
          <w:szCs w:val="20"/>
          <w:color w:val="auto"/>
        </w:rPr>
      </w:pPr>
      <w:r>
        <w:rPr>
          <w:rFonts w:ascii="Times New Roman" w:cs="Times New Roman" w:eastAsia="Times New Roman" w:hAnsi="Times New Roman"/>
          <w:sz w:val="17"/>
          <w:szCs w:val="17"/>
          <w:i w:val="1"/>
          <w:iCs w:val="1"/>
          <w:color w:val="auto"/>
        </w:rPr>
        <w:t>Pending Acquisition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April 21, 2024, the Company entered into an Agreement and Plan of Merger and Reorganization (the “Merger Agreement”)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Matterport, Merger Sub I, and Merger Sub II, pursuant to which, among other things, and subject to its terms, (i) Merger Sub I will merge with and into Matterport (the “First Merger”), with Matterport surviving the First Merger as a wholly owned subsidiary of the Company (the “Surviving Corporation”) and</w:t>
      </w:r>
    </w:p>
    <w:p>
      <w:pPr>
        <w:spacing w:after="0" w:line="2" w:lineRule="exact"/>
        <w:rPr>
          <w:sz w:val="20"/>
          <w:szCs w:val="20"/>
          <w:color w:val="auto"/>
        </w:rPr>
      </w:pPr>
    </w:p>
    <w:p>
      <w:pPr>
        <w:jc w:val="both"/>
        <w:ind w:firstLine="6"/>
        <w:spacing w:after="0" w:line="248" w:lineRule="auto"/>
        <w:tabs>
          <w:tab w:leader="none" w:pos="2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Threshold Percentage (as defined in the Merger Agreement) is at least 40%, immediately following the First Merger and as part of a single integrated transaction, the Surviving Corporation will merge with and into Merger Sub II (the “Second Merger” and, together with the First Merger, the “Mergers”), with Merger Sub II surviving the Second Merger as a wholly owned subsidiary of the Company.</w:t>
      </w:r>
    </w:p>
    <w:p>
      <w:pPr>
        <w:spacing w:after="0" w:line="1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share of Matterport Common Stock issued and outstanding immediately prior to the effective time of the First Merger (the “First Effective Time”) (other than any cancelled shares or Dissenting Shares (as defined in the Merger Agreement)) will be converted into (i) a number of CoStar Group Shares equal to the Merger Exchange Ratio (such consideration, the “Per Share Stock Consideration”) and (ii) $2.75 in cash per share, without interest (the “Per Share Cash Consideration”). Holders of Matterport Common Stock will receive cash in lieu of fractional CoStar Group Shares (the “Fractional Share Consideration” and, together with the Per Share Stock Consideration and the Per Share Cash Consideration, collectively, the “Merger Consideration”).</w:t>
      </w:r>
    </w:p>
    <w:p>
      <w:pPr>
        <w:spacing w:after="0" w:line="9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Consummation of the Mergers is subject to certain customary conditions, including, among others, the required approval of the Matterport stockholders, expiration or termination of the applicable waiting periods under the HSR Act and the Antitrust Laws (each as defined in the Merger Agreement) of certain other jurisdictions, the absence of any law, injunction, order or award restraining, enjoining or otherwise prohibiting or making illegal the consummation of the Mergers, the CoStar Shares to be issued in the Mergers being approved for listing on Nasdaq Global Select Market, and the registration statement registering the Merger Consideration becoming effective. Each party’s obligation to consummate the Mergers is subject to certain other conditions, including the accuracy of the representations and warranties of the other party, compliance in all material respects by the other party with its obligations under the Merger Agreement, and the absence of a material adverse effect related to the other party. Consummation of the Mergers is not subject to approval by the stockholders of the Company or to any financing condition.</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intends to fund the cash consideration with cash on hand and expects the transaction to close in 2024. The cash consideration is estimated to be $940 million, not considering Fractional Share Consideration.</w:t>
      </w:r>
    </w:p>
    <w:p>
      <w:pPr>
        <w:spacing w:after="0" w:line="57"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w:t>
      </w:r>
    </w:p>
    <w:p>
      <w:pPr>
        <w:spacing w:after="0" w:line="125"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Cash and cash equivalents decreased to approximately $5.0 billion as of March 31, 2024, compared to cash and cash equivalents of approximately $5.2 billion as of December 31, 2023. The decrease in cash and cash equivalents for the three months ended March 31, 2024 was primarily due to $380 million of cash used in investing activities and cash used in financing activities of $23 million primarily related to repurchases of restricted stock to satisfy tax withholding obligations, partially offset by cash provided by operating activities of $140 million.</w:t>
      </w:r>
    </w:p>
    <w:p>
      <w:pPr>
        <w:spacing w:after="0" w:line="14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$140 million compared to $123 million for the three months ended March 31, 2023. The $16 million increase in cash provided by operating activities was primarily driven by an increase in working capital of $76 million, offset by a decrease in net income.</w:t>
      </w:r>
    </w:p>
    <w:p>
      <w:pPr>
        <w:spacing w:after="0" w:line="15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$380 million compared to $20 million for the three months ended March 31, 2023, primarily driven by the purchase of assets related to the purchase of an office building in Arlington, VA to relocate our DC based employees of $343 million and the expansion of our campus in Richmond, Virginia.</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2024 was $23 million compared to net cash used in financing activities of $16 million for the three months ended March 31, 2023. The increase was primarily driven by repurchases of restricted stock to satisfy tax withholding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policies relating to the following matters to be critical accounting policies:</w:t>
      </w:r>
    </w:p>
    <w:p>
      <w:pPr>
        <w:spacing w:after="0" w:line="154"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an in-depth discussion of each of our significant accounting policies, including the related critical accounting estimates and further information regarding estimates and assumptions involved in their application, see the 2023 Form 10-K and Note 2 of the Notes to Condensed Consolidated Financial Statements included in Part I of this Report. During the three months ended March 31, 2024, there were no material changes to our critical accounting estimates from those described in the 2023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of the Notes to Condensed Consolidated Financial Statements included in Part I of this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9"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have made forward-looking statements in this Report and will make forward-looking statements in our press releases, investor conference calls, Annual Reports on Form 10-K, other Quarterly Reports on Form 10-Q, Current Reports on Form 8-K and other filings with the SEC that are subject to risks and uncertainties. Forward-looking statements include information that is not purely historic fact and include, without limitation, statements concerning our financial outlook for 2024 and beyond, our possible or assumed future results of operations generally, and other statements and information regarding assumptions or expectations about our revenues, revenue growth rates, gross margin percentage, net income, net income per share, fully diluted net income per share, EBITDA, adjusted EBITDA, adjusted EBITDA margin, non-GAAP net income, non-GAAP net income per diluted share, weighted-average outstanding shares, cash flow from operating activities, operating costs, capital and other expenditures, the impact of current economic conditions on our revenues, revenue growth rates and profitability, key priorities for 2024, trends in customer behavior, legal proceedings and claims, legal costs, effective tax rate, the anticipated benefits of completed, pending or proposed acquisitions, the anticipated timing for integration of completed acquisitions, the anticipated benefits of cross-selling efforts, geographic and product expansion, planned service enhancements, expansion and development of our sales forces, planned sales and marketing activities and investments, the impact or results of sales and marketing initiatives, product integrations, elimination and de-emphasizing of services, investments in residential marketplace services and our residential marketplace strategy, net new bookings, contract renewal rates, use of proceeds from equity and debt offerings, the use of proceeds from any draws under our $750 million credit facility provided by the 2020 Credit Agreement, expectations regarding our compliance with financial and restrictive covenants in the 2020 Credit Agreement, employee relations, management’s plans, goals and objectives for future operations, sources and adequacy of liquidity and growth and markets for our stock. Sections of this Report that contain forward-looking statements include the Condensed Consolidated Financial Statements and related Notes, “Management's Discussion and Analysis of Financial Condition and Results of Operations,” “Quantitative and Qualitative Disclosures About Market Risk,” “Controls and Procedures,” “Legal Proceedings” and “Risk Factors.”</w:t>
      </w:r>
    </w:p>
    <w:p>
      <w:pPr>
        <w:spacing w:after="0" w:line="16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w:t>
      </w:r>
    </w:p>
    <w:p>
      <w:pPr>
        <w:spacing w:after="0" w:line="147"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new clients;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develop and introduce new or updated information, analytics and online marketplace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against existing or future competitors in attracting advertisers and in general;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fluctuations and market cyclicality;</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uncertainties and downturns or a downturn or consolidation in the real estate industry;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qualified persons for, or retain and continue to develop, our sales force, or unproductivity of our sales force;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and attract highly capable management and operating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downward pressure that our internal and external investments may place on our operating margins;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in increasing brand awareness;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internet traffic to our marketplaces, and the risk that the methods, including Google Analytics, that we use to measure unique visitors to our portals may misstate the actual number of unique persons who visit our network of mobile applications and websites for a given month or may differ from the methods used by competitors;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new advertisers;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identify, finance, integrate and/or manage costs related to acquisitions;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cyberattacks and security vulnerabilities, and technical problems or disruptions;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a large infrastructure project to build out our campus in Richmond, Virginia;</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increased revenues from our current or future geographic expansion plans;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acceptance of credit cards and debit cards and facilitation of other customer payments;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other events beyond our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related to increased attention to ESG matters;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accurate, comprehensive or reliable data;</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or defend our ownership and use of intellectual property;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halt the operation of websites that aggregate our data, data from other companies or “copycat” websites that may misappropriate our data;</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defend against potential legal liability for collecting, displaying or distributing information;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retain listings from real estate brokers, agents, property owners and apartment property managers;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establish relationships with third-party listing providers;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rules and compliance requirements of MLSs;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international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fluctuations;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Brexit;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lowering or withdrawal of the ratings assigned to our debt securities by rating agencies;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actual or perceived failure to comply with privacy or data protection laws, regulations or standards;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tax laws, regulations or fiscal and tax policies;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third-party claims, litigation, regulatory proceedings or government investigations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return on investment;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ability to consummate the Mergers and the timing of the closing of the Mergers;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operations and employees following the closing of the Mergers;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anticipated benefits and synergies of the Mergers as rapidly as or to the extent anticipated by financial analysts or investors;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announcement of the Mergers or the consummation of the Mergers on business relationships, including with employees, customers, suppliers and competitors;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unfavorable outcomes of any legal proceedings that have been or may be instituted against the Company or Matterport;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fees, expenses and charges related to the Mergers.</w:t>
      </w:r>
    </w:p>
    <w:p>
      <w:pPr>
        <w:spacing w:after="0" w:line="1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information, analytics and online marketplace services to real estate and related business communities within the regions where we operate, which primarily include, North America, Europe, Asia-Pacific and Latin America. The functional currency for a majority of our operations is the local currency, with the exception of certain international locations for which the functional currency is the British Pound.</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Fluctuations in the British pound, Canadian dollar and Euro may have an impact on our business, results of operations and financial position. For the three months ended March 31, 2024, approximately 5% of our revenues were denominated in foreign currencies. For the three months ended March 31, 2024, our revenues would have decreased by approximately $3.6 million, if the U.S. dollar exchange rate used strengthened by 10%. For the three months ended March 31, 2024, our revenues would have increased by approximately $3.6 million, if the U.S. dollar exchange rate used weakened by 10%. In addition, we have assets and liabilities denominated in foreign currencies. We currently 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March 31, 2024, accumulated other comprehensive loss included a loss from foreign currency translation adjustments of approximately $21.9 million.</w:t>
      </w:r>
    </w:p>
    <w:p>
      <w:pPr>
        <w:spacing w:after="0" w:line="1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do not believe we have material exposure to market risks associated with changes in interest rates related to cash equivalent securities held as of March 31, 2024. As of March 31, 2024, we had approximately $5.0 billion of cash and cash equivalents.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spacing w:after="0" w:line="1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our revolving credit facility. On July 1, 2020, we entered into the 2020 Credit Agreement, which provides for variable rate borrowings of up to $750 million.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March 31, 2024. See Note 10 of the Notes to Condensed Consolidated Financial Statements included in Part I of this Report for additional information regarding our 2020 Credit Agreement.</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approximately $2.7 billion of goodwill and intangible assets as of March 31, 2024. As of March 31, 2024,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5" w:name="page46"/>
    <w:bookmarkEnd w:id="4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our reports filed or submitted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March 31, 2024,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as of March 31, 2024 and were operating at a reasonable assurance level.</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implement a financial system that is designed to improve the efficiency and effectiveness of our operational and financial accounting processes. This implementation is expected to be a multi-year project.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further improve our internal control over financial reporting.</w:t>
      </w:r>
    </w:p>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than the implementation of a new financial system noted above, there have been no changes in our internal control over financial reporting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12 of the Notes to the Condensed Consolidated Financial Statements included in Part I of this Report for further discussion.</w:t>
      </w:r>
    </w:p>
    <w:p>
      <w:pPr>
        <w:spacing w:after="0" w:line="13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disclosed in Part I, “Item 1A Risk Factors” in our 2023 Form 10-K, which could materially affect our business, financial condition or future results. Additional risks and uncertainties not currently known to us, or that we currently deem to be immaterial, may also have a material adverse effect on our business, financial condition and/or results of operations. Other than the following item there have not been any material changes to the risk factors as previously disclosed in Part I, “Item 1A Risk Factors” in our 2023 Form 10-K.</w:t>
      </w:r>
    </w:p>
    <w:p>
      <w:pPr>
        <w:spacing w:after="0" w:line="142"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complete the acquisition of Matterport or otherwise realize the benefits of the pending Matterport acquisition, which could have an adverse effect on us.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22, 2024, we announced that we had entered into the Merger Agreement to acquire Matterport. Pursuant to the Merger Agreement, and subject to the terms and conditions contained therein, at the closing of the acquisition, we will acquire all of the outstanding shares of Matterport in a cash and stock transaction. The closing of the acquisition is subject to certain conditions, including: (1) approval by Matterport’s stockholders; (2) expiration or termination of the applicable waiting periods under applicable antitrust laws; (3) the effectiveness of the registration statement on Form S-4 to be filed with the SEC by us in connection with the transactions contemplated by the Merger Agreement; (4) approval for listing on Nasdaq Global Select Market of the shares of our common stock to be issued in the transaction; (5) no injunction, law or order prohibiting the Mergers; (6) accuracy of each party’s representations, subject in most cases to materiality or material adverse effect qualifications; (7) compliance by each party with its covenants in all material respects; and (8) with respect to the other party, there not having occurred since the date of the Merger Agreement any event, development, change or occurrence that has had or would reasonably be expected to have had, individually or in the aggregate, a material adverse effect. The failure to satisfy these conditions could delay the completion of the acquisition or prevent it from occurring. Any delay in completing the acquisition could cause us to not realize some or all of the benefits that we expect to achieve. Further, even if we are unable to complete the acquisition, we will still have incurred substantial expenses and diverted significant management time and resources from our ongoing business. There can be no assurance that the closing conditions will be satisfied or waived or that the transaction will be completed.</w:t>
      </w:r>
    </w:p>
    <w:p>
      <w:pPr>
        <w:spacing w:after="0" w:line="16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Until the completion of the acquisition, we will operate independently of Matterport. It is possible that the pendency of the acquisition could result in the loss of key employees, higher than expected costs, diversion of management attention, or the disruption of our ongoing businesses, which may adversely affect the combined company’s ability to maintain relationships with customers, vendors and employees or to achieve the anticipated benefits of the acquisition. In addition, the amount of stock consideration offered per Matterport share is based on an exchange ratio that will be fixed prior to closing, subject to a collar, based on our share price, and will not be adjusted to account for changes in Matterport’s business, assets, liabilities, prospects, outlook, financial condition or results of operations, or any other changes during the pendency of the acquisition, including any change in the market price of, analyst estimates of or projections relating to Matterport’s common stock.</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incurred, and we will continue to incur, transaction fees, including legal, regulatory and other costs associated with closing the transaction,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success of the Matterport acquisition, if completed, will depend in part on our ability to realize the anticipated business opportunities and growth prospects from combining our business with that of Matterport. We may never realize these business opportunities and growth prospects. We do not have experience in Matterport’s business in 3D digital technology or in manufacturing cameras. Matterport’s business is also subject to risks and uncertainties. There can be no assurances we will have success in these industries. Integrating operations will require significant efforts and expenditures. If we are unable to successfully or timely acquire and integrate Matterport’s business with ours, we may be unable to realize the growth, synergies and other anticipated benefits resulting from the acquisition and our business could be adversely affected.</w:t>
      </w: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7" w:name="page48"/>
    <w:bookmarkEnd w:id="47"/>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is a summary of our repurchases of common stock during each of the three months in the quarter ended March 31, 2024:</w:t>
      </w:r>
    </w:p>
    <w:p>
      <w:pPr>
        <w:sectPr>
          <w:pgSz w:w="11900" w:h="16838" w:orient="portrait"/>
          <w:cols w:equalWidth="0" w:num="1">
            <w:col w:w="11240"/>
          </w:cols>
          <w:pgMar w:left="320" w:top="10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through 31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through 29</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through 31</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6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jc w:val="center"/>
              <w:ind w:right="120"/>
              <w:spacing w:after="0" w:line="179"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72"/>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380" w:type="dxa"/>
            <w:vAlign w:val="bottom"/>
          </w:tcPr>
          <w:p>
            <w:pPr>
              <w:spacing w:after="0"/>
              <w:rPr>
                <w:sz w:val="14"/>
                <w:szCs w:val="14"/>
                <w:color w:val="auto"/>
              </w:rPr>
            </w:pPr>
          </w:p>
        </w:tc>
        <w:tc>
          <w:tcPr>
            <w:tcW w:w="14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18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7"/>
              </w:rPr>
              <w:t>Part of Publicly</w:t>
            </w:r>
          </w:p>
        </w:tc>
        <w:tc>
          <w:tcPr>
            <w:tcW w:w="20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that May Yet Be</w:t>
            </w:r>
          </w:p>
        </w:tc>
        <w:tc>
          <w:tcPr>
            <w:tcW w:w="0" w:type="dxa"/>
            <w:vAlign w:val="bottom"/>
          </w:tcPr>
          <w:p>
            <w:pPr>
              <w:spacing w:after="0"/>
              <w:rPr>
                <w:sz w:val="1"/>
                <w:szCs w:val="1"/>
                <w:color w:val="auto"/>
              </w:rPr>
            </w:pPr>
          </w:p>
        </w:tc>
      </w:tr>
      <w:tr>
        <w:trPr>
          <w:trHeight w:val="186"/>
        </w:trPr>
        <w:tc>
          <w:tcPr>
            <w:tcW w:w="16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180" w:type="dxa"/>
            <w:vAlign w:val="bottom"/>
            <w:gridSpan w:val="2"/>
          </w:tcPr>
          <w:p>
            <w:pPr>
              <w:jc w:val="center"/>
              <w:ind w:right="1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Announced</w:t>
            </w:r>
          </w:p>
        </w:tc>
        <w:tc>
          <w:tcPr>
            <w:tcW w:w="206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6"/>
              </w:rPr>
              <w:t>Purchased Under</w:t>
            </w:r>
          </w:p>
        </w:tc>
        <w:tc>
          <w:tcPr>
            <w:tcW w:w="0" w:type="dxa"/>
            <w:vAlign w:val="bottom"/>
          </w:tcPr>
          <w:p>
            <w:pPr>
              <w:spacing w:after="0"/>
              <w:rPr>
                <w:sz w:val="1"/>
                <w:szCs w:val="1"/>
                <w:color w:val="auto"/>
              </w:rPr>
            </w:pPr>
          </w:p>
        </w:tc>
      </w:tr>
      <w:tr>
        <w:trPr>
          <w:trHeight w:val="172"/>
        </w:trPr>
        <w:tc>
          <w:tcPr>
            <w:tcW w:w="16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380" w:type="dxa"/>
            <w:vAlign w:val="bottom"/>
          </w:tcPr>
          <w:p>
            <w:pPr>
              <w:spacing w:after="0"/>
              <w:rPr>
                <w:sz w:val="14"/>
                <w:szCs w:val="14"/>
                <w:color w:val="auto"/>
              </w:rPr>
            </w:pPr>
          </w:p>
        </w:tc>
        <w:tc>
          <w:tcPr>
            <w:tcW w:w="148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18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7"/>
              </w:rPr>
              <w:t>Plans or</w:t>
            </w:r>
          </w:p>
        </w:tc>
        <w:tc>
          <w:tcPr>
            <w:tcW w:w="20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the Plans or</w:t>
            </w:r>
          </w:p>
        </w:tc>
        <w:tc>
          <w:tcPr>
            <w:tcW w:w="0" w:type="dxa"/>
            <w:vAlign w:val="bottom"/>
          </w:tcPr>
          <w:p>
            <w:pPr>
              <w:spacing w:after="0"/>
              <w:rPr>
                <w:sz w:val="1"/>
                <w:szCs w:val="1"/>
                <w:color w:val="auto"/>
              </w:rPr>
            </w:pPr>
          </w:p>
        </w:tc>
      </w:tr>
      <w:tr>
        <w:trPr>
          <w:trHeight w:val="225"/>
        </w:trPr>
        <w:tc>
          <w:tcPr>
            <w:tcW w:w="162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18"/>
                <w:szCs w:val="18"/>
                <w:b w:val="1"/>
                <w:bCs w:val="1"/>
                <w:color w:val="auto"/>
                <w:w w:val="93"/>
              </w:rPr>
              <w:t>Purchased</w:t>
            </w:r>
            <w:r>
              <w:rPr>
                <w:rFonts w:ascii="Times New Roman" w:cs="Times New Roman" w:eastAsia="Times New Roman" w:hAnsi="Times New Roman"/>
                <w:sz w:val="22"/>
                <w:szCs w:val="22"/>
                <w:b w:val="1"/>
                <w:bCs w:val="1"/>
                <w:color w:val="auto"/>
                <w:w w:val="93"/>
                <w:vertAlign w:val="superscript"/>
              </w:rPr>
              <w:t>(1)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33"/>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20" w:type="dxa"/>
            <w:vAlign w:val="bottom"/>
          </w:tcPr>
          <w:p>
            <w:pPr>
              <w:spacing w:after="0"/>
              <w:rPr>
                <w:sz w:val="20"/>
                <w:szCs w:val="20"/>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70,224</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20" w:type="dxa"/>
            <w:vAlign w:val="bottom"/>
          </w:tcPr>
          <w:p>
            <w:pPr>
              <w:spacing w:after="0"/>
              <w:rPr>
                <w:sz w:val="23"/>
                <w:szCs w:val="23"/>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209,962</w:t>
            </w:r>
          </w:p>
        </w:tc>
        <w:tc>
          <w:tcPr>
            <w:tcW w:w="3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20" w:type="dxa"/>
            <w:vAlign w:val="bottom"/>
          </w:tcPr>
          <w:p>
            <w:pPr>
              <w:spacing w:after="0"/>
              <w:rPr>
                <w:sz w:val="23"/>
                <w:szCs w:val="23"/>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16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280,943</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20" w:type="dxa"/>
            <w:vAlign w:val="bottom"/>
          </w:tcPr>
          <w:p>
            <w:pPr>
              <w:spacing w:after="0"/>
              <w:rPr>
                <w:sz w:val="22"/>
                <w:szCs w:val="22"/>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-377825</wp:posOffset>
            </wp:positionV>
            <wp:extent cx="7117715" cy="16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7715" cy="16827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-722630</wp:posOffset>
            </wp:positionV>
            <wp:extent cx="7117715" cy="176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7715" cy="17653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2780" w:space="720"/>
            <w:col w:w="7740"/>
          </w:cols>
          <w:pgMar w:left="320" w:top="1047" w:right="339" w:bottom="1440" w:gutter="0" w:footer="0" w:header="0"/>
          <w:type w:val="continuous"/>
        </w:sectPr>
      </w:pPr>
    </w:p>
    <w:p>
      <w:pPr>
        <w:jc w:val="both"/>
        <w:ind w:firstLine="6"/>
        <w:spacing w:after="0" w:line="273" w:lineRule="auto"/>
        <w:tabs>
          <w:tab w:leader="none" w:pos="148"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number of shares purchased consists of shares of common stock tendered by employees to the Company to satisfy the employees' minimum tax withholding obligations arising as a result of vesting of restricted stock grants under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1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9" w:lineRule="exact"/>
        <w:rPr>
          <w:sz w:val="20"/>
          <w:szCs w:val="20"/>
          <w:color w:val="auto"/>
        </w:rPr>
      </w:pPr>
    </w:p>
    <w:p>
      <w:pPr>
        <w:ind w:right="360" w:firstLine="318"/>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 of Regulation S-K.</w:t>
      </w: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33"/>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11"/>
        </w:trPr>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18"/>
                <w:szCs w:val="18"/>
                <w:color w:val="auto"/>
              </w:rPr>
            </w:pPr>
          </w:p>
        </w:tc>
        <w:tc>
          <w:tcPr>
            <w:tcW w:w="9840" w:type="dxa"/>
            <w:vAlign w:val="bottom"/>
            <w:tcBorders>
              <w:bottom w:val="single" w:sz="8" w:color="auto"/>
            </w:tcBorders>
          </w:tcPr>
          <w:p>
            <w:pPr>
              <w:spacing w:after="0"/>
              <w:rPr>
                <w:sz w:val="18"/>
                <w:szCs w:val="18"/>
                <w:color w:val="auto"/>
              </w:rPr>
            </w:pPr>
          </w:p>
        </w:tc>
      </w:tr>
      <w:tr>
        <w:trPr>
          <w:trHeight w:val="233"/>
        </w:trPr>
        <w:tc>
          <w:tcPr>
            <w:tcW w:w="13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color w:val="auto"/>
                <w:w w:val="97"/>
              </w:rPr>
              <w:t>Exhibit No.</w:t>
            </w: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6"/>
        </w:trPr>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192"/>
        </w:trPr>
        <w:tc>
          <w:tcPr>
            <w:tcW w:w="760" w:type="dxa"/>
            <w:vAlign w:val="bottom"/>
            <w:gridSpan w:val="4"/>
          </w:tcPr>
          <w:p>
            <w:pPr>
              <w:jc w:val="center"/>
              <w:ind w:left="372"/>
              <w:spacing w:after="0" w:line="192"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Agreement and Plan of Merger and Reorganization dated April 21, 2024, by and among CoStar Group, Inc., Matterport, Inc., Matrix</w:t>
            </w:r>
          </w:p>
        </w:tc>
      </w:tr>
      <w:tr>
        <w:trPr>
          <w:trHeight w:val="213"/>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Merger Sub, Inc. and Matrix Merger Sub II LLC. (Incorporated by reference to Exhibit 2.1 to the Registrant's Current Report on Form 8-K</w:t>
            </w:r>
          </w:p>
        </w:tc>
      </w:tr>
      <w:tr>
        <w:trPr>
          <w:trHeight w:val="231"/>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with the SEC on April 22, 2024).</w:t>
            </w:r>
          </w:p>
        </w:tc>
      </w:tr>
      <w:tr>
        <w:trPr>
          <w:trHeight w:val="397"/>
        </w:trPr>
        <w:tc>
          <w:tcPr>
            <w:tcW w:w="760" w:type="dxa"/>
            <w:vAlign w:val="bottom"/>
            <w:gridSpan w:val="4"/>
          </w:tcPr>
          <w:p>
            <w:pPr>
              <w:jc w:val="center"/>
              <w:ind w:left="372"/>
              <w:spacing w:after="0"/>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Fourth Amended and Restated Certificate of Incorporation (Incorporated by reference to Exhibit 3.1 to the Registrant's Current Report on</w:t>
            </w:r>
          </w:p>
        </w:tc>
      </w:tr>
      <w:tr>
        <w:trPr>
          <w:trHeight w:val="233"/>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with the SEC on June 7, 2021).</w:t>
            </w:r>
          </w:p>
        </w:tc>
      </w:tr>
      <w:tr>
        <w:trPr>
          <w:trHeight w:val="397"/>
        </w:trPr>
        <w:tc>
          <w:tcPr>
            <w:tcW w:w="760" w:type="dxa"/>
            <w:vAlign w:val="bottom"/>
            <w:gridSpan w:val="4"/>
          </w:tcPr>
          <w:p>
            <w:pPr>
              <w:jc w:val="center"/>
              <w:ind w:left="372"/>
              <w:spacing w:after="0"/>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Amended and Restated By-Laws (Incorporated by reference to Exhibit 3.1 to the Registrant's Current Report on Form 8-K filed</w:t>
            </w:r>
          </w:p>
        </w:tc>
      </w:tr>
      <w:tr>
        <w:trPr>
          <w:trHeight w:val="233"/>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SEC on May 9, 2022).</w:t>
            </w:r>
          </w:p>
        </w:tc>
      </w:tr>
      <w:tr>
        <w:trPr>
          <w:trHeight w:val="396"/>
        </w:trPr>
        <w:tc>
          <w:tcPr>
            <w:tcW w:w="44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 (filed herewith).</w:t>
            </w:r>
          </w:p>
        </w:tc>
      </w:tr>
      <w:tr>
        <w:trPr>
          <w:trHeight w:val="417"/>
        </w:trPr>
        <w:tc>
          <w:tcPr>
            <w:tcW w:w="44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 (filed herewith).</w:t>
            </w:r>
          </w:p>
        </w:tc>
      </w:tr>
      <w:tr>
        <w:trPr>
          <w:trHeight w:val="417"/>
        </w:trPr>
        <w:tc>
          <w:tcPr>
            <w:tcW w:w="760" w:type="dxa"/>
            <w:vAlign w:val="bottom"/>
            <w:gridSpan w:val="4"/>
          </w:tcPr>
          <w:p>
            <w:pPr>
              <w:jc w:val="center"/>
              <w:ind w:left="35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 1350, as adopted pursuant to Section 906 of the Sarbanes-Oxley</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24"/>
        </w:trPr>
        <w:tc>
          <w:tcPr>
            <w:tcW w:w="760" w:type="dxa"/>
            <w:vAlign w:val="bottom"/>
            <w:gridSpan w:val="4"/>
          </w:tcPr>
          <w:p>
            <w:pPr>
              <w:jc w:val="center"/>
              <w:ind w:left="35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 1350, as adopted pursuant to Section 906 of the Sarbanes-Oxley</w:t>
            </w:r>
          </w:p>
        </w:tc>
      </w:tr>
      <w:tr>
        <w:trPr>
          <w:trHeight w:val="233"/>
        </w:trPr>
        <w:tc>
          <w:tcPr>
            <w:tcW w:w="44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46"/>
        </w:trPr>
        <w:tc>
          <w:tcPr>
            <w:tcW w:w="940" w:type="dxa"/>
            <w:vAlign w:val="bottom"/>
            <w:gridSpan w:val="5"/>
          </w:tcPr>
          <w:p>
            <w:pPr>
              <w:jc w:val="center"/>
              <w:ind w:left="172"/>
              <w:spacing w:after="0"/>
              <w:rPr>
                <w:sz w:val="20"/>
                <w:szCs w:val="20"/>
                <w:color w:val="auto"/>
              </w:rPr>
            </w:pPr>
            <w:r>
              <w:rPr>
                <w:rFonts w:ascii="Times New Roman" w:cs="Times New Roman" w:eastAsia="Times New Roman" w:hAnsi="Times New Roman"/>
                <w:sz w:val="18"/>
                <w:szCs w:val="18"/>
                <w:color w:val="auto"/>
                <w:w w:val="99"/>
              </w:rPr>
              <w:t>101.INS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The following financial statements from the Company’s Quarterly Report on Form 10-Q for the quarterly period ended March 31, 2024,</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formatted in Inline XBRL: (i) Condensed Consolidated Statements of Operations; (ii) Condensed Consolidated Statements of</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(iii) Condensed Consolidated Balance Sheets; (iv) Condensed Consolidated Statements of Changes in</w:t>
            </w:r>
          </w:p>
        </w:tc>
      </w:tr>
      <w:tr>
        <w:trPr>
          <w:trHeight w:val="212"/>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(v) Condensed Consolidated Statements of Cash Flows; and (vi) Notes to Condensed Consolidated Financial</w:t>
            </w:r>
          </w:p>
        </w:tc>
      </w:tr>
      <w:tr>
        <w:trPr>
          <w:trHeight w:val="231"/>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r>
      <w:tr>
        <w:trPr>
          <w:trHeight w:val="437"/>
        </w:trPr>
        <w:tc>
          <w:tcPr>
            <w:tcW w:w="940" w:type="dxa"/>
            <w:vAlign w:val="bottom"/>
            <w:gridSpan w:val="5"/>
          </w:tcPr>
          <w:p>
            <w:pPr>
              <w:jc w:val="center"/>
              <w:ind w:left="172"/>
              <w:spacing w:after="0"/>
              <w:rPr>
                <w:sz w:val="20"/>
                <w:szCs w:val="20"/>
                <w:color w:val="auto"/>
              </w:rPr>
            </w:pPr>
            <w:r>
              <w:rPr>
                <w:rFonts w:ascii="Times New Roman" w:cs="Times New Roman" w:eastAsia="Times New Roman" w:hAnsi="Times New Roman"/>
                <w:sz w:val="18"/>
                <w:szCs w:val="18"/>
                <w:color w:val="auto"/>
                <w:w w:val="96"/>
              </w:rPr>
              <w:t>101.SCH</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65"/>
        </w:trPr>
        <w:tc>
          <w:tcPr>
            <w:tcW w:w="940" w:type="dxa"/>
            <w:vAlign w:val="bottom"/>
            <w:gridSpan w:val="5"/>
          </w:tcPr>
          <w:p>
            <w:pPr>
              <w:jc w:val="center"/>
              <w:ind w:left="192"/>
              <w:spacing w:after="0"/>
              <w:rPr>
                <w:sz w:val="20"/>
                <w:szCs w:val="20"/>
                <w:color w:val="auto"/>
              </w:rPr>
            </w:pPr>
            <w:r>
              <w:rPr>
                <w:rFonts w:ascii="Times New Roman" w:cs="Times New Roman" w:eastAsia="Times New Roman" w:hAnsi="Times New Roman"/>
                <w:sz w:val="18"/>
                <w:szCs w:val="18"/>
                <w:color w:val="auto"/>
                <w:w w:val="97"/>
              </w:rPr>
              <w:t>101.CAL</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65"/>
        </w:trPr>
        <w:tc>
          <w:tcPr>
            <w:tcW w:w="940" w:type="dxa"/>
            <w:vAlign w:val="bottom"/>
            <w:gridSpan w:val="5"/>
          </w:tcPr>
          <w:p>
            <w:pPr>
              <w:jc w:val="center"/>
              <w:ind w:left="172"/>
              <w:spacing w:after="0"/>
              <w:rPr>
                <w:sz w:val="20"/>
                <w:szCs w:val="20"/>
                <w:color w:val="auto"/>
              </w:rPr>
            </w:pPr>
            <w:r>
              <w:rPr>
                <w:rFonts w:ascii="Times New Roman" w:cs="Times New Roman" w:eastAsia="Times New Roman" w:hAnsi="Times New Roman"/>
                <w:sz w:val="18"/>
                <w:szCs w:val="18"/>
                <w:color w:val="auto"/>
                <w:w w:val="97"/>
              </w:rPr>
              <w:t>101.DEF</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65"/>
        </w:trPr>
        <w:tc>
          <w:tcPr>
            <w:tcW w:w="940" w:type="dxa"/>
            <w:vAlign w:val="bottom"/>
            <w:gridSpan w:val="5"/>
          </w:tcPr>
          <w:p>
            <w:pPr>
              <w:jc w:val="center"/>
              <w:ind w:left="192"/>
              <w:spacing w:after="0"/>
              <w:rPr>
                <w:sz w:val="20"/>
                <w:szCs w:val="20"/>
                <w:color w:val="auto"/>
              </w:rPr>
            </w:pPr>
            <w:r>
              <w:rPr>
                <w:rFonts w:ascii="Times New Roman" w:cs="Times New Roman" w:eastAsia="Times New Roman" w:hAnsi="Times New Roman"/>
                <w:sz w:val="18"/>
                <w:szCs w:val="18"/>
                <w:color w:val="auto"/>
                <w:w w:val="97"/>
              </w:rPr>
              <w:t>101.LAB</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65"/>
        </w:trPr>
        <w:tc>
          <w:tcPr>
            <w:tcW w:w="940" w:type="dxa"/>
            <w:vAlign w:val="bottom"/>
            <w:gridSpan w:val="5"/>
          </w:tcPr>
          <w:p>
            <w:pPr>
              <w:jc w:val="center"/>
              <w:ind w:left="172"/>
              <w:spacing w:after="0"/>
              <w:rPr>
                <w:sz w:val="20"/>
                <w:szCs w:val="20"/>
                <w:color w:val="auto"/>
              </w:rPr>
            </w:pPr>
            <w:r>
              <w:rPr>
                <w:rFonts w:ascii="Times New Roman" w:cs="Times New Roman" w:eastAsia="Times New Roman" w:hAnsi="Times New Roman"/>
                <w:sz w:val="18"/>
                <w:szCs w:val="18"/>
                <w:color w:val="auto"/>
                <w:w w:val="99"/>
              </w:rPr>
              <w:t>101.PRE</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4" w:lineRule="exact"/>
        <w:rPr>
          <w:sz w:val="20"/>
          <w:szCs w:val="20"/>
          <w:color w:val="auto"/>
        </w:rPr>
      </w:pPr>
    </w:p>
    <w:p>
      <w:pPr>
        <w:ind w:left="1320" w:right="180" w:hanging="850"/>
        <w:spacing w:after="0" w:line="274" w:lineRule="auto"/>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Registrant's Quarterly Report on Form 10-Q for the quarterly period ended March 31, 2024,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047" w:right="439" w:bottom="1440" w:gutter="0" w:footer="0" w:header="0"/>
        </w:sectPr>
      </w:pPr>
    </w:p>
    <w:bookmarkStart w:id="49" w:name="page50"/>
    <w:bookmarkEnd w:id="4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ind w:firstLine="392"/>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00" w:type="dxa"/>
        <w:tblCellMar>
          <w:top w:w="0" w:type="dxa"/>
          <w:left w:w="0" w:type="dxa"/>
          <w:bottom w:w="0" w:type="dxa"/>
          <w:right w:w="0" w:type="dxa"/>
        </w:tblCellMar>
      </w:tblPr>
      <w:tr>
        <w:trPr>
          <w:trHeight w:val="233"/>
        </w:trPr>
        <w:tc>
          <w:tcPr>
            <w:tcW w:w="3320" w:type="dxa"/>
            <w:vAlign w:val="bottom"/>
          </w:tcPr>
          <w:p>
            <w:pPr>
              <w:spacing w:after="0"/>
              <w:rPr>
                <w:sz w:val="20"/>
                <w:szCs w:val="20"/>
                <w:color w:val="auto"/>
              </w:rPr>
            </w:pPr>
          </w:p>
        </w:tc>
        <w:tc>
          <w:tcPr>
            <w:tcW w:w="41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COSTAR GROUP, INC.</w:t>
            </w:r>
          </w:p>
        </w:tc>
      </w:tr>
      <w:tr>
        <w:trPr>
          <w:trHeight w:val="357"/>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2024</w:t>
            </w:r>
          </w:p>
        </w:tc>
        <w:tc>
          <w:tcPr>
            <w:tcW w:w="41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Scott T. Wheeler</w:t>
            </w:r>
          </w:p>
        </w:tc>
      </w:tr>
      <w:tr>
        <w:trPr>
          <w:trHeight w:val="220"/>
        </w:trPr>
        <w:tc>
          <w:tcPr>
            <w:tcW w:w="3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T. Wheeler</w:t>
            </w:r>
          </w:p>
        </w:tc>
      </w:tr>
    </w:tbl>
    <w:p>
      <w:pPr>
        <w:ind w:left="6680"/>
        <w:spacing w:after="0" w:line="199" w:lineRule="auto"/>
        <w:rPr>
          <w:sz w:val="20"/>
          <w:szCs w:val="20"/>
          <w:color w:val="auto"/>
        </w:rPr>
      </w:pPr>
      <w:r>
        <w:rPr>
          <w:rFonts w:ascii="Times New Roman" w:cs="Times New Roman" w:eastAsia="Times New Roman" w:hAnsi="Times New Roman"/>
          <w:sz w:val="18"/>
          <w:szCs w:val="18"/>
          <w:color w:val="auto"/>
        </w:rPr>
        <w:t>Chief Financial Officer</w:t>
      </w:r>
    </w:p>
    <w:p>
      <w:pPr>
        <w:ind w:left="6680"/>
        <w:spacing w:after="0" w:line="200" w:lineRule="auto"/>
        <w:tabs>
          <w:tab w:leader="none" w:pos="7500" w:val="left"/>
          <w:tab w:leader="none" w:pos="8320" w:val="left"/>
          <w:tab w:leader="none" w:pos="8720" w:val="left"/>
          <w:tab w:leader="none" w:pos="9700" w:val="left"/>
          <w:tab w:leader="none" w:pos="10360" w:val="left"/>
          <w:tab w:leader="none" w:pos="10760" w:val="left"/>
        </w:tabs>
        <w:rPr>
          <w:sz w:val="20"/>
          <w:szCs w:val="20"/>
          <w:color w:val="auto"/>
        </w:rPr>
      </w:pPr>
      <w:r>
        <w:rPr>
          <w:rFonts w:ascii="Times New Roman" w:cs="Times New Roman" w:eastAsia="Times New Roman" w:hAnsi="Times New Roman"/>
          <w:sz w:val="18"/>
          <w:szCs w:val="18"/>
          <w:color w:val="auto"/>
        </w:rPr>
        <w:t>(Principal</w:t>
        <w:tab/>
        <w:t>Financial</w:t>
        <w:tab/>
        <w:t>and</w:t>
        <w:tab/>
        <w:t>Accounting</w:t>
        <w:tab/>
        <w:t>Officer</w:t>
        <w:tab/>
        <w:t>and</w:t>
        <w:tab/>
        <w:t>Duly</w:t>
      </w:r>
    </w:p>
    <w:p>
      <w:pPr>
        <w:ind w:left="66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04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Florance, certify that:</w:t>
      </w:r>
    </w:p>
    <w:p>
      <w:pPr>
        <w:spacing w:after="0" w:line="111"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CoStar Group,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40" w:hanging="320"/>
        <w:spacing w:after="0" w:line="259"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80" w:hanging="320"/>
        <w:spacing w:after="0" w:line="268" w:lineRule="auto"/>
        <w:tabs>
          <w:tab w:leader="none" w:pos="12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100"/>
        <w:spacing w:after="0"/>
        <w:tabs>
          <w:tab w:leader="none" w:pos="4540" w:val="left"/>
        </w:tabs>
        <w:rPr>
          <w:sz w:val="20"/>
          <w:szCs w:val="20"/>
          <w:color w:val="auto"/>
        </w:rPr>
      </w:pPr>
      <w:r>
        <w:rPr>
          <w:rFonts w:ascii="Times New Roman" w:cs="Times New Roman" w:eastAsia="Times New Roman" w:hAnsi="Times New Roman"/>
          <w:sz w:val="18"/>
          <w:szCs w:val="18"/>
          <w:color w:val="auto"/>
        </w:rPr>
        <w:t>Date: April 24, 2024</w:t>
      </w:r>
      <w:r>
        <w:rPr>
          <w:sz w:val="20"/>
          <w:szCs w:val="20"/>
          <w:color w:val="auto"/>
        </w:rPr>
        <w:tab/>
      </w:r>
      <w:r>
        <w:rPr>
          <w:rFonts w:ascii="Times New Roman" w:cs="Times New Roman" w:eastAsia="Times New Roman" w:hAnsi="Times New Roman"/>
          <w:sz w:val="17"/>
          <w:szCs w:val="17"/>
          <w:color w:val="auto"/>
        </w:rPr>
        <w:t>By: /s/ Andrew C. Florance</w:t>
      </w:r>
    </w:p>
    <w:p>
      <w:pPr>
        <w:spacing w:after="0" w:line="200" w:lineRule="exact"/>
        <w:rPr>
          <w:sz w:val="20"/>
          <w:szCs w:val="20"/>
          <w:color w:val="auto"/>
        </w:rPr>
      </w:pPr>
    </w:p>
    <w:p>
      <w:pPr>
        <w:spacing w:after="0" w:line="2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Wheeler, certify that:</w:t>
      </w:r>
    </w:p>
    <w:p>
      <w:pPr>
        <w:spacing w:after="0" w:line="111"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CoStar Group, Inc.;</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40" w:hanging="320"/>
        <w:spacing w:after="0" w:line="259" w:lineRule="auto"/>
        <w:tabs>
          <w:tab w:leader="none" w:pos="12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1"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80" w:hanging="320"/>
        <w:spacing w:after="0" w:line="268" w:lineRule="auto"/>
        <w:tabs>
          <w:tab w:leader="none" w:pos="126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2100"/>
        <w:spacing w:after="0"/>
        <w:tabs>
          <w:tab w:leader="none" w:pos="4540" w:val="left"/>
        </w:tabs>
        <w:rPr>
          <w:sz w:val="20"/>
          <w:szCs w:val="20"/>
          <w:color w:val="auto"/>
        </w:rPr>
      </w:pPr>
      <w:r>
        <w:rPr>
          <w:rFonts w:ascii="Times New Roman" w:cs="Times New Roman" w:eastAsia="Times New Roman" w:hAnsi="Times New Roman"/>
          <w:sz w:val="18"/>
          <w:szCs w:val="18"/>
          <w:color w:val="auto"/>
        </w:rPr>
        <w:t>Date: April 24, 2024</w:t>
      </w:r>
      <w:r>
        <w:rPr>
          <w:sz w:val="20"/>
          <w:szCs w:val="20"/>
          <w:color w:val="auto"/>
        </w:rPr>
        <w:tab/>
      </w:r>
      <w:r>
        <w:rPr>
          <w:rFonts w:ascii="Times New Roman" w:cs="Times New Roman" w:eastAsia="Times New Roman" w:hAnsi="Times New Roman"/>
          <w:sz w:val="17"/>
          <w:szCs w:val="17"/>
          <w:color w:val="auto"/>
        </w:rPr>
        <w:t>By: /s/ Scott T. Wheeler</w:t>
      </w:r>
    </w:p>
    <w:p>
      <w:pPr>
        <w:spacing w:after="0" w:line="200" w:lineRule="exact"/>
        <w:rPr>
          <w:sz w:val="20"/>
          <w:szCs w:val="20"/>
          <w:color w:val="auto"/>
        </w:rPr>
      </w:pPr>
    </w:p>
    <w:p>
      <w:pPr>
        <w:spacing w:after="0" w:line="29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T. Wheeler</w:t>
      </w:r>
    </w:p>
    <w:p>
      <w:pPr>
        <w:spacing w:after="0" w:line="2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ectPr>
          <w:pgSz w:w="11900" w:h="16838" w:orient="portrait"/>
          <w:cols w:equalWidth="0" w:num="1">
            <w:col w:w="11240"/>
          </w:cols>
          <w:pgMar w:left="320" w:top="87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Certification Of Principal Executive Officer Pursuant To 18 U.S.C. Sec. 1350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jc w:val="both"/>
        <w:ind w:right="620"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CoStar Group, Inc., for the quarter ended March 31, 2024, I, Andrew C. Florance, Chief Executive Officer of CoStar Group, Inc., hereby certify pursuant to 18 U.S.C. Section 1350, as adopted pursuant to Section 906 of the Sarbanes-Oxley Act of 2002, that:</w:t>
      </w:r>
    </w:p>
    <w:p>
      <w:pPr>
        <w:spacing w:after="0" w:line="204" w:lineRule="exact"/>
        <w:rPr>
          <w:sz w:val="20"/>
          <w:szCs w:val="20"/>
          <w:color w:val="auto"/>
        </w:rPr>
      </w:pPr>
    </w:p>
    <w:p>
      <w:pPr>
        <w:ind w:right="20" w:firstLine="642"/>
        <w:spacing w:after="0" w:line="274" w:lineRule="auto"/>
        <w:tabs>
          <w:tab w:leader="none" w:pos="8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Quarterly Report on Form 10-Q of CoStar Group, Inc., for the quarter ended March 31, 2024, fully complies with the requirements of Section 13(a) or 15(d) of the Securities Exchange Act of 1934 (15 U.S.C. 78m or 78o(d)); and</w:t>
      </w:r>
    </w:p>
    <w:p>
      <w:pPr>
        <w:spacing w:after="0" w:line="189" w:lineRule="exact"/>
        <w:rPr>
          <w:rFonts w:ascii="Times New Roman" w:cs="Times New Roman" w:eastAsia="Times New Roman" w:hAnsi="Times New Roman"/>
          <w:sz w:val="18"/>
          <w:szCs w:val="18"/>
          <w:color w:val="auto"/>
        </w:rPr>
      </w:pPr>
    </w:p>
    <w:p>
      <w:pPr>
        <w:ind w:right="100" w:firstLine="642"/>
        <w:spacing w:after="0" w:line="274" w:lineRule="auto"/>
        <w:tabs>
          <w:tab w:leader="none" w:pos="8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of CoStar Group, Inc., for the quarter ended March 31, 2024, fairly presents, in all material respects, the financial condition and results of operations of CoStar Group, Inc.</w:t>
      </w: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Andrew C. Florance</w:t>
      </w:r>
    </w:p>
    <w:p>
      <w:pPr>
        <w:spacing w:after="0" w:line="200" w:lineRule="exact"/>
        <w:rPr>
          <w:sz w:val="20"/>
          <w:szCs w:val="20"/>
          <w:color w:val="auto"/>
        </w:rPr>
      </w:pPr>
    </w:p>
    <w:p>
      <w:pPr>
        <w:spacing w:after="0" w:line="34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Andrew C. Florance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p>
      <w:pPr>
        <w:spacing w:after="0" w:line="171"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40"/>
          </w:cols>
          <w:pgMar w:left="320" w:top="87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24,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Certification Of Principal Financial Officer Pursuant To 18 U.S.C. Sec. 1350</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CoStar Group, Inc., for the quarter ended March 31, 2024, I, Scott T. Wheeler, Chief Financial Officer of CoStar Group, Inc., hereby certify pursuant to 18 U.S.C. Section 1350, as adopted pursuant to Section 906 of the Sarbanes-Oxley Act of 2002, that:</w:t>
      </w:r>
    </w:p>
    <w:p>
      <w:pPr>
        <w:spacing w:after="0" w:line="204" w:lineRule="exact"/>
        <w:rPr>
          <w:sz w:val="20"/>
          <w:szCs w:val="20"/>
          <w:color w:val="auto"/>
        </w:rPr>
      </w:pPr>
    </w:p>
    <w:p>
      <w:pPr>
        <w:ind w:right="20" w:firstLine="642"/>
        <w:spacing w:after="0" w:line="274" w:lineRule="auto"/>
        <w:tabs>
          <w:tab w:leader="none" w:pos="8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Quarterly Report on Form 10-Q of CoStar Group, Inc., for the quarter ended March 31, 2024, fully complies with the requirements of Section 13(a) or 15(d) of the Securities Exchange Act of 1934 (15 U.S.C. 78m or 78o(d)); and</w:t>
      </w:r>
    </w:p>
    <w:p>
      <w:pPr>
        <w:spacing w:after="0" w:line="189" w:lineRule="exact"/>
        <w:rPr>
          <w:rFonts w:ascii="Times New Roman" w:cs="Times New Roman" w:eastAsia="Times New Roman" w:hAnsi="Times New Roman"/>
          <w:sz w:val="18"/>
          <w:szCs w:val="18"/>
          <w:color w:val="auto"/>
        </w:rPr>
      </w:pPr>
    </w:p>
    <w:p>
      <w:pPr>
        <w:ind w:right="100" w:firstLine="642"/>
        <w:spacing w:after="0" w:line="274" w:lineRule="auto"/>
        <w:tabs>
          <w:tab w:leader="none" w:pos="8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Quarterly Report on Form 10-Q of CoStar Group, Inc., for the quarter ended March 31, 2024, fairly presents, in all material respects, the financial condition and results of operations of CoStar Group, Inc.</w:t>
      </w: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Scott T. Wheeler</w:t>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Scott T. Wheeler</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211" w:lineRule="exact"/>
        <w:rPr>
          <w:sz w:val="20"/>
          <w:szCs w:val="20"/>
          <w:color w:val="auto"/>
        </w:rPr>
      </w:pPr>
    </w:p>
    <w:p>
      <w:pPr>
        <w:jc w:val="both"/>
        <w:ind w:right="60"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lowerRoman"/>
      <w:start w:val="2"/>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1."/>
      <w:numFmt w:val="decimal"/>
      <w:start w:val="5"/>
    </w:lvl>
  </w:abstractNum>
  <w:abstractNum w:abstractNumId="13">
    <w:nsid w:val="836C40E"/>
    <w:multiLevelType w:val="hybridMultilevel"/>
    <w:lvl w:ilvl="0">
      <w:lvlJc w:val="left"/>
      <w:lvlText w:val="%1."/>
      <w:numFmt w:val="decimal"/>
      <w:start w:val="6"/>
    </w:lvl>
  </w:abstractNum>
  <w:abstractNum w:abstractNumId="14">
    <w:nsid w:val="2901D82"/>
    <w:multiLevelType w:val="hybridMultilevel"/>
    <w:lvl w:ilvl="0">
      <w:lvlJc w:val="left"/>
      <w:lvlText w:val="%1."/>
      <w:numFmt w:val="decimal"/>
      <w:start w:val="7"/>
    </w:lvl>
  </w:abstractNum>
  <w:abstractNum w:abstractNumId="15">
    <w:nsid w:val="3A95F874"/>
    <w:multiLevelType w:val="hybridMultilevel"/>
    <w:lvl w:ilvl="0">
      <w:lvlJc w:val="left"/>
      <w:lvlText w:val="%1."/>
      <w:numFmt w:val="decimal"/>
      <w:start w:val="8"/>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9"/>
    </w:lvl>
  </w:abstractNum>
  <w:abstractNum w:abstractNumId="18">
    <w:nsid w:val="7C3DBD3D"/>
    <w:multiLevelType w:val="hybridMultilevel"/>
    <w:lvl w:ilvl="0">
      <w:lvlJc w:val="left"/>
      <w:lvlText w:val="%1."/>
      <w:numFmt w:val="decimal"/>
      <w:start w:val="11"/>
    </w:lvl>
  </w:abstractNum>
  <w:abstractNum w:abstractNumId="19">
    <w:nsid w:val="737B8DDC"/>
    <w:multiLevelType w:val="hybridMultilevel"/>
    <w:lvl w:ilvl="0">
      <w:lvlJc w:val="left"/>
      <w:lvlText w:val="%1."/>
      <w:numFmt w:val="decimal"/>
      <w:start w:val="12"/>
    </w:lvl>
  </w:abstractNum>
  <w:abstractNum w:abstractNumId="20">
    <w:nsid w:val="6CEAF087"/>
    <w:multiLevelType w:val="hybridMultilevel"/>
    <w:lvl w:ilvl="0">
      <w:lvlJc w:val="left"/>
      <w:lvlText w:val="%1."/>
      <w:numFmt w:val="decimal"/>
      <w:start w:val="13"/>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lowerRoman"/>
      <w:start w:val="2"/>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87" Type="http://schemas.openxmlformats.org/officeDocument/2006/relationships/hyperlink" Target="https://www.sec.gov/ix?doc=/Archives/edgar/data/0001057352/000119312524103937/d828310d8k.htm" TargetMode="External"/><Relationship Id="rId88" Type="http://schemas.openxmlformats.org/officeDocument/2006/relationships/hyperlink" Target="https://www.sec.gov/Archives/edgar/data/0001057352/000105735221000074/ex31-fourtharcharter.htm" TargetMode="External"/><Relationship Id="rId89" Type="http://schemas.openxmlformats.org/officeDocument/2006/relationships/hyperlink" Target="https://www.sec.gov/Archives/edgar/data/1057352/000105735222000069/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2024-04-24T16:38:03Z</dcterms:created>
  <dcterms:modified xsi:type="dcterms:W3CDTF">2024-04-24T16:38:03Z</dcterms:modified>
</cp:coreProperties>
</file>