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02"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SCHEDULE 14A</w:t>
      </w:r>
    </w:p>
    <w:p>
      <w:pPr>
        <w:spacing w:after="0" w:line="23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PROXY STATEMENT PURSUANT TO SECTION 14(a) OF THE SECURITIES</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EXCHANGE ACT OF 1934</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Filed by the Registrant [X]</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Filed by a Party other than the Registrant [  ]</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w:t>
      </w:r>
    </w:p>
    <w:p>
      <w:pPr>
        <w:spacing w:after="0" w:line="157" w:lineRule="exact"/>
        <w:rPr>
          <w:sz w:val="24"/>
          <w:szCs w:val="24"/>
          <w:color w:val="auto"/>
        </w:rPr>
      </w:pPr>
    </w:p>
    <w:p>
      <w:pPr>
        <w:ind w:left="40"/>
        <w:spacing w:after="0"/>
        <w:rPr>
          <w:sz w:val="20"/>
          <w:szCs w:val="20"/>
          <w:color w:val="auto"/>
        </w:rPr>
      </w:pPr>
      <w:r>
        <w:rPr>
          <w:rFonts w:ascii="Arial" w:cs="Arial" w:eastAsia="Arial" w:hAnsi="Arial"/>
          <w:sz w:val="18"/>
          <w:szCs w:val="18"/>
          <w:color w:val="auto"/>
        </w:rPr>
        <w:t>[  ] Preliminary Proxy Statement</w:t>
      </w:r>
    </w:p>
    <w:p>
      <w:pPr>
        <w:spacing w:after="0" w:line="59" w:lineRule="exact"/>
        <w:rPr>
          <w:sz w:val="24"/>
          <w:szCs w:val="24"/>
          <w:color w:val="auto"/>
        </w:rPr>
      </w:pPr>
    </w:p>
    <w:p>
      <w:pPr>
        <w:ind w:left="40" w:right="4940" w:hanging="5"/>
        <w:spacing w:after="0" w:line="315" w:lineRule="auto"/>
        <w:tabs>
          <w:tab w:leader="none" w:pos="235" w:val="left"/>
        </w:tabs>
        <w:numPr>
          <w:ilvl w:val="0"/>
          <w:numId w:val="1"/>
        </w:numPr>
        <w:rPr>
          <w:rFonts w:ascii="Arial" w:cs="Arial" w:eastAsia="Arial" w:hAnsi="Arial"/>
          <w:sz w:val="18"/>
          <w:szCs w:val="18"/>
          <w:color w:val="auto"/>
        </w:rPr>
      </w:pPr>
      <w:r>
        <w:rPr>
          <w:rFonts w:ascii="Arial" w:cs="Arial" w:eastAsia="Arial" w:hAnsi="Arial"/>
          <w:sz w:val="18"/>
          <w:szCs w:val="18"/>
          <w:color w:val="auto"/>
        </w:rPr>
        <w:t xml:space="preserve">] </w:t>
      </w:r>
      <w:r>
        <w:rPr>
          <w:rFonts w:ascii="Arial" w:cs="Arial" w:eastAsia="Arial" w:hAnsi="Arial"/>
          <w:sz w:val="18"/>
          <w:szCs w:val="18"/>
          <w:b w:val="1"/>
          <w:bCs w:val="1"/>
          <w:color w:val="auto"/>
        </w:rPr>
        <w:t>Confidential, for Use of the Commission Only (as permitted by Rule 14a-6(e)(2))</w:t>
      </w:r>
      <w:r>
        <w:rPr>
          <w:rFonts w:ascii="Arial" w:cs="Arial" w:eastAsia="Arial" w:hAnsi="Arial"/>
          <w:sz w:val="18"/>
          <w:szCs w:val="18"/>
          <w:color w:val="auto"/>
        </w:rPr>
        <w:t xml:space="preserve"> [X] Definitive Proxy Statement</w:t>
      </w:r>
    </w:p>
    <w:p>
      <w:pPr>
        <w:ind w:left="240" w:hanging="205"/>
        <w:spacing w:after="0"/>
        <w:tabs>
          <w:tab w:leader="none" w:pos="240" w:val="left"/>
        </w:tabs>
        <w:numPr>
          <w:ilvl w:val="0"/>
          <w:numId w:val="1"/>
        </w:numPr>
        <w:rPr>
          <w:rFonts w:ascii="Arial" w:cs="Arial" w:eastAsia="Arial" w:hAnsi="Arial"/>
          <w:sz w:val="18"/>
          <w:szCs w:val="18"/>
          <w:color w:val="auto"/>
        </w:rPr>
      </w:pPr>
      <w:r>
        <w:rPr>
          <w:rFonts w:ascii="Arial" w:cs="Arial" w:eastAsia="Arial" w:hAnsi="Arial"/>
          <w:sz w:val="18"/>
          <w:szCs w:val="18"/>
          <w:color w:val="auto"/>
        </w:rPr>
        <w:t>] Definitive Additional Materials</w:t>
      </w:r>
    </w:p>
    <w:p>
      <w:pPr>
        <w:spacing w:after="0" w:line="63" w:lineRule="exact"/>
        <w:rPr>
          <w:rFonts w:ascii="Arial" w:cs="Arial" w:eastAsia="Arial" w:hAnsi="Arial"/>
          <w:sz w:val="18"/>
          <w:szCs w:val="18"/>
          <w:color w:val="auto"/>
        </w:rPr>
      </w:pPr>
    </w:p>
    <w:p>
      <w:pPr>
        <w:ind w:left="240" w:hanging="205"/>
        <w:spacing w:after="0"/>
        <w:tabs>
          <w:tab w:leader="none" w:pos="240" w:val="left"/>
        </w:tabs>
        <w:numPr>
          <w:ilvl w:val="0"/>
          <w:numId w:val="1"/>
        </w:numPr>
        <w:rPr>
          <w:rFonts w:ascii="Arial" w:cs="Arial" w:eastAsia="Arial" w:hAnsi="Arial"/>
          <w:sz w:val="18"/>
          <w:szCs w:val="18"/>
          <w:color w:val="auto"/>
        </w:rPr>
      </w:pPr>
      <w:r>
        <w:rPr>
          <w:rFonts w:ascii="Arial" w:cs="Arial" w:eastAsia="Arial" w:hAnsi="Arial"/>
          <w:sz w:val="18"/>
          <w:szCs w:val="18"/>
          <w:color w:val="auto"/>
        </w:rPr>
        <w:t>] Soliciting Material Pursuant to §240.14a-12</w:t>
      </w:r>
    </w:p>
    <w:p>
      <w:pPr>
        <w:spacing w:after="0" w:line="24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COSTAR GROUP,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720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45" w:lineRule="exact"/>
        <w:rPr>
          <w:sz w:val="24"/>
          <w:szCs w:val="24"/>
          <w:color w:val="auto"/>
        </w:rPr>
      </w:pPr>
    </w:p>
    <w:p>
      <w:pPr>
        <w:jc w:val="center"/>
        <w:ind w:right="-19"/>
        <w:spacing w:after="0"/>
        <w:rPr>
          <w:sz w:val="20"/>
          <w:szCs w:val="20"/>
          <w:color w:val="auto"/>
        </w:rPr>
      </w:pPr>
      <w:r>
        <w:rPr>
          <w:rFonts w:ascii="Arial" w:cs="Arial" w:eastAsia="Arial" w:hAnsi="Arial"/>
          <w:sz w:val="14"/>
          <w:szCs w:val="14"/>
          <w:color w:val="auto"/>
        </w:rPr>
        <w:t>(Name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68580</wp:posOffset>
            </wp:positionV>
            <wp:extent cx="72720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38" w:lineRule="exact"/>
        <w:rPr>
          <w:sz w:val="24"/>
          <w:szCs w:val="24"/>
          <w:color w:val="auto"/>
        </w:rPr>
      </w:pPr>
    </w:p>
    <w:p>
      <w:pPr>
        <w:ind w:left="3660"/>
        <w:spacing w:after="0"/>
        <w:rPr>
          <w:sz w:val="20"/>
          <w:szCs w:val="20"/>
          <w:color w:val="auto"/>
        </w:rPr>
      </w:pPr>
      <w:r>
        <w:rPr>
          <w:rFonts w:ascii="Arial" w:cs="Arial" w:eastAsia="Arial" w:hAnsi="Arial"/>
          <w:sz w:val="14"/>
          <w:szCs w:val="14"/>
          <w:color w:val="auto"/>
        </w:rPr>
        <w:t>(Name of Person(s) Filing Proxy Statement if other than the Registrant)</w:t>
      </w:r>
    </w:p>
    <w:p>
      <w:pPr>
        <w:spacing w:after="0" w:line="181"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23" w:lineRule="exact"/>
        <w:rPr>
          <w:sz w:val="24"/>
          <w:szCs w:val="24"/>
          <w:color w:val="auto"/>
        </w:rPr>
      </w:pPr>
    </w:p>
    <w:p>
      <w:pPr>
        <w:spacing w:after="0"/>
        <w:tabs>
          <w:tab w:leader="none" w:pos="380" w:val="left"/>
        </w:tabs>
        <w:rPr>
          <w:sz w:val="20"/>
          <w:szCs w:val="20"/>
          <w:color w:val="auto"/>
        </w:rPr>
      </w:pPr>
      <w:r>
        <w:rPr>
          <w:rFonts w:ascii="Arial" w:cs="Arial" w:eastAsia="Arial" w:hAnsi="Arial"/>
          <w:sz w:val="18"/>
          <w:szCs w:val="18"/>
          <w:color w:val="auto"/>
        </w:rPr>
        <w:t>[X]</w:t>
      </w:r>
      <w:r>
        <w:rPr>
          <w:sz w:val="20"/>
          <w:szCs w:val="20"/>
          <w:color w:val="auto"/>
        </w:rPr>
        <w:tab/>
      </w:r>
      <w:r>
        <w:rPr>
          <w:rFonts w:ascii="Arial" w:cs="Arial" w:eastAsia="Arial" w:hAnsi="Arial"/>
          <w:sz w:val="16"/>
          <w:szCs w:val="16"/>
          <w:color w:val="auto"/>
        </w:rPr>
        <w:t>No fee required.</w:t>
      </w:r>
    </w:p>
    <w:p>
      <w:pPr>
        <w:spacing w:after="0" w:line="9" w:lineRule="exact"/>
        <w:rPr>
          <w:sz w:val="24"/>
          <w:szCs w:val="24"/>
          <w:color w:val="auto"/>
        </w:rPr>
      </w:pPr>
    </w:p>
    <w:p>
      <w:pPr>
        <w:ind w:left="200" w:hanging="192"/>
        <w:spacing w:after="0"/>
        <w:tabs>
          <w:tab w:leader="none" w:pos="200" w:val="left"/>
        </w:tabs>
        <w:numPr>
          <w:ilvl w:val="0"/>
          <w:numId w:val="2"/>
        </w:numPr>
        <w:rPr>
          <w:rFonts w:ascii="Arial" w:cs="Arial" w:eastAsia="Arial" w:hAnsi="Arial"/>
          <w:sz w:val="18"/>
          <w:szCs w:val="18"/>
          <w:color w:val="auto"/>
        </w:rPr>
      </w:pPr>
      <w:r>
        <w:rPr>
          <w:rFonts w:ascii="Arial" w:cs="Arial" w:eastAsia="Arial" w:hAnsi="Arial"/>
          <w:sz w:val="18"/>
          <w:szCs w:val="18"/>
          <w:color w:val="auto"/>
        </w:rPr>
        <w:t>]  Fee computed on table below per Exchange Act Rules 14a-6(i)(1) and 0-11.</w:t>
      </w:r>
    </w:p>
    <w:p>
      <w:pPr>
        <w:spacing w:after="0" w:line="210" w:lineRule="exact"/>
        <w:rPr>
          <w:rFonts w:ascii="Arial" w:cs="Arial" w:eastAsia="Arial" w:hAnsi="Arial"/>
          <w:sz w:val="18"/>
          <w:szCs w:val="18"/>
          <w:color w:val="auto"/>
        </w:rPr>
      </w:pPr>
    </w:p>
    <w:p>
      <w:pPr>
        <w:ind w:left="780" w:hanging="394"/>
        <w:spacing w:after="0"/>
        <w:tabs>
          <w:tab w:leader="none" w:pos="780" w:val="left"/>
        </w:tabs>
        <w:numPr>
          <w:ilvl w:val="1"/>
          <w:numId w:val="2"/>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76" w:lineRule="exact"/>
        <w:rPr>
          <w:rFonts w:ascii="Arial" w:cs="Arial" w:eastAsia="Arial" w:hAnsi="Arial"/>
          <w:sz w:val="18"/>
          <w:szCs w:val="18"/>
          <w:color w:val="auto"/>
        </w:rPr>
      </w:pPr>
    </w:p>
    <w:p>
      <w:pPr>
        <w:ind w:left="760"/>
        <w:spacing w:after="0"/>
        <w:rPr>
          <w:rFonts w:ascii="Arial" w:cs="Arial" w:eastAsia="Arial" w:hAnsi="Arial"/>
          <w:sz w:val="18"/>
          <w:szCs w:val="18"/>
          <w:color w:val="auto"/>
        </w:rPr>
      </w:pPr>
      <w:r>
        <w:rPr>
          <w:rFonts w:ascii="Arial" w:cs="Arial" w:eastAsia="Arial" w:hAnsi="Arial"/>
          <w:sz w:val="18"/>
          <w:szCs w:val="18"/>
          <w:u w:val="single" w:color="auto"/>
          <w:color w:val="auto"/>
        </w:rPr>
        <w:t>____________________________________________________________________________________</w:t>
      </w:r>
    </w:p>
    <w:p>
      <w:pPr>
        <w:spacing w:after="0" w:line="23" w:lineRule="exact"/>
        <w:rPr>
          <w:rFonts w:ascii="Arial" w:cs="Arial" w:eastAsia="Arial" w:hAnsi="Arial"/>
          <w:sz w:val="18"/>
          <w:szCs w:val="18"/>
          <w:color w:val="auto"/>
        </w:rPr>
      </w:pPr>
    </w:p>
    <w:p>
      <w:pPr>
        <w:ind w:left="780" w:hanging="394"/>
        <w:spacing w:after="0"/>
        <w:tabs>
          <w:tab w:leader="none" w:pos="780" w:val="left"/>
        </w:tabs>
        <w:numPr>
          <w:ilvl w:val="1"/>
          <w:numId w:val="2"/>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62" w:lineRule="exact"/>
        <w:rPr>
          <w:rFonts w:ascii="Arial" w:cs="Arial" w:eastAsia="Arial" w:hAnsi="Arial"/>
          <w:sz w:val="18"/>
          <w:szCs w:val="18"/>
          <w:color w:val="auto"/>
        </w:rPr>
      </w:pPr>
    </w:p>
    <w:p>
      <w:pPr>
        <w:ind w:left="760"/>
        <w:spacing w:after="0"/>
        <w:rPr>
          <w:rFonts w:ascii="Arial" w:cs="Arial" w:eastAsia="Arial" w:hAnsi="Arial"/>
          <w:sz w:val="18"/>
          <w:szCs w:val="18"/>
          <w:color w:val="auto"/>
        </w:rPr>
      </w:pPr>
      <w:r>
        <w:rPr>
          <w:rFonts w:ascii="Arial" w:cs="Arial" w:eastAsia="Arial" w:hAnsi="Arial"/>
          <w:sz w:val="18"/>
          <w:szCs w:val="18"/>
          <w:u w:val="single" w:color="auto"/>
          <w:color w:val="auto"/>
        </w:rPr>
        <w:t>____________________________________________________________________________________</w:t>
      </w:r>
    </w:p>
    <w:p>
      <w:pPr>
        <w:spacing w:after="0" w:line="23" w:lineRule="exact"/>
        <w:rPr>
          <w:rFonts w:ascii="Arial" w:cs="Arial" w:eastAsia="Arial" w:hAnsi="Arial"/>
          <w:sz w:val="18"/>
          <w:szCs w:val="18"/>
          <w:color w:val="auto"/>
        </w:rPr>
      </w:pPr>
    </w:p>
    <w:p>
      <w:pPr>
        <w:ind w:left="780" w:hanging="394"/>
        <w:spacing w:after="0" w:line="261" w:lineRule="auto"/>
        <w:tabs>
          <w:tab w:leader="none" w:pos="780" w:val="left"/>
        </w:tabs>
        <w:numPr>
          <w:ilvl w:val="1"/>
          <w:numId w:val="2"/>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35" w:lineRule="exact"/>
        <w:rPr>
          <w:rFonts w:ascii="Arial" w:cs="Arial" w:eastAsia="Arial" w:hAnsi="Arial"/>
          <w:sz w:val="18"/>
          <w:szCs w:val="18"/>
          <w:color w:val="auto"/>
        </w:rPr>
      </w:pPr>
    </w:p>
    <w:p>
      <w:pPr>
        <w:ind w:left="760"/>
        <w:spacing w:after="0"/>
        <w:rPr>
          <w:rFonts w:ascii="Arial" w:cs="Arial" w:eastAsia="Arial" w:hAnsi="Arial"/>
          <w:sz w:val="18"/>
          <w:szCs w:val="18"/>
          <w:color w:val="auto"/>
        </w:rPr>
      </w:pPr>
      <w:r>
        <w:rPr>
          <w:rFonts w:ascii="Arial" w:cs="Arial" w:eastAsia="Arial" w:hAnsi="Arial"/>
          <w:sz w:val="18"/>
          <w:szCs w:val="18"/>
          <w:u w:val="single" w:color="auto"/>
          <w:color w:val="auto"/>
        </w:rPr>
        <w:t>____________________________________________________________________________________</w:t>
      </w:r>
    </w:p>
    <w:p>
      <w:pPr>
        <w:spacing w:after="0" w:line="23" w:lineRule="exact"/>
        <w:rPr>
          <w:rFonts w:ascii="Arial" w:cs="Arial" w:eastAsia="Arial" w:hAnsi="Arial"/>
          <w:sz w:val="18"/>
          <w:szCs w:val="18"/>
          <w:color w:val="auto"/>
        </w:rPr>
      </w:pPr>
    </w:p>
    <w:p>
      <w:pPr>
        <w:ind w:left="780" w:hanging="394"/>
        <w:spacing w:after="0"/>
        <w:tabs>
          <w:tab w:leader="none" w:pos="780" w:val="left"/>
        </w:tabs>
        <w:numPr>
          <w:ilvl w:val="1"/>
          <w:numId w:val="2"/>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62" w:lineRule="exact"/>
        <w:rPr>
          <w:rFonts w:ascii="Arial" w:cs="Arial" w:eastAsia="Arial" w:hAnsi="Arial"/>
          <w:sz w:val="18"/>
          <w:szCs w:val="18"/>
          <w:color w:val="auto"/>
        </w:rPr>
      </w:pPr>
    </w:p>
    <w:p>
      <w:pPr>
        <w:ind w:left="760"/>
        <w:spacing w:after="0"/>
        <w:rPr>
          <w:rFonts w:ascii="Arial" w:cs="Arial" w:eastAsia="Arial" w:hAnsi="Arial"/>
          <w:sz w:val="18"/>
          <w:szCs w:val="18"/>
          <w:color w:val="auto"/>
        </w:rPr>
      </w:pPr>
      <w:r>
        <w:rPr>
          <w:rFonts w:ascii="Arial" w:cs="Arial" w:eastAsia="Arial" w:hAnsi="Arial"/>
          <w:sz w:val="18"/>
          <w:szCs w:val="18"/>
          <w:u w:val="single" w:color="auto"/>
          <w:color w:val="auto"/>
        </w:rPr>
        <w:t>____________________________________________________________________________________</w:t>
      </w:r>
    </w:p>
    <w:p>
      <w:pPr>
        <w:spacing w:after="0" w:line="23" w:lineRule="exact"/>
        <w:rPr>
          <w:rFonts w:ascii="Arial" w:cs="Arial" w:eastAsia="Arial" w:hAnsi="Arial"/>
          <w:sz w:val="18"/>
          <w:szCs w:val="18"/>
          <w:color w:val="auto"/>
        </w:rPr>
      </w:pPr>
    </w:p>
    <w:p>
      <w:pPr>
        <w:ind w:left="780" w:hanging="394"/>
        <w:spacing w:after="0"/>
        <w:tabs>
          <w:tab w:leader="none" w:pos="780" w:val="left"/>
        </w:tabs>
        <w:numPr>
          <w:ilvl w:val="1"/>
          <w:numId w:val="2"/>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62" w:lineRule="exact"/>
        <w:rPr>
          <w:rFonts w:ascii="Arial" w:cs="Arial" w:eastAsia="Arial" w:hAnsi="Arial"/>
          <w:sz w:val="18"/>
          <w:szCs w:val="18"/>
          <w:color w:val="auto"/>
        </w:rPr>
      </w:pPr>
    </w:p>
    <w:p>
      <w:pPr>
        <w:ind w:left="760"/>
        <w:spacing w:after="0"/>
        <w:rPr>
          <w:rFonts w:ascii="Arial" w:cs="Arial" w:eastAsia="Arial" w:hAnsi="Arial"/>
          <w:sz w:val="18"/>
          <w:szCs w:val="18"/>
          <w:color w:val="auto"/>
        </w:rPr>
      </w:pPr>
      <w:r>
        <w:rPr>
          <w:rFonts w:ascii="Arial" w:cs="Arial" w:eastAsia="Arial" w:hAnsi="Arial"/>
          <w:sz w:val="18"/>
          <w:szCs w:val="18"/>
          <w:u w:val="single" w:color="auto"/>
          <w:color w:val="auto"/>
        </w:rPr>
        <w:t>____________________________________________________________________________________</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  ]  Fee paid previously with preliminary materials.</w:t>
      </w:r>
    </w:p>
    <w:p>
      <w:pPr>
        <w:spacing w:after="0" w:line="23" w:lineRule="exact"/>
        <w:rPr>
          <w:sz w:val="24"/>
          <w:szCs w:val="24"/>
          <w:color w:val="auto"/>
        </w:rPr>
      </w:pPr>
    </w:p>
    <w:p>
      <w:pPr>
        <w:ind w:left="400" w:hanging="392"/>
        <w:spacing w:after="0" w:line="261" w:lineRule="auto"/>
        <w:tabs>
          <w:tab w:leader="none" w:pos="203" w:val="left"/>
        </w:tabs>
        <w:numPr>
          <w:ilvl w:val="0"/>
          <w:numId w:val="3"/>
        </w:numPr>
        <w:rPr>
          <w:rFonts w:ascii="Arial" w:cs="Arial" w:eastAsia="Arial" w:hAnsi="Arial"/>
          <w:sz w:val="18"/>
          <w:szCs w:val="18"/>
          <w:color w:val="auto"/>
        </w:rPr>
      </w:pPr>
      <w:r>
        <w:rPr>
          <w:rFonts w:ascii="Arial" w:cs="Arial" w:eastAsia="Arial" w:hAnsi="Arial"/>
          <w:sz w:val="18"/>
          <w:szCs w:val="18"/>
          <w:color w:val="auto"/>
        </w:rPr>
        <w:t>] 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183" w:lineRule="exact"/>
        <w:rPr>
          <w:rFonts w:ascii="Arial" w:cs="Arial" w:eastAsia="Arial" w:hAnsi="Arial"/>
          <w:sz w:val="18"/>
          <w:szCs w:val="18"/>
          <w:color w:val="auto"/>
        </w:rPr>
      </w:pPr>
    </w:p>
    <w:p>
      <w:pPr>
        <w:ind w:left="780" w:hanging="394"/>
        <w:spacing w:after="0"/>
        <w:tabs>
          <w:tab w:leader="none" w:pos="780" w:val="left"/>
        </w:tabs>
        <w:numPr>
          <w:ilvl w:val="1"/>
          <w:numId w:val="3"/>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76" w:lineRule="exact"/>
        <w:rPr>
          <w:rFonts w:ascii="Arial" w:cs="Arial" w:eastAsia="Arial" w:hAnsi="Arial"/>
          <w:sz w:val="18"/>
          <w:szCs w:val="18"/>
          <w:color w:val="auto"/>
        </w:rPr>
      </w:pPr>
    </w:p>
    <w:p>
      <w:pPr>
        <w:ind w:left="760"/>
        <w:spacing w:after="0"/>
        <w:rPr>
          <w:rFonts w:ascii="Arial" w:cs="Arial" w:eastAsia="Arial" w:hAnsi="Arial"/>
          <w:sz w:val="18"/>
          <w:szCs w:val="18"/>
          <w:color w:val="auto"/>
        </w:rPr>
      </w:pPr>
      <w:r>
        <w:rPr>
          <w:rFonts w:ascii="Arial" w:cs="Arial" w:eastAsia="Arial" w:hAnsi="Arial"/>
          <w:sz w:val="18"/>
          <w:szCs w:val="18"/>
          <w:u w:val="single" w:color="auto"/>
          <w:color w:val="auto"/>
        </w:rPr>
        <w:t>____________________________________________________________________________________</w:t>
      </w:r>
    </w:p>
    <w:p>
      <w:pPr>
        <w:spacing w:after="0" w:line="23" w:lineRule="exact"/>
        <w:rPr>
          <w:rFonts w:ascii="Arial" w:cs="Arial" w:eastAsia="Arial" w:hAnsi="Arial"/>
          <w:sz w:val="18"/>
          <w:szCs w:val="18"/>
          <w:color w:val="auto"/>
        </w:rPr>
      </w:pPr>
    </w:p>
    <w:p>
      <w:pPr>
        <w:ind w:left="780" w:hanging="394"/>
        <w:spacing w:after="0"/>
        <w:tabs>
          <w:tab w:leader="none" w:pos="780" w:val="left"/>
        </w:tabs>
        <w:numPr>
          <w:ilvl w:val="1"/>
          <w:numId w:val="3"/>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62" w:lineRule="exact"/>
        <w:rPr>
          <w:rFonts w:ascii="Arial" w:cs="Arial" w:eastAsia="Arial" w:hAnsi="Arial"/>
          <w:sz w:val="18"/>
          <w:szCs w:val="18"/>
          <w:color w:val="auto"/>
        </w:rPr>
      </w:pPr>
    </w:p>
    <w:p>
      <w:pPr>
        <w:ind w:left="760"/>
        <w:spacing w:after="0"/>
        <w:rPr>
          <w:rFonts w:ascii="Arial" w:cs="Arial" w:eastAsia="Arial" w:hAnsi="Arial"/>
          <w:sz w:val="18"/>
          <w:szCs w:val="18"/>
          <w:color w:val="auto"/>
        </w:rPr>
      </w:pPr>
      <w:r>
        <w:rPr>
          <w:rFonts w:ascii="Arial" w:cs="Arial" w:eastAsia="Arial" w:hAnsi="Arial"/>
          <w:sz w:val="18"/>
          <w:szCs w:val="18"/>
          <w:u w:val="single" w:color="auto"/>
          <w:color w:val="auto"/>
        </w:rPr>
        <w:t>____________________________________________________________________________________</w:t>
      </w:r>
    </w:p>
    <w:p>
      <w:pPr>
        <w:spacing w:after="0" w:line="23" w:lineRule="exact"/>
        <w:rPr>
          <w:rFonts w:ascii="Arial" w:cs="Arial" w:eastAsia="Arial" w:hAnsi="Arial"/>
          <w:sz w:val="18"/>
          <w:szCs w:val="18"/>
          <w:color w:val="auto"/>
        </w:rPr>
      </w:pPr>
    </w:p>
    <w:p>
      <w:pPr>
        <w:ind w:left="780" w:hanging="394"/>
        <w:spacing w:after="0"/>
        <w:tabs>
          <w:tab w:leader="none" w:pos="780" w:val="left"/>
        </w:tabs>
        <w:numPr>
          <w:ilvl w:val="1"/>
          <w:numId w:val="3"/>
        </w:numPr>
        <w:rPr>
          <w:rFonts w:ascii="Arial" w:cs="Arial" w:eastAsia="Arial" w:hAnsi="Arial"/>
          <w:sz w:val="18"/>
          <w:szCs w:val="18"/>
          <w:color w:val="auto"/>
        </w:rPr>
      </w:pPr>
      <w:r>
        <w:rPr>
          <w:rFonts w:ascii="Arial" w:cs="Arial" w:eastAsia="Arial" w:hAnsi="Arial"/>
          <w:sz w:val="18"/>
          <w:szCs w:val="18"/>
          <w:color w:val="auto"/>
        </w:rPr>
        <w:t>Filing party:</w:t>
      </w:r>
    </w:p>
    <w:p>
      <w:pPr>
        <w:sectPr>
          <w:pgSz w:w="11900" w:h="16838" w:orient="portrait"/>
          <w:cols w:equalWidth="0" w:num="1">
            <w:col w:w="11420"/>
          </w:cols>
          <w:pgMar w:left="240" w:top="472" w:right="239" w:bottom="1440" w:gutter="0" w:footer="0" w:header="0"/>
        </w:sectPr>
      </w:pPr>
    </w:p>
    <w:bookmarkStart w:id="1" w:name="page2"/>
    <w:bookmarkEnd w:id="1"/>
    <w:p>
      <w:pPr>
        <w:ind w:left="374"/>
        <w:spacing w:after="0"/>
        <w:rPr>
          <w:sz w:val="20"/>
          <w:szCs w:val="20"/>
          <w:color w:val="auto"/>
        </w:rPr>
      </w:pPr>
      <w:r>
        <w:rPr>
          <w:rFonts w:ascii="Arial" w:cs="Arial" w:eastAsia="Arial" w:hAnsi="Arial"/>
          <w:sz w:val="16"/>
          <w:szCs w:val="16"/>
          <w:u w:val="single" w:color="auto"/>
          <w:color w:val="auto"/>
        </w:rPr>
        <w:t>____________________________________________________________________________________</w:t>
      </w:r>
    </w:p>
    <w:p>
      <w:pPr>
        <w:spacing w:after="0" w:line="46" w:lineRule="exact"/>
        <w:rPr>
          <w:sz w:val="20"/>
          <w:szCs w:val="20"/>
          <w:color w:val="auto"/>
        </w:rPr>
      </w:pPr>
    </w:p>
    <w:p>
      <w:pPr>
        <w:ind w:left="394" w:hanging="394"/>
        <w:spacing w:after="0"/>
        <w:tabs>
          <w:tab w:leader="none" w:pos="394" w:val="left"/>
        </w:tabs>
        <w:numPr>
          <w:ilvl w:val="0"/>
          <w:numId w:val="4"/>
        </w:numPr>
        <w:rPr>
          <w:rFonts w:ascii="Arial" w:cs="Arial" w:eastAsia="Arial" w:hAnsi="Arial"/>
          <w:sz w:val="18"/>
          <w:szCs w:val="18"/>
          <w:color w:val="auto"/>
        </w:rPr>
      </w:pPr>
      <w:r>
        <w:rPr>
          <w:rFonts w:ascii="Arial" w:cs="Arial" w:eastAsia="Arial" w:hAnsi="Arial"/>
          <w:sz w:val="18"/>
          <w:szCs w:val="18"/>
          <w:color w:val="auto"/>
        </w:rPr>
        <w:t>Date filed:</w:t>
      </w:r>
    </w:p>
    <w:p>
      <w:pPr>
        <w:spacing w:after="0" w:line="62" w:lineRule="exact"/>
        <w:rPr>
          <w:rFonts w:ascii="Arial" w:cs="Arial" w:eastAsia="Arial" w:hAnsi="Arial"/>
          <w:sz w:val="18"/>
          <w:szCs w:val="18"/>
          <w:color w:val="auto"/>
        </w:rPr>
      </w:pPr>
    </w:p>
    <w:p>
      <w:pPr>
        <w:ind w:left="374"/>
        <w:spacing w:after="0"/>
        <w:rPr>
          <w:rFonts w:ascii="Arial" w:cs="Arial" w:eastAsia="Arial" w:hAnsi="Arial"/>
          <w:sz w:val="18"/>
          <w:szCs w:val="18"/>
          <w:color w:val="auto"/>
        </w:rPr>
      </w:pPr>
      <w:r>
        <w:rPr>
          <w:rFonts w:ascii="Arial" w:cs="Arial" w:eastAsia="Arial" w:hAnsi="Arial"/>
          <w:sz w:val="16"/>
          <w:szCs w:val="16"/>
          <w:u w:val="single" w:color="auto"/>
          <w:color w:val="auto"/>
        </w:rPr>
        <w:t>____________________________________________________________________________________</w:t>
      </w:r>
    </w:p>
    <w:p>
      <w:pPr>
        <w:sectPr>
          <w:pgSz w:w="11900" w:h="16838" w:orient="portrait"/>
          <w:cols w:equalWidth="0" w:num="1">
            <w:col w:w="9833"/>
          </w:cols>
          <w:pgMar w:left="626" w:top="436" w:right="1440" w:bottom="1440" w:gutter="0" w:footer="0" w:header="0"/>
        </w:sectPr>
      </w:pPr>
    </w:p>
    <w:bookmarkStart w:id="2" w:name="page3"/>
    <w:bookmarkEnd w:id="2"/>
    <w:p>
      <w:pPr>
        <w:spacing w:after="0" w:line="11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2816225</wp:posOffset>
            </wp:positionH>
            <wp:positionV relativeFrom="page">
              <wp:posOffset>286385</wp:posOffset>
            </wp:positionV>
            <wp:extent cx="1929765"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clrChange>
                        <a:clrFrom>
                          <a:srgbClr val="FFFFFF"/>
                        </a:clrFrom>
                        <a:clrTo>
                          <a:srgbClr val="FFFFFF">
                            <a:alpha val="0"/>
                          </a:srgbClr>
                        </a:clrTo>
                      </a:clrChange>
                      <a:extLst>
                        <a:ext uri="{28A0092B-C50C-407E-A947-70E740481C1C}"/>
                      </a:extLst>
                    </a:blip>
                    <a:srcRect/>
                    <a:stretch>
                      <a:fillRect/>
                    </a:stretch>
                  </pic:blipFill>
                  <pic:spPr bwMode="auto">
                    <a:xfrm>
                      <a:off x="0" y="0"/>
                      <a:ext cx="1929765" cy="668655"/>
                    </a:xfrm>
                    <a:prstGeom prst="rect">
                      <a:avLst/>
                    </a:prstGeom>
                    <a:noFill/>
                  </pic:spPr>
                </pic:pic>
              </a:graphicData>
            </a:graphic>
          </wp:anchor>
        </w:drawing>
      </w:r>
    </w:p>
    <w:p>
      <w:pPr>
        <w:jc w:val="right"/>
        <w:spacing w:after="0"/>
        <w:rPr>
          <w:sz w:val="20"/>
          <w:szCs w:val="20"/>
          <w:color w:val="auto"/>
        </w:rPr>
      </w:pPr>
      <w:r>
        <w:rPr>
          <w:rFonts w:ascii="Arial" w:cs="Arial" w:eastAsia="Arial" w:hAnsi="Arial"/>
          <w:sz w:val="18"/>
          <w:szCs w:val="18"/>
          <w:color w:val="auto"/>
        </w:rPr>
        <w:t>April 25, 2016</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Dear Stockholder:</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You are cordially invited to attend the 2016 Annual Meeting of Stockholders of CoStar Group, Inc., to be held at 10:00 a.m., local time, on Thursday, June 9, 2016 at 1331 L Street N.W., Washington, DC 20005.</w:t>
      </w:r>
    </w:p>
    <w:p>
      <w:pPr>
        <w:spacing w:after="0" w:line="170"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At the Annual Meeting, you will be asked (1) to elect the eight directors named in the Proxy Statement, (2) to approve the CoStar Group, Inc. 2016 Stock Incentive Plan (the “2016 Stock Incentive Plan”), (3) to approve the CoStar Group, Inc. 2016 Cash Incentive Plan (the “2016 Cash Incentive Plan”), (4) to ratify the appointment of Ernst &amp; Young LLP as our independent registered public accounting firm for 2016, and (5) to approve, on an advisory basis, CoStar Group, Inc.’s executive compensation. The accompanying Notice of 2016 Annual Meeting of Stockholders and Proxy Statement describe these matters.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recommends that stockholders vote in favor of each of the director nominees and the other proposals.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Important Notice Regarding the Availability of Proxy Materials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2016 Annual Meeting of Stockholders:</w:t>
      </w:r>
    </w:p>
    <w:p>
      <w:pPr>
        <w:spacing w:after="0" w:line="21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are mailing many of our stockholders a Notice of Internet Availability of Proxy Materials rather than a full set of our proxy materials. The Notice contains instructions on how to access our proxy materials on the Internet, as well as instructions on how to obtain a paper copy of the full set of proxy materials if a stockholder so desires. This process is more environmentally friendly and may reduce our costs to print and distribute these materials to stockholders. All stockholders who do not receive this Notice of Internet Availability, including stockholders who have previously requested to receive a paper copy of the materials, will receive a full set of our proxy materials by mail.</w:t>
      </w:r>
    </w:p>
    <w:p>
      <w:pPr>
        <w:spacing w:after="0" w:line="18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order to ensure your representation at the Annual Meeting, whether or not you plan to attend the meeting, please vote your shares as promptly as possible over the Internet by following the instructions on your Notice or, if you receive a complete set of proxy materials by U.S. mail, by following the instructions on your proxy card. Your participation will help to ensure the presence of a quorum at the meeting and save CoStar the extra expense associated with additional solicitation. Voting your shares over the Internet or otherwise will not prevent you from attending the meeting, revoking your proxy, or voting your stock in person.</w:t>
      </w:r>
    </w:p>
    <w:p>
      <w:pPr>
        <w:spacing w:after="0" w:line="202"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2800985</wp:posOffset>
            </wp:positionH>
            <wp:positionV relativeFrom="paragraph">
              <wp:posOffset>152400</wp:posOffset>
            </wp:positionV>
            <wp:extent cx="840740" cy="3175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840740" cy="3175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ANDREW C. FLORANCE</w:t>
      </w:r>
    </w:p>
    <w:p>
      <w:pPr>
        <w:spacing w:after="0" w:line="23" w:lineRule="exact"/>
        <w:rPr>
          <w:sz w:val="20"/>
          <w:szCs w:val="20"/>
          <w:color w:val="auto"/>
        </w:rPr>
      </w:pPr>
    </w:p>
    <w:p>
      <w:pPr>
        <w:ind w:left="4420"/>
        <w:spacing w:after="0"/>
        <w:rPr>
          <w:sz w:val="20"/>
          <w:szCs w:val="20"/>
          <w:color w:val="auto"/>
        </w:rPr>
      </w:pPr>
      <w:r>
        <w:rPr>
          <w:rFonts w:ascii="Arial" w:cs="Arial" w:eastAsia="Arial" w:hAnsi="Arial"/>
          <w:sz w:val="18"/>
          <w:szCs w:val="18"/>
          <w:i w:val="1"/>
          <w:iCs w:val="1"/>
          <w:color w:val="auto"/>
        </w:rPr>
        <w:t>Chief Executive Officer and President</w:t>
      </w:r>
    </w:p>
    <w:p>
      <w:pPr>
        <w:sectPr>
          <w:pgSz w:w="11900" w:h="16838" w:orient="portrait"/>
          <w:cols w:equalWidth="0" w:num="1">
            <w:col w:w="11420"/>
          </w:cols>
          <w:pgMar w:left="240" w:top="1440"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25"/>
          <w:szCs w:val="25"/>
          <w:b w:val="1"/>
          <w:bCs w:val="1"/>
          <w:color w:val="auto"/>
        </w:rPr>
        <w:t>COSTAR GROUP, INC.</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April 25, 2016</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NOTICE OF 2016 ANNUAL MEETING OF STOCKHOLDERS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 BE HELD THURSDAY, JUNE 9, 2016</w:t>
      </w:r>
    </w:p>
    <w:p>
      <w:pPr>
        <w:spacing w:after="0" w:line="21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2016 Annual Meeting of Stockholders (the “Annual Meeting”) of CoStar Group, Inc. (“CoStar”, “we” or the “Company”) will be held at 1331 L Street, N.W., Washington, DC 20005, at 10:00 a.m., local time, on Thursday, June 9, 2016, for the following purposes:</w:t>
      </w:r>
    </w:p>
    <w:p>
      <w:pPr>
        <w:spacing w:after="0" w:line="170" w:lineRule="exact"/>
        <w:rPr>
          <w:sz w:val="20"/>
          <w:szCs w:val="20"/>
          <w:color w:val="auto"/>
        </w:rPr>
      </w:pPr>
    </w:p>
    <w:p>
      <w:pPr>
        <w:ind w:left="880" w:hanging="318"/>
        <w:spacing w:after="0" w:line="258" w:lineRule="auto"/>
        <w:tabs>
          <w:tab w:leader="none" w:pos="8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To elect the eight directors named in the Proxy Statement to hold office until the next Annual Meeting of Stockholders, or until their respective successors are elected and qualified;</w:t>
      </w:r>
    </w:p>
    <w:p>
      <w:pPr>
        <w:spacing w:after="0" w:line="1" w:lineRule="exact"/>
        <w:rPr>
          <w:rFonts w:ascii="Arial" w:cs="Arial" w:eastAsia="Arial" w:hAnsi="Arial"/>
          <w:sz w:val="18"/>
          <w:szCs w:val="18"/>
          <w:color w:val="auto"/>
        </w:rPr>
      </w:pPr>
    </w:p>
    <w:p>
      <w:pPr>
        <w:ind w:left="880" w:hanging="318"/>
        <w:spacing w:after="0"/>
        <w:tabs>
          <w:tab w:leader="none" w:pos="8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To approve the CoStar Group, Inc. 2016 Stock Incentive Plan;</w:t>
      </w:r>
    </w:p>
    <w:p>
      <w:pPr>
        <w:spacing w:after="0" w:line="9" w:lineRule="exact"/>
        <w:rPr>
          <w:rFonts w:ascii="Arial" w:cs="Arial" w:eastAsia="Arial" w:hAnsi="Arial"/>
          <w:sz w:val="18"/>
          <w:szCs w:val="18"/>
          <w:color w:val="auto"/>
        </w:rPr>
      </w:pPr>
    </w:p>
    <w:p>
      <w:pPr>
        <w:ind w:left="880" w:hanging="318"/>
        <w:spacing w:after="0"/>
        <w:tabs>
          <w:tab w:leader="none" w:pos="8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To approve the CoStar Group, Inc. 2016 Cash Incentive Plan;</w:t>
      </w:r>
    </w:p>
    <w:p>
      <w:pPr>
        <w:spacing w:after="0" w:line="9" w:lineRule="exact"/>
        <w:rPr>
          <w:rFonts w:ascii="Arial" w:cs="Arial" w:eastAsia="Arial" w:hAnsi="Arial"/>
          <w:sz w:val="18"/>
          <w:szCs w:val="18"/>
          <w:color w:val="auto"/>
        </w:rPr>
      </w:pPr>
    </w:p>
    <w:p>
      <w:pPr>
        <w:ind w:left="880" w:hanging="318"/>
        <w:spacing w:after="0"/>
        <w:tabs>
          <w:tab w:leader="none" w:pos="8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To ratify the appointment of Ernst &amp; Young LLP as the Company’s independent registered public accounting firm for 2016;</w:t>
      </w:r>
    </w:p>
    <w:p>
      <w:pPr>
        <w:spacing w:after="0" w:line="9" w:lineRule="exact"/>
        <w:rPr>
          <w:rFonts w:ascii="Arial" w:cs="Arial" w:eastAsia="Arial" w:hAnsi="Arial"/>
          <w:sz w:val="18"/>
          <w:szCs w:val="18"/>
          <w:color w:val="auto"/>
        </w:rPr>
      </w:pPr>
    </w:p>
    <w:p>
      <w:pPr>
        <w:ind w:left="880" w:hanging="318"/>
        <w:spacing w:after="0"/>
        <w:tabs>
          <w:tab w:leader="none" w:pos="8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To approve, on an advisory basis, the Company’s executive compensation; and</w:t>
      </w:r>
    </w:p>
    <w:p>
      <w:pPr>
        <w:spacing w:after="0" w:line="9" w:lineRule="exact"/>
        <w:rPr>
          <w:rFonts w:ascii="Arial" w:cs="Arial" w:eastAsia="Arial" w:hAnsi="Arial"/>
          <w:sz w:val="18"/>
          <w:szCs w:val="18"/>
          <w:color w:val="auto"/>
        </w:rPr>
      </w:pPr>
    </w:p>
    <w:p>
      <w:pPr>
        <w:ind w:left="880" w:hanging="318"/>
        <w:spacing w:after="0"/>
        <w:tabs>
          <w:tab w:leader="none" w:pos="8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To transact any other business properly presented before the Annual Meeting.</w:t>
      </w:r>
    </w:p>
    <w:p>
      <w:pPr>
        <w:spacing w:after="0" w:line="21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Board of Directors has fixed Monday, April 11, 2016, as the record date for determining stockholders entitled to receive notice of and to vote at the Annual Meeting (or any adjournment or postponement of it). Only stockholders of record at the close of business on that date are entitled to notice of and to vote at the Annual Meeting. For specific instructions on voting, please refer to the instructions provided in your Notice of Internet Availability of Proxy Materials or, if you receive a complete set of our proxy materials by U.S. mail, on the proxy card.</w:t>
      </w:r>
    </w:p>
    <w:p>
      <w:pPr>
        <w:spacing w:after="0" w:line="183"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INTERNET AVAILABILITY</w:t>
      </w:r>
    </w:p>
    <w:p>
      <w:pPr>
        <w:spacing w:after="0" w:line="27"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We are taking advantage of the Securities and Exchange Commission rules that allow companies to furnish proxy materials to their stockholders through the Internet. We believe these rules allow us to provide you with the information you need while lowering the costs of delivery and reducing the environmental impact of the Annual Meeting. On or about April 25, 2016, we mailed to stockholders as of the record date a Notice Regarding the Availability of Proxy Materials. If you received a Notice by mail, you will not receive printed copies of the proxy materials, unless you specifically request them. Instead, the Notice instructs you on how to access and review all of the important information contained in this Proxy Statement and in our 2015 Annual Report on Form 10-K (which we posted on the same date), as well as how to submit your proxy over the Internet. If you received the Notice and would still like to receive a printed copy of our proxy materials, you may request a printed copy of the proxy materials by following the instructions in the Notice.</w:t>
      </w:r>
    </w:p>
    <w:p>
      <w:pPr>
        <w:spacing w:after="0" w:line="162"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WE INVITE YOU TO ATTEND THE ANNUAL MEETING IN PERSON, BUT WHETHER OR NOT YOU EXPECT TO ATTEND, PLEASE VOTE YOUR SHARES AS SOON AS POSSIBLE.</w:t>
      </w:r>
    </w:p>
    <w:p>
      <w:pPr>
        <w:spacing w:after="0" w:line="166"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2475230</wp:posOffset>
            </wp:positionH>
            <wp:positionV relativeFrom="paragraph">
              <wp:posOffset>14605</wp:posOffset>
            </wp:positionV>
            <wp:extent cx="995045" cy="3943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995045" cy="3943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JONATHAN COLEMAN</w:t>
      </w:r>
    </w:p>
    <w:p>
      <w:pPr>
        <w:spacing w:after="0" w:line="23" w:lineRule="exact"/>
        <w:rPr>
          <w:sz w:val="20"/>
          <w:szCs w:val="20"/>
          <w:color w:val="auto"/>
        </w:rPr>
      </w:pPr>
    </w:p>
    <w:p>
      <w:pPr>
        <w:ind w:left="4420"/>
        <w:spacing w:after="0"/>
        <w:rPr>
          <w:sz w:val="20"/>
          <w:szCs w:val="20"/>
          <w:color w:val="auto"/>
        </w:rPr>
      </w:pPr>
      <w:r>
        <w:rPr>
          <w:rFonts w:ascii="Arial" w:cs="Arial" w:eastAsia="Arial" w:hAnsi="Arial"/>
          <w:sz w:val="18"/>
          <w:szCs w:val="18"/>
          <w:i w:val="1"/>
          <w:iCs w:val="1"/>
          <w:color w:val="auto"/>
        </w:rPr>
        <w:t>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2720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34" w:lineRule="exact"/>
        <w:rPr>
          <w:sz w:val="20"/>
          <w:szCs w:val="20"/>
          <w:color w:val="auto"/>
        </w:rPr>
      </w:pPr>
    </w:p>
    <w:p>
      <w:pPr>
        <w:jc w:val="both"/>
        <w:ind w:right="20"/>
        <w:spacing w:after="0" w:line="258" w:lineRule="auto"/>
        <w:rPr>
          <w:sz w:val="20"/>
          <w:szCs w:val="20"/>
          <w:color w:val="auto"/>
        </w:rPr>
      </w:pPr>
      <w:r>
        <w:rPr>
          <w:rFonts w:ascii="Arial" w:cs="Arial" w:eastAsia="Arial" w:hAnsi="Arial"/>
          <w:sz w:val="16"/>
          <w:szCs w:val="16"/>
          <w:b w:val="1"/>
          <w:bCs w:val="1"/>
          <w:color w:val="auto"/>
        </w:rPr>
        <w:t>NOTICE: Brokers are not permitted to vote on the election of directors, the approval of the 2016 Stock Incentive Plan, the approval of the 2016 Cash Incentive Plan, or the advisory resolution on executive compensation without instructions from the beneficial owner, as discussed in more detail in the Proxy Statement. Therefore, if your shares are held through a brokerage firm, bank or other nominee, they will not be voted on these matters unless you affirmatively vote your shares in one of the ways described in the Notice.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162560</wp:posOffset>
            </wp:positionV>
            <wp:extent cx="72720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360"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25"/>
          <w:szCs w:val="25"/>
          <w:b w:val="1"/>
          <w:bCs w:val="1"/>
          <w:u w:val="single" w:color="auto"/>
          <w:color w:val="auto"/>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243840</wp:posOffset>
            </wp:positionV>
            <wp:extent cx="7246620" cy="806132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061325"/>
                    </a:xfrm>
                    <a:prstGeom prst="rect">
                      <a:avLst/>
                    </a:prstGeom>
                    <a:noFill/>
                  </pic:spPr>
                </pic:pic>
              </a:graphicData>
            </a:graphic>
          </wp:anchor>
        </w:drawing>
      </w:r>
    </w:p>
    <w:p>
      <w:pPr>
        <w:spacing w:after="0" w:line="364"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10620" w:type="dxa"/>
            <w:vAlign w:val="bottom"/>
            <w:shd w:val="clear" w:color="auto" w:fill="B8CCE4"/>
          </w:tcPr>
          <w:p>
            <w:pPr>
              <w:ind w:left="40"/>
              <w:spacing w:after="0"/>
              <w:rPr>
                <w:sz w:val="20"/>
                <w:szCs w:val="20"/>
                <w:color w:val="auto"/>
              </w:rPr>
            </w:pPr>
            <w:r>
              <w:rPr>
                <w:rFonts w:ascii="Arial" w:cs="Arial" w:eastAsia="Arial" w:hAnsi="Arial"/>
                <w:sz w:val="18"/>
                <w:szCs w:val="18"/>
                <w:color w:val="auto"/>
              </w:rPr>
              <w:t>PROXY STATEMENT</w:t>
            </w:r>
          </w:p>
        </w:tc>
        <w:tc>
          <w:tcPr>
            <w:tcW w:w="800" w:type="dxa"/>
            <w:vAlign w:val="bottom"/>
            <w:shd w:val="clear" w:color="auto" w:fill="B8CCE4"/>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62"/>
        </w:trPr>
        <w:tc>
          <w:tcPr>
            <w:tcW w:w="10620" w:type="dxa"/>
            <w:vAlign w:val="bottom"/>
            <w:shd w:val="clear" w:color="auto" w:fill="B8CCE4"/>
          </w:tcPr>
          <w:p>
            <w:pPr>
              <w:ind w:left="40"/>
              <w:spacing w:after="0"/>
              <w:rPr>
                <w:sz w:val="20"/>
                <w:szCs w:val="20"/>
                <w:color w:val="auto"/>
              </w:rPr>
            </w:pPr>
            <w:r>
              <w:rPr>
                <w:rFonts w:ascii="Arial" w:cs="Arial" w:eastAsia="Arial" w:hAnsi="Arial"/>
                <w:sz w:val="18"/>
                <w:szCs w:val="18"/>
                <w:color w:val="auto"/>
              </w:rPr>
              <w:t>IMPORTANT NOTICE REGARDING THE AVAILABILITY OF PROXY MATERIALS FOR THE STOCKHOLDER MEETING TO BE</w:t>
            </w:r>
          </w:p>
        </w:tc>
        <w:tc>
          <w:tcPr>
            <w:tcW w:w="800" w:type="dxa"/>
            <w:vAlign w:val="bottom"/>
            <w:vMerge w:val="restart"/>
            <w:shd w:val="clear" w:color="auto" w:fill="B8CCE4"/>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122"/>
        </w:trPr>
        <w:tc>
          <w:tcPr>
            <w:tcW w:w="10620" w:type="dxa"/>
            <w:vAlign w:val="bottom"/>
            <w:vMerge w:val="restart"/>
            <w:shd w:val="clear" w:color="auto" w:fill="B8CCE4"/>
          </w:tcPr>
          <w:p>
            <w:pPr>
              <w:ind w:left="40"/>
              <w:spacing w:after="0"/>
              <w:rPr>
                <w:sz w:val="20"/>
                <w:szCs w:val="20"/>
                <w:color w:val="auto"/>
              </w:rPr>
            </w:pPr>
            <w:r>
              <w:rPr>
                <w:rFonts w:ascii="Arial" w:cs="Arial" w:eastAsia="Arial" w:hAnsi="Arial"/>
                <w:sz w:val="18"/>
                <w:szCs w:val="18"/>
                <w:color w:val="auto"/>
              </w:rPr>
              <w:t>HELD ON JUNE 9, 2016</w:t>
            </w:r>
          </w:p>
        </w:tc>
        <w:tc>
          <w:tcPr>
            <w:tcW w:w="800" w:type="dxa"/>
            <w:vAlign w:val="bottom"/>
            <w:vMerge w:val="continue"/>
            <w:shd w:val="clear" w:color="auto" w:fill="B8CCE4"/>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0620" w:type="dxa"/>
            <w:vAlign w:val="bottom"/>
            <w:vMerge w:val="continue"/>
            <w:shd w:val="clear" w:color="auto" w:fill="B8CCE4"/>
          </w:tcPr>
          <w:p>
            <w:pPr>
              <w:spacing w:after="0"/>
              <w:rPr>
                <w:sz w:val="9"/>
                <w:szCs w:val="9"/>
                <w:color w:val="auto"/>
              </w:rPr>
            </w:pPr>
          </w:p>
        </w:tc>
        <w:tc>
          <w:tcPr>
            <w:tcW w:w="800" w:type="dxa"/>
            <w:vAlign w:val="bottom"/>
            <w:shd w:val="clear" w:color="auto" w:fill="B8CCE4"/>
          </w:tcPr>
          <w:p>
            <w:pPr>
              <w:spacing w:after="0"/>
              <w:rPr>
                <w:sz w:val="9"/>
                <w:szCs w:val="9"/>
                <w:color w:val="auto"/>
              </w:rPr>
            </w:pPr>
          </w:p>
        </w:tc>
        <w:tc>
          <w:tcPr>
            <w:tcW w:w="0" w:type="dxa"/>
            <w:vAlign w:val="bottom"/>
          </w:tcPr>
          <w:p>
            <w:pPr>
              <w:spacing w:after="0"/>
              <w:rPr>
                <w:sz w:val="1"/>
                <w:szCs w:val="1"/>
                <w:color w:val="auto"/>
              </w:rPr>
            </w:pPr>
          </w:p>
        </w:tc>
      </w:tr>
      <w:tr>
        <w:trPr>
          <w:trHeight w:val="284"/>
        </w:trPr>
        <w:tc>
          <w:tcPr>
            <w:tcW w:w="10620" w:type="dxa"/>
            <w:vAlign w:val="bottom"/>
            <w:shd w:val="clear" w:color="auto" w:fill="B8CCE4"/>
          </w:tcPr>
          <w:p>
            <w:pPr>
              <w:ind w:left="40"/>
              <w:spacing w:after="0"/>
              <w:rPr>
                <w:sz w:val="20"/>
                <w:szCs w:val="20"/>
                <w:color w:val="auto"/>
              </w:rPr>
            </w:pPr>
            <w:r>
              <w:rPr>
                <w:rFonts w:ascii="Arial" w:cs="Arial" w:eastAsia="Arial" w:hAnsi="Arial"/>
                <w:sz w:val="18"/>
                <w:szCs w:val="18"/>
                <w:color w:val="auto"/>
              </w:rPr>
              <w:t>OUTSTANDING SECURITIES, VOTING RIGHTS AND QUORUM</w:t>
            </w:r>
          </w:p>
        </w:tc>
        <w:tc>
          <w:tcPr>
            <w:tcW w:w="800" w:type="dxa"/>
            <w:vAlign w:val="bottom"/>
            <w:shd w:val="clear" w:color="auto" w:fill="B8CCE4"/>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84"/>
        </w:trPr>
        <w:tc>
          <w:tcPr>
            <w:tcW w:w="10620" w:type="dxa"/>
            <w:vAlign w:val="bottom"/>
            <w:shd w:val="clear" w:color="auto" w:fill="B8CCE4"/>
          </w:tcPr>
          <w:p>
            <w:pPr>
              <w:ind w:left="40"/>
              <w:spacing w:after="0"/>
              <w:rPr>
                <w:sz w:val="20"/>
                <w:szCs w:val="20"/>
                <w:color w:val="auto"/>
              </w:rPr>
            </w:pPr>
            <w:r>
              <w:rPr>
                <w:rFonts w:ascii="Arial" w:cs="Arial" w:eastAsia="Arial" w:hAnsi="Arial"/>
                <w:sz w:val="18"/>
                <w:szCs w:val="18"/>
                <w:color w:val="auto"/>
              </w:rPr>
              <w:t>PROXY VOTING AND REVOCATION</w:t>
            </w:r>
          </w:p>
        </w:tc>
        <w:tc>
          <w:tcPr>
            <w:tcW w:w="800" w:type="dxa"/>
            <w:vAlign w:val="bottom"/>
            <w:shd w:val="clear" w:color="auto" w:fill="B8CCE4"/>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84"/>
        </w:trPr>
        <w:tc>
          <w:tcPr>
            <w:tcW w:w="10620" w:type="dxa"/>
            <w:vAlign w:val="bottom"/>
            <w:shd w:val="clear" w:color="auto" w:fill="B8CCE4"/>
          </w:tcPr>
          <w:p>
            <w:pPr>
              <w:ind w:left="40"/>
              <w:spacing w:after="0"/>
              <w:rPr>
                <w:sz w:val="20"/>
                <w:szCs w:val="20"/>
                <w:color w:val="auto"/>
              </w:rPr>
            </w:pPr>
            <w:r>
              <w:rPr>
                <w:rFonts w:ascii="Arial" w:cs="Arial" w:eastAsia="Arial" w:hAnsi="Arial"/>
                <w:sz w:val="18"/>
                <w:szCs w:val="18"/>
                <w:color w:val="auto"/>
              </w:rPr>
              <w:t>ATTENDING THE ANNUAL MEETING</w:t>
            </w:r>
          </w:p>
        </w:tc>
        <w:tc>
          <w:tcPr>
            <w:tcW w:w="800" w:type="dxa"/>
            <w:vAlign w:val="bottom"/>
            <w:shd w:val="clear" w:color="auto" w:fill="B8CCE4"/>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84"/>
        </w:trPr>
        <w:tc>
          <w:tcPr>
            <w:tcW w:w="10620" w:type="dxa"/>
            <w:vAlign w:val="bottom"/>
            <w:shd w:val="clear" w:color="auto" w:fill="B8CCE4"/>
          </w:tcPr>
          <w:p>
            <w:pPr>
              <w:ind w:left="40"/>
              <w:spacing w:after="0"/>
              <w:rPr>
                <w:sz w:val="20"/>
                <w:szCs w:val="20"/>
                <w:color w:val="auto"/>
              </w:rPr>
            </w:pPr>
            <w:r>
              <w:rPr>
                <w:rFonts w:ascii="Arial" w:cs="Arial" w:eastAsia="Arial" w:hAnsi="Arial"/>
                <w:sz w:val="18"/>
                <w:szCs w:val="18"/>
                <w:color w:val="auto"/>
              </w:rPr>
              <w:t>Item 1 – ELECTION OF DIRECTORS</w:t>
            </w:r>
          </w:p>
        </w:tc>
        <w:tc>
          <w:tcPr>
            <w:tcW w:w="800" w:type="dxa"/>
            <w:vAlign w:val="bottom"/>
            <w:shd w:val="clear" w:color="auto" w:fill="B8CCE4"/>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84"/>
        </w:trPr>
        <w:tc>
          <w:tcPr>
            <w:tcW w:w="10620" w:type="dxa"/>
            <w:vAlign w:val="bottom"/>
            <w:shd w:val="clear" w:color="auto" w:fill="B8CCE4"/>
          </w:tcPr>
          <w:p>
            <w:pPr>
              <w:ind w:left="180"/>
              <w:spacing w:after="0"/>
              <w:rPr>
                <w:sz w:val="20"/>
                <w:szCs w:val="20"/>
                <w:color w:val="auto"/>
              </w:rPr>
            </w:pPr>
            <w:r>
              <w:rPr>
                <w:rFonts w:ascii="Arial" w:cs="Arial" w:eastAsia="Arial" w:hAnsi="Arial"/>
                <w:sz w:val="18"/>
                <w:szCs w:val="18"/>
                <w:color w:val="auto"/>
              </w:rPr>
              <w:t>Board Composition</w:t>
            </w:r>
          </w:p>
        </w:tc>
        <w:tc>
          <w:tcPr>
            <w:tcW w:w="800" w:type="dxa"/>
            <w:vAlign w:val="bottom"/>
            <w:shd w:val="clear" w:color="auto" w:fill="B8CCE4"/>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84"/>
        </w:trPr>
        <w:tc>
          <w:tcPr>
            <w:tcW w:w="10620" w:type="dxa"/>
            <w:vAlign w:val="bottom"/>
            <w:shd w:val="clear" w:color="auto" w:fill="B8CCE4"/>
          </w:tcPr>
          <w:p>
            <w:pPr>
              <w:ind w:left="180"/>
              <w:spacing w:after="0"/>
              <w:rPr>
                <w:sz w:val="20"/>
                <w:szCs w:val="20"/>
                <w:color w:val="auto"/>
              </w:rPr>
            </w:pPr>
            <w:r>
              <w:rPr>
                <w:rFonts w:ascii="Arial" w:cs="Arial" w:eastAsia="Arial" w:hAnsi="Arial"/>
                <w:sz w:val="18"/>
                <w:szCs w:val="18"/>
                <w:color w:val="auto"/>
              </w:rPr>
              <w:t>Nominees for the Board of Directors</w:t>
            </w:r>
          </w:p>
        </w:tc>
        <w:tc>
          <w:tcPr>
            <w:tcW w:w="800" w:type="dxa"/>
            <w:vAlign w:val="bottom"/>
            <w:shd w:val="clear" w:color="auto" w:fill="B8CCE4"/>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84"/>
        </w:trPr>
        <w:tc>
          <w:tcPr>
            <w:tcW w:w="10620" w:type="dxa"/>
            <w:vAlign w:val="bottom"/>
            <w:shd w:val="clear" w:color="auto" w:fill="B8CCE4"/>
          </w:tcPr>
          <w:p>
            <w:pPr>
              <w:ind w:left="180"/>
              <w:spacing w:after="0"/>
              <w:rPr>
                <w:sz w:val="20"/>
                <w:szCs w:val="20"/>
                <w:color w:val="auto"/>
              </w:rPr>
            </w:pPr>
            <w:r>
              <w:rPr>
                <w:rFonts w:ascii="Arial" w:cs="Arial" w:eastAsia="Arial" w:hAnsi="Arial"/>
                <w:sz w:val="18"/>
                <w:szCs w:val="18"/>
                <w:color w:val="auto"/>
              </w:rPr>
              <w:t>Nominees’ Business Experience, Qualifications and Directorships</w:t>
            </w:r>
          </w:p>
        </w:tc>
        <w:tc>
          <w:tcPr>
            <w:tcW w:w="800" w:type="dxa"/>
            <w:vAlign w:val="bottom"/>
            <w:shd w:val="clear" w:color="auto" w:fill="B8CCE4"/>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84"/>
        </w:trPr>
        <w:tc>
          <w:tcPr>
            <w:tcW w:w="10620" w:type="dxa"/>
            <w:vAlign w:val="bottom"/>
            <w:shd w:val="clear" w:color="auto" w:fill="B8CCE4"/>
          </w:tcPr>
          <w:p>
            <w:pPr>
              <w:ind w:left="40"/>
              <w:spacing w:after="0"/>
              <w:rPr>
                <w:sz w:val="20"/>
                <w:szCs w:val="20"/>
                <w:color w:val="auto"/>
              </w:rPr>
            </w:pPr>
            <w:r>
              <w:rPr>
                <w:rFonts w:ascii="Arial" w:cs="Arial" w:eastAsia="Arial" w:hAnsi="Arial"/>
                <w:sz w:val="18"/>
                <w:szCs w:val="18"/>
                <w:color w:val="auto"/>
              </w:rPr>
              <w:t>Item 2 – APPROVAL OF THE COSTAR GROUP, INC. 2016 STOCK INCENTIVE PLAN</w:t>
            </w:r>
          </w:p>
        </w:tc>
        <w:tc>
          <w:tcPr>
            <w:tcW w:w="800" w:type="dxa"/>
            <w:vAlign w:val="bottom"/>
            <w:shd w:val="clear" w:color="auto" w:fill="B8CCE4"/>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84"/>
        </w:trPr>
        <w:tc>
          <w:tcPr>
            <w:tcW w:w="10620" w:type="dxa"/>
            <w:vAlign w:val="bottom"/>
            <w:shd w:val="clear" w:color="auto" w:fill="B8CCE4"/>
          </w:tcPr>
          <w:p>
            <w:pPr>
              <w:ind w:left="180"/>
              <w:spacing w:after="0"/>
              <w:rPr>
                <w:sz w:val="20"/>
                <w:szCs w:val="20"/>
                <w:color w:val="auto"/>
              </w:rPr>
            </w:pPr>
            <w:r>
              <w:rPr>
                <w:rFonts w:ascii="Arial" w:cs="Arial" w:eastAsia="Arial" w:hAnsi="Arial"/>
                <w:sz w:val="18"/>
                <w:szCs w:val="18"/>
                <w:color w:val="auto"/>
              </w:rPr>
              <w:t>Summary of the 2016 Stock Incentive Plan</w:t>
            </w:r>
          </w:p>
        </w:tc>
        <w:tc>
          <w:tcPr>
            <w:tcW w:w="800" w:type="dxa"/>
            <w:vAlign w:val="bottom"/>
            <w:shd w:val="clear" w:color="auto" w:fill="B8CCE4"/>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84"/>
        </w:trPr>
        <w:tc>
          <w:tcPr>
            <w:tcW w:w="10620" w:type="dxa"/>
            <w:vAlign w:val="bottom"/>
            <w:shd w:val="clear" w:color="auto" w:fill="B8CCE4"/>
          </w:tcPr>
          <w:p>
            <w:pPr>
              <w:ind w:left="180"/>
              <w:spacing w:after="0"/>
              <w:rPr>
                <w:sz w:val="20"/>
                <w:szCs w:val="20"/>
                <w:color w:val="auto"/>
              </w:rPr>
            </w:pPr>
            <w:r>
              <w:rPr>
                <w:rFonts w:ascii="Arial" w:cs="Arial" w:eastAsia="Arial" w:hAnsi="Arial"/>
                <w:sz w:val="18"/>
                <w:szCs w:val="18"/>
                <w:color w:val="auto"/>
              </w:rPr>
              <w:t>U.S. Federal Income Tax Consequences</w:t>
            </w:r>
          </w:p>
        </w:tc>
        <w:tc>
          <w:tcPr>
            <w:tcW w:w="800" w:type="dxa"/>
            <w:vAlign w:val="bottom"/>
            <w:shd w:val="clear" w:color="auto" w:fill="B8CCE4"/>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84"/>
        </w:trPr>
        <w:tc>
          <w:tcPr>
            <w:tcW w:w="10620" w:type="dxa"/>
            <w:vAlign w:val="bottom"/>
            <w:shd w:val="clear" w:color="auto" w:fill="B8CCE4"/>
          </w:tcPr>
          <w:p>
            <w:pPr>
              <w:ind w:left="180"/>
              <w:spacing w:after="0"/>
              <w:rPr>
                <w:sz w:val="20"/>
                <w:szCs w:val="20"/>
                <w:color w:val="auto"/>
              </w:rPr>
            </w:pPr>
            <w:r>
              <w:rPr>
                <w:rFonts w:ascii="Arial" w:cs="Arial" w:eastAsia="Arial" w:hAnsi="Arial"/>
                <w:sz w:val="18"/>
                <w:szCs w:val="18"/>
                <w:color w:val="auto"/>
              </w:rPr>
              <w:t>Plan Benefits</w:t>
            </w:r>
          </w:p>
        </w:tc>
        <w:tc>
          <w:tcPr>
            <w:tcW w:w="800" w:type="dxa"/>
            <w:vAlign w:val="bottom"/>
            <w:shd w:val="clear" w:color="auto" w:fill="B8CCE4"/>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84"/>
        </w:trPr>
        <w:tc>
          <w:tcPr>
            <w:tcW w:w="10620" w:type="dxa"/>
            <w:vAlign w:val="bottom"/>
            <w:shd w:val="clear" w:color="auto" w:fill="B8CCE4"/>
          </w:tcPr>
          <w:p>
            <w:pPr>
              <w:ind w:left="180"/>
              <w:spacing w:after="0"/>
              <w:rPr>
                <w:sz w:val="20"/>
                <w:szCs w:val="20"/>
                <w:color w:val="auto"/>
              </w:rPr>
            </w:pPr>
            <w:r>
              <w:rPr>
                <w:rFonts w:ascii="Arial" w:cs="Arial" w:eastAsia="Arial" w:hAnsi="Arial"/>
                <w:sz w:val="18"/>
                <w:szCs w:val="18"/>
                <w:color w:val="auto"/>
              </w:rPr>
              <w:t>Required Vote</w:t>
            </w:r>
          </w:p>
        </w:tc>
        <w:tc>
          <w:tcPr>
            <w:tcW w:w="800" w:type="dxa"/>
            <w:vAlign w:val="bottom"/>
            <w:shd w:val="clear" w:color="auto" w:fill="B8CCE4"/>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84"/>
        </w:trPr>
        <w:tc>
          <w:tcPr>
            <w:tcW w:w="10620" w:type="dxa"/>
            <w:vAlign w:val="bottom"/>
            <w:shd w:val="clear" w:color="auto" w:fill="B8CCE4"/>
          </w:tcPr>
          <w:p>
            <w:pPr>
              <w:ind w:left="180"/>
              <w:spacing w:after="0"/>
              <w:rPr>
                <w:sz w:val="20"/>
                <w:szCs w:val="20"/>
                <w:color w:val="auto"/>
              </w:rPr>
            </w:pPr>
            <w:r>
              <w:rPr>
                <w:rFonts w:ascii="Arial" w:cs="Arial" w:eastAsia="Arial" w:hAnsi="Arial"/>
                <w:sz w:val="18"/>
                <w:szCs w:val="18"/>
                <w:color w:val="auto"/>
              </w:rPr>
              <w:t>Recommendation</w:t>
            </w:r>
          </w:p>
        </w:tc>
        <w:tc>
          <w:tcPr>
            <w:tcW w:w="800" w:type="dxa"/>
            <w:vAlign w:val="bottom"/>
            <w:shd w:val="clear" w:color="auto" w:fill="B8CCE4"/>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84"/>
        </w:trPr>
        <w:tc>
          <w:tcPr>
            <w:tcW w:w="10620" w:type="dxa"/>
            <w:vAlign w:val="bottom"/>
            <w:shd w:val="clear" w:color="auto" w:fill="B8CCE4"/>
          </w:tcPr>
          <w:p>
            <w:pPr>
              <w:ind w:left="40"/>
              <w:spacing w:after="0"/>
              <w:rPr>
                <w:sz w:val="20"/>
                <w:szCs w:val="20"/>
                <w:color w:val="auto"/>
              </w:rPr>
            </w:pPr>
            <w:r>
              <w:rPr>
                <w:rFonts w:ascii="Arial" w:cs="Arial" w:eastAsia="Arial" w:hAnsi="Arial"/>
                <w:sz w:val="18"/>
                <w:szCs w:val="18"/>
                <w:color w:val="auto"/>
              </w:rPr>
              <w:t>Item 3 – APPROVAL OF THE COSTAR GROUP, INC. 2017 CASH INCENTIVE PLAN</w:t>
            </w:r>
          </w:p>
        </w:tc>
        <w:tc>
          <w:tcPr>
            <w:tcW w:w="800" w:type="dxa"/>
            <w:vAlign w:val="bottom"/>
            <w:shd w:val="clear" w:color="auto" w:fill="B8CCE4"/>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84"/>
        </w:trPr>
        <w:tc>
          <w:tcPr>
            <w:tcW w:w="10620" w:type="dxa"/>
            <w:vAlign w:val="bottom"/>
            <w:shd w:val="clear" w:color="auto" w:fill="B8CCE4"/>
          </w:tcPr>
          <w:p>
            <w:pPr>
              <w:ind w:left="180"/>
              <w:spacing w:after="0"/>
              <w:rPr>
                <w:sz w:val="20"/>
                <w:szCs w:val="20"/>
                <w:color w:val="auto"/>
              </w:rPr>
            </w:pPr>
            <w:r>
              <w:rPr>
                <w:rFonts w:ascii="Arial" w:cs="Arial" w:eastAsia="Arial" w:hAnsi="Arial"/>
                <w:sz w:val="18"/>
                <w:szCs w:val="18"/>
                <w:color w:val="auto"/>
              </w:rPr>
              <w:t>Summary of the 2016 Cash Incentive Plan</w:t>
            </w:r>
          </w:p>
        </w:tc>
        <w:tc>
          <w:tcPr>
            <w:tcW w:w="800" w:type="dxa"/>
            <w:vAlign w:val="bottom"/>
            <w:shd w:val="clear" w:color="auto" w:fill="B8CCE4"/>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84"/>
        </w:trPr>
        <w:tc>
          <w:tcPr>
            <w:tcW w:w="10620" w:type="dxa"/>
            <w:vAlign w:val="bottom"/>
            <w:shd w:val="clear" w:color="auto" w:fill="B8CCE4"/>
          </w:tcPr>
          <w:p>
            <w:pPr>
              <w:ind w:left="180"/>
              <w:spacing w:after="0"/>
              <w:rPr>
                <w:sz w:val="20"/>
                <w:szCs w:val="20"/>
                <w:color w:val="auto"/>
              </w:rPr>
            </w:pPr>
            <w:r>
              <w:rPr>
                <w:rFonts w:ascii="Arial" w:cs="Arial" w:eastAsia="Arial" w:hAnsi="Arial"/>
                <w:sz w:val="18"/>
                <w:szCs w:val="18"/>
                <w:color w:val="auto"/>
              </w:rPr>
              <w:t>U.S. Federal Income Tax Consequences</w:t>
            </w:r>
          </w:p>
        </w:tc>
        <w:tc>
          <w:tcPr>
            <w:tcW w:w="800" w:type="dxa"/>
            <w:vAlign w:val="bottom"/>
            <w:shd w:val="clear" w:color="auto" w:fill="B8CCE4"/>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84"/>
        </w:trPr>
        <w:tc>
          <w:tcPr>
            <w:tcW w:w="10620" w:type="dxa"/>
            <w:vAlign w:val="bottom"/>
            <w:shd w:val="clear" w:color="auto" w:fill="B8CCE4"/>
          </w:tcPr>
          <w:p>
            <w:pPr>
              <w:ind w:left="180"/>
              <w:spacing w:after="0"/>
              <w:rPr>
                <w:sz w:val="20"/>
                <w:szCs w:val="20"/>
                <w:color w:val="auto"/>
              </w:rPr>
            </w:pPr>
            <w:r>
              <w:rPr>
                <w:rFonts w:ascii="Arial" w:cs="Arial" w:eastAsia="Arial" w:hAnsi="Arial"/>
                <w:sz w:val="18"/>
                <w:szCs w:val="18"/>
                <w:color w:val="auto"/>
              </w:rPr>
              <w:t>Plan Benefits</w:t>
            </w:r>
          </w:p>
        </w:tc>
        <w:tc>
          <w:tcPr>
            <w:tcW w:w="800" w:type="dxa"/>
            <w:vAlign w:val="bottom"/>
            <w:shd w:val="clear" w:color="auto" w:fill="B8CCE4"/>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84"/>
        </w:trPr>
        <w:tc>
          <w:tcPr>
            <w:tcW w:w="10620" w:type="dxa"/>
            <w:vAlign w:val="bottom"/>
            <w:shd w:val="clear" w:color="auto" w:fill="B8CCE4"/>
          </w:tcPr>
          <w:p>
            <w:pPr>
              <w:ind w:left="180"/>
              <w:spacing w:after="0"/>
              <w:rPr>
                <w:sz w:val="20"/>
                <w:szCs w:val="20"/>
                <w:color w:val="auto"/>
              </w:rPr>
            </w:pPr>
            <w:r>
              <w:rPr>
                <w:rFonts w:ascii="Arial" w:cs="Arial" w:eastAsia="Arial" w:hAnsi="Arial"/>
                <w:sz w:val="18"/>
                <w:szCs w:val="18"/>
                <w:color w:val="auto"/>
              </w:rPr>
              <w:t>Miscellaneous</w:t>
            </w:r>
          </w:p>
        </w:tc>
        <w:tc>
          <w:tcPr>
            <w:tcW w:w="800" w:type="dxa"/>
            <w:vAlign w:val="bottom"/>
            <w:shd w:val="clear" w:color="auto" w:fill="B8CCE4"/>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84"/>
        </w:trPr>
        <w:tc>
          <w:tcPr>
            <w:tcW w:w="10620" w:type="dxa"/>
            <w:vAlign w:val="bottom"/>
            <w:shd w:val="clear" w:color="auto" w:fill="B8CCE4"/>
          </w:tcPr>
          <w:p>
            <w:pPr>
              <w:ind w:left="180"/>
              <w:spacing w:after="0"/>
              <w:rPr>
                <w:sz w:val="20"/>
                <w:szCs w:val="20"/>
                <w:color w:val="auto"/>
              </w:rPr>
            </w:pPr>
            <w:r>
              <w:rPr>
                <w:rFonts w:ascii="Arial" w:cs="Arial" w:eastAsia="Arial" w:hAnsi="Arial"/>
                <w:sz w:val="18"/>
                <w:szCs w:val="18"/>
                <w:color w:val="auto"/>
              </w:rPr>
              <w:t>Required Vote</w:t>
            </w:r>
          </w:p>
        </w:tc>
        <w:tc>
          <w:tcPr>
            <w:tcW w:w="800" w:type="dxa"/>
            <w:vAlign w:val="bottom"/>
            <w:shd w:val="clear" w:color="auto" w:fill="B8CCE4"/>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84"/>
        </w:trPr>
        <w:tc>
          <w:tcPr>
            <w:tcW w:w="10620" w:type="dxa"/>
            <w:vAlign w:val="bottom"/>
            <w:shd w:val="clear" w:color="auto" w:fill="B8CCE4"/>
          </w:tcPr>
          <w:p>
            <w:pPr>
              <w:ind w:left="180"/>
              <w:spacing w:after="0"/>
              <w:rPr>
                <w:sz w:val="20"/>
                <w:szCs w:val="20"/>
                <w:color w:val="auto"/>
              </w:rPr>
            </w:pPr>
            <w:r>
              <w:rPr>
                <w:rFonts w:ascii="Arial" w:cs="Arial" w:eastAsia="Arial" w:hAnsi="Arial"/>
                <w:sz w:val="18"/>
                <w:szCs w:val="18"/>
                <w:color w:val="auto"/>
              </w:rPr>
              <w:t>Recommendation</w:t>
            </w:r>
          </w:p>
        </w:tc>
        <w:tc>
          <w:tcPr>
            <w:tcW w:w="800" w:type="dxa"/>
            <w:vAlign w:val="bottom"/>
            <w:shd w:val="clear" w:color="auto" w:fill="B8CCE4"/>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84"/>
        </w:trPr>
        <w:tc>
          <w:tcPr>
            <w:tcW w:w="10620" w:type="dxa"/>
            <w:vAlign w:val="bottom"/>
            <w:shd w:val="clear" w:color="auto" w:fill="B8CCE4"/>
          </w:tcPr>
          <w:p>
            <w:pPr>
              <w:ind w:left="40"/>
              <w:spacing w:after="0"/>
              <w:rPr>
                <w:sz w:val="20"/>
                <w:szCs w:val="20"/>
                <w:color w:val="auto"/>
              </w:rPr>
            </w:pPr>
            <w:r>
              <w:rPr>
                <w:rFonts w:ascii="Arial" w:cs="Arial" w:eastAsia="Arial" w:hAnsi="Arial"/>
                <w:sz w:val="18"/>
                <w:szCs w:val="18"/>
                <w:color w:val="auto"/>
              </w:rPr>
              <w:t>Item 4 – RATIFICATION OF THE APPOINTMENT OF INDEPENDENT REGISTERED PUBLIC ACCOUNTING FIRM</w:t>
            </w:r>
          </w:p>
        </w:tc>
        <w:tc>
          <w:tcPr>
            <w:tcW w:w="800" w:type="dxa"/>
            <w:vAlign w:val="bottom"/>
            <w:shd w:val="clear" w:color="auto" w:fill="B8CCE4"/>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84"/>
        </w:trPr>
        <w:tc>
          <w:tcPr>
            <w:tcW w:w="10620" w:type="dxa"/>
            <w:vAlign w:val="bottom"/>
            <w:shd w:val="clear" w:color="auto" w:fill="B8CCE4"/>
          </w:tcPr>
          <w:p>
            <w:pPr>
              <w:ind w:left="160"/>
              <w:spacing w:after="0"/>
              <w:rPr>
                <w:sz w:val="20"/>
                <w:szCs w:val="20"/>
                <w:color w:val="auto"/>
              </w:rPr>
            </w:pPr>
            <w:r>
              <w:rPr>
                <w:rFonts w:ascii="Arial" w:cs="Arial" w:eastAsia="Arial" w:hAnsi="Arial"/>
                <w:sz w:val="18"/>
                <w:szCs w:val="18"/>
                <w:color w:val="auto"/>
              </w:rPr>
              <w:t>Audit Committee Pre-Approval Policy</w:t>
            </w:r>
          </w:p>
        </w:tc>
        <w:tc>
          <w:tcPr>
            <w:tcW w:w="800" w:type="dxa"/>
            <w:vAlign w:val="bottom"/>
            <w:shd w:val="clear" w:color="auto" w:fill="B8CCE4"/>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84"/>
        </w:trPr>
        <w:tc>
          <w:tcPr>
            <w:tcW w:w="10620" w:type="dxa"/>
            <w:vAlign w:val="bottom"/>
            <w:shd w:val="clear" w:color="auto" w:fill="B8CCE4"/>
          </w:tcPr>
          <w:p>
            <w:pPr>
              <w:ind w:left="40"/>
              <w:spacing w:after="0"/>
              <w:rPr>
                <w:sz w:val="20"/>
                <w:szCs w:val="20"/>
                <w:color w:val="auto"/>
              </w:rPr>
            </w:pPr>
            <w:r>
              <w:rPr>
                <w:rFonts w:ascii="Arial" w:cs="Arial" w:eastAsia="Arial" w:hAnsi="Arial"/>
                <w:sz w:val="18"/>
                <w:szCs w:val="18"/>
                <w:color w:val="auto"/>
              </w:rPr>
              <w:t>Item 5 – ADVISORY RESOLUTION TO APPROVE EXECUTIVE COMPENSATION</w:t>
            </w:r>
          </w:p>
        </w:tc>
        <w:tc>
          <w:tcPr>
            <w:tcW w:w="800" w:type="dxa"/>
            <w:vAlign w:val="bottom"/>
            <w:shd w:val="clear" w:color="auto" w:fill="B8CCE4"/>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84"/>
        </w:trPr>
        <w:tc>
          <w:tcPr>
            <w:tcW w:w="10620" w:type="dxa"/>
            <w:vAlign w:val="bottom"/>
            <w:shd w:val="clear" w:color="auto" w:fill="B8CCE4"/>
          </w:tcPr>
          <w:p>
            <w:pPr>
              <w:ind w:left="40"/>
              <w:spacing w:after="0"/>
              <w:rPr>
                <w:sz w:val="20"/>
                <w:szCs w:val="20"/>
                <w:color w:val="auto"/>
              </w:rPr>
            </w:pPr>
            <w:r>
              <w:rPr>
                <w:rFonts w:ascii="Arial" w:cs="Arial" w:eastAsia="Arial" w:hAnsi="Arial"/>
                <w:sz w:val="18"/>
                <w:szCs w:val="18"/>
                <w:color w:val="auto"/>
              </w:rPr>
              <w:t>OTHER MATTERS</w:t>
            </w:r>
          </w:p>
        </w:tc>
        <w:tc>
          <w:tcPr>
            <w:tcW w:w="800" w:type="dxa"/>
            <w:vAlign w:val="bottom"/>
            <w:shd w:val="clear" w:color="auto" w:fill="B8CCE4"/>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84"/>
        </w:trPr>
        <w:tc>
          <w:tcPr>
            <w:tcW w:w="10620" w:type="dxa"/>
            <w:vAlign w:val="bottom"/>
            <w:shd w:val="clear" w:color="auto" w:fill="B8CCE4"/>
          </w:tcPr>
          <w:p>
            <w:pPr>
              <w:ind w:left="40"/>
              <w:spacing w:after="0"/>
              <w:rPr>
                <w:sz w:val="20"/>
                <w:szCs w:val="20"/>
                <w:color w:val="auto"/>
              </w:rPr>
            </w:pPr>
            <w:r>
              <w:rPr>
                <w:rFonts w:ascii="Arial" w:cs="Arial" w:eastAsia="Arial" w:hAnsi="Arial"/>
                <w:sz w:val="18"/>
                <w:szCs w:val="18"/>
                <w:color w:val="auto"/>
              </w:rPr>
              <w:t>STOCKHOLDER PROPOSALS AND NOMINATIONS FOR DIRECTORS FOR THE 2017 ANNUAL MEETING</w:t>
            </w:r>
          </w:p>
        </w:tc>
        <w:tc>
          <w:tcPr>
            <w:tcW w:w="800" w:type="dxa"/>
            <w:vAlign w:val="bottom"/>
            <w:shd w:val="clear" w:color="auto" w:fill="B8CCE4"/>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84"/>
        </w:trPr>
        <w:tc>
          <w:tcPr>
            <w:tcW w:w="10620" w:type="dxa"/>
            <w:vAlign w:val="bottom"/>
            <w:shd w:val="clear" w:color="auto" w:fill="B8CCE4"/>
          </w:tcPr>
          <w:p>
            <w:pPr>
              <w:ind w:left="40"/>
              <w:spacing w:after="0"/>
              <w:rPr>
                <w:sz w:val="20"/>
                <w:szCs w:val="20"/>
                <w:color w:val="auto"/>
              </w:rPr>
            </w:pPr>
            <w:r>
              <w:rPr>
                <w:rFonts w:ascii="Arial" w:cs="Arial" w:eastAsia="Arial" w:hAnsi="Arial"/>
                <w:sz w:val="18"/>
                <w:szCs w:val="18"/>
                <w:color w:val="auto"/>
              </w:rPr>
              <w:t>ADDITIONAL INFORMATION</w:t>
            </w:r>
          </w:p>
        </w:tc>
        <w:tc>
          <w:tcPr>
            <w:tcW w:w="800" w:type="dxa"/>
            <w:vAlign w:val="bottom"/>
            <w:shd w:val="clear" w:color="auto" w:fill="B8CCE4"/>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84"/>
        </w:trPr>
        <w:tc>
          <w:tcPr>
            <w:tcW w:w="10620" w:type="dxa"/>
            <w:vAlign w:val="bottom"/>
            <w:shd w:val="clear" w:color="auto" w:fill="B8CCE4"/>
          </w:tcPr>
          <w:p>
            <w:pPr>
              <w:ind w:left="180"/>
              <w:spacing w:after="0"/>
              <w:rPr>
                <w:sz w:val="20"/>
                <w:szCs w:val="20"/>
                <w:color w:val="auto"/>
              </w:rPr>
            </w:pPr>
            <w:r>
              <w:rPr>
                <w:rFonts w:ascii="Arial" w:cs="Arial" w:eastAsia="Arial" w:hAnsi="Arial"/>
                <w:sz w:val="18"/>
                <w:szCs w:val="18"/>
                <w:color w:val="auto"/>
              </w:rPr>
              <w:t>Corporate Governance Matters</w:t>
            </w:r>
          </w:p>
        </w:tc>
        <w:tc>
          <w:tcPr>
            <w:tcW w:w="800" w:type="dxa"/>
            <w:vAlign w:val="bottom"/>
            <w:shd w:val="clear" w:color="auto" w:fill="B8CCE4"/>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84"/>
        </w:trPr>
        <w:tc>
          <w:tcPr>
            <w:tcW w:w="10620" w:type="dxa"/>
            <w:vAlign w:val="bottom"/>
            <w:shd w:val="clear" w:color="auto" w:fill="B8CCE4"/>
          </w:tcPr>
          <w:p>
            <w:pPr>
              <w:ind w:left="180"/>
              <w:spacing w:after="0"/>
              <w:rPr>
                <w:sz w:val="20"/>
                <w:szCs w:val="20"/>
                <w:color w:val="auto"/>
              </w:rPr>
            </w:pPr>
            <w:r>
              <w:rPr>
                <w:rFonts w:ascii="Arial" w:cs="Arial" w:eastAsia="Arial" w:hAnsi="Arial"/>
                <w:sz w:val="18"/>
                <w:szCs w:val="18"/>
                <w:color w:val="auto"/>
              </w:rPr>
              <w:t>Board Meetings and Committees</w:t>
            </w:r>
          </w:p>
        </w:tc>
        <w:tc>
          <w:tcPr>
            <w:tcW w:w="800" w:type="dxa"/>
            <w:vAlign w:val="bottom"/>
            <w:shd w:val="clear" w:color="auto" w:fill="B8CCE4"/>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84"/>
        </w:trPr>
        <w:tc>
          <w:tcPr>
            <w:tcW w:w="10620" w:type="dxa"/>
            <w:vAlign w:val="bottom"/>
            <w:shd w:val="clear" w:color="auto" w:fill="B8CCE4"/>
          </w:tcPr>
          <w:p>
            <w:pPr>
              <w:ind w:left="180"/>
              <w:spacing w:after="0"/>
              <w:rPr>
                <w:sz w:val="20"/>
                <w:szCs w:val="20"/>
                <w:color w:val="auto"/>
              </w:rPr>
            </w:pPr>
            <w:r>
              <w:rPr>
                <w:rFonts w:ascii="Arial" w:cs="Arial" w:eastAsia="Arial" w:hAnsi="Arial"/>
                <w:sz w:val="18"/>
                <w:szCs w:val="18"/>
                <w:color w:val="auto"/>
              </w:rPr>
              <w:t>Report of the Audit Committee</w:t>
            </w:r>
          </w:p>
        </w:tc>
        <w:tc>
          <w:tcPr>
            <w:tcW w:w="800" w:type="dxa"/>
            <w:vAlign w:val="bottom"/>
            <w:shd w:val="clear" w:color="auto" w:fill="B8CCE4"/>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84"/>
        </w:trPr>
        <w:tc>
          <w:tcPr>
            <w:tcW w:w="10620" w:type="dxa"/>
            <w:vAlign w:val="bottom"/>
            <w:shd w:val="clear" w:color="auto" w:fill="B8CCE4"/>
          </w:tcPr>
          <w:p>
            <w:pPr>
              <w:ind w:left="180"/>
              <w:spacing w:after="0"/>
              <w:rPr>
                <w:sz w:val="20"/>
                <w:szCs w:val="20"/>
                <w:color w:val="auto"/>
              </w:rPr>
            </w:pPr>
            <w:r>
              <w:rPr>
                <w:rFonts w:ascii="Arial" w:cs="Arial" w:eastAsia="Arial" w:hAnsi="Arial"/>
                <w:sz w:val="18"/>
                <w:szCs w:val="18"/>
                <w:color w:val="auto"/>
              </w:rPr>
              <w:t>Director Compensation</w:t>
            </w:r>
          </w:p>
        </w:tc>
        <w:tc>
          <w:tcPr>
            <w:tcW w:w="800" w:type="dxa"/>
            <w:vAlign w:val="bottom"/>
            <w:shd w:val="clear" w:color="auto" w:fill="B8CCE4"/>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84"/>
        </w:trPr>
        <w:tc>
          <w:tcPr>
            <w:tcW w:w="10620" w:type="dxa"/>
            <w:vAlign w:val="bottom"/>
            <w:shd w:val="clear" w:color="auto" w:fill="B8CCE4"/>
          </w:tcPr>
          <w:p>
            <w:pPr>
              <w:ind w:left="180"/>
              <w:spacing w:after="0"/>
              <w:rPr>
                <w:sz w:val="20"/>
                <w:szCs w:val="20"/>
                <w:color w:val="auto"/>
              </w:rPr>
            </w:pPr>
            <w:r>
              <w:rPr>
                <w:rFonts w:ascii="Arial" w:cs="Arial" w:eastAsia="Arial" w:hAnsi="Arial"/>
                <w:sz w:val="18"/>
                <w:szCs w:val="18"/>
                <w:color w:val="auto"/>
              </w:rPr>
              <w:t>Director Stock Ownership Policy</w:t>
            </w:r>
          </w:p>
        </w:tc>
        <w:tc>
          <w:tcPr>
            <w:tcW w:w="800" w:type="dxa"/>
            <w:vAlign w:val="bottom"/>
            <w:shd w:val="clear" w:color="auto" w:fill="B8CCE4"/>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84"/>
        </w:trPr>
        <w:tc>
          <w:tcPr>
            <w:tcW w:w="10620" w:type="dxa"/>
            <w:vAlign w:val="bottom"/>
            <w:shd w:val="clear" w:color="auto" w:fill="B8CCE4"/>
          </w:tcPr>
          <w:p>
            <w:pPr>
              <w:ind w:left="180"/>
              <w:spacing w:after="0"/>
              <w:rPr>
                <w:sz w:val="20"/>
                <w:szCs w:val="20"/>
                <w:color w:val="auto"/>
              </w:rPr>
            </w:pPr>
            <w:r>
              <w:rPr>
                <w:rFonts w:ascii="Arial" w:cs="Arial" w:eastAsia="Arial" w:hAnsi="Arial"/>
                <w:sz w:val="18"/>
                <w:szCs w:val="18"/>
                <w:color w:val="auto"/>
              </w:rPr>
              <w:t>Executive Officers and Key Employees</w:t>
            </w:r>
          </w:p>
        </w:tc>
        <w:tc>
          <w:tcPr>
            <w:tcW w:w="800" w:type="dxa"/>
            <w:vAlign w:val="bottom"/>
            <w:shd w:val="clear" w:color="auto" w:fill="B8CCE4"/>
          </w:tcPr>
          <w:p>
            <w:pPr>
              <w:jc w:val="right"/>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84"/>
        </w:trPr>
        <w:tc>
          <w:tcPr>
            <w:tcW w:w="10620" w:type="dxa"/>
            <w:vAlign w:val="bottom"/>
            <w:shd w:val="clear" w:color="auto" w:fill="B8CCE4"/>
          </w:tcPr>
          <w:p>
            <w:pPr>
              <w:ind w:left="180"/>
              <w:spacing w:after="0"/>
              <w:rPr>
                <w:sz w:val="20"/>
                <w:szCs w:val="20"/>
                <w:color w:val="auto"/>
              </w:rPr>
            </w:pPr>
            <w:r>
              <w:rPr>
                <w:rFonts w:ascii="Arial" w:cs="Arial" w:eastAsia="Arial" w:hAnsi="Arial"/>
                <w:sz w:val="18"/>
                <w:szCs w:val="18"/>
                <w:color w:val="auto"/>
              </w:rPr>
              <w:t>Stock Ownership Information</w:t>
            </w:r>
          </w:p>
        </w:tc>
        <w:tc>
          <w:tcPr>
            <w:tcW w:w="800" w:type="dxa"/>
            <w:vAlign w:val="bottom"/>
            <w:shd w:val="clear" w:color="auto" w:fill="B8CCE4"/>
          </w:tcPr>
          <w:p>
            <w:pPr>
              <w:jc w:val="right"/>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84"/>
        </w:trPr>
        <w:tc>
          <w:tcPr>
            <w:tcW w:w="10620" w:type="dxa"/>
            <w:vAlign w:val="bottom"/>
            <w:shd w:val="clear" w:color="auto" w:fill="B8CCE4"/>
          </w:tcPr>
          <w:p>
            <w:pPr>
              <w:ind w:left="180"/>
              <w:spacing w:after="0"/>
              <w:rPr>
                <w:sz w:val="20"/>
                <w:szCs w:val="20"/>
                <w:color w:val="auto"/>
              </w:rPr>
            </w:pPr>
            <w:r>
              <w:rPr>
                <w:rFonts w:ascii="Arial" w:cs="Arial" w:eastAsia="Arial" w:hAnsi="Arial"/>
                <w:sz w:val="18"/>
                <w:szCs w:val="18"/>
                <w:color w:val="auto"/>
              </w:rPr>
              <w:t>Equity Compensation Plan Information</w:t>
            </w:r>
          </w:p>
        </w:tc>
        <w:tc>
          <w:tcPr>
            <w:tcW w:w="800" w:type="dxa"/>
            <w:vAlign w:val="bottom"/>
            <w:shd w:val="clear" w:color="auto" w:fill="B8CCE4"/>
          </w:tcPr>
          <w:p>
            <w:pPr>
              <w:jc w:val="right"/>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84"/>
        </w:trPr>
        <w:tc>
          <w:tcPr>
            <w:tcW w:w="10620" w:type="dxa"/>
            <w:vAlign w:val="bottom"/>
            <w:shd w:val="clear" w:color="auto" w:fill="B8CCE4"/>
          </w:tcPr>
          <w:p>
            <w:pPr>
              <w:ind w:left="180"/>
              <w:spacing w:after="0"/>
              <w:rPr>
                <w:sz w:val="20"/>
                <w:szCs w:val="20"/>
                <w:color w:val="auto"/>
              </w:rPr>
            </w:pPr>
            <w:r>
              <w:rPr>
                <w:rFonts w:ascii="Arial" w:cs="Arial" w:eastAsia="Arial" w:hAnsi="Arial"/>
                <w:sz w:val="18"/>
                <w:szCs w:val="18"/>
                <w:color w:val="auto"/>
              </w:rPr>
              <w:t>Compensation Committee Interlocks and Insider Participation</w:t>
            </w:r>
          </w:p>
        </w:tc>
        <w:tc>
          <w:tcPr>
            <w:tcW w:w="800" w:type="dxa"/>
            <w:vAlign w:val="bottom"/>
            <w:shd w:val="clear" w:color="auto" w:fill="B8CCE4"/>
          </w:tcPr>
          <w:p>
            <w:pPr>
              <w:jc w:val="right"/>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84"/>
        </w:trPr>
        <w:tc>
          <w:tcPr>
            <w:tcW w:w="10620" w:type="dxa"/>
            <w:vAlign w:val="bottom"/>
            <w:shd w:val="clear" w:color="auto" w:fill="B8CCE4"/>
          </w:tcPr>
          <w:p>
            <w:pPr>
              <w:ind w:left="180"/>
              <w:spacing w:after="0"/>
              <w:rPr>
                <w:sz w:val="20"/>
                <w:szCs w:val="20"/>
                <w:color w:val="auto"/>
              </w:rPr>
            </w:pPr>
            <w:r>
              <w:rPr>
                <w:rFonts w:ascii="Arial" w:cs="Arial" w:eastAsia="Arial" w:hAnsi="Arial"/>
                <w:sz w:val="18"/>
                <w:szCs w:val="18"/>
                <w:color w:val="auto"/>
              </w:rPr>
              <w:t>Compensation Committee Report</w:t>
            </w:r>
          </w:p>
        </w:tc>
        <w:tc>
          <w:tcPr>
            <w:tcW w:w="800" w:type="dxa"/>
            <w:vAlign w:val="bottom"/>
            <w:shd w:val="clear" w:color="auto" w:fill="B8CCE4"/>
          </w:tcPr>
          <w:p>
            <w:pPr>
              <w:jc w:val="right"/>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84"/>
        </w:trPr>
        <w:tc>
          <w:tcPr>
            <w:tcW w:w="10620" w:type="dxa"/>
            <w:vAlign w:val="bottom"/>
            <w:shd w:val="clear" w:color="auto" w:fill="B8CCE4"/>
          </w:tcPr>
          <w:p>
            <w:pPr>
              <w:ind w:left="40"/>
              <w:spacing w:after="0"/>
              <w:rPr>
                <w:sz w:val="20"/>
                <w:szCs w:val="20"/>
                <w:color w:val="auto"/>
              </w:rPr>
            </w:pPr>
            <w:r>
              <w:rPr>
                <w:rFonts w:ascii="Arial" w:cs="Arial" w:eastAsia="Arial" w:hAnsi="Arial"/>
                <w:sz w:val="18"/>
                <w:szCs w:val="18"/>
                <w:color w:val="auto"/>
              </w:rPr>
              <w:t>COMPENSATION DISCUSSION AND ANALYSIS</w:t>
            </w:r>
          </w:p>
        </w:tc>
        <w:tc>
          <w:tcPr>
            <w:tcW w:w="800" w:type="dxa"/>
            <w:vAlign w:val="bottom"/>
            <w:shd w:val="clear" w:color="auto" w:fill="B8CCE4"/>
          </w:tcPr>
          <w:p>
            <w:pPr>
              <w:jc w:val="right"/>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84"/>
        </w:trPr>
        <w:tc>
          <w:tcPr>
            <w:tcW w:w="10620" w:type="dxa"/>
            <w:vAlign w:val="bottom"/>
            <w:shd w:val="clear" w:color="auto" w:fill="B8CCE4"/>
          </w:tcPr>
          <w:p>
            <w:pPr>
              <w:ind w:left="180"/>
              <w:spacing w:after="0"/>
              <w:rPr>
                <w:sz w:val="20"/>
                <w:szCs w:val="20"/>
                <w:color w:val="auto"/>
              </w:rPr>
            </w:pPr>
            <w:r>
              <w:rPr>
                <w:rFonts w:ascii="Arial" w:cs="Arial" w:eastAsia="Arial" w:hAnsi="Arial"/>
                <w:sz w:val="18"/>
                <w:szCs w:val="18"/>
                <w:color w:val="auto"/>
              </w:rPr>
              <w:t>Executive Summary</w:t>
            </w:r>
          </w:p>
        </w:tc>
        <w:tc>
          <w:tcPr>
            <w:tcW w:w="800" w:type="dxa"/>
            <w:vAlign w:val="bottom"/>
            <w:shd w:val="clear" w:color="auto" w:fill="B8CCE4"/>
          </w:tcPr>
          <w:p>
            <w:pPr>
              <w:jc w:val="right"/>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84"/>
        </w:trPr>
        <w:tc>
          <w:tcPr>
            <w:tcW w:w="10620" w:type="dxa"/>
            <w:vAlign w:val="bottom"/>
            <w:shd w:val="clear" w:color="auto" w:fill="B8CCE4"/>
          </w:tcPr>
          <w:p>
            <w:pPr>
              <w:ind w:left="180"/>
              <w:spacing w:after="0"/>
              <w:rPr>
                <w:sz w:val="20"/>
                <w:szCs w:val="20"/>
                <w:color w:val="auto"/>
              </w:rPr>
            </w:pPr>
            <w:r>
              <w:rPr>
                <w:rFonts w:ascii="Arial" w:cs="Arial" w:eastAsia="Arial" w:hAnsi="Arial"/>
                <w:sz w:val="18"/>
                <w:szCs w:val="18"/>
                <w:color w:val="auto"/>
              </w:rPr>
              <w:t>Business Overview</w:t>
            </w:r>
          </w:p>
        </w:tc>
        <w:tc>
          <w:tcPr>
            <w:tcW w:w="800" w:type="dxa"/>
            <w:vAlign w:val="bottom"/>
            <w:shd w:val="clear" w:color="auto" w:fill="B8CCE4"/>
          </w:tcPr>
          <w:p>
            <w:pPr>
              <w:jc w:val="right"/>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84"/>
        </w:trPr>
        <w:tc>
          <w:tcPr>
            <w:tcW w:w="10620" w:type="dxa"/>
            <w:vAlign w:val="bottom"/>
            <w:shd w:val="clear" w:color="auto" w:fill="B8CCE4"/>
          </w:tcPr>
          <w:p>
            <w:pPr>
              <w:ind w:left="180"/>
              <w:spacing w:after="0"/>
              <w:rPr>
                <w:sz w:val="20"/>
                <w:szCs w:val="20"/>
                <w:color w:val="auto"/>
              </w:rPr>
            </w:pPr>
            <w:r>
              <w:rPr>
                <w:rFonts w:ascii="Arial" w:cs="Arial" w:eastAsia="Arial" w:hAnsi="Arial"/>
                <w:sz w:val="18"/>
                <w:szCs w:val="18"/>
                <w:color w:val="auto"/>
              </w:rPr>
              <w:t>Executive Compensation Plan and Performance Highlights</w:t>
            </w:r>
          </w:p>
        </w:tc>
        <w:tc>
          <w:tcPr>
            <w:tcW w:w="800" w:type="dxa"/>
            <w:vAlign w:val="bottom"/>
            <w:shd w:val="clear" w:color="auto" w:fill="B8CCE4"/>
          </w:tcPr>
          <w:p>
            <w:pPr>
              <w:jc w:val="right"/>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84"/>
        </w:trPr>
        <w:tc>
          <w:tcPr>
            <w:tcW w:w="10620" w:type="dxa"/>
            <w:vAlign w:val="bottom"/>
            <w:shd w:val="clear" w:color="auto" w:fill="B8CCE4"/>
          </w:tcPr>
          <w:p>
            <w:pPr>
              <w:ind w:left="360"/>
              <w:spacing w:after="0"/>
              <w:rPr>
                <w:sz w:val="20"/>
                <w:szCs w:val="20"/>
                <w:color w:val="auto"/>
              </w:rPr>
            </w:pPr>
            <w:r>
              <w:rPr>
                <w:rFonts w:ascii="Arial" w:cs="Arial" w:eastAsia="Arial" w:hAnsi="Arial"/>
                <w:sz w:val="18"/>
                <w:szCs w:val="18"/>
                <w:color w:val="auto"/>
              </w:rPr>
              <w:t>2015 Variable Compensation Drivers and Outcomes</w:t>
            </w:r>
          </w:p>
        </w:tc>
        <w:tc>
          <w:tcPr>
            <w:tcW w:w="800" w:type="dxa"/>
            <w:vAlign w:val="bottom"/>
            <w:shd w:val="clear" w:color="auto" w:fill="B8CCE4"/>
          </w:tcPr>
          <w:p>
            <w:pPr>
              <w:jc w:val="right"/>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84"/>
        </w:trPr>
        <w:tc>
          <w:tcPr>
            <w:tcW w:w="10620" w:type="dxa"/>
            <w:vAlign w:val="bottom"/>
            <w:shd w:val="clear" w:color="auto" w:fill="B8CCE4"/>
          </w:tcPr>
          <w:p>
            <w:pPr>
              <w:ind w:left="180"/>
              <w:spacing w:after="0"/>
              <w:rPr>
                <w:sz w:val="20"/>
                <w:szCs w:val="20"/>
                <w:color w:val="auto"/>
              </w:rPr>
            </w:pPr>
            <w:r>
              <w:rPr>
                <w:rFonts w:ascii="Arial" w:cs="Arial" w:eastAsia="Arial" w:hAnsi="Arial"/>
                <w:sz w:val="18"/>
                <w:szCs w:val="18"/>
                <w:color w:val="auto"/>
              </w:rPr>
              <w:t>2015 Stockholder Outreach and Say on Pay Response</w:t>
            </w:r>
          </w:p>
        </w:tc>
        <w:tc>
          <w:tcPr>
            <w:tcW w:w="800" w:type="dxa"/>
            <w:vAlign w:val="bottom"/>
            <w:shd w:val="clear" w:color="auto" w:fill="B8CCE4"/>
          </w:tcPr>
          <w:p>
            <w:pPr>
              <w:jc w:val="right"/>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7"/>
        </w:trPr>
        <w:tc>
          <w:tcPr>
            <w:tcW w:w="10620" w:type="dxa"/>
            <w:vAlign w:val="bottom"/>
            <w:shd w:val="clear" w:color="auto" w:fill="B8CCE4"/>
          </w:tcPr>
          <w:p>
            <w:pPr>
              <w:spacing w:after="0"/>
              <w:rPr>
                <w:sz w:val="2"/>
                <w:szCs w:val="2"/>
                <w:color w:val="auto"/>
              </w:rPr>
            </w:pPr>
          </w:p>
        </w:tc>
        <w:tc>
          <w:tcPr>
            <w:tcW w:w="800" w:type="dxa"/>
            <w:vAlign w:val="bottom"/>
            <w:shd w:val="clear" w:color="auto" w:fill="B8CCE4"/>
          </w:tcPr>
          <w:p>
            <w:pPr>
              <w:spacing w:after="0"/>
              <w:rPr>
                <w:sz w:val="2"/>
                <w:szCs w:val="2"/>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420"/>
          </w:cols>
          <w:pgMar w:left="240" w:top="360" w:right="239" w:bottom="1440" w:gutter="0" w:footer="0" w:header="0"/>
        </w:sectPr>
      </w:pPr>
    </w:p>
    <w:bookmarkStart w:id="5" w:name="page6"/>
    <w:bookmarkEnd w:id="5"/>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328930</wp:posOffset>
            </wp:positionV>
            <wp:extent cx="7246620" cy="75641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756412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57"/>
        </w:trPr>
        <w:tc>
          <w:tcPr>
            <w:tcW w:w="10620" w:type="dxa"/>
            <w:vAlign w:val="bottom"/>
            <w:shd w:val="clear" w:color="auto" w:fill="B8CCE4"/>
          </w:tcPr>
          <w:p>
            <w:pPr>
              <w:ind w:left="180"/>
              <w:spacing w:after="0"/>
              <w:rPr>
                <w:sz w:val="20"/>
                <w:szCs w:val="20"/>
                <w:color w:val="auto"/>
              </w:rPr>
            </w:pPr>
            <w:r>
              <w:rPr>
                <w:rFonts w:ascii="Arial" w:cs="Arial" w:eastAsia="Arial" w:hAnsi="Arial"/>
                <w:sz w:val="18"/>
                <w:szCs w:val="18"/>
                <w:color w:val="auto"/>
              </w:rPr>
              <w:t>Highlights of the Executive Compensation Program</w:t>
            </w:r>
          </w:p>
        </w:tc>
        <w:tc>
          <w:tcPr>
            <w:tcW w:w="800" w:type="dxa"/>
            <w:vAlign w:val="bottom"/>
            <w:shd w:val="clear" w:color="auto" w:fill="B8CCE4"/>
          </w:tcPr>
          <w:p>
            <w:pPr>
              <w:jc w:val="right"/>
              <w:spacing w:after="0"/>
              <w:rPr>
                <w:sz w:val="20"/>
                <w:szCs w:val="20"/>
                <w:color w:val="auto"/>
              </w:rPr>
            </w:pPr>
            <w:r>
              <w:rPr>
                <w:rFonts w:ascii="Arial" w:cs="Arial" w:eastAsia="Arial" w:hAnsi="Arial"/>
                <w:sz w:val="18"/>
                <w:szCs w:val="18"/>
                <w:color w:val="auto"/>
              </w:rPr>
              <w:t>46</w:t>
            </w:r>
          </w:p>
        </w:tc>
      </w:tr>
      <w:tr>
        <w:trPr>
          <w:trHeight w:val="284"/>
        </w:trPr>
        <w:tc>
          <w:tcPr>
            <w:tcW w:w="10620" w:type="dxa"/>
            <w:vAlign w:val="bottom"/>
            <w:shd w:val="clear" w:color="auto" w:fill="B8CCE4"/>
          </w:tcPr>
          <w:p>
            <w:pPr>
              <w:ind w:left="180"/>
              <w:spacing w:after="0"/>
              <w:rPr>
                <w:sz w:val="20"/>
                <w:szCs w:val="20"/>
                <w:color w:val="auto"/>
              </w:rPr>
            </w:pPr>
            <w:r>
              <w:rPr>
                <w:rFonts w:ascii="Arial" w:cs="Arial" w:eastAsia="Arial" w:hAnsi="Arial"/>
                <w:sz w:val="18"/>
                <w:szCs w:val="18"/>
                <w:color w:val="auto"/>
              </w:rPr>
              <w:t>Executive Compensation Practices</w:t>
            </w:r>
          </w:p>
        </w:tc>
        <w:tc>
          <w:tcPr>
            <w:tcW w:w="800" w:type="dxa"/>
            <w:vAlign w:val="bottom"/>
            <w:shd w:val="clear" w:color="auto" w:fill="B8CCE4"/>
          </w:tcPr>
          <w:p>
            <w:pPr>
              <w:jc w:val="right"/>
              <w:spacing w:after="0"/>
              <w:rPr>
                <w:sz w:val="20"/>
                <w:szCs w:val="20"/>
                <w:color w:val="auto"/>
              </w:rPr>
            </w:pPr>
            <w:r>
              <w:rPr>
                <w:rFonts w:ascii="Arial" w:cs="Arial" w:eastAsia="Arial" w:hAnsi="Arial"/>
                <w:sz w:val="18"/>
                <w:szCs w:val="18"/>
                <w:color w:val="auto"/>
              </w:rPr>
              <w:t>47</w:t>
            </w:r>
          </w:p>
        </w:tc>
      </w:tr>
      <w:tr>
        <w:trPr>
          <w:trHeight w:val="284"/>
        </w:trPr>
        <w:tc>
          <w:tcPr>
            <w:tcW w:w="10620" w:type="dxa"/>
            <w:vAlign w:val="bottom"/>
            <w:shd w:val="clear" w:color="auto" w:fill="B8CCE4"/>
          </w:tcPr>
          <w:p>
            <w:pPr>
              <w:ind w:left="180"/>
              <w:spacing w:after="0"/>
              <w:rPr>
                <w:sz w:val="20"/>
                <w:szCs w:val="20"/>
                <w:color w:val="auto"/>
              </w:rPr>
            </w:pPr>
            <w:r>
              <w:rPr>
                <w:rFonts w:ascii="Arial" w:cs="Arial" w:eastAsia="Arial" w:hAnsi="Arial"/>
                <w:sz w:val="18"/>
                <w:szCs w:val="18"/>
                <w:color w:val="auto"/>
              </w:rPr>
              <w:t>Executive Compensation Program Objectives</w:t>
            </w:r>
          </w:p>
        </w:tc>
        <w:tc>
          <w:tcPr>
            <w:tcW w:w="800" w:type="dxa"/>
            <w:vAlign w:val="bottom"/>
            <w:shd w:val="clear" w:color="auto" w:fill="B8CCE4"/>
          </w:tcPr>
          <w:p>
            <w:pPr>
              <w:jc w:val="right"/>
              <w:spacing w:after="0"/>
              <w:rPr>
                <w:sz w:val="20"/>
                <w:szCs w:val="20"/>
                <w:color w:val="auto"/>
              </w:rPr>
            </w:pPr>
            <w:r>
              <w:rPr>
                <w:rFonts w:ascii="Arial" w:cs="Arial" w:eastAsia="Arial" w:hAnsi="Arial"/>
                <w:sz w:val="18"/>
                <w:szCs w:val="18"/>
                <w:color w:val="auto"/>
              </w:rPr>
              <w:t>48</w:t>
            </w:r>
          </w:p>
        </w:tc>
      </w:tr>
      <w:tr>
        <w:trPr>
          <w:trHeight w:val="284"/>
        </w:trPr>
        <w:tc>
          <w:tcPr>
            <w:tcW w:w="10620" w:type="dxa"/>
            <w:vAlign w:val="bottom"/>
            <w:shd w:val="clear" w:color="auto" w:fill="B8CCE4"/>
          </w:tcPr>
          <w:p>
            <w:pPr>
              <w:ind w:left="180"/>
              <w:spacing w:after="0"/>
              <w:rPr>
                <w:sz w:val="20"/>
                <w:szCs w:val="20"/>
                <w:color w:val="auto"/>
              </w:rPr>
            </w:pPr>
            <w:r>
              <w:rPr>
                <w:rFonts w:ascii="Arial" w:cs="Arial" w:eastAsia="Arial" w:hAnsi="Arial"/>
                <w:sz w:val="18"/>
                <w:szCs w:val="18"/>
                <w:color w:val="auto"/>
              </w:rPr>
              <w:t>Determining Executive Compensation</w:t>
            </w:r>
          </w:p>
        </w:tc>
        <w:tc>
          <w:tcPr>
            <w:tcW w:w="800" w:type="dxa"/>
            <w:vAlign w:val="bottom"/>
            <w:shd w:val="clear" w:color="auto" w:fill="B8CCE4"/>
          </w:tcPr>
          <w:p>
            <w:pPr>
              <w:jc w:val="right"/>
              <w:spacing w:after="0"/>
              <w:rPr>
                <w:sz w:val="20"/>
                <w:szCs w:val="20"/>
                <w:color w:val="auto"/>
              </w:rPr>
            </w:pPr>
            <w:r>
              <w:rPr>
                <w:rFonts w:ascii="Arial" w:cs="Arial" w:eastAsia="Arial" w:hAnsi="Arial"/>
                <w:sz w:val="18"/>
                <w:szCs w:val="18"/>
                <w:color w:val="auto"/>
              </w:rPr>
              <w:t>48</w:t>
            </w:r>
          </w:p>
        </w:tc>
      </w:tr>
      <w:tr>
        <w:trPr>
          <w:trHeight w:val="284"/>
        </w:trPr>
        <w:tc>
          <w:tcPr>
            <w:tcW w:w="10620" w:type="dxa"/>
            <w:vAlign w:val="bottom"/>
            <w:shd w:val="clear" w:color="auto" w:fill="B8CCE4"/>
          </w:tcPr>
          <w:p>
            <w:pPr>
              <w:ind w:left="180"/>
              <w:spacing w:after="0"/>
              <w:rPr>
                <w:sz w:val="20"/>
                <w:szCs w:val="20"/>
                <w:color w:val="auto"/>
              </w:rPr>
            </w:pPr>
            <w:r>
              <w:rPr>
                <w:rFonts w:ascii="Arial" w:cs="Arial" w:eastAsia="Arial" w:hAnsi="Arial"/>
                <w:sz w:val="18"/>
                <w:szCs w:val="18"/>
                <w:color w:val="auto"/>
              </w:rPr>
              <w:t>Elements of Compensation</w:t>
            </w:r>
          </w:p>
        </w:tc>
        <w:tc>
          <w:tcPr>
            <w:tcW w:w="800" w:type="dxa"/>
            <w:vAlign w:val="bottom"/>
            <w:shd w:val="clear" w:color="auto" w:fill="B8CCE4"/>
          </w:tcPr>
          <w:p>
            <w:pPr>
              <w:jc w:val="right"/>
              <w:spacing w:after="0"/>
              <w:rPr>
                <w:sz w:val="20"/>
                <w:szCs w:val="20"/>
                <w:color w:val="auto"/>
              </w:rPr>
            </w:pPr>
            <w:r>
              <w:rPr>
                <w:rFonts w:ascii="Arial" w:cs="Arial" w:eastAsia="Arial" w:hAnsi="Arial"/>
                <w:sz w:val="18"/>
                <w:szCs w:val="18"/>
                <w:color w:val="auto"/>
              </w:rPr>
              <w:t>51</w:t>
            </w:r>
          </w:p>
        </w:tc>
      </w:tr>
      <w:tr>
        <w:trPr>
          <w:trHeight w:val="284"/>
        </w:trPr>
        <w:tc>
          <w:tcPr>
            <w:tcW w:w="10620" w:type="dxa"/>
            <w:vAlign w:val="bottom"/>
            <w:shd w:val="clear" w:color="auto" w:fill="B8CCE4"/>
          </w:tcPr>
          <w:p>
            <w:pPr>
              <w:ind w:left="180"/>
              <w:spacing w:after="0"/>
              <w:rPr>
                <w:sz w:val="20"/>
                <w:szCs w:val="20"/>
                <w:color w:val="auto"/>
              </w:rPr>
            </w:pPr>
            <w:r>
              <w:rPr>
                <w:rFonts w:ascii="Arial" w:cs="Arial" w:eastAsia="Arial" w:hAnsi="Arial"/>
                <w:sz w:val="18"/>
                <w:szCs w:val="18"/>
                <w:color w:val="auto"/>
              </w:rPr>
              <w:t>Performance Measures and Time Horizons</w:t>
            </w:r>
          </w:p>
        </w:tc>
        <w:tc>
          <w:tcPr>
            <w:tcW w:w="800" w:type="dxa"/>
            <w:vAlign w:val="bottom"/>
            <w:shd w:val="clear" w:color="auto" w:fill="B8CCE4"/>
          </w:tcPr>
          <w:p>
            <w:pPr>
              <w:jc w:val="right"/>
              <w:spacing w:after="0"/>
              <w:rPr>
                <w:sz w:val="20"/>
                <w:szCs w:val="20"/>
                <w:color w:val="auto"/>
              </w:rPr>
            </w:pPr>
            <w:r>
              <w:rPr>
                <w:rFonts w:ascii="Arial" w:cs="Arial" w:eastAsia="Arial" w:hAnsi="Arial"/>
                <w:sz w:val="18"/>
                <w:szCs w:val="18"/>
                <w:color w:val="auto"/>
              </w:rPr>
              <w:t>52</w:t>
            </w:r>
          </w:p>
        </w:tc>
      </w:tr>
      <w:tr>
        <w:trPr>
          <w:trHeight w:val="284"/>
        </w:trPr>
        <w:tc>
          <w:tcPr>
            <w:tcW w:w="10620" w:type="dxa"/>
            <w:vAlign w:val="bottom"/>
            <w:shd w:val="clear" w:color="auto" w:fill="B8CCE4"/>
          </w:tcPr>
          <w:p>
            <w:pPr>
              <w:ind w:left="300"/>
              <w:spacing w:after="0"/>
              <w:rPr>
                <w:sz w:val="20"/>
                <w:szCs w:val="20"/>
                <w:color w:val="auto"/>
              </w:rPr>
            </w:pPr>
            <w:r>
              <w:rPr>
                <w:rFonts w:ascii="Arial" w:cs="Arial" w:eastAsia="Arial" w:hAnsi="Arial"/>
                <w:sz w:val="18"/>
                <w:szCs w:val="18"/>
                <w:color w:val="auto"/>
              </w:rPr>
              <w:t>2015 Base Salaries</w:t>
            </w:r>
          </w:p>
        </w:tc>
        <w:tc>
          <w:tcPr>
            <w:tcW w:w="800" w:type="dxa"/>
            <w:vAlign w:val="bottom"/>
            <w:shd w:val="clear" w:color="auto" w:fill="B8CCE4"/>
          </w:tcPr>
          <w:p>
            <w:pPr>
              <w:jc w:val="right"/>
              <w:spacing w:after="0"/>
              <w:rPr>
                <w:sz w:val="20"/>
                <w:szCs w:val="20"/>
                <w:color w:val="auto"/>
              </w:rPr>
            </w:pPr>
            <w:r>
              <w:rPr>
                <w:rFonts w:ascii="Arial" w:cs="Arial" w:eastAsia="Arial" w:hAnsi="Arial"/>
                <w:sz w:val="18"/>
                <w:szCs w:val="18"/>
                <w:color w:val="auto"/>
              </w:rPr>
              <w:t>52</w:t>
            </w:r>
          </w:p>
        </w:tc>
      </w:tr>
      <w:tr>
        <w:trPr>
          <w:trHeight w:val="284"/>
        </w:trPr>
        <w:tc>
          <w:tcPr>
            <w:tcW w:w="10620" w:type="dxa"/>
            <w:vAlign w:val="bottom"/>
            <w:shd w:val="clear" w:color="auto" w:fill="B8CCE4"/>
          </w:tcPr>
          <w:p>
            <w:pPr>
              <w:ind w:left="300"/>
              <w:spacing w:after="0"/>
              <w:rPr>
                <w:sz w:val="20"/>
                <w:szCs w:val="20"/>
                <w:color w:val="auto"/>
              </w:rPr>
            </w:pPr>
            <w:r>
              <w:rPr>
                <w:rFonts w:ascii="Arial" w:cs="Arial" w:eastAsia="Arial" w:hAnsi="Arial"/>
                <w:sz w:val="18"/>
                <w:szCs w:val="18"/>
                <w:color w:val="auto"/>
              </w:rPr>
              <w:t>2015 Annual Cash Incentive Program</w:t>
            </w:r>
          </w:p>
        </w:tc>
        <w:tc>
          <w:tcPr>
            <w:tcW w:w="800" w:type="dxa"/>
            <w:vAlign w:val="bottom"/>
            <w:shd w:val="clear" w:color="auto" w:fill="B8CCE4"/>
          </w:tcPr>
          <w:p>
            <w:pPr>
              <w:jc w:val="right"/>
              <w:spacing w:after="0"/>
              <w:rPr>
                <w:sz w:val="20"/>
                <w:szCs w:val="20"/>
                <w:color w:val="auto"/>
              </w:rPr>
            </w:pPr>
            <w:r>
              <w:rPr>
                <w:rFonts w:ascii="Arial" w:cs="Arial" w:eastAsia="Arial" w:hAnsi="Arial"/>
                <w:sz w:val="18"/>
                <w:szCs w:val="18"/>
                <w:color w:val="auto"/>
              </w:rPr>
              <w:t>53</w:t>
            </w:r>
          </w:p>
        </w:tc>
      </w:tr>
      <w:tr>
        <w:trPr>
          <w:trHeight w:val="284"/>
        </w:trPr>
        <w:tc>
          <w:tcPr>
            <w:tcW w:w="10620" w:type="dxa"/>
            <w:vAlign w:val="bottom"/>
            <w:shd w:val="clear" w:color="auto" w:fill="B8CCE4"/>
          </w:tcPr>
          <w:p>
            <w:pPr>
              <w:ind w:left="300"/>
              <w:spacing w:after="0"/>
              <w:rPr>
                <w:sz w:val="20"/>
                <w:szCs w:val="20"/>
                <w:color w:val="auto"/>
              </w:rPr>
            </w:pPr>
            <w:r>
              <w:rPr>
                <w:rFonts w:ascii="Arial" w:cs="Arial" w:eastAsia="Arial" w:hAnsi="Arial"/>
                <w:sz w:val="18"/>
                <w:szCs w:val="18"/>
                <w:color w:val="auto"/>
              </w:rPr>
              <w:t>2015 Annual Cash Incentive Awards</w:t>
            </w:r>
          </w:p>
        </w:tc>
        <w:tc>
          <w:tcPr>
            <w:tcW w:w="800" w:type="dxa"/>
            <w:vAlign w:val="bottom"/>
            <w:shd w:val="clear" w:color="auto" w:fill="B8CCE4"/>
          </w:tcPr>
          <w:p>
            <w:pPr>
              <w:jc w:val="right"/>
              <w:spacing w:after="0"/>
              <w:rPr>
                <w:sz w:val="20"/>
                <w:szCs w:val="20"/>
                <w:color w:val="auto"/>
              </w:rPr>
            </w:pPr>
            <w:r>
              <w:rPr>
                <w:rFonts w:ascii="Arial" w:cs="Arial" w:eastAsia="Arial" w:hAnsi="Arial"/>
                <w:sz w:val="18"/>
                <w:szCs w:val="18"/>
                <w:color w:val="auto"/>
              </w:rPr>
              <w:t>57</w:t>
            </w:r>
          </w:p>
        </w:tc>
      </w:tr>
      <w:tr>
        <w:trPr>
          <w:trHeight w:val="284"/>
        </w:trPr>
        <w:tc>
          <w:tcPr>
            <w:tcW w:w="10620" w:type="dxa"/>
            <w:vAlign w:val="bottom"/>
            <w:shd w:val="clear" w:color="auto" w:fill="B8CCE4"/>
          </w:tcPr>
          <w:p>
            <w:pPr>
              <w:ind w:left="300"/>
              <w:spacing w:after="0"/>
              <w:rPr>
                <w:sz w:val="20"/>
                <w:szCs w:val="20"/>
                <w:color w:val="auto"/>
              </w:rPr>
            </w:pPr>
            <w:r>
              <w:rPr>
                <w:rFonts w:ascii="Arial" w:cs="Arial" w:eastAsia="Arial" w:hAnsi="Arial"/>
                <w:sz w:val="18"/>
                <w:szCs w:val="18"/>
                <w:color w:val="auto"/>
              </w:rPr>
              <w:t>Commission Payments</w:t>
            </w:r>
          </w:p>
        </w:tc>
        <w:tc>
          <w:tcPr>
            <w:tcW w:w="800" w:type="dxa"/>
            <w:vAlign w:val="bottom"/>
            <w:shd w:val="clear" w:color="auto" w:fill="B8CCE4"/>
          </w:tcPr>
          <w:p>
            <w:pPr>
              <w:jc w:val="right"/>
              <w:spacing w:after="0"/>
              <w:rPr>
                <w:sz w:val="20"/>
                <w:szCs w:val="20"/>
                <w:color w:val="auto"/>
              </w:rPr>
            </w:pPr>
            <w:r>
              <w:rPr>
                <w:rFonts w:ascii="Arial" w:cs="Arial" w:eastAsia="Arial" w:hAnsi="Arial"/>
                <w:sz w:val="18"/>
                <w:szCs w:val="18"/>
                <w:color w:val="auto"/>
              </w:rPr>
              <w:t>57</w:t>
            </w:r>
          </w:p>
        </w:tc>
      </w:tr>
      <w:tr>
        <w:trPr>
          <w:trHeight w:val="284"/>
        </w:trPr>
        <w:tc>
          <w:tcPr>
            <w:tcW w:w="10620" w:type="dxa"/>
            <w:vAlign w:val="bottom"/>
            <w:shd w:val="clear" w:color="auto" w:fill="B8CCE4"/>
          </w:tcPr>
          <w:p>
            <w:pPr>
              <w:ind w:left="300"/>
              <w:spacing w:after="0"/>
              <w:rPr>
                <w:sz w:val="20"/>
                <w:szCs w:val="20"/>
                <w:color w:val="auto"/>
              </w:rPr>
            </w:pPr>
            <w:r>
              <w:rPr>
                <w:rFonts w:ascii="Arial" w:cs="Arial" w:eastAsia="Arial" w:hAnsi="Arial"/>
                <w:sz w:val="18"/>
                <w:szCs w:val="18"/>
                <w:color w:val="auto"/>
              </w:rPr>
              <w:t>Equity Incentive Plan</w:t>
            </w:r>
          </w:p>
        </w:tc>
        <w:tc>
          <w:tcPr>
            <w:tcW w:w="800" w:type="dxa"/>
            <w:vAlign w:val="bottom"/>
            <w:shd w:val="clear" w:color="auto" w:fill="B8CCE4"/>
          </w:tcPr>
          <w:p>
            <w:pPr>
              <w:jc w:val="right"/>
              <w:spacing w:after="0"/>
              <w:rPr>
                <w:sz w:val="20"/>
                <w:szCs w:val="20"/>
                <w:color w:val="auto"/>
              </w:rPr>
            </w:pPr>
            <w:r>
              <w:rPr>
                <w:rFonts w:ascii="Arial" w:cs="Arial" w:eastAsia="Arial" w:hAnsi="Arial"/>
                <w:sz w:val="18"/>
                <w:szCs w:val="18"/>
                <w:color w:val="auto"/>
              </w:rPr>
              <w:t>57</w:t>
            </w:r>
          </w:p>
        </w:tc>
      </w:tr>
      <w:tr>
        <w:trPr>
          <w:trHeight w:val="284"/>
        </w:trPr>
        <w:tc>
          <w:tcPr>
            <w:tcW w:w="10620" w:type="dxa"/>
            <w:vAlign w:val="bottom"/>
            <w:shd w:val="clear" w:color="auto" w:fill="B8CCE4"/>
          </w:tcPr>
          <w:p>
            <w:pPr>
              <w:ind w:left="300"/>
              <w:spacing w:after="0"/>
              <w:rPr>
                <w:sz w:val="20"/>
                <w:szCs w:val="20"/>
                <w:color w:val="auto"/>
              </w:rPr>
            </w:pPr>
            <w:r>
              <w:rPr>
                <w:rFonts w:ascii="Arial" w:cs="Arial" w:eastAsia="Arial" w:hAnsi="Arial"/>
                <w:sz w:val="18"/>
                <w:szCs w:val="18"/>
                <w:color w:val="auto"/>
              </w:rPr>
              <w:t>Target Equity Incentive Awards Granted in 2015</w:t>
            </w:r>
          </w:p>
        </w:tc>
        <w:tc>
          <w:tcPr>
            <w:tcW w:w="800" w:type="dxa"/>
            <w:vAlign w:val="bottom"/>
            <w:shd w:val="clear" w:color="auto" w:fill="B8CCE4"/>
          </w:tcPr>
          <w:p>
            <w:pPr>
              <w:jc w:val="right"/>
              <w:spacing w:after="0"/>
              <w:rPr>
                <w:sz w:val="20"/>
                <w:szCs w:val="20"/>
                <w:color w:val="auto"/>
              </w:rPr>
            </w:pPr>
            <w:r>
              <w:rPr>
                <w:rFonts w:ascii="Arial" w:cs="Arial" w:eastAsia="Arial" w:hAnsi="Arial"/>
                <w:sz w:val="18"/>
                <w:szCs w:val="18"/>
                <w:color w:val="auto"/>
              </w:rPr>
              <w:t>60</w:t>
            </w:r>
          </w:p>
        </w:tc>
      </w:tr>
      <w:tr>
        <w:trPr>
          <w:trHeight w:val="284"/>
        </w:trPr>
        <w:tc>
          <w:tcPr>
            <w:tcW w:w="10620" w:type="dxa"/>
            <w:vAlign w:val="bottom"/>
            <w:shd w:val="clear" w:color="auto" w:fill="B8CCE4"/>
          </w:tcPr>
          <w:p>
            <w:pPr>
              <w:ind w:left="300"/>
              <w:spacing w:after="0"/>
              <w:rPr>
                <w:sz w:val="20"/>
                <w:szCs w:val="20"/>
                <w:color w:val="auto"/>
              </w:rPr>
            </w:pPr>
            <w:r>
              <w:rPr>
                <w:rFonts w:ascii="Arial" w:cs="Arial" w:eastAsia="Arial" w:hAnsi="Arial"/>
                <w:sz w:val="18"/>
                <w:szCs w:val="18"/>
                <w:color w:val="auto"/>
              </w:rPr>
              <w:t>2014 Performance-Based Restricted Stock Awards Granted in 2015</w:t>
            </w:r>
          </w:p>
        </w:tc>
        <w:tc>
          <w:tcPr>
            <w:tcW w:w="800" w:type="dxa"/>
            <w:vAlign w:val="bottom"/>
            <w:shd w:val="clear" w:color="auto" w:fill="B8CCE4"/>
          </w:tcPr>
          <w:p>
            <w:pPr>
              <w:jc w:val="right"/>
              <w:spacing w:after="0"/>
              <w:rPr>
                <w:sz w:val="20"/>
                <w:szCs w:val="20"/>
                <w:color w:val="auto"/>
              </w:rPr>
            </w:pPr>
            <w:r>
              <w:rPr>
                <w:rFonts w:ascii="Arial" w:cs="Arial" w:eastAsia="Arial" w:hAnsi="Arial"/>
                <w:sz w:val="18"/>
                <w:szCs w:val="18"/>
                <w:color w:val="auto"/>
              </w:rPr>
              <w:t>61</w:t>
            </w:r>
          </w:p>
        </w:tc>
      </w:tr>
      <w:tr>
        <w:trPr>
          <w:trHeight w:val="284"/>
        </w:trPr>
        <w:tc>
          <w:tcPr>
            <w:tcW w:w="10620" w:type="dxa"/>
            <w:vAlign w:val="bottom"/>
            <w:shd w:val="clear" w:color="auto" w:fill="B8CCE4"/>
          </w:tcPr>
          <w:p>
            <w:pPr>
              <w:ind w:left="300"/>
              <w:spacing w:after="0"/>
              <w:rPr>
                <w:sz w:val="20"/>
                <w:szCs w:val="20"/>
                <w:color w:val="auto"/>
              </w:rPr>
            </w:pPr>
            <w:r>
              <w:rPr>
                <w:rFonts w:ascii="Arial" w:cs="Arial" w:eastAsia="Arial" w:hAnsi="Arial"/>
                <w:sz w:val="18"/>
                <w:szCs w:val="18"/>
                <w:color w:val="auto"/>
              </w:rPr>
              <w:t>2015 Multi-Year Performance Shares</w:t>
            </w:r>
          </w:p>
        </w:tc>
        <w:tc>
          <w:tcPr>
            <w:tcW w:w="800" w:type="dxa"/>
            <w:vAlign w:val="bottom"/>
            <w:shd w:val="clear" w:color="auto" w:fill="B8CCE4"/>
          </w:tcPr>
          <w:p>
            <w:pPr>
              <w:jc w:val="right"/>
              <w:spacing w:after="0"/>
              <w:rPr>
                <w:sz w:val="20"/>
                <w:szCs w:val="20"/>
                <w:color w:val="auto"/>
              </w:rPr>
            </w:pPr>
            <w:r>
              <w:rPr>
                <w:rFonts w:ascii="Arial" w:cs="Arial" w:eastAsia="Arial" w:hAnsi="Arial"/>
                <w:sz w:val="18"/>
                <w:szCs w:val="18"/>
                <w:color w:val="auto"/>
              </w:rPr>
              <w:t>62</w:t>
            </w:r>
          </w:p>
        </w:tc>
      </w:tr>
      <w:tr>
        <w:trPr>
          <w:trHeight w:val="284"/>
        </w:trPr>
        <w:tc>
          <w:tcPr>
            <w:tcW w:w="10620" w:type="dxa"/>
            <w:vAlign w:val="bottom"/>
            <w:shd w:val="clear" w:color="auto" w:fill="B8CCE4"/>
          </w:tcPr>
          <w:p>
            <w:pPr>
              <w:ind w:left="300"/>
              <w:spacing w:after="0"/>
              <w:rPr>
                <w:sz w:val="20"/>
                <w:szCs w:val="20"/>
                <w:color w:val="auto"/>
              </w:rPr>
            </w:pPr>
            <w:r>
              <w:rPr>
                <w:rFonts w:ascii="Arial" w:cs="Arial" w:eastAsia="Arial" w:hAnsi="Arial"/>
                <w:sz w:val="18"/>
                <w:szCs w:val="18"/>
                <w:color w:val="auto"/>
              </w:rPr>
              <w:t>2015 Stock Option Awards</w:t>
            </w:r>
          </w:p>
        </w:tc>
        <w:tc>
          <w:tcPr>
            <w:tcW w:w="800" w:type="dxa"/>
            <w:vAlign w:val="bottom"/>
            <w:shd w:val="clear" w:color="auto" w:fill="B8CCE4"/>
          </w:tcPr>
          <w:p>
            <w:pPr>
              <w:jc w:val="right"/>
              <w:spacing w:after="0"/>
              <w:rPr>
                <w:sz w:val="20"/>
                <w:szCs w:val="20"/>
                <w:color w:val="auto"/>
              </w:rPr>
            </w:pPr>
            <w:r>
              <w:rPr>
                <w:rFonts w:ascii="Arial" w:cs="Arial" w:eastAsia="Arial" w:hAnsi="Arial"/>
                <w:sz w:val="18"/>
                <w:szCs w:val="18"/>
                <w:color w:val="auto"/>
              </w:rPr>
              <w:t>63</w:t>
            </w:r>
          </w:p>
        </w:tc>
      </w:tr>
      <w:tr>
        <w:trPr>
          <w:trHeight w:val="284"/>
        </w:trPr>
        <w:tc>
          <w:tcPr>
            <w:tcW w:w="10620" w:type="dxa"/>
            <w:vAlign w:val="bottom"/>
            <w:shd w:val="clear" w:color="auto" w:fill="B8CCE4"/>
          </w:tcPr>
          <w:p>
            <w:pPr>
              <w:ind w:left="300"/>
              <w:spacing w:after="0"/>
              <w:rPr>
                <w:sz w:val="20"/>
                <w:szCs w:val="20"/>
                <w:color w:val="auto"/>
              </w:rPr>
            </w:pPr>
            <w:r>
              <w:rPr>
                <w:rFonts w:ascii="Arial" w:cs="Arial" w:eastAsia="Arial" w:hAnsi="Arial"/>
                <w:sz w:val="18"/>
                <w:szCs w:val="18"/>
                <w:color w:val="auto"/>
              </w:rPr>
              <w:t>Target Equity Incentive Awards Granted in 2016</w:t>
            </w:r>
          </w:p>
        </w:tc>
        <w:tc>
          <w:tcPr>
            <w:tcW w:w="800" w:type="dxa"/>
            <w:vAlign w:val="bottom"/>
            <w:shd w:val="clear" w:color="auto" w:fill="B8CCE4"/>
          </w:tcPr>
          <w:p>
            <w:pPr>
              <w:jc w:val="right"/>
              <w:spacing w:after="0"/>
              <w:rPr>
                <w:sz w:val="20"/>
                <w:szCs w:val="20"/>
                <w:color w:val="auto"/>
              </w:rPr>
            </w:pPr>
            <w:r>
              <w:rPr>
                <w:rFonts w:ascii="Arial" w:cs="Arial" w:eastAsia="Arial" w:hAnsi="Arial"/>
                <w:sz w:val="18"/>
                <w:szCs w:val="18"/>
                <w:color w:val="auto"/>
              </w:rPr>
              <w:t>64</w:t>
            </w:r>
          </w:p>
        </w:tc>
      </w:tr>
      <w:tr>
        <w:trPr>
          <w:trHeight w:val="284"/>
        </w:trPr>
        <w:tc>
          <w:tcPr>
            <w:tcW w:w="10620" w:type="dxa"/>
            <w:vAlign w:val="bottom"/>
            <w:shd w:val="clear" w:color="auto" w:fill="B8CCE4"/>
          </w:tcPr>
          <w:p>
            <w:pPr>
              <w:ind w:left="300"/>
              <w:spacing w:after="0"/>
              <w:rPr>
                <w:sz w:val="20"/>
                <w:szCs w:val="20"/>
                <w:color w:val="auto"/>
              </w:rPr>
            </w:pPr>
            <w:r>
              <w:rPr>
                <w:rFonts w:ascii="Arial" w:cs="Arial" w:eastAsia="Arial" w:hAnsi="Arial"/>
                <w:sz w:val="18"/>
                <w:szCs w:val="18"/>
                <w:color w:val="auto"/>
              </w:rPr>
              <w:t>2015 Performance-Based Restricted Stock Awards Granted in 2016</w:t>
            </w:r>
          </w:p>
        </w:tc>
        <w:tc>
          <w:tcPr>
            <w:tcW w:w="800" w:type="dxa"/>
            <w:vAlign w:val="bottom"/>
            <w:shd w:val="clear" w:color="auto" w:fill="B8CCE4"/>
          </w:tcPr>
          <w:p>
            <w:pPr>
              <w:jc w:val="right"/>
              <w:spacing w:after="0"/>
              <w:rPr>
                <w:sz w:val="20"/>
                <w:szCs w:val="20"/>
                <w:color w:val="auto"/>
              </w:rPr>
            </w:pPr>
            <w:r>
              <w:rPr>
                <w:rFonts w:ascii="Arial" w:cs="Arial" w:eastAsia="Arial" w:hAnsi="Arial"/>
                <w:sz w:val="18"/>
                <w:szCs w:val="18"/>
                <w:color w:val="auto"/>
              </w:rPr>
              <w:t>65</w:t>
            </w:r>
          </w:p>
        </w:tc>
      </w:tr>
      <w:tr>
        <w:trPr>
          <w:trHeight w:val="284"/>
        </w:trPr>
        <w:tc>
          <w:tcPr>
            <w:tcW w:w="10620" w:type="dxa"/>
            <w:vAlign w:val="bottom"/>
            <w:shd w:val="clear" w:color="auto" w:fill="B8CCE4"/>
          </w:tcPr>
          <w:p>
            <w:pPr>
              <w:ind w:left="180"/>
              <w:spacing w:after="0"/>
              <w:rPr>
                <w:sz w:val="20"/>
                <w:szCs w:val="20"/>
                <w:color w:val="auto"/>
              </w:rPr>
            </w:pPr>
            <w:r>
              <w:rPr>
                <w:rFonts w:ascii="Arial" w:cs="Arial" w:eastAsia="Arial" w:hAnsi="Arial"/>
                <w:sz w:val="18"/>
                <w:szCs w:val="18"/>
                <w:color w:val="auto"/>
              </w:rPr>
              <w:t>Compensation Decision Process</w:t>
            </w:r>
          </w:p>
        </w:tc>
        <w:tc>
          <w:tcPr>
            <w:tcW w:w="800" w:type="dxa"/>
            <w:vAlign w:val="bottom"/>
            <w:shd w:val="clear" w:color="auto" w:fill="B8CCE4"/>
          </w:tcPr>
          <w:p>
            <w:pPr>
              <w:jc w:val="right"/>
              <w:spacing w:after="0"/>
              <w:rPr>
                <w:sz w:val="20"/>
                <w:szCs w:val="20"/>
                <w:color w:val="auto"/>
              </w:rPr>
            </w:pPr>
            <w:r>
              <w:rPr>
                <w:rFonts w:ascii="Arial" w:cs="Arial" w:eastAsia="Arial" w:hAnsi="Arial"/>
                <w:sz w:val="18"/>
                <w:szCs w:val="18"/>
                <w:color w:val="auto"/>
              </w:rPr>
              <w:t>66</w:t>
            </w:r>
          </w:p>
        </w:tc>
      </w:tr>
      <w:tr>
        <w:trPr>
          <w:trHeight w:val="284"/>
        </w:trPr>
        <w:tc>
          <w:tcPr>
            <w:tcW w:w="10620" w:type="dxa"/>
            <w:vAlign w:val="bottom"/>
            <w:shd w:val="clear" w:color="auto" w:fill="B8CCE4"/>
          </w:tcPr>
          <w:p>
            <w:pPr>
              <w:ind w:left="180"/>
              <w:spacing w:after="0"/>
              <w:rPr>
                <w:sz w:val="20"/>
                <w:szCs w:val="20"/>
                <w:color w:val="auto"/>
              </w:rPr>
            </w:pPr>
            <w:r>
              <w:rPr>
                <w:rFonts w:ascii="Arial" w:cs="Arial" w:eastAsia="Arial" w:hAnsi="Arial"/>
                <w:sz w:val="18"/>
                <w:szCs w:val="18"/>
                <w:color w:val="auto"/>
              </w:rPr>
              <w:t>Other Compensation Policies and Practices</w:t>
            </w:r>
          </w:p>
        </w:tc>
        <w:tc>
          <w:tcPr>
            <w:tcW w:w="800" w:type="dxa"/>
            <w:vAlign w:val="bottom"/>
            <w:shd w:val="clear" w:color="auto" w:fill="B8CCE4"/>
          </w:tcPr>
          <w:p>
            <w:pPr>
              <w:jc w:val="right"/>
              <w:spacing w:after="0"/>
              <w:rPr>
                <w:sz w:val="20"/>
                <w:szCs w:val="20"/>
                <w:color w:val="auto"/>
              </w:rPr>
            </w:pPr>
            <w:r>
              <w:rPr>
                <w:rFonts w:ascii="Arial" w:cs="Arial" w:eastAsia="Arial" w:hAnsi="Arial"/>
                <w:sz w:val="18"/>
                <w:szCs w:val="18"/>
                <w:color w:val="auto"/>
              </w:rPr>
              <w:t>68</w:t>
            </w:r>
          </w:p>
        </w:tc>
      </w:tr>
      <w:tr>
        <w:trPr>
          <w:trHeight w:val="284"/>
        </w:trPr>
        <w:tc>
          <w:tcPr>
            <w:tcW w:w="10620" w:type="dxa"/>
            <w:vAlign w:val="bottom"/>
            <w:shd w:val="clear" w:color="auto" w:fill="B8CCE4"/>
          </w:tcPr>
          <w:p>
            <w:pPr>
              <w:ind w:left="180"/>
              <w:spacing w:after="0"/>
              <w:rPr>
                <w:sz w:val="20"/>
                <w:szCs w:val="20"/>
                <w:color w:val="auto"/>
              </w:rPr>
            </w:pPr>
            <w:r>
              <w:rPr>
                <w:rFonts w:ascii="Arial" w:cs="Arial" w:eastAsia="Arial" w:hAnsi="Arial"/>
                <w:sz w:val="18"/>
                <w:szCs w:val="18"/>
                <w:color w:val="auto"/>
              </w:rPr>
              <w:t>Executive Stock Ownership Policy</w:t>
            </w:r>
          </w:p>
        </w:tc>
        <w:tc>
          <w:tcPr>
            <w:tcW w:w="800" w:type="dxa"/>
            <w:vAlign w:val="bottom"/>
            <w:shd w:val="clear" w:color="auto" w:fill="B8CCE4"/>
          </w:tcPr>
          <w:p>
            <w:pPr>
              <w:jc w:val="right"/>
              <w:spacing w:after="0"/>
              <w:rPr>
                <w:sz w:val="20"/>
                <w:szCs w:val="20"/>
                <w:color w:val="auto"/>
              </w:rPr>
            </w:pPr>
            <w:r>
              <w:rPr>
                <w:rFonts w:ascii="Arial" w:cs="Arial" w:eastAsia="Arial" w:hAnsi="Arial"/>
                <w:sz w:val="18"/>
                <w:szCs w:val="18"/>
                <w:color w:val="auto"/>
              </w:rPr>
              <w:t>68</w:t>
            </w:r>
          </w:p>
        </w:tc>
      </w:tr>
      <w:tr>
        <w:trPr>
          <w:trHeight w:val="284"/>
        </w:trPr>
        <w:tc>
          <w:tcPr>
            <w:tcW w:w="10620" w:type="dxa"/>
            <w:vAlign w:val="bottom"/>
            <w:shd w:val="clear" w:color="auto" w:fill="B8CCE4"/>
          </w:tcPr>
          <w:p>
            <w:pPr>
              <w:ind w:left="180"/>
              <w:spacing w:after="0"/>
              <w:rPr>
                <w:sz w:val="20"/>
                <w:szCs w:val="20"/>
                <w:color w:val="auto"/>
              </w:rPr>
            </w:pPr>
            <w:r>
              <w:rPr>
                <w:rFonts w:ascii="Arial" w:cs="Arial" w:eastAsia="Arial" w:hAnsi="Arial"/>
                <w:sz w:val="18"/>
                <w:szCs w:val="18"/>
                <w:color w:val="auto"/>
              </w:rPr>
              <w:t>Equity Grant Practices</w:t>
            </w:r>
          </w:p>
        </w:tc>
        <w:tc>
          <w:tcPr>
            <w:tcW w:w="800" w:type="dxa"/>
            <w:vAlign w:val="bottom"/>
            <w:shd w:val="clear" w:color="auto" w:fill="B8CCE4"/>
          </w:tcPr>
          <w:p>
            <w:pPr>
              <w:jc w:val="right"/>
              <w:spacing w:after="0"/>
              <w:rPr>
                <w:sz w:val="20"/>
                <w:szCs w:val="20"/>
                <w:color w:val="auto"/>
              </w:rPr>
            </w:pPr>
            <w:r>
              <w:rPr>
                <w:rFonts w:ascii="Arial" w:cs="Arial" w:eastAsia="Arial" w:hAnsi="Arial"/>
                <w:sz w:val="18"/>
                <w:szCs w:val="18"/>
                <w:color w:val="auto"/>
              </w:rPr>
              <w:t>68</w:t>
            </w:r>
          </w:p>
        </w:tc>
      </w:tr>
      <w:tr>
        <w:trPr>
          <w:trHeight w:val="284"/>
        </w:trPr>
        <w:tc>
          <w:tcPr>
            <w:tcW w:w="10620" w:type="dxa"/>
            <w:vAlign w:val="bottom"/>
            <w:shd w:val="clear" w:color="auto" w:fill="B8CCE4"/>
          </w:tcPr>
          <w:p>
            <w:pPr>
              <w:ind w:left="180"/>
              <w:spacing w:after="0"/>
              <w:rPr>
                <w:sz w:val="20"/>
                <w:szCs w:val="20"/>
                <w:color w:val="auto"/>
              </w:rPr>
            </w:pPr>
            <w:r>
              <w:rPr>
                <w:rFonts w:ascii="Arial" w:cs="Arial" w:eastAsia="Arial" w:hAnsi="Arial"/>
                <w:sz w:val="18"/>
                <w:szCs w:val="18"/>
                <w:color w:val="auto"/>
              </w:rPr>
              <w:t>Recoupment (or “Clawback”) Policy</w:t>
            </w:r>
          </w:p>
        </w:tc>
        <w:tc>
          <w:tcPr>
            <w:tcW w:w="800" w:type="dxa"/>
            <w:vAlign w:val="bottom"/>
            <w:shd w:val="clear" w:color="auto" w:fill="B8CCE4"/>
          </w:tcPr>
          <w:p>
            <w:pPr>
              <w:jc w:val="right"/>
              <w:spacing w:after="0"/>
              <w:rPr>
                <w:sz w:val="20"/>
                <w:szCs w:val="20"/>
                <w:color w:val="auto"/>
              </w:rPr>
            </w:pPr>
            <w:r>
              <w:rPr>
                <w:rFonts w:ascii="Arial" w:cs="Arial" w:eastAsia="Arial" w:hAnsi="Arial"/>
                <w:sz w:val="18"/>
                <w:szCs w:val="18"/>
                <w:color w:val="auto"/>
              </w:rPr>
              <w:t>68</w:t>
            </w:r>
          </w:p>
        </w:tc>
      </w:tr>
      <w:tr>
        <w:trPr>
          <w:trHeight w:val="284"/>
        </w:trPr>
        <w:tc>
          <w:tcPr>
            <w:tcW w:w="10620" w:type="dxa"/>
            <w:vAlign w:val="bottom"/>
            <w:shd w:val="clear" w:color="auto" w:fill="B8CCE4"/>
          </w:tcPr>
          <w:p>
            <w:pPr>
              <w:ind w:left="160"/>
              <w:spacing w:after="0"/>
              <w:rPr>
                <w:sz w:val="20"/>
                <w:szCs w:val="20"/>
                <w:color w:val="auto"/>
              </w:rPr>
            </w:pPr>
            <w:r>
              <w:rPr>
                <w:rFonts w:ascii="Arial" w:cs="Arial" w:eastAsia="Arial" w:hAnsi="Arial"/>
                <w:sz w:val="18"/>
                <w:szCs w:val="18"/>
                <w:color w:val="auto"/>
              </w:rPr>
              <w:t>Anti-Hedging Policies</w:t>
            </w:r>
          </w:p>
        </w:tc>
        <w:tc>
          <w:tcPr>
            <w:tcW w:w="800" w:type="dxa"/>
            <w:vAlign w:val="bottom"/>
            <w:shd w:val="clear" w:color="auto" w:fill="B8CCE4"/>
          </w:tcPr>
          <w:p>
            <w:pPr>
              <w:jc w:val="right"/>
              <w:spacing w:after="0"/>
              <w:rPr>
                <w:sz w:val="20"/>
                <w:szCs w:val="20"/>
                <w:color w:val="auto"/>
              </w:rPr>
            </w:pPr>
            <w:r>
              <w:rPr>
                <w:rFonts w:ascii="Arial" w:cs="Arial" w:eastAsia="Arial" w:hAnsi="Arial"/>
                <w:sz w:val="18"/>
                <w:szCs w:val="18"/>
                <w:color w:val="auto"/>
              </w:rPr>
              <w:t>68</w:t>
            </w:r>
          </w:p>
        </w:tc>
      </w:tr>
      <w:tr>
        <w:trPr>
          <w:trHeight w:val="284"/>
        </w:trPr>
        <w:tc>
          <w:tcPr>
            <w:tcW w:w="10620" w:type="dxa"/>
            <w:vAlign w:val="bottom"/>
            <w:shd w:val="clear" w:color="auto" w:fill="B8CCE4"/>
          </w:tcPr>
          <w:p>
            <w:pPr>
              <w:ind w:left="160"/>
              <w:spacing w:after="0"/>
              <w:rPr>
                <w:sz w:val="20"/>
                <w:szCs w:val="20"/>
                <w:color w:val="auto"/>
              </w:rPr>
            </w:pPr>
            <w:r>
              <w:rPr>
                <w:rFonts w:ascii="Arial" w:cs="Arial" w:eastAsia="Arial" w:hAnsi="Arial"/>
                <w:sz w:val="18"/>
                <w:szCs w:val="18"/>
                <w:color w:val="auto"/>
              </w:rPr>
              <w:t>Termination and Change of Control Payments</w:t>
            </w:r>
          </w:p>
        </w:tc>
        <w:tc>
          <w:tcPr>
            <w:tcW w:w="800" w:type="dxa"/>
            <w:vAlign w:val="bottom"/>
            <w:shd w:val="clear" w:color="auto" w:fill="B8CCE4"/>
          </w:tcPr>
          <w:p>
            <w:pPr>
              <w:jc w:val="right"/>
              <w:spacing w:after="0"/>
              <w:rPr>
                <w:sz w:val="20"/>
                <w:szCs w:val="20"/>
                <w:color w:val="auto"/>
              </w:rPr>
            </w:pPr>
            <w:r>
              <w:rPr>
                <w:rFonts w:ascii="Arial" w:cs="Arial" w:eastAsia="Arial" w:hAnsi="Arial"/>
                <w:sz w:val="18"/>
                <w:szCs w:val="18"/>
                <w:color w:val="auto"/>
              </w:rPr>
              <w:t>68</w:t>
            </w:r>
          </w:p>
        </w:tc>
      </w:tr>
      <w:tr>
        <w:trPr>
          <w:trHeight w:val="284"/>
        </w:trPr>
        <w:tc>
          <w:tcPr>
            <w:tcW w:w="10620" w:type="dxa"/>
            <w:vAlign w:val="bottom"/>
            <w:shd w:val="clear" w:color="auto" w:fill="B8CCE4"/>
          </w:tcPr>
          <w:p>
            <w:pPr>
              <w:ind w:left="180"/>
              <w:spacing w:after="0"/>
              <w:rPr>
                <w:sz w:val="20"/>
                <w:szCs w:val="20"/>
                <w:color w:val="auto"/>
              </w:rPr>
            </w:pPr>
            <w:r>
              <w:rPr>
                <w:rFonts w:ascii="Arial" w:cs="Arial" w:eastAsia="Arial" w:hAnsi="Arial"/>
                <w:sz w:val="18"/>
                <w:szCs w:val="18"/>
                <w:color w:val="auto"/>
              </w:rPr>
              <w:t>Policy on Deductibility of Compensation</w:t>
            </w:r>
          </w:p>
        </w:tc>
        <w:tc>
          <w:tcPr>
            <w:tcW w:w="800" w:type="dxa"/>
            <w:vAlign w:val="bottom"/>
            <w:shd w:val="clear" w:color="auto" w:fill="B8CCE4"/>
          </w:tcPr>
          <w:p>
            <w:pPr>
              <w:jc w:val="right"/>
              <w:spacing w:after="0"/>
              <w:rPr>
                <w:sz w:val="20"/>
                <w:szCs w:val="20"/>
                <w:color w:val="auto"/>
              </w:rPr>
            </w:pPr>
            <w:r>
              <w:rPr>
                <w:rFonts w:ascii="Arial" w:cs="Arial" w:eastAsia="Arial" w:hAnsi="Arial"/>
                <w:sz w:val="18"/>
                <w:szCs w:val="18"/>
                <w:color w:val="auto"/>
              </w:rPr>
              <w:t>69</w:t>
            </w:r>
          </w:p>
        </w:tc>
      </w:tr>
      <w:tr>
        <w:trPr>
          <w:trHeight w:val="284"/>
        </w:trPr>
        <w:tc>
          <w:tcPr>
            <w:tcW w:w="10620" w:type="dxa"/>
            <w:vAlign w:val="bottom"/>
            <w:shd w:val="clear" w:color="auto" w:fill="B8CCE4"/>
          </w:tcPr>
          <w:p>
            <w:pPr>
              <w:ind w:left="40"/>
              <w:spacing w:after="0"/>
              <w:rPr>
                <w:sz w:val="20"/>
                <w:szCs w:val="20"/>
                <w:color w:val="auto"/>
              </w:rPr>
            </w:pPr>
            <w:r>
              <w:rPr>
                <w:rFonts w:ascii="Arial" w:cs="Arial" w:eastAsia="Arial" w:hAnsi="Arial"/>
                <w:sz w:val="18"/>
                <w:szCs w:val="18"/>
                <w:color w:val="auto"/>
              </w:rPr>
              <w:t>EXECUTIVE COMPENSATION TABLES AND DISCUSSION</w:t>
            </w:r>
          </w:p>
        </w:tc>
        <w:tc>
          <w:tcPr>
            <w:tcW w:w="800" w:type="dxa"/>
            <w:vAlign w:val="bottom"/>
            <w:shd w:val="clear" w:color="auto" w:fill="B8CCE4"/>
          </w:tcPr>
          <w:p>
            <w:pPr>
              <w:jc w:val="right"/>
              <w:spacing w:after="0"/>
              <w:rPr>
                <w:sz w:val="20"/>
                <w:szCs w:val="20"/>
                <w:color w:val="auto"/>
              </w:rPr>
            </w:pPr>
            <w:r>
              <w:rPr>
                <w:rFonts w:ascii="Arial" w:cs="Arial" w:eastAsia="Arial" w:hAnsi="Arial"/>
                <w:sz w:val="18"/>
                <w:szCs w:val="18"/>
                <w:color w:val="auto"/>
              </w:rPr>
              <w:t>70</w:t>
            </w:r>
          </w:p>
        </w:tc>
      </w:tr>
      <w:tr>
        <w:trPr>
          <w:trHeight w:val="284"/>
        </w:trPr>
        <w:tc>
          <w:tcPr>
            <w:tcW w:w="10620" w:type="dxa"/>
            <w:vAlign w:val="bottom"/>
            <w:shd w:val="clear" w:color="auto" w:fill="B8CCE4"/>
          </w:tcPr>
          <w:p>
            <w:pPr>
              <w:ind w:left="180"/>
              <w:spacing w:after="0"/>
              <w:rPr>
                <w:sz w:val="20"/>
                <w:szCs w:val="20"/>
                <w:color w:val="auto"/>
              </w:rPr>
            </w:pPr>
            <w:r>
              <w:rPr>
                <w:rFonts w:ascii="Arial" w:cs="Arial" w:eastAsia="Arial" w:hAnsi="Arial"/>
                <w:sz w:val="18"/>
                <w:szCs w:val="18"/>
                <w:color w:val="auto"/>
              </w:rPr>
              <w:t>Summary Compensation Table</w:t>
            </w:r>
          </w:p>
        </w:tc>
        <w:tc>
          <w:tcPr>
            <w:tcW w:w="800" w:type="dxa"/>
            <w:vAlign w:val="bottom"/>
            <w:shd w:val="clear" w:color="auto" w:fill="B8CCE4"/>
          </w:tcPr>
          <w:p>
            <w:pPr>
              <w:jc w:val="right"/>
              <w:spacing w:after="0"/>
              <w:rPr>
                <w:sz w:val="20"/>
                <w:szCs w:val="20"/>
                <w:color w:val="auto"/>
              </w:rPr>
            </w:pPr>
            <w:r>
              <w:rPr>
                <w:rFonts w:ascii="Arial" w:cs="Arial" w:eastAsia="Arial" w:hAnsi="Arial"/>
                <w:sz w:val="18"/>
                <w:szCs w:val="18"/>
                <w:color w:val="auto"/>
              </w:rPr>
              <w:t>70</w:t>
            </w:r>
          </w:p>
        </w:tc>
      </w:tr>
      <w:tr>
        <w:trPr>
          <w:trHeight w:val="284"/>
        </w:trPr>
        <w:tc>
          <w:tcPr>
            <w:tcW w:w="10620" w:type="dxa"/>
            <w:vAlign w:val="bottom"/>
            <w:shd w:val="clear" w:color="auto" w:fill="B8CCE4"/>
          </w:tcPr>
          <w:p>
            <w:pPr>
              <w:ind w:left="180"/>
              <w:spacing w:after="0"/>
              <w:rPr>
                <w:sz w:val="20"/>
                <w:szCs w:val="20"/>
                <w:color w:val="auto"/>
              </w:rPr>
            </w:pPr>
            <w:r>
              <w:rPr>
                <w:rFonts w:ascii="Arial" w:cs="Arial" w:eastAsia="Arial" w:hAnsi="Arial"/>
                <w:sz w:val="18"/>
                <w:szCs w:val="18"/>
                <w:color w:val="auto"/>
              </w:rPr>
              <w:t>Grants of Plan-Based Awards for Fiscal Year 2015</w:t>
            </w:r>
          </w:p>
        </w:tc>
        <w:tc>
          <w:tcPr>
            <w:tcW w:w="800" w:type="dxa"/>
            <w:vAlign w:val="bottom"/>
            <w:shd w:val="clear" w:color="auto" w:fill="B8CCE4"/>
          </w:tcPr>
          <w:p>
            <w:pPr>
              <w:jc w:val="right"/>
              <w:spacing w:after="0"/>
              <w:rPr>
                <w:sz w:val="20"/>
                <w:szCs w:val="20"/>
                <w:color w:val="auto"/>
              </w:rPr>
            </w:pPr>
            <w:r>
              <w:rPr>
                <w:rFonts w:ascii="Arial" w:cs="Arial" w:eastAsia="Arial" w:hAnsi="Arial"/>
                <w:sz w:val="18"/>
                <w:szCs w:val="18"/>
                <w:color w:val="auto"/>
              </w:rPr>
              <w:t>72</w:t>
            </w:r>
          </w:p>
        </w:tc>
      </w:tr>
      <w:tr>
        <w:trPr>
          <w:trHeight w:val="284"/>
        </w:trPr>
        <w:tc>
          <w:tcPr>
            <w:tcW w:w="10620" w:type="dxa"/>
            <w:vAlign w:val="bottom"/>
            <w:shd w:val="clear" w:color="auto" w:fill="B8CCE4"/>
          </w:tcPr>
          <w:p>
            <w:pPr>
              <w:ind w:left="40"/>
              <w:spacing w:after="0"/>
              <w:rPr>
                <w:sz w:val="20"/>
                <w:szCs w:val="20"/>
                <w:color w:val="auto"/>
              </w:rPr>
            </w:pPr>
            <w:r>
              <w:rPr>
                <w:rFonts w:ascii="Arial" w:cs="Arial" w:eastAsia="Arial" w:hAnsi="Arial"/>
                <w:sz w:val="18"/>
                <w:szCs w:val="18"/>
                <w:color w:val="auto"/>
              </w:rPr>
              <w:t>NARRATIVES TO SUMMARY COMPENSATION TABLE AND GRANTS OF PLAN-BASED AWARDS TABLE</w:t>
            </w:r>
          </w:p>
        </w:tc>
        <w:tc>
          <w:tcPr>
            <w:tcW w:w="800" w:type="dxa"/>
            <w:vAlign w:val="bottom"/>
            <w:shd w:val="clear" w:color="auto" w:fill="B8CCE4"/>
          </w:tcPr>
          <w:p>
            <w:pPr>
              <w:jc w:val="right"/>
              <w:spacing w:after="0"/>
              <w:rPr>
                <w:sz w:val="20"/>
                <w:szCs w:val="20"/>
                <w:color w:val="auto"/>
              </w:rPr>
            </w:pPr>
            <w:r>
              <w:rPr>
                <w:rFonts w:ascii="Arial" w:cs="Arial" w:eastAsia="Arial" w:hAnsi="Arial"/>
                <w:sz w:val="18"/>
                <w:szCs w:val="18"/>
                <w:color w:val="auto"/>
              </w:rPr>
              <w:t>74</w:t>
            </w:r>
          </w:p>
        </w:tc>
      </w:tr>
      <w:tr>
        <w:trPr>
          <w:trHeight w:val="284"/>
        </w:trPr>
        <w:tc>
          <w:tcPr>
            <w:tcW w:w="10620" w:type="dxa"/>
            <w:vAlign w:val="bottom"/>
            <w:shd w:val="clear" w:color="auto" w:fill="B8CCE4"/>
          </w:tcPr>
          <w:p>
            <w:pPr>
              <w:ind w:left="180"/>
              <w:spacing w:after="0"/>
              <w:rPr>
                <w:sz w:val="20"/>
                <w:szCs w:val="20"/>
                <w:color w:val="auto"/>
              </w:rPr>
            </w:pPr>
            <w:r>
              <w:rPr>
                <w:rFonts w:ascii="Arial" w:cs="Arial" w:eastAsia="Arial" w:hAnsi="Arial"/>
                <w:sz w:val="18"/>
                <w:szCs w:val="18"/>
                <w:color w:val="auto"/>
              </w:rPr>
              <w:t>Employment Agreements and Arrangements</w:t>
            </w:r>
          </w:p>
        </w:tc>
        <w:tc>
          <w:tcPr>
            <w:tcW w:w="800" w:type="dxa"/>
            <w:vAlign w:val="bottom"/>
            <w:shd w:val="clear" w:color="auto" w:fill="B8CCE4"/>
          </w:tcPr>
          <w:p>
            <w:pPr>
              <w:jc w:val="right"/>
              <w:spacing w:after="0"/>
              <w:rPr>
                <w:sz w:val="20"/>
                <w:szCs w:val="20"/>
                <w:color w:val="auto"/>
              </w:rPr>
            </w:pPr>
            <w:r>
              <w:rPr>
                <w:rFonts w:ascii="Arial" w:cs="Arial" w:eastAsia="Arial" w:hAnsi="Arial"/>
                <w:sz w:val="18"/>
                <w:szCs w:val="18"/>
                <w:color w:val="auto"/>
              </w:rPr>
              <w:t>74</w:t>
            </w:r>
          </w:p>
        </w:tc>
      </w:tr>
      <w:tr>
        <w:trPr>
          <w:trHeight w:val="284"/>
        </w:trPr>
        <w:tc>
          <w:tcPr>
            <w:tcW w:w="10620" w:type="dxa"/>
            <w:vAlign w:val="bottom"/>
            <w:shd w:val="clear" w:color="auto" w:fill="B8CCE4"/>
          </w:tcPr>
          <w:p>
            <w:pPr>
              <w:ind w:left="180"/>
              <w:spacing w:after="0"/>
              <w:rPr>
                <w:sz w:val="20"/>
                <w:szCs w:val="20"/>
                <w:color w:val="auto"/>
              </w:rPr>
            </w:pPr>
            <w:r>
              <w:rPr>
                <w:rFonts w:ascii="Arial" w:cs="Arial" w:eastAsia="Arial" w:hAnsi="Arial"/>
                <w:sz w:val="18"/>
                <w:szCs w:val="18"/>
                <w:color w:val="auto"/>
              </w:rPr>
              <w:t>Chief Executive Officer Employment Agreement</w:t>
            </w:r>
          </w:p>
        </w:tc>
        <w:tc>
          <w:tcPr>
            <w:tcW w:w="800" w:type="dxa"/>
            <w:vAlign w:val="bottom"/>
            <w:shd w:val="clear" w:color="auto" w:fill="B8CCE4"/>
          </w:tcPr>
          <w:p>
            <w:pPr>
              <w:jc w:val="right"/>
              <w:spacing w:after="0"/>
              <w:rPr>
                <w:sz w:val="20"/>
                <w:szCs w:val="20"/>
                <w:color w:val="auto"/>
              </w:rPr>
            </w:pPr>
            <w:r>
              <w:rPr>
                <w:rFonts w:ascii="Arial" w:cs="Arial" w:eastAsia="Arial" w:hAnsi="Arial"/>
                <w:sz w:val="18"/>
                <w:szCs w:val="18"/>
                <w:color w:val="auto"/>
              </w:rPr>
              <w:t>74</w:t>
            </w:r>
          </w:p>
        </w:tc>
      </w:tr>
      <w:tr>
        <w:trPr>
          <w:trHeight w:val="284"/>
        </w:trPr>
        <w:tc>
          <w:tcPr>
            <w:tcW w:w="10620" w:type="dxa"/>
            <w:vAlign w:val="bottom"/>
            <w:shd w:val="clear" w:color="auto" w:fill="B8CCE4"/>
          </w:tcPr>
          <w:p>
            <w:pPr>
              <w:ind w:left="180"/>
              <w:spacing w:after="0"/>
              <w:rPr>
                <w:sz w:val="20"/>
                <w:szCs w:val="20"/>
                <w:color w:val="auto"/>
              </w:rPr>
            </w:pPr>
            <w:r>
              <w:rPr>
                <w:rFonts w:ascii="Arial" w:cs="Arial" w:eastAsia="Arial" w:hAnsi="Arial"/>
                <w:sz w:val="18"/>
                <w:szCs w:val="18"/>
                <w:color w:val="auto"/>
              </w:rPr>
              <w:t>Equity Awards</w:t>
            </w:r>
          </w:p>
        </w:tc>
        <w:tc>
          <w:tcPr>
            <w:tcW w:w="800" w:type="dxa"/>
            <w:vAlign w:val="bottom"/>
            <w:shd w:val="clear" w:color="auto" w:fill="B8CCE4"/>
          </w:tcPr>
          <w:p>
            <w:pPr>
              <w:jc w:val="right"/>
              <w:spacing w:after="0"/>
              <w:rPr>
                <w:sz w:val="20"/>
                <w:szCs w:val="20"/>
                <w:color w:val="auto"/>
              </w:rPr>
            </w:pPr>
            <w:r>
              <w:rPr>
                <w:rFonts w:ascii="Arial" w:cs="Arial" w:eastAsia="Arial" w:hAnsi="Arial"/>
                <w:sz w:val="18"/>
                <w:szCs w:val="18"/>
                <w:color w:val="auto"/>
              </w:rPr>
              <w:t>74</w:t>
            </w:r>
          </w:p>
        </w:tc>
      </w:tr>
      <w:tr>
        <w:trPr>
          <w:trHeight w:val="284"/>
        </w:trPr>
        <w:tc>
          <w:tcPr>
            <w:tcW w:w="10620" w:type="dxa"/>
            <w:vAlign w:val="bottom"/>
            <w:shd w:val="clear" w:color="auto" w:fill="B8CCE4"/>
          </w:tcPr>
          <w:p>
            <w:pPr>
              <w:ind w:left="180"/>
              <w:spacing w:after="0"/>
              <w:rPr>
                <w:sz w:val="20"/>
                <w:szCs w:val="20"/>
                <w:color w:val="auto"/>
              </w:rPr>
            </w:pPr>
            <w:r>
              <w:rPr>
                <w:rFonts w:ascii="Arial" w:cs="Arial" w:eastAsia="Arial" w:hAnsi="Arial"/>
                <w:sz w:val="18"/>
                <w:szCs w:val="18"/>
                <w:color w:val="auto"/>
              </w:rPr>
              <w:t>Outstanding Equity Awards at 2015 Fiscal Year-End</w:t>
            </w:r>
          </w:p>
        </w:tc>
        <w:tc>
          <w:tcPr>
            <w:tcW w:w="800" w:type="dxa"/>
            <w:vAlign w:val="bottom"/>
            <w:shd w:val="clear" w:color="auto" w:fill="B8CCE4"/>
          </w:tcPr>
          <w:p>
            <w:pPr>
              <w:jc w:val="right"/>
              <w:spacing w:after="0"/>
              <w:rPr>
                <w:sz w:val="20"/>
                <w:szCs w:val="20"/>
                <w:color w:val="auto"/>
              </w:rPr>
            </w:pPr>
            <w:r>
              <w:rPr>
                <w:rFonts w:ascii="Arial" w:cs="Arial" w:eastAsia="Arial" w:hAnsi="Arial"/>
                <w:sz w:val="18"/>
                <w:szCs w:val="18"/>
                <w:color w:val="auto"/>
              </w:rPr>
              <w:t>75</w:t>
            </w:r>
          </w:p>
        </w:tc>
      </w:tr>
      <w:tr>
        <w:trPr>
          <w:trHeight w:val="284"/>
        </w:trPr>
        <w:tc>
          <w:tcPr>
            <w:tcW w:w="10620" w:type="dxa"/>
            <w:vAlign w:val="bottom"/>
            <w:shd w:val="clear" w:color="auto" w:fill="B8CCE4"/>
          </w:tcPr>
          <w:p>
            <w:pPr>
              <w:ind w:left="180"/>
              <w:spacing w:after="0"/>
              <w:rPr>
                <w:sz w:val="20"/>
                <w:szCs w:val="20"/>
                <w:color w:val="auto"/>
              </w:rPr>
            </w:pPr>
            <w:r>
              <w:rPr>
                <w:rFonts w:ascii="Arial" w:cs="Arial" w:eastAsia="Arial" w:hAnsi="Arial"/>
                <w:sz w:val="18"/>
                <w:szCs w:val="18"/>
                <w:color w:val="auto"/>
              </w:rPr>
              <w:t>Option Exercises and Stock Vested for Fiscal Year 2015</w:t>
            </w:r>
          </w:p>
        </w:tc>
        <w:tc>
          <w:tcPr>
            <w:tcW w:w="800" w:type="dxa"/>
            <w:vAlign w:val="bottom"/>
            <w:shd w:val="clear" w:color="auto" w:fill="B8CCE4"/>
          </w:tcPr>
          <w:p>
            <w:pPr>
              <w:jc w:val="right"/>
              <w:spacing w:after="0"/>
              <w:rPr>
                <w:sz w:val="20"/>
                <w:szCs w:val="20"/>
                <w:color w:val="auto"/>
              </w:rPr>
            </w:pPr>
            <w:r>
              <w:rPr>
                <w:rFonts w:ascii="Arial" w:cs="Arial" w:eastAsia="Arial" w:hAnsi="Arial"/>
                <w:sz w:val="18"/>
                <w:szCs w:val="18"/>
                <w:color w:val="auto"/>
              </w:rPr>
              <w:t>76</w:t>
            </w:r>
          </w:p>
        </w:tc>
      </w:tr>
      <w:tr>
        <w:trPr>
          <w:trHeight w:val="284"/>
        </w:trPr>
        <w:tc>
          <w:tcPr>
            <w:tcW w:w="10620" w:type="dxa"/>
            <w:vAlign w:val="bottom"/>
            <w:shd w:val="clear" w:color="auto" w:fill="B8CCE4"/>
          </w:tcPr>
          <w:p>
            <w:pPr>
              <w:ind w:left="180"/>
              <w:spacing w:after="0"/>
              <w:rPr>
                <w:sz w:val="20"/>
                <w:szCs w:val="20"/>
                <w:color w:val="auto"/>
              </w:rPr>
            </w:pPr>
            <w:r>
              <w:rPr>
                <w:rFonts w:ascii="Arial" w:cs="Arial" w:eastAsia="Arial" w:hAnsi="Arial"/>
                <w:sz w:val="18"/>
                <w:szCs w:val="18"/>
                <w:color w:val="auto"/>
              </w:rPr>
              <w:t>Potential Payments Upon Termination or Change of Control</w:t>
            </w:r>
          </w:p>
        </w:tc>
        <w:tc>
          <w:tcPr>
            <w:tcW w:w="800" w:type="dxa"/>
            <w:vAlign w:val="bottom"/>
            <w:shd w:val="clear" w:color="auto" w:fill="B8CCE4"/>
          </w:tcPr>
          <w:p>
            <w:pPr>
              <w:jc w:val="right"/>
              <w:spacing w:after="0"/>
              <w:rPr>
                <w:sz w:val="20"/>
                <w:szCs w:val="20"/>
                <w:color w:val="auto"/>
              </w:rPr>
            </w:pPr>
            <w:r>
              <w:rPr>
                <w:rFonts w:ascii="Arial" w:cs="Arial" w:eastAsia="Arial" w:hAnsi="Arial"/>
                <w:sz w:val="18"/>
                <w:szCs w:val="18"/>
                <w:color w:val="auto"/>
              </w:rPr>
              <w:t>76</w:t>
            </w:r>
          </w:p>
        </w:tc>
      </w:tr>
      <w:tr>
        <w:trPr>
          <w:trHeight w:val="284"/>
        </w:trPr>
        <w:tc>
          <w:tcPr>
            <w:tcW w:w="10620" w:type="dxa"/>
            <w:vAlign w:val="bottom"/>
            <w:shd w:val="clear" w:color="auto" w:fill="B8CCE4"/>
          </w:tcPr>
          <w:p>
            <w:pPr>
              <w:ind w:left="180"/>
              <w:spacing w:after="0"/>
              <w:rPr>
                <w:sz w:val="20"/>
                <w:szCs w:val="20"/>
                <w:color w:val="auto"/>
              </w:rPr>
            </w:pPr>
            <w:r>
              <w:rPr>
                <w:rFonts w:ascii="Arial" w:cs="Arial" w:eastAsia="Arial" w:hAnsi="Arial"/>
                <w:sz w:val="18"/>
                <w:szCs w:val="18"/>
                <w:color w:val="auto"/>
              </w:rPr>
              <w:t>Certain Relationships and Related Transactions</w:t>
            </w:r>
          </w:p>
        </w:tc>
        <w:tc>
          <w:tcPr>
            <w:tcW w:w="800" w:type="dxa"/>
            <w:vAlign w:val="bottom"/>
            <w:shd w:val="clear" w:color="auto" w:fill="B8CCE4"/>
          </w:tcPr>
          <w:p>
            <w:pPr>
              <w:jc w:val="right"/>
              <w:spacing w:after="0"/>
              <w:rPr>
                <w:sz w:val="20"/>
                <w:szCs w:val="20"/>
                <w:color w:val="auto"/>
              </w:rPr>
            </w:pPr>
            <w:r>
              <w:rPr>
                <w:rFonts w:ascii="Arial" w:cs="Arial" w:eastAsia="Arial" w:hAnsi="Arial"/>
                <w:sz w:val="18"/>
                <w:szCs w:val="18"/>
                <w:color w:val="auto"/>
              </w:rPr>
              <w:t>80</w:t>
            </w:r>
          </w:p>
        </w:tc>
      </w:tr>
      <w:tr>
        <w:trPr>
          <w:trHeight w:val="284"/>
        </w:trPr>
        <w:tc>
          <w:tcPr>
            <w:tcW w:w="10620" w:type="dxa"/>
            <w:vAlign w:val="bottom"/>
            <w:shd w:val="clear" w:color="auto" w:fill="B8CCE4"/>
          </w:tcPr>
          <w:p>
            <w:pPr>
              <w:ind w:left="180"/>
              <w:spacing w:after="0"/>
              <w:rPr>
                <w:sz w:val="20"/>
                <w:szCs w:val="20"/>
                <w:color w:val="auto"/>
              </w:rPr>
            </w:pPr>
            <w:r>
              <w:rPr>
                <w:rFonts w:ascii="Arial" w:cs="Arial" w:eastAsia="Arial" w:hAnsi="Arial"/>
                <w:sz w:val="18"/>
                <w:szCs w:val="18"/>
                <w:color w:val="auto"/>
              </w:rPr>
              <w:t>Section 16(a) Beneficial Ownership Reporting Compliance</w:t>
            </w:r>
          </w:p>
        </w:tc>
        <w:tc>
          <w:tcPr>
            <w:tcW w:w="800" w:type="dxa"/>
            <w:vAlign w:val="bottom"/>
            <w:shd w:val="clear" w:color="auto" w:fill="B8CCE4"/>
          </w:tcPr>
          <w:p>
            <w:pPr>
              <w:jc w:val="right"/>
              <w:spacing w:after="0"/>
              <w:rPr>
                <w:sz w:val="20"/>
                <w:szCs w:val="20"/>
                <w:color w:val="auto"/>
              </w:rPr>
            </w:pPr>
            <w:r>
              <w:rPr>
                <w:rFonts w:ascii="Arial" w:cs="Arial" w:eastAsia="Arial" w:hAnsi="Arial"/>
                <w:sz w:val="18"/>
                <w:szCs w:val="18"/>
                <w:color w:val="auto"/>
              </w:rPr>
              <w:t>80</w:t>
            </w:r>
          </w:p>
        </w:tc>
      </w:tr>
      <w:tr>
        <w:trPr>
          <w:trHeight w:val="284"/>
        </w:trPr>
        <w:tc>
          <w:tcPr>
            <w:tcW w:w="10620" w:type="dxa"/>
            <w:vAlign w:val="bottom"/>
            <w:shd w:val="clear" w:color="auto" w:fill="B8CCE4"/>
          </w:tcPr>
          <w:p>
            <w:pPr>
              <w:ind w:left="180"/>
              <w:spacing w:after="0"/>
              <w:rPr>
                <w:sz w:val="20"/>
                <w:szCs w:val="20"/>
                <w:color w:val="auto"/>
              </w:rPr>
            </w:pPr>
            <w:r>
              <w:rPr>
                <w:rFonts w:ascii="Arial" w:cs="Arial" w:eastAsia="Arial" w:hAnsi="Arial"/>
                <w:sz w:val="18"/>
                <w:szCs w:val="18"/>
                <w:color w:val="auto"/>
              </w:rPr>
              <w:t>Other Information</w:t>
            </w:r>
          </w:p>
        </w:tc>
        <w:tc>
          <w:tcPr>
            <w:tcW w:w="800" w:type="dxa"/>
            <w:vAlign w:val="bottom"/>
            <w:shd w:val="clear" w:color="auto" w:fill="B8CCE4"/>
          </w:tcPr>
          <w:p>
            <w:pPr>
              <w:jc w:val="right"/>
              <w:spacing w:after="0"/>
              <w:rPr>
                <w:sz w:val="20"/>
                <w:szCs w:val="20"/>
                <w:color w:val="auto"/>
              </w:rPr>
            </w:pPr>
            <w:r>
              <w:rPr>
                <w:rFonts w:ascii="Arial" w:cs="Arial" w:eastAsia="Arial" w:hAnsi="Arial"/>
                <w:sz w:val="18"/>
                <w:szCs w:val="18"/>
                <w:color w:val="auto"/>
              </w:rPr>
              <w:t>80</w:t>
            </w:r>
          </w:p>
        </w:tc>
      </w:tr>
      <w:tr>
        <w:trPr>
          <w:trHeight w:val="284"/>
        </w:trPr>
        <w:tc>
          <w:tcPr>
            <w:tcW w:w="10620" w:type="dxa"/>
            <w:vAlign w:val="bottom"/>
            <w:shd w:val="clear" w:color="auto" w:fill="B8CCE4"/>
          </w:tcPr>
          <w:p>
            <w:pPr>
              <w:ind w:left="40"/>
              <w:spacing w:after="0"/>
              <w:rPr>
                <w:sz w:val="20"/>
                <w:szCs w:val="20"/>
                <w:color w:val="auto"/>
              </w:rPr>
            </w:pPr>
            <w:r>
              <w:rPr>
                <w:rFonts w:ascii="Arial" w:cs="Arial" w:eastAsia="Arial" w:hAnsi="Arial"/>
                <w:sz w:val="18"/>
                <w:szCs w:val="18"/>
                <w:color w:val="auto"/>
              </w:rPr>
              <w:t>APPENDIX A – COSTAR GROUP, INC. 2016 STOCK INCENTIVE PLAN</w:t>
            </w:r>
          </w:p>
        </w:tc>
        <w:tc>
          <w:tcPr>
            <w:tcW w:w="800" w:type="dxa"/>
            <w:vAlign w:val="bottom"/>
            <w:shd w:val="clear" w:color="auto" w:fill="B8CCE4"/>
          </w:tcPr>
          <w:p>
            <w:pPr>
              <w:jc w:val="right"/>
              <w:spacing w:after="0"/>
              <w:rPr>
                <w:sz w:val="20"/>
                <w:szCs w:val="20"/>
                <w:color w:val="auto"/>
              </w:rPr>
            </w:pPr>
            <w:r>
              <w:rPr>
                <w:rFonts w:ascii="Arial" w:cs="Arial" w:eastAsia="Arial" w:hAnsi="Arial"/>
                <w:sz w:val="18"/>
                <w:szCs w:val="18"/>
                <w:color w:val="auto"/>
              </w:rPr>
              <w:t>A-1</w:t>
            </w:r>
          </w:p>
        </w:tc>
      </w:tr>
      <w:tr>
        <w:trPr>
          <w:trHeight w:val="284"/>
        </w:trPr>
        <w:tc>
          <w:tcPr>
            <w:tcW w:w="10620" w:type="dxa"/>
            <w:vAlign w:val="bottom"/>
            <w:shd w:val="clear" w:color="auto" w:fill="B8CCE4"/>
          </w:tcPr>
          <w:p>
            <w:pPr>
              <w:ind w:left="40"/>
              <w:spacing w:after="0"/>
              <w:rPr>
                <w:sz w:val="20"/>
                <w:szCs w:val="20"/>
                <w:color w:val="auto"/>
              </w:rPr>
            </w:pPr>
            <w:r>
              <w:rPr>
                <w:rFonts w:ascii="Arial" w:cs="Arial" w:eastAsia="Arial" w:hAnsi="Arial"/>
                <w:sz w:val="18"/>
                <w:szCs w:val="18"/>
                <w:color w:val="auto"/>
              </w:rPr>
              <w:t>APPENDIX B – COSTAR GROUP, INC. 2016 CASH INCENTIVE PLAN</w:t>
            </w:r>
          </w:p>
        </w:tc>
        <w:tc>
          <w:tcPr>
            <w:tcW w:w="800" w:type="dxa"/>
            <w:vAlign w:val="bottom"/>
            <w:shd w:val="clear" w:color="auto" w:fill="B8CCE4"/>
          </w:tcPr>
          <w:p>
            <w:pPr>
              <w:jc w:val="right"/>
              <w:spacing w:after="0"/>
              <w:rPr>
                <w:sz w:val="20"/>
                <w:szCs w:val="20"/>
                <w:color w:val="auto"/>
              </w:rPr>
            </w:pPr>
            <w:r>
              <w:rPr>
                <w:rFonts w:ascii="Arial" w:cs="Arial" w:eastAsia="Arial" w:hAnsi="Arial"/>
                <w:sz w:val="18"/>
                <w:szCs w:val="18"/>
                <w:color w:val="auto"/>
              </w:rPr>
              <w:t>B-1</w:t>
            </w:r>
          </w:p>
        </w:tc>
      </w:tr>
      <w:tr>
        <w:trPr>
          <w:trHeight w:val="284"/>
        </w:trPr>
        <w:tc>
          <w:tcPr>
            <w:tcW w:w="10620" w:type="dxa"/>
            <w:vAlign w:val="bottom"/>
            <w:shd w:val="clear" w:color="auto" w:fill="B8CCE4"/>
          </w:tcPr>
          <w:p>
            <w:pPr>
              <w:ind w:left="40"/>
              <w:spacing w:after="0"/>
              <w:rPr>
                <w:sz w:val="20"/>
                <w:szCs w:val="20"/>
                <w:color w:val="auto"/>
              </w:rPr>
            </w:pPr>
            <w:r>
              <w:rPr>
                <w:rFonts w:ascii="Arial" w:cs="Arial" w:eastAsia="Arial" w:hAnsi="Arial"/>
                <w:sz w:val="18"/>
                <w:szCs w:val="18"/>
                <w:color w:val="auto"/>
              </w:rPr>
              <w:t>APPENDIX C – NON-GAAP RECONCILIATION</w:t>
            </w:r>
          </w:p>
        </w:tc>
        <w:tc>
          <w:tcPr>
            <w:tcW w:w="800" w:type="dxa"/>
            <w:vAlign w:val="bottom"/>
            <w:shd w:val="clear" w:color="auto" w:fill="B8CCE4"/>
          </w:tcPr>
          <w:p>
            <w:pPr>
              <w:jc w:val="right"/>
              <w:spacing w:after="0"/>
              <w:rPr>
                <w:sz w:val="20"/>
                <w:szCs w:val="20"/>
                <w:color w:val="auto"/>
              </w:rPr>
            </w:pPr>
            <w:r>
              <w:rPr>
                <w:rFonts w:ascii="Arial" w:cs="Arial" w:eastAsia="Arial" w:hAnsi="Arial"/>
                <w:sz w:val="18"/>
                <w:szCs w:val="18"/>
                <w:color w:val="auto"/>
              </w:rPr>
              <w:t>C-1</w:t>
            </w:r>
          </w:p>
        </w:tc>
      </w:tr>
      <w:tr>
        <w:trPr>
          <w:trHeight w:val="284"/>
        </w:trPr>
        <w:tc>
          <w:tcPr>
            <w:tcW w:w="10620" w:type="dxa"/>
            <w:vAlign w:val="bottom"/>
            <w:shd w:val="clear" w:color="auto" w:fill="B8CCE4"/>
          </w:tcPr>
          <w:p>
            <w:pPr>
              <w:ind w:left="40"/>
              <w:spacing w:after="0"/>
              <w:rPr>
                <w:sz w:val="20"/>
                <w:szCs w:val="20"/>
                <w:color w:val="auto"/>
              </w:rPr>
            </w:pPr>
            <w:r>
              <w:rPr>
                <w:rFonts w:ascii="Arial" w:cs="Arial" w:eastAsia="Arial" w:hAnsi="Arial"/>
                <w:sz w:val="18"/>
                <w:szCs w:val="18"/>
                <w:color w:val="auto"/>
              </w:rPr>
              <w:t>APPENDIX D – PROXY CARD</w:t>
            </w:r>
          </w:p>
        </w:tc>
        <w:tc>
          <w:tcPr>
            <w:tcW w:w="800" w:type="dxa"/>
            <w:vAlign w:val="bottom"/>
            <w:shd w:val="clear" w:color="auto" w:fill="B8CCE4"/>
          </w:tcPr>
          <w:p>
            <w:pPr>
              <w:jc w:val="right"/>
              <w:spacing w:after="0"/>
              <w:rPr>
                <w:sz w:val="20"/>
                <w:szCs w:val="20"/>
                <w:color w:val="auto"/>
              </w:rPr>
            </w:pPr>
            <w:r>
              <w:rPr>
                <w:rFonts w:ascii="Arial" w:cs="Arial" w:eastAsia="Arial" w:hAnsi="Arial"/>
                <w:sz w:val="18"/>
                <w:szCs w:val="18"/>
                <w:color w:val="auto"/>
              </w:rPr>
              <w:t>D-1</w:t>
            </w:r>
          </w:p>
        </w:tc>
      </w:tr>
      <w:tr>
        <w:trPr>
          <w:trHeight w:val="27"/>
        </w:trPr>
        <w:tc>
          <w:tcPr>
            <w:tcW w:w="10620" w:type="dxa"/>
            <w:vAlign w:val="bottom"/>
            <w:shd w:val="clear" w:color="auto" w:fill="B8CCE4"/>
          </w:tcPr>
          <w:p>
            <w:pPr>
              <w:spacing w:after="0"/>
              <w:rPr>
                <w:sz w:val="2"/>
                <w:szCs w:val="2"/>
                <w:color w:val="auto"/>
              </w:rPr>
            </w:pPr>
          </w:p>
        </w:tc>
        <w:tc>
          <w:tcPr>
            <w:tcW w:w="800" w:type="dxa"/>
            <w:vAlign w:val="bottom"/>
            <w:shd w:val="clear" w:color="auto" w:fill="B8CCE4"/>
          </w:tcPr>
          <w:p>
            <w:pPr>
              <w:spacing w:after="0"/>
              <w:rPr>
                <w:sz w:val="2"/>
                <w:szCs w:val="2"/>
                <w:color w:val="auto"/>
              </w:rPr>
            </w:pPr>
          </w:p>
        </w:tc>
      </w:tr>
    </w:tbl>
    <w:p>
      <w:pPr>
        <w:sectPr>
          <w:pgSz w:w="11900" w:h="16838" w:orient="portrait"/>
          <w:cols w:equalWidth="0" w:num="1">
            <w:col w:w="11420"/>
          </w:cols>
          <w:pgMar w:left="240" w:top="518" w:right="239" w:bottom="1440" w:gutter="0" w:footer="0" w:header="0"/>
        </w:sectPr>
      </w:pPr>
    </w:p>
    <w:bookmarkStart w:id="6" w:name="page7"/>
    <w:bookmarkEnd w:id="6"/>
    <w:p>
      <w:pPr>
        <w:jc w:val="center"/>
        <w:ind w:right="-19"/>
        <w:spacing w:after="0"/>
        <w:rPr>
          <w:sz w:val="20"/>
          <w:szCs w:val="20"/>
          <w:color w:val="auto"/>
        </w:rPr>
      </w:pPr>
      <w:r>
        <w:rPr>
          <w:rFonts w:ascii="Arial" w:cs="Arial" w:eastAsia="Arial" w:hAnsi="Arial"/>
          <w:sz w:val="32"/>
          <w:szCs w:val="32"/>
          <w:b w:val="1"/>
          <w:bCs w:val="1"/>
          <w:color w:val="auto"/>
        </w:rPr>
        <w:t>COSTAR GROUP, INC.</w:t>
      </w: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PROXY STATEMENT</w:t>
      </w:r>
    </w:p>
    <w:p>
      <w:pPr>
        <w:spacing w:after="0" w:line="229" w:lineRule="exact"/>
        <w:rPr>
          <w:sz w:val="20"/>
          <w:szCs w:val="20"/>
          <w:color w:val="auto"/>
        </w:rPr>
      </w:pPr>
    </w:p>
    <w:p>
      <w:pPr>
        <w:ind w:left="3780"/>
        <w:spacing w:after="0"/>
        <w:rPr>
          <w:sz w:val="20"/>
          <w:szCs w:val="20"/>
          <w:color w:val="auto"/>
        </w:rPr>
      </w:pPr>
      <w:r>
        <w:rPr>
          <w:rFonts w:ascii="Arial" w:cs="Arial" w:eastAsia="Arial" w:hAnsi="Arial"/>
          <w:sz w:val="20"/>
          <w:szCs w:val="20"/>
          <w:b w:val="1"/>
          <w:bCs w:val="1"/>
          <w:color w:val="auto"/>
        </w:rPr>
        <w:t>ANNUAL MEETING OF STOCKHOLDERS</w:t>
      </w:r>
    </w:p>
    <w:p>
      <w:pPr>
        <w:spacing w:after="0" w:line="22" w:lineRule="exact"/>
        <w:rPr>
          <w:sz w:val="20"/>
          <w:szCs w:val="20"/>
          <w:color w:val="auto"/>
        </w:rPr>
      </w:pPr>
    </w:p>
    <w:p>
      <w:pPr>
        <w:ind w:left="3740"/>
        <w:spacing w:after="0"/>
        <w:rPr>
          <w:sz w:val="20"/>
          <w:szCs w:val="20"/>
          <w:color w:val="auto"/>
        </w:rPr>
      </w:pPr>
      <w:r>
        <w:rPr>
          <w:rFonts w:ascii="Arial" w:cs="Arial" w:eastAsia="Arial" w:hAnsi="Arial"/>
          <w:sz w:val="20"/>
          <w:szCs w:val="20"/>
          <w:b w:val="1"/>
          <w:bCs w:val="1"/>
          <w:color w:val="auto"/>
        </w:rPr>
        <w:t>TO BE HELD ON THURSDAY, JUNE 9, 2016</w:t>
      </w:r>
    </w:p>
    <w:p>
      <w:pPr>
        <w:spacing w:after="0" w:line="20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Board of Directors (the “Board”) of CoStar Group, Inc. (“CoStar”, “we” or the “Company”) solicits your proxy for use at the Annual Meeting of Stockholders (the “Annual Meeting”) to be held at 10:00 a.m., local time, on Thursday, June 9, 2016, at the Company’s principal executive offices at 1331 L Street N.W., Washington, DC 20005, and at any adjournment or postponement of the Annual Meeting.</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are mailing the Notice Regarding the Availability of Proxy Materials to our stockholders eligible to vote at the Annual Meeting on or about April 25, 2016.</w:t>
      </w:r>
    </w:p>
    <w:p>
      <w:pPr>
        <w:spacing w:after="0" w:line="162" w:lineRule="exact"/>
        <w:rPr>
          <w:sz w:val="20"/>
          <w:szCs w:val="20"/>
          <w:color w:val="auto"/>
        </w:rPr>
      </w:pPr>
    </w:p>
    <w:p>
      <w:pPr>
        <w:jc w:val="both"/>
        <w:spacing w:after="0" w:line="267" w:lineRule="auto"/>
        <w:rPr>
          <w:sz w:val="20"/>
          <w:szCs w:val="20"/>
          <w:color w:val="auto"/>
        </w:rPr>
      </w:pPr>
      <w:r>
        <w:rPr>
          <w:rFonts w:ascii="Arial" w:cs="Arial" w:eastAsia="Arial" w:hAnsi="Arial"/>
          <w:sz w:val="20"/>
          <w:szCs w:val="20"/>
          <w:b w:val="1"/>
          <w:bCs w:val="1"/>
          <w:color w:val="auto"/>
        </w:rPr>
        <w:t>IMPORTANT NOTICE REGARDING THE AVAILABILITY OF PROXY MATERIALS FOR THE STOCKHOLDER MEETING TO BE HELD ON JUNE 9, 2016</w:t>
      </w:r>
    </w:p>
    <w:p>
      <w:pPr>
        <w:spacing w:after="0" w:line="17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Notice of Meeting and this Proxy Statement, as well as our 2015 annual report on Form 10-K, are available on our corporate website at www.costargroup.com/investors/sec-filings.</w:t>
      </w:r>
    </w:p>
    <w:p>
      <w:pPr>
        <w:spacing w:after="0" w:line="16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OUTSTANDING SECURITIES, VOTING RIGHTS AND QUORUM</w:t>
      </w:r>
    </w:p>
    <w:p>
      <w:pPr>
        <w:spacing w:after="0" w:line="224"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At the close of business on the record date, Monday, April 11, 2016, there were 32,567,714 shares of common stock outstanding and entitled to vote at the Annual Meeting. Each outstanding share of common stock is entitled to one vote on each of the eight director nominees and on each of the other proposals.</w:t>
      </w:r>
    </w:p>
    <w:p>
      <w:pPr>
        <w:spacing w:after="0" w:line="12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presence at the Annual Meeting, in person or by proxy, of a majority of the outstanding shares as of the record date constitutes a quorum (the minimum number of shares required to take action) for the Annual Meeting. Both abstentions and broker non-votes will be counted as shares present for purposes of obtaining a quorum.</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The required vote and the calculation method for each of the matters scheduled for consideration at the Annual Meeting are as follows:</w:t>
      </w:r>
    </w:p>
    <w:p>
      <w:pPr>
        <w:spacing w:after="0" w:line="22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i w:val="1"/>
          <w:iCs w:val="1"/>
          <w:color w:val="auto"/>
        </w:rPr>
        <w:t xml:space="preserve">Election of Directors. </w:t>
      </w:r>
      <w:r>
        <w:rPr>
          <w:rFonts w:ascii="Arial" w:cs="Arial" w:eastAsia="Arial" w:hAnsi="Arial"/>
          <w:sz w:val="17"/>
          <w:szCs w:val="17"/>
          <w:color w:val="auto"/>
        </w:rPr>
        <w:t>Our Bylaws provide that, in an uncontested election, each director will be elected by a majority of votes cast. A “majority of votes</w:t>
      </w:r>
      <w:r>
        <w:rPr>
          <w:rFonts w:ascii="Arial" w:cs="Arial" w:eastAsia="Arial" w:hAnsi="Arial"/>
          <w:sz w:val="17"/>
          <w:szCs w:val="17"/>
          <w:i w:val="1"/>
          <w:iCs w:val="1"/>
          <w:color w:val="auto"/>
        </w:rPr>
        <w:t xml:space="preserve"> </w:t>
      </w:r>
      <w:r>
        <w:rPr>
          <w:rFonts w:ascii="Arial" w:cs="Arial" w:eastAsia="Arial" w:hAnsi="Arial"/>
          <w:sz w:val="17"/>
          <w:szCs w:val="17"/>
          <w:color w:val="auto"/>
        </w:rPr>
        <w:t>cast” means the number of shares voted “FOR” a director exceeds the number of shares voted “AGAINST” that director. Our Board of Directors has adopted a director resignation policy consistent with the majority voting standard in our Bylaws. The policy provides that an incumbent director who does not receive the requisite majority of the votes cast for his or her election shall tender his or her resignation to the Board of Directors. The Nominating &amp; Corporate Governance Committee will then recommend to the Board, and the Board will decide, whether to accept or reject the resignation offer or take other action. In making its decision, the Board may consider any factors or information that it considers relevant. The Board will act on the recommendation of the Nominating &amp; Corporate Governance Committee within 90 days following certification of the election results.</w:t>
      </w:r>
    </w:p>
    <w:p>
      <w:pPr>
        <w:spacing w:after="0" w:line="17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majority voting standard does not apply, however, in a contested election, as further described in our Bylaws. The election of directors at the 2016 Annual Meeting will not be contested and each of the directors who receives the requisite majority of votes cast will be elected.</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Each of the Other Proposals. </w:t>
      </w:r>
      <w:r>
        <w:rPr>
          <w:rFonts w:ascii="Arial" w:cs="Arial" w:eastAsia="Arial" w:hAnsi="Arial"/>
          <w:sz w:val="18"/>
          <w:szCs w:val="18"/>
          <w:color w:val="auto"/>
        </w:rPr>
        <w:t>Approval of each of the other proposals to be voted on at the Annual Meeting requires a majority of votes cast, which means</w:t>
      </w:r>
      <w:r>
        <w:rPr>
          <w:rFonts w:ascii="Arial" w:cs="Arial" w:eastAsia="Arial" w:hAnsi="Arial"/>
          <w:sz w:val="18"/>
          <w:szCs w:val="18"/>
          <w:i w:val="1"/>
          <w:iCs w:val="1"/>
          <w:color w:val="auto"/>
        </w:rPr>
        <w:t xml:space="preserve"> </w:t>
      </w:r>
      <w:r>
        <w:rPr>
          <w:rFonts w:ascii="Arial" w:cs="Arial" w:eastAsia="Arial" w:hAnsi="Arial"/>
          <w:sz w:val="18"/>
          <w:szCs w:val="18"/>
          <w:color w:val="auto"/>
        </w:rPr>
        <w:t>that the number of shares voted “FOR” the proposal must exceed the number of shares voted “AGAINST” the proposal.</w:t>
      </w:r>
    </w:p>
    <w:p>
      <w:pPr>
        <w:sectPr>
          <w:pgSz w:w="11900" w:h="16838" w:orient="portrait"/>
          <w:cols w:equalWidth="0" w:num="1">
            <w:col w:w="11420"/>
          </w:cols>
          <w:pgMar w:left="240" w:top="355" w:right="239" w:bottom="1440" w:gutter="0" w:footer="0" w:header="0"/>
        </w:sectPr>
      </w:pPr>
    </w:p>
    <w:bookmarkStart w:id="7" w:name="page8"/>
    <w:bookmarkEnd w:id="7"/>
    <w:p>
      <w:pPr>
        <w:spacing w:after="0"/>
        <w:rPr>
          <w:sz w:val="20"/>
          <w:szCs w:val="20"/>
          <w:color w:val="auto"/>
        </w:rPr>
      </w:pPr>
      <w:r>
        <w:rPr>
          <w:rFonts w:ascii="Arial" w:cs="Arial" w:eastAsia="Arial" w:hAnsi="Arial"/>
          <w:sz w:val="20"/>
          <w:szCs w:val="20"/>
          <w:b w:val="1"/>
          <w:bCs w:val="1"/>
          <w:color w:val="auto"/>
        </w:rPr>
        <w:t>Treatment of Abstentions</w:t>
      </w:r>
    </w:p>
    <w:p>
      <w:pPr>
        <w:spacing w:after="0" w:line="22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With respect to the election of directors and the other proposals, stockholders may vote or abstain from voting. Abstentions will not affect the outcome of the election of directors or the other proposals because they are disregarded in calculating the total number of votes cast. Abstentions will be counted as present and entitled to vote for purposes of determining the presence of a quorum at the Annual Meeting.</w:t>
      </w:r>
    </w:p>
    <w:p>
      <w:pPr>
        <w:spacing w:after="0" w:line="17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Treatment of Broker Non-Votes</w:t>
      </w:r>
    </w:p>
    <w:p>
      <w:pPr>
        <w:spacing w:after="0" w:line="224"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If your shares are held in street name through a broker, bank or other nominee, you are considered the beneficial owner of shares held in street name. As the beneficial owner, you have the right to direct your broker, bank or other nominee on how to vote your shares. Your broker, bank or other nominee has the discretion to vote on routine corporate matters (routine matters include ratification of the appointment of the Company’s independent registered public accounting firm) presented in the proxy materials without your specific voting instructions. For non-routine matters (non-routine matters include election of directors, approval of the 2016 Stock Incentive Plan, approval of the 2016 Cash Incentive Plan, and approval of the advisory resolution on executive compensation), your shares will not be voted without your specific voting instructions, resulting in a “broker non-vote.”</w:t>
      </w:r>
    </w:p>
    <w:p>
      <w:pPr>
        <w:spacing w:after="0" w:line="178"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Broker non-votes will not affect the outcome of the election of directors or the other proposals because they are disregarded in calculating the total number of votes cast on the election of directors and each of the other proposals. Broker non-votes will be counted as present and entitled to vote for purposes of determining the presence of a quorum at the Annual Meeting.</w:t>
      </w:r>
    </w:p>
    <w:p>
      <w:pPr>
        <w:spacing w:after="0" w:line="17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PROXY VOTING AND REVOCATION</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There are four ways you can vote:</w:t>
      </w:r>
    </w:p>
    <w:p>
      <w:pPr>
        <w:spacing w:after="0" w:line="225" w:lineRule="exact"/>
        <w:rPr>
          <w:sz w:val="20"/>
          <w:szCs w:val="20"/>
          <w:color w:val="auto"/>
        </w:rPr>
      </w:pPr>
    </w:p>
    <w:p>
      <w:pPr>
        <w:ind w:left="520" w:hanging="323"/>
        <w:spacing w:after="0" w:line="258" w:lineRule="auto"/>
        <w:tabs>
          <w:tab w:leader="none" w:pos="520" w:val="left"/>
        </w:tabs>
        <w:numPr>
          <w:ilvl w:val="0"/>
          <w:numId w:val="6"/>
        </w:numPr>
        <w:rPr>
          <w:rFonts w:ascii="Arial" w:cs="Arial" w:eastAsia="Arial" w:hAnsi="Arial"/>
          <w:sz w:val="18"/>
          <w:szCs w:val="18"/>
          <w:color w:val="auto"/>
        </w:rPr>
      </w:pPr>
      <w:r>
        <w:rPr>
          <w:rFonts w:ascii="Arial" w:cs="Arial" w:eastAsia="Arial" w:hAnsi="Arial"/>
          <w:sz w:val="18"/>
          <w:szCs w:val="18"/>
          <w:color w:val="auto"/>
        </w:rPr>
        <w:t>By Internet (www.proxyvote.com): You may vote over the Internet by following the instructions provided in the Notice or, if you receive a complete set of proxy materials by U.S. mail, by following the instructions on the proxy card.</w:t>
      </w:r>
    </w:p>
    <w:p>
      <w:pPr>
        <w:spacing w:after="0" w:line="1" w:lineRule="exact"/>
        <w:rPr>
          <w:rFonts w:ascii="Arial" w:cs="Arial" w:eastAsia="Arial" w:hAnsi="Arial"/>
          <w:sz w:val="18"/>
          <w:szCs w:val="18"/>
          <w:color w:val="auto"/>
        </w:rPr>
      </w:pPr>
    </w:p>
    <w:p>
      <w:pPr>
        <w:ind w:left="520" w:hanging="323"/>
        <w:spacing w:after="0" w:line="250" w:lineRule="auto"/>
        <w:tabs>
          <w:tab w:leader="none" w:pos="520" w:val="left"/>
        </w:tabs>
        <w:numPr>
          <w:ilvl w:val="0"/>
          <w:numId w:val="6"/>
        </w:numPr>
        <w:rPr>
          <w:rFonts w:ascii="Arial" w:cs="Arial" w:eastAsia="Arial" w:hAnsi="Arial"/>
          <w:sz w:val="18"/>
          <w:szCs w:val="18"/>
          <w:color w:val="auto"/>
        </w:rPr>
      </w:pPr>
      <w:r>
        <w:rPr>
          <w:rFonts w:ascii="Arial" w:cs="Arial" w:eastAsia="Arial" w:hAnsi="Arial"/>
          <w:sz w:val="18"/>
          <w:szCs w:val="18"/>
          <w:color w:val="auto"/>
        </w:rPr>
        <w:t>By Telephone: If you receive a complete set of proxy materials by U.S. mail, you may vote by telephone by following the instructions on your proxy card.</w:t>
      </w:r>
    </w:p>
    <w:p>
      <w:pPr>
        <w:ind w:left="520" w:hanging="323"/>
        <w:spacing w:after="0" w:line="250" w:lineRule="auto"/>
        <w:tabs>
          <w:tab w:leader="none" w:pos="520" w:val="left"/>
        </w:tabs>
        <w:numPr>
          <w:ilvl w:val="0"/>
          <w:numId w:val="6"/>
        </w:numPr>
        <w:rPr>
          <w:rFonts w:ascii="Arial" w:cs="Arial" w:eastAsia="Arial" w:hAnsi="Arial"/>
          <w:sz w:val="18"/>
          <w:szCs w:val="18"/>
          <w:color w:val="auto"/>
        </w:rPr>
      </w:pPr>
      <w:r>
        <w:rPr>
          <w:rFonts w:ascii="Arial" w:cs="Arial" w:eastAsia="Arial" w:hAnsi="Arial"/>
          <w:sz w:val="18"/>
          <w:szCs w:val="18"/>
          <w:color w:val="auto"/>
        </w:rPr>
        <w:t>By Mail: If you receive a complete set of proxy materials by U.S. mail, you may complete, sign and return the accompanying proxy card in the postage-paid envelope provided or return it to Vote Processing, c/o Broadridge, 51 Mercedes Way, Edgewood, NY 11717.</w:t>
      </w:r>
    </w:p>
    <w:p>
      <w:pPr>
        <w:ind w:left="520" w:hanging="323"/>
        <w:spacing w:after="0" w:line="261" w:lineRule="auto"/>
        <w:tabs>
          <w:tab w:leader="none" w:pos="52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 Person: If you are a stockholder as of the Record Date, you may vote in person at the Annual Meeting. Submitting a proxy will not prevent a stockholder from attending the Annual Meeting, revoking his or her earlier-submitted proxy or voting in person.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If you properly complete and execute your proxy card in one of the ways set forth above:</w:t>
      </w:r>
    </w:p>
    <w:p>
      <w:pPr>
        <w:spacing w:after="0" w:line="225" w:lineRule="exact"/>
        <w:rPr>
          <w:sz w:val="20"/>
          <w:szCs w:val="20"/>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Your shares will be voted in accordance with your instructions.</w:t>
      </w:r>
    </w:p>
    <w:p>
      <w:pPr>
        <w:spacing w:after="0" w:line="23" w:lineRule="exact"/>
        <w:rPr>
          <w:rFonts w:ascii="Arial" w:cs="Arial" w:eastAsia="Arial" w:hAnsi="Arial"/>
          <w:sz w:val="18"/>
          <w:szCs w:val="18"/>
          <w:color w:val="auto"/>
        </w:rPr>
      </w:pPr>
    </w:p>
    <w:p>
      <w:pPr>
        <w:jc w:val="both"/>
        <w:ind w:left="660" w:hanging="328"/>
        <w:spacing w:after="0" w:line="254"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If you sign, date and return the proxy card and there are any items for which you do not provide instructions, your shares will be voted in accordance with the Board’s recommendations as follows: “FOR” election of each of the director nominees, “FOR” approval of the 2016 Stock Incentive Plan, “FOR” approval of the 2016 Cash Incentive Plan, “FOR” ratification of the independent registered public accounting firm, and “FOR” approval of the advisory resolution on executive compensation.</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color w:val="auto"/>
        </w:rPr>
        <w:t>You may revoke your proxy at any time before it is voted by:</w:t>
      </w:r>
    </w:p>
    <w:p>
      <w:pPr>
        <w:spacing w:after="0" w:line="225" w:lineRule="exact"/>
        <w:rPr>
          <w:sz w:val="20"/>
          <w:szCs w:val="20"/>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Delivering to the Corporate Secretary written notice that you are revoking your proxy;</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Submitting a properly executed proxy bearing a later date; or</w:t>
      </w:r>
    </w:p>
    <w:p>
      <w:pPr>
        <w:spacing w:after="0" w:line="9" w:lineRule="exact"/>
        <w:rPr>
          <w:rFonts w:ascii="Arial" w:cs="Arial" w:eastAsia="Arial" w:hAnsi="Arial"/>
          <w:sz w:val="18"/>
          <w:szCs w:val="18"/>
          <w:color w:val="auto"/>
        </w:rPr>
      </w:pPr>
    </w:p>
    <w:p>
      <w:pPr>
        <w:ind w:left="660" w:hanging="328"/>
        <w:spacing w:after="0" w:line="290" w:lineRule="auto"/>
        <w:tabs>
          <w:tab w:leader="none" w:pos="660" w:val="left"/>
        </w:tabs>
        <w:numPr>
          <w:ilvl w:val="0"/>
          <w:numId w:val="8"/>
        </w:numPr>
        <w:rPr>
          <w:rFonts w:ascii="Arial" w:cs="Arial" w:eastAsia="Arial" w:hAnsi="Arial"/>
          <w:sz w:val="17"/>
          <w:szCs w:val="17"/>
          <w:color w:val="auto"/>
        </w:rPr>
      </w:pPr>
      <w:r>
        <w:rPr>
          <w:rFonts w:ascii="Arial" w:cs="Arial" w:eastAsia="Arial" w:hAnsi="Arial"/>
          <w:sz w:val="17"/>
          <w:szCs w:val="17"/>
          <w:color w:val="auto"/>
        </w:rPr>
        <w:t>Attending the Annual Meeting and voting in person. If you are not the owner of record, but rather hold your shares through a broker or bank, you should take appropriate steps to obtain a legal proxy from the owner of record if you wish to attend and vote at the Annual Meeting.</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576" w:right="239" w:bottom="1440" w:gutter="0" w:footer="0" w:header="0"/>
        </w:sectPr>
      </w:pPr>
    </w:p>
    <w:bookmarkStart w:id="8" w:name="page9"/>
    <w:bookmarkEnd w:id="8"/>
    <w:p>
      <w:pPr>
        <w:jc w:val="both"/>
        <w:spacing w:after="0" w:line="277" w:lineRule="auto"/>
        <w:rPr>
          <w:sz w:val="20"/>
          <w:szCs w:val="20"/>
          <w:color w:val="auto"/>
        </w:rPr>
      </w:pPr>
      <w:r>
        <w:rPr>
          <w:rFonts w:ascii="Arial" w:cs="Arial" w:eastAsia="Arial" w:hAnsi="Arial"/>
          <w:sz w:val="18"/>
          <w:szCs w:val="18"/>
          <w:color w:val="auto"/>
        </w:rPr>
        <w:t>Simply attending the Annual Meeting will not revoke your proxy. If you instructed a broker to vote your shares, you must follow your broker’s directions for changing those instructions.</w:t>
      </w:r>
    </w:p>
    <w:p>
      <w:pPr>
        <w:spacing w:after="0" w:line="16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ATTENDING THE ANNUAL MEETING</w:t>
      </w:r>
    </w:p>
    <w:p>
      <w:pPr>
        <w:spacing w:after="0" w:line="224"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Only stockholders as of the record date, their proxy holders and our invited guests may attend the Annual Meeting. Beneficial owners whose ownership is registered under another party’s name and who plan to attend the Annual Meeting in person should obtain an admission ticket in advance by sending written requests, along with proof of beneficial ownership, such as a bank or brokerage firm account statement, to: Rich Simonelli, Vice President of Investor Relations, CoStar Group, Inc., 1331 L Street N.W., Washington, DC 20005. Beneficial owners who do not present valid admission tickets at the registration counter at the Annual Meeting will be admitted at CoStar’s sole discretion and may be required to verify share ownership, which may be established by providing a bank or brokerage firm account statement and photo identification, at the registration counter at the Annual Meeting. Stockholders as of the record date or their proxy holders who plan to attend the Annual Meeting may also be asked to present photo identification at the registration counter at the Annual Meeting to gain admittance to the Annual Meeting.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368" w:right="239" w:bottom="1440" w:gutter="0" w:footer="0" w:header="0"/>
        </w:sectPr>
      </w:pPr>
    </w:p>
    <w:bookmarkStart w:id="9" w:name="page10"/>
    <w:bookmarkEnd w:id="9"/>
    <w:p>
      <w:pPr>
        <w:jc w:val="center"/>
        <w:spacing w:after="0"/>
        <w:rPr>
          <w:sz w:val="20"/>
          <w:szCs w:val="20"/>
          <w:color w:val="auto"/>
        </w:rPr>
      </w:pPr>
      <w:r>
        <w:rPr>
          <w:rFonts w:ascii="Arial" w:cs="Arial" w:eastAsia="Arial" w:hAnsi="Arial"/>
          <w:sz w:val="25"/>
          <w:szCs w:val="25"/>
          <w:b w:val="1"/>
          <w:bCs w:val="1"/>
          <w:color w:val="auto"/>
        </w:rPr>
        <w:t>ITEM 1</w:t>
      </w:r>
    </w:p>
    <w:p>
      <w:pPr>
        <w:spacing w:after="0" w:line="38"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ELECTION OF DIRECTORS</w:t>
      </w:r>
    </w:p>
    <w:p>
      <w:pPr>
        <w:spacing w:after="0" w:line="206"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Board has currently fixed the number of directors constituting the Board at eight. The Nominating &amp; Corporate Governance Committee has recommended and the Board has nominated the eight current directors for reelection, seven of whom were last elected at the 2015 Annual Meeting of Stockholders, and one of whom (Ms. Kaplan) was recommended by the Nominating &amp; Corporate Governance Committee for nomination and appointed by the Board to fill a vacancy following the increase in the number of directors from seven to eight in April 2016. Ms. Kaplan was recommended to the Nominating &amp; Corporate Governance Committee as a director candidate by our Chief Executive Officer. The persons named as proxy holders on the proxy card will vote your shares “FOR” each of the eight nominees unless you instruct otherwise on your proxy card.</w:t>
      </w:r>
    </w:p>
    <w:p>
      <w:pPr>
        <w:spacing w:after="0" w:line="178"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Each of our directors elected at the Annual Meeting will serve until the next Annual Meeting of Stockholders or until his or her successor is elected and qualified. We know of no reason why any nominee would be unable to serve. However, if any of the nominees should become unable to serve prior to the Annual Meeting, proxies that do not withhold authority to vote for directors may be voted for any other nominee or nominees selected by the Board unless the Board votes to reduce the size of the Board to match the actual number of nominees. In no event may proxies be voted for a greater number of persons than the number of nominees named. We did not receive any stockholder nominations for director in connection with the 2016 Annual Meeting.</w:t>
      </w:r>
    </w:p>
    <w:p>
      <w:pPr>
        <w:spacing w:after="0" w:line="15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BOARD COMPOSITION</w:t>
      </w:r>
    </w:p>
    <w:p>
      <w:pPr>
        <w:spacing w:after="0" w:line="224"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Our Nominating &amp; Corporate Governance Committee is responsible for reviewing and assessing with the Board the Board’s membership criteria. The criteria include independence; judgment; integrity; ability to commit sufficient time and attention to the activities of the Board; an individual's business experience, skills and background, including an understanding of and experience with commercial real estate, information services, and technology industries; finance and marketing expertise; and absence of potential conflicts with the Company’s interests. The Nominating &amp; Corporate Governance Committee seeks a diversity of occupational and personal backgrounds on the Board in order to obtain a range of viewpoints and perspectives. In addition, the Nominating &amp; Corporate Governance Committee evaluates the composition of the Board to assess the skills and experience that are currently represented on the Board, as well as the skills and experience that the Board will find valuable in the future, given the Company’s current situation and strategic plans. This evaluation enables the Nominating &amp; Corporate Governance Committee to assess its effectiveness at achieving these Board membership objectives.</w:t>
      </w:r>
    </w:p>
    <w:p>
      <w:pPr>
        <w:spacing w:after="0" w:line="16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do not expect or intend that each director will have the same skills, experience and background. We expect that our Board members will have a diverse portfolio of skills, experiences and backgrounds and that each will contribute to the composition of the Board so that collectively the Board will possess the necessary skills, experience and background to oversee the business and affairs of the Company. Below is a list of key skills and experience that our directors bring to our Board that we consider important in light of our current business and structure. The directors’ individual biographies below describe each director’s most relevant experience, qualifications and skills.</w:t>
      </w:r>
    </w:p>
    <w:p>
      <w:pPr>
        <w:spacing w:after="0" w:line="188" w:lineRule="exact"/>
        <w:rPr>
          <w:sz w:val="20"/>
          <w:szCs w:val="20"/>
          <w:color w:val="auto"/>
        </w:rPr>
      </w:pPr>
    </w:p>
    <w:p>
      <w:pPr>
        <w:ind w:left="660" w:right="20" w:hanging="328"/>
        <w:spacing w:after="0" w:line="274" w:lineRule="auto"/>
        <w:tabs>
          <w:tab w:leader="none" w:pos="660" w:val="left"/>
        </w:tabs>
        <w:numPr>
          <w:ilvl w:val="0"/>
          <w:numId w:val="9"/>
        </w:numPr>
        <w:rPr>
          <w:rFonts w:ascii="Arial" w:cs="Arial" w:eastAsia="Arial" w:hAnsi="Arial"/>
          <w:sz w:val="17"/>
          <w:szCs w:val="17"/>
          <w:color w:val="auto"/>
        </w:rPr>
      </w:pPr>
      <w:r>
        <w:rPr>
          <w:rFonts w:ascii="Arial" w:cs="Arial" w:eastAsia="Arial" w:hAnsi="Arial"/>
          <w:sz w:val="17"/>
          <w:szCs w:val="17"/>
          <w:i w:val="1"/>
          <w:iCs w:val="1"/>
          <w:color w:val="auto"/>
        </w:rPr>
        <w:t xml:space="preserve">Industry Expertise. </w:t>
      </w:r>
      <w:r>
        <w:rPr>
          <w:rFonts w:ascii="Arial" w:cs="Arial" w:eastAsia="Arial" w:hAnsi="Arial"/>
          <w:sz w:val="17"/>
          <w:szCs w:val="17"/>
          <w:color w:val="auto"/>
        </w:rPr>
        <w:t>We seek directors with experience in the commercial real estate, data provider and technology industries. Experience in those</w:t>
      </w:r>
      <w:r>
        <w:rPr>
          <w:rFonts w:ascii="Arial" w:cs="Arial" w:eastAsia="Arial" w:hAnsi="Arial"/>
          <w:sz w:val="17"/>
          <w:szCs w:val="17"/>
          <w:i w:val="1"/>
          <w:iCs w:val="1"/>
          <w:color w:val="auto"/>
        </w:rPr>
        <w:t xml:space="preserve"> </w:t>
      </w:r>
      <w:r>
        <w:rPr>
          <w:rFonts w:ascii="Arial" w:cs="Arial" w:eastAsia="Arial" w:hAnsi="Arial"/>
          <w:sz w:val="17"/>
          <w:szCs w:val="17"/>
          <w:color w:val="auto"/>
        </w:rPr>
        <w:t>areas is valuable in understanding our growth and development efforts, as well as the market segments in which we operate.</w:t>
      </w:r>
    </w:p>
    <w:p>
      <w:pPr>
        <w:jc w:val="both"/>
        <w:ind w:left="660" w:hanging="328"/>
        <w:spacing w:after="0" w:line="250"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i w:val="1"/>
          <w:iCs w:val="1"/>
          <w:color w:val="auto"/>
        </w:rPr>
        <w:t xml:space="preserve">Financial Expertise. </w:t>
      </w:r>
      <w:r>
        <w:rPr>
          <w:rFonts w:ascii="Arial" w:cs="Arial" w:eastAsia="Arial" w:hAnsi="Arial"/>
          <w:sz w:val="18"/>
          <w:szCs w:val="18"/>
          <w:color w:val="auto"/>
        </w:rPr>
        <w:t>We believe that an understanding of accounting and financial reporting processes is important because it assists our directors in</w:t>
      </w:r>
      <w:r>
        <w:rPr>
          <w:rFonts w:ascii="Arial" w:cs="Arial" w:eastAsia="Arial" w:hAnsi="Arial"/>
          <w:sz w:val="18"/>
          <w:szCs w:val="18"/>
          <w:i w:val="1"/>
          <w:iCs w:val="1"/>
          <w:color w:val="auto"/>
        </w:rPr>
        <w:t xml:space="preserve"> </w:t>
      </w:r>
      <w:r>
        <w:rPr>
          <w:rFonts w:ascii="Arial" w:cs="Arial" w:eastAsia="Arial" w:hAnsi="Arial"/>
          <w:sz w:val="18"/>
          <w:szCs w:val="18"/>
          <w:color w:val="auto"/>
        </w:rPr>
        <w:t>understanding, advising and overseeing our investing activities, financial reporting and internal controls. We measure our operating performance by reference to financial targets. We expect all of our directors to be financially knowledgeable.</w:t>
      </w:r>
    </w:p>
    <w:p>
      <w:pPr>
        <w:spacing w:after="0" w:line="1" w:lineRule="exact"/>
        <w:rPr>
          <w:rFonts w:ascii="Arial" w:cs="Arial" w:eastAsia="Arial" w:hAnsi="Arial"/>
          <w:sz w:val="18"/>
          <w:szCs w:val="18"/>
          <w:color w:val="auto"/>
        </w:rPr>
      </w:pPr>
    </w:p>
    <w:p>
      <w:pPr>
        <w:jc w:val="both"/>
        <w:ind w:left="660" w:hanging="328"/>
        <w:spacing w:after="0" w:line="250"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i w:val="1"/>
          <w:iCs w:val="1"/>
          <w:color w:val="auto"/>
        </w:rPr>
        <w:t xml:space="preserve">Mergers &amp; Acquisitions Experience. </w:t>
      </w:r>
      <w:r>
        <w:rPr>
          <w:rFonts w:ascii="Arial" w:cs="Arial" w:eastAsia="Arial" w:hAnsi="Arial"/>
          <w:sz w:val="18"/>
          <w:szCs w:val="18"/>
          <w:color w:val="auto"/>
        </w:rPr>
        <w:t>We have grown over the years in part through mergers &amp; acquisitions activity and believe directors who have a</w:t>
      </w:r>
      <w:r>
        <w:rPr>
          <w:rFonts w:ascii="Arial" w:cs="Arial" w:eastAsia="Arial" w:hAnsi="Arial"/>
          <w:sz w:val="18"/>
          <w:szCs w:val="18"/>
          <w:i w:val="1"/>
          <w:iCs w:val="1"/>
          <w:color w:val="auto"/>
        </w:rPr>
        <w:t xml:space="preserve"> </w:t>
      </w:r>
      <w:r>
        <w:rPr>
          <w:rFonts w:ascii="Arial" w:cs="Arial" w:eastAsia="Arial" w:hAnsi="Arial"/>
          <w:sz w:val="18"/>
          <w:szCs w:val="18"/>
          <w:color w:val="auto"/>
        </w:rPr>
        <w:t>background in mergers &amp; acquisitions transactions can provide insight into developing and implementing strategies for growing our operations through business combinations and also provide relevant input regarding our business strategy. Relevant experience in this area includes experience identifying and valuing proposed transactions, analyzing the ‘fit’ of a proposed acquisition target with the Company’s strategy, and integrating acquired companies with our existing operations.</w:t>
      </w:r>
    </w:p>
    <w:p>
      <w:pPr>
        <w:spacing w:after="0" w:line="2" w:lineRule="exact"/>
        <w:rPr>
          <w:rFonts w:ascii="Arial" w:cs="Arial" w:eastAsia="Arial" w:hAnsi="Arial"/>
          <w:sz w:val="18"/>
          <w:szCs w:val="18"/>
          <w:color w:val="auto"/>
        </w:rPr>
      </w:pPr>
    </w:p>
    <w:p>
      <w:pPr>
        <w:jc w:val="both"/>
        <w:ind w:left="660" w:hanging="328"/>
        <w:spacing w:after="0" w:line="255"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i w:val="1"/>
          <w:iCs w:val="1"/>
          <w:color w:val="auto"/>
        </w:rPr>
        <w:t>Business Development</w:t>
      </w:r>
      <w:r>
        <w:rPr>
          <w:rFonts w:ascii="Arial" w:cs="Arial" w:eastAsia="Arial" w:hAnsi="Arial"/>
          <w:sz w:val="18"/>
          <w:szCs w:val="18"/>
          <w:color w:val="auto"/>
        </w:rPr>
        <w:t>. We expect to continue to grow organically by identifying and developing new services and new markets for our services.</w:t>
      </w:r>
      <w:r>
        <w:rPr>
          <w:rFonts w:ascii="Arial" w:cs="Arial" w:eastAsia="Arial" w:hAnsi="Arial"/>
          <w:sz w:val="18"/>
          <w:szCs w:val="18"/>
          <w:i w:val="1"/>
          <w:iCs w:val="1"/>
          <w:color w:val="auto"/>
        </w:rPr>
        <w:t xml:space="preserve"> </w:t>
      </w:r>
      <w:r>
        <w:rPr>
          <w:rFonts w:ascii="Arial" w:cs="Arial" w:eastAsia="Arial" w:hAnsi="Arial"/>
          <w:sz w:val="18"/>
          <w:szCs w:val="18"/>
          <w:color w:val="auto"/>
        </w:rPr>
        <w:t>Directors who have expertise in business development can provide insight into developing and implementing strategies for growing our business organically.</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360" w:right="239" w:bottom="1440" w:gutter="0" w:footer="0" w:header="0"/>
        </w:sectPr>
      </w:pPr>
    </w:p>
    <w:bookmarkStart w:id="10" w:name="page11"/>
    <w:bookmarkEnd w:id="10"/>
    <w:p>
      <w:pPr>
        <w:jc w:val="both"/>
        <w:ind w:left="660" w:hanging="328"/>
        <w:spacing w:after="0" w:line="271" w:lineRule="auto"/>
        <w:tabs>
          <w:tab w:leader="none" w:pos="660" w:val="left"/>
        </w:tabs>
        <w:numPr>
          <w:ilvl w:val="0"/>
          <w:numId w:val="10"/>
        </w:numPr>
        <w:rPr>
          <w:rFonts w:ascii="Arial" w:cs="Arial" w:eastAsia="Arial" w:hAnsi="Arial"/>
          <w:sz w:val="17"/>
          <w:szCs w:val="17"/>
          <w:color w:val="auto"/>
        </w:rPr>
      </w:pPr>
      <w:r>
        <w:rPr>
          <w:rFonts w:ascii="Arial" w:cs="Arial" w:eastAsia="Arial" w:hAnsi="Arial"/>
          <w:sz w:val="17"/>
          <w:szCs w:val="17"/>
          <w:i w:val="1"/>
          <w:iCs w:val="1"/>
          <w:color w:val="auto"/>
        </w:rPr>
        <w:t xml:space="preserve">Public Company Board and Management Experience. </w:t>
      </w:r>
      <w:r>
        <w:rPr>
          <w:rFonts w:ascii="Arial" w:cs="Arial" w:eastAsia="Arial" w:hAnsi="Arial"/>
          <w:sz w:val="17"/>
          <w:szCs w:val="17"/>
          <w:color w:val="auto"/>
        </w:rPr>
        <w:t>Directors who have served on other public company boards and/or as executives of other</w:t>
      </w:r>
      <w:r>
        <w:rPr>
          <w:rFonts w:ascii="Arial" w:cs="Arial" w:eastAsia="Arial" w:hAnsi="Arial"/>
          <w:sz w:val="17"/>
          <w:szCs w:val="17"/>
          <w:i w:val="1"/>
          <w:iCs w:val="1"/>
          <w:color w:val="auto"/>
        </w:rPr>
        <w:t xml:space="preserve"> </w:t>
      </w:r>
      <w:r>
        <w:rPr>
          <w:rFonts w:ascii="Arial" w:cs="Arial" w:eastAsia="Arial" w:hAnsi="Arial"/>
          <w:sz w:val="17"/>
          <w:szCs w:val="17"/>
          <w:color w:val="auto"/>
        </w:rPr>
        <w:t>public companies can offer advice and insight with regard to the dynamics and operation of a board of directors, the relationship between a board and the CEO and other management personnel, and an understanding of good corporate governance practices and risk management.</w:t>
      </w:r>
    </w:p>
    <w:p>
      <w:pPr>
        <w:ind w:left="660" w:right="20" w:hanging="328"/>
        <w:spacing w:after="0" w:line="261"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i w:val="1"/>
          <w:iCs w:val="1"/>
          <w:color w:val="auto"/>
        </w:rPr>
        <w:t xml:space="preserve">Leadership Experience. </w:t>
      </w:r>
      <w:r>
        <w:rPr>
          <w:rFonts w:ascii="Arial" w:cs="Arial" w:eastAsia="Arial" w:hAnsi="Arial"/>
          <w:sz w:val="18"/>
          <w:szCs w:val="18"/>
          <w:color w:val="auto"/>
        </w:rPr>
        <w:t>Directors who have served in a leadership capacity or as executives at other companies provide valuable operational insight</w:t>
      </w:r>
      <w:r>
        <w:rPr>
          <w:rFonts w:ascii="Arial" w:cs="Arial" w:eastAsia="Arial" w:hAnsi="Arial"/>
          <w:sz w:val="18"/>
          <w:szCs w:val="18"/>
          <w:i w:val="1"/>
          <w:iCs w:val="1"/>
          <w:color w:val="auto"/>
        </w:rPr>
        <w:t xml:space="preserve"> </w:t>
      </w:r>
      <w:r>
        <w:rPr>
          <w:rFonts w:ascii="Arial" w:cs="Arial" w:eastAsia="Arial" w:hAnsi="Arial"/>
          <w:sz w:val="18"/>
          <w:szCs w:val="18"/>
          <w:color w:val="auto"/>
        </w:rPr>
        <w:t>and can help the Board operate efficiently and effectively.</w:t>
      </w:r>
    </w:p>
    <w:p>
      <w:pPr>
        <w:spacing w:after="0" w:line="17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NOMINEES FOR THE BOARD OF DIRECTORS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lists the eight director nominees and their current committee memberships: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7254875" cy="323278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4875" cy="3232785"/>
                    </a:xfrm>
                    <a:prstGeom prst="rect">
                      <a:avLst/>
                    </a:prstGeom>
                    <a:noFill/>
                  </pic:spPr>
                </pic:pic>
              </a:graphicData>
            </a:graphic>
          </wp:anchor>
        </w:drawing>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297"/>
        </w:trPr>
        <w:tc>
          <w:tcPr>
            <w:tcW w:w="20" w:type="dxa"/>
            <w:vAlign w:val="bottom"/>
          </w:tcPr>
          <w:p>
            <w:pPr>
              <w:spacing w:after="0"/>
              <w:rPr>
                <w:sz w:val="24"/>
                <w:szCs w:val="24"/>
                <w:color w:val="auto"/>
              </w:rPr>
            </w:pPr>
          </w:p>
        </w:tc>
        <w:tc>
          <w:tcPr>
            <w:tcW w:w="2160" w:type="dxa"/>
            <w:vAlign w:val="bottom"/>
            <w:vMerge w:val="restart"/>
            <w:shd w:val="clear" w:color="auto" w:fill="B8CCE4"/>
          </w:tcPr>
          <w:p>
            <w:pPr>
              <w:ind w:left="20"/>
              <w:spacing w:after="0"/>
              <w:rPr>
                <w:sz w:val="20"/>
                <w:szCs w:val="20"/>
                <w:color w:val="auto"/>
              </w:rPr>
            </w:pPr>
            <w:r>
              <w:rPr>
                <w:rFonts w:ascii="Arial" w:cs="Arial" w:eastAsia="Arial" w:hAnsi="Arial"/>
                <w:sz w:val="18"/>
                <w:szCs w:val="18"/>
                <w:b w:val="1"/>
                <w:bCs w:val="1"/>
                <w:color w:val="auto"/>
              </w:rPr>
              <w:t>Name</w:t>
            </w:r>
          </w:p>
        </w:tc>
        <w:tc>
          <w:tcPr>
            <w:tcW w:w="3640" w:type="dxa"/>
            <w:vAlign w:val="bottom"/>
            <w:shd w:val="clear" w:color="auto" w:fill="B8CCE4"/>
          </w:tcPr>
          <w:p>
            <w:pPr>
              <w:ind w:left="160"/>
              <w:spacing w:after="0"/>
              <w:rPr>
                <w:sz w:val="20"/>
                <w:szCs w:val="20"/>
                <w:color w:val="auto"/>
              </w:rPr>
            </w:pPr>
            <w:r>
              <w:rPr>
                <w:rFonts w:ascii="Arial" w:cs="Arial" w:eastAsia="Arial" w:hAnsi="Arial"/>
                <w:sz w:val="18"/>
                <w:szCs w:val="18"/>
                <w:b w:val="1"/>
                <w:bCs w:val="1"/>
                <w:color w:val="auto"/>
              </w:rPr>
              <w:t>Employment</w:t>
            </w:r>
          </w:p>
        </w:tc>
        <w:tc>
          <w:tcPr>
            <w:tcW w:w="2300" w:type="dxa"/>
            <w:vAlign w:val="bottom"/>
            <w:vMerge w:val="restart"/>
            <w:shd w:val="clear" w:color="auto" w:fill="B8CCE4"/>
          </w:tcPr>
          <w:p>
            <w:pPr>
              <w:ind w:left="360"/>
              <w:spacing w:after="0"/>
              <w:rPr>
                <w:sz w:val="20"/>
                <w:szCs w:val="20"/>
                <w:color w:val="auto"/>
              </w:rPr>
            </w:pPr>
            <w:r>
              <w:rPr>
                <w:rFonts w:ascii="Arial" w:cs="Arial" w:eastAsia="Arial" w:hAnsi="Arial"/>
                <w:sz w:val="18"/>
                <w:szCs w:val="18"/>
                <w:b w:val="1"/>
                <w:bCs w:val="1"/>
                <w:color w:val="auto"/>
              </w:rPr>
              <w:t>Years as a Director</w:t>
            </w:r>
            <w:r>
              <w:rPr>
                <w:rFonts w:ascii="Arial" w:cs="Arial" w:eastAsia="Arial" w:hAnsi="Arial"/>
                <w:sz w:val="25"/>
                <w:szCs w:val="25"/>
                <w:b w:val="1"/>
                <w:bCs w:val="1"/>
                <w:color w:val="auto"/>
                <w:vertAlign w:val="superscript"/>
              </w:rPr>
              <w:t>(1)</w:t>
            </w:r>
          </w:p>
        </w:tc>
        <w:tc>
          <w:tcPr>
            <w:tcW w:w="3300" w:type="dxa"/>
            <w:vAlign w:val="bottom"/>
            <w:shd w:val="clear" w:color="auto" w:fill="B8CCE4"/>
          </w:tcPr>
          <w:p>
            <w:pPr>
              <w:ind w:left="160"/>
              <w:spacing w:after="0"/>
              <w:rPr>
                <w:sz w:val="20"/>
                <w:szCs w:val="20"/>
                <w:color w:val="auto"/>
              </w:rPr>
            </w:pPr>
            <w:r>
              <w:rPr>
                <w:rFonts w:ascii="Arial" w:cs="Arial" w:eastAsia="Arial" w:hAnsi="Arial"/>
                <w:sz w:val="18"/>
                <w:szCs w:val="18"/>
                <w:b w:val="1"/>
                <w:bCs w:val="1"/>
                <w:color w:val="auto"/>
              </w:rPr>
              <w:t>Committee Membership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160" w:type="dxa"/>
            <w:vAlign w:val="bottom"/>
            <w:vMerge w:val="continue"/>
            <w:shd w:val="clear" w:color="auto" w:fill="B8CCE4"/>
          </w:tcPr>
          <w:p>
            <w:pPr>
              <w:spacing w:after="0"/>
              <w:rPr>
                <w:sz w:val="11"/>
                <w:szCs w:val="11"/>
                <w:color w:val="auto"/>
              </w:rPr>
            </w:pPr>
          </w:p>
        </w:tc>
        <w:tc>
          <w:tcPr>
            <w:tcW w:w="3640" w:type="dxa"/>
            <w:vAlign w:val="bottom"/>
            <w:shd w:val="clear" w:color="auto" w:fill="B8CCE4"/>
          </w:tcPr>
          <w:p>
            <w:pPr>
              <w:spacing w:after="0"/>
              <w:rPr>
                <w:sz w:val="11"/>
                <w:szCs w:val="11"/>
                <w:color w:val="auto"/>
              </w:rPr>
            </w:pPr>
          </w:p>
        </w:tc>
        <w:tc>
          <w:tcPr>
            <w:tcW w:w="2300" w:type="dxa"/>
            <w:vAlign w:val="bottom"/>
            <w:vMerge w:val="continue"/>
            <w:shd w:val="clear" w:color="auto" w:fill="B8CCE4"/>
          </w:tcPr>
          <w:p>
            <w:pPr>
              <w:spacing w:after="0"/>
              <w:rPr>
                <w:sz w:val="11"/>
                <w:szCs w:val="11"/>
                <w:color w:val="auto"/>
              </w:rPr>
            </w:pPr>
          </w:p>
        </w:tc>
        <w:tc>
          <w:tcPr>
            <w:tcW w:w="3300" w:type="dxa"/>
            <w:vAlign w:val="bottom"/>
            <w:shd w:val="clear" w:color="auto" w:fill="B8CCE4"/>
          </w:tcPr>
          <w:p>
            <w:pPr>
              <w:spacing w:after="0"/>
              <w:rPr>
                <w:sz w:val="11"/>
                <w:szCs w:val="11"/>
                <w:color w:val="auto"/>
              </w:rPr>
            </w:pPr>
          </w:p>
        </w:tc>
        <w:tc>
          <w:tcPr>
            <w:tcW w:w="0" w:type="dxa"/>
            <w:vAlign w:val="bottom"/>
          </w:tcPr>
          <w:p>
            <w:pPr>
              <w:spacing w:after="0"/>
              <w:rPr>
                <w:sz w:val="1"/>
                <w:szCs w:val="1"/>
                <w:color w:val="auto"/>
              </w:rPr>
            </w:pPr>
          </w:p>
        </w:tc>
      </w:tr>
      <w:tr>
        <w:trPr>
          <w:trHeight w:val="274"/>
        </w:trPr>
        <w:tc>
          <w:tcPr>
            <w:tcW w:w="20" w:type="dxa"/>
            <w:vAlign w:val="bottom"/>
          </w:tcPr>
          <w:p>
            <w:pPr>
              <w:spacing w:after="0"/>
              <w:rPr>
                <w:sz w:val="23"/>
                <w:szCs w:val="23"/>
                <w:color w:val="auto"/>
              </w:rPr>
            </w:pPr>
          </w:p>
        </w:tc>
        <w:tc>
          <w:tcPr>
            <w:tcW w:w="2160" w:type="dxa"/>
            <w:vAlign w:val="bottom"/>
            <w:shd w:val="clear" w:color="auto" w:fill="DBE5F1"/>
          </w:tcPr>
          <w:p>
            <w:pPr>
              <w:ind w:left="20"/>
              <w:spacing w:after="0"/>
              <w:rPr>
                <w:sz w:val="20"/>
                <w:szCs w:val="20"/>
                <w:color w:val="auto"/>
              </w:rPr>
            </w:pPr>
            <w:r>
              <w:rPr>
                <w:rFonts w:ascii="Arial" w:cs="Arial" w:eastAsia="Arial" w:hAnsi="Arial"/>
                <w:sz w:val="16"/>
                <w:szCs w:val="16"/>
                <w:color w:val="auto"/>
              </w:rPr>
              <w:t>Michael R. Klein</w:t>
            </w:r>
          </w:p>
        </w:tc>
        <w:tc>
          <w:tcPr>
            <w:tcW w:w="3640" w:type="dxa"/>
            <w:vAlign w:val="bottom"/>
            <w:shd w:val="clear" w:color="auto" w:fill="DBE5F1"/>
          </w:tcPr>
          <w:p>
            <w:pPr>
              <w:ind w:left="160"/>
              <w:spacing w:after="0"/>
              <w:rPr>
                <w:sz w:val="20"/>
                <w:szCs w:val="20"/>
                <w:color w:val="auto"/>
              </w:rPr>
            </w:pPr>
            <w:r>
              <w:rPr>
                <w:rFonts w:ascii="Arial" w:cs="Arial" w:eastAsia="Arial" w:hAnsi="Arial"/>
                <w:sz w:val="16"/>
                <w:szCs w:val="16"/>
                <w:color w:val="auto"/>
              </w:rPr>
              <w:t>Chairman, CoStar Group, Inc.; Chairman, The</w:t>
            </w:r>
          </w:p>
        </w:tc>
        <w:tc>
          <w:tcPr>
            <w:tcW w:w="2300" w:type="dxa"/>
            <w:vAlign w:val="bottom"/>
            <w:shd w:val="clear" w:color="auto" w:fill="DBE5F1"/>
          </w:tcPr>
          <w:p>
            <w:pPr>
              <w:jc w:val="center"/>
              <w:spacing w:after="0"/>
              <w:rPr>
                <w:sz w:val="20"/>
                <w:szCs w:val="20"/>
                <w:color w:val="auto"/>
              </w:rPr>
            </w:pPr>
            <w:r>
              <w:rPr>
                <w:rFonts w:ascii="Arial" w:cs="Arial" w:eastAsia="Arial" w:hAnsi="Arial"/>
                <w:sz w:val="16"/>
                <w:szCs w:val="16"/>
                <w:color w:val="auto"/>
                <w:w w:val="89"/>
              </w:rPr>
              <w:t>29</w:t>
            </w:r>
          </w:p>
        </w:tc>
        <w:tc>
          <w:tcPr>
            <w:tcW w:w="3300" w:type="dxa"/>
            <w:vAlign w:val="bottom"/>
            <w:shd w:val="clear" w:color="auto" w:fill="DBE5F1"/>
          </w:tcPr>
          <w:p>
            <w:pPr>
              <w:ind w:left="160"/>
              <w:spacing w:after="0"/>
              <w:rPr>
                <w:sz w:val="20"/>
                <w:szCs w:val="20"/>
                <w:color w:val="auto"/>
              </w:rPr>
            </w:pPr>
            <w:r>
              <w:rPr>
                <w:rFonts w:ascii="Arial" w:cs="Arial" w:eastAsia="Arial" w:hAnsi="Arial"/>
                <w:sz w:val="16"/>
                <w:szCs w:val="16"/>
                <w:color w:val="auto"/>
              </w:rPr>
              <w:t>Compensation; Nominating &amp; Corporate</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160" w:type="dxa"/>
            <w:vAlign w:val="bottom"/>
            <w:shd w:val="clear" w:color="auto" w:fill="DBE5F1"/>
          </w:tcPr>
          <w:p>
            <w:pPr>
              <w:spacing w:after="0"/>
              <w:rPr>
                <w:sz w:val="17"/>
                <w:szCs w:val="17"/>
                <w:color w:val="auto"/>
              </w:rPr>
            </w:pPr>
          </w:p>
        </w:tc>
        <w:tc>
          <w:tcPr>
            <w:tcW w:w="3640" w:type="dxa"/>
            <w:vAlign w:val="bottom"/>
            <w:shd w:val="clear" w:color="auto" w:fill="DBE5F1"/>
          </w:tcPr>
          <w:p>
            <w:pPr>
              <w:ind w:left="160"/>
              <w:spacing w:after="0"/>
              <w:rPr>
                <w:sz w:val="20"/>
                <w:szCs w:val="20"/>
                <w:color w:val="auto"/>
              </w:rPr>
            </w:pPr>
            <w:r>
              <w:rPr>
                <w:rFonts w:ascii="Arial" w:cs="Arial" w:eastAsia="Arial" w:hAnsi="Arial"/>
                <w:sz w:val="16"/>
                <w:szCs w:val="16"/>
                <w:color w:val="auto"/>
              </w:rPr>
              <w:t>Sunlight Foundation</w:t>
            </w:r>
          </w:p>
        </w:tc>
        <w:tc>
          <w:tcPr>
            <w:tcW w:w="2300" w:type="dxa"/>
            <w:vAlign w:val="bottom"/>
            <w:shd w:val="clear" w:color="auto" w:fill="DBE5F1"/>
          </w:tcPr>
          <w:p>
            <w:pPr>
              <w:spacing w:after="0"/>
              <w:rPr>
                <w:sz w:val="17"/>
                <w:szCs w:val="17"/>
                <w:color w:val="auto"/>
              </w:rPr>
            </w:pPr>
          </w:p>
        </w:tc>
        <w:tc>
          <w:tcPr>
            <w:tcW w:w="3300" w:type="dxa"/>
            <w:vAlign w:val="bottom"/>
            <w:shd w:val="clear" w:color="auto" w:fill="DBE5F1"/>
          </w:tcPr>
          <w:p>
            <w:pPr>
              <w:ind w:left="160"/>
              <w:spacing w:after="0"/>
              <w:rPr>
                <w:sz w:val="20"/>
                <w:szCs w:val="20"/>
                <w:color w:val="auto"/>
              </w:rPr>
            </w:pPr>
            <w:r>
              <w:rPr>
                <w:rFonts w:ascii="Arial" w:cs="Arial" w:eastAsia="Arial" w:hAnsi="Arial"/>
                <w:sz w:val="16"/>
                <w:szCs w:val="16"/>
                <w:color w:val="auto"/>
              </w:rPr>
              <w:t>Governance</w:t>
            </w:r>
          </w:p>
        </w:tc>
        <w:tc>
          <w:tcPr>
            <w:tcW w:w="0" w:type="dxa"/>
            <w:vAlign w:val="bottom"/>
          </w:tcPr>
          <w:p>
            <w:pPr>
              <w:spacing w:after="0"/>
              <w:rPr>
                <w:sz w:val="1"/>
                <w:szCs w:val="1"/>
                <w:color w:val="auto"/>
              </w:rPr>
            </w:pPr>
          </w:p>
        </w:tc>
      </w:tr>
      <w:tr>
        <w:trPr>
          <w:trHeight w:val="453"/>
        </w:trPr>
        <w:tc>
          <w:tcPr>
            <w:tcW w:w="20" w:type="dxa"/>
            <w:vAlign w:val="bottom"/>
          </w:tcPr>
          <w:p>
            <w:pPr>
              <w:spacing w:after="0"/>
              <w:rPr>
                <w:sz w:val="24"/>
                <w:szCs w:val="24"/>
                <w:color w:val="auto"/>
              </w:rPr>
            </w:pPr>
          </w:p>
        </w:tc>
        <w:tc>
          <w:tcPr>
            <w:tcW w:w="2160" w:type="dxa"/>
            <w:vAlign w:val="bottom"/>
            <w:shd w:val="clear" w:color="auto" w:fill="DBE5F1"/>
          </w:tcPr>
          <w:p>
            <w:pPr>
              <w:ind w:left="60"/>
              <w:spacing w:after="0"/>
              <w:rPr>
                <w:sz w:val="20"/>
                <w:szCs w:val="20"/>
                <w:color w:val="auto"/>
              </w:rPr>
            </w:pPr>
            <w:r>
              <w:rPr>
                <w:rFonts w:ascii="Arial" w:cs="Arial" w:eastAsia="Arial" w:hAnsi="Arial"/>
                <w:sz w:val="16"/>
                <w:szCs w:val="16"/>
                <w:color w:val="auto"/>
              </w:rPr>
              <w:t>Andrew C. Florance</w:t>
            </w:r>
            <w:r>
              <w:rPr>
                <w:rFonts w:ascii="Arial" w:cs="Arial" w:eastAsia="Arial" w:hAnsi="Arial"/>
                <w:sz w:val="21"/>
                <w:szCs w:val="21"/>
                <w:color w:val="auto"/>
                <w:vertAlign w:val="superscript"/>
              </w:rPr>
              <w:t>(2)</w:t>
            </w:r>
          </w:p>
        </w:tc>
        <w:tc>
          <w:tcPr>
            <w:tcW w:w="3640" w:type="dxa"/>
            <w:vAlign w:val="bottom"/>
            <w:shd w:val="clear" w:color="auto" w:fill="DBE5F1"/>
          </w:tcPr>
          <w:p>
            <w:pPr>
              <w:ind w:left="160"/>
              <w:spacing w:after="0"/>
              <w:rPr>
                <w:sz w:val="20"/>
                <w:szCs w:val="20"/>
                <w:color w:val="auto"/>
              </w:rPr>
            </w:pPr>
            <w:r>
              <w:rPr>
                <w:rFonts w:ascii="Arial" w:cs="Arial" w:eastAsia="Arial" w:hAnsi="Arial"/>
                <w:sz w:val="16"/>
                <w:szCs w:val="16"/>
                <w:color w:val="auto"/>
              </w:rPr>
              <w:t>CEO &amp; President, CoStar Group, Inc.</w:t>
            </w:r>
          </w:p>
        </w:tc>
        <w:tc>
          <w:tcPr>
            <w:tcW w:w="2300" w:type="dxa"/>
            <w:vAlign w:val="bottom"/>
            <w:shd w:val="clear" w:color="auto" w:fill="DBE5F1"/>
          </w:tcPr>
          <w:p>
            <w:pPr>
              <w:jc w:val="center"/>
              <w:spacing w:after="0"/>
              <w:rPr>
                <w:sz w:val="20"/>
                <w:szCs w:val="20"/>
                <w:color w:val="auto"/>
              </w:rPr>
            </w:pPr>
            <w:r>
              <w:rPr>
                <w:rFonts w:ascii="Arial" w:cs="Arial" w:eastAsia="Arial" w:hAnsi="Arial"/>
                <w:sz w:val="16"/>
                <w:szCs w:val="16"/>
                <w:color w:val="auto"/>
                <w:w w:val="89"/>
              </w:rPr>
              <w:t>29</w:t>
            </w:r>
          </w:p>
        </w:tc>
        <w:tc>
          <w:tcPr>
            <w:tcW w:w="3300" w:type="dxa"/>
            <w:vAlign w:val="bottom"/>
            <w:shd w:val="clear" w:color="auto" w:fill="DBE5F1"/>
          </w:tcPr>
          <w:p>
            <w:pPr>
              <w:ind w:left="160"/>
              <w:spacing w:after="0"/>
              <w:rPr>
                <w:sz w:val="20"/>
                <w:szCs w:val="20"/>
                <w:color w:val="auto"/>
              </w:rPr>
            </w:pPr>
            <w:r>
              <w:rPr>
                <w:rFonts w:ascii="Arial" w:cs="Arial" w:eastAsia="Arial" w:hAnsi="Arial"/>
                <w:sz w:val="16"/>
                <w:szCs w:val="16"/>
                <w:color w:val="auto"/>
              </w:rPr>
              <w:t>None</w:t>
            </w:r>
          </w:p>
        </w:tc>
        <w:tc>
          <w:tcPr>
            <w:tcW w:w="0" w:type="dxa"/>
            <w:vAlign w:val="bottom"/>
          </w:tcPr>
          <w:p>
            <w:pPr>
              <w:spacing w:after="0"/>
              <w:rPr>
                <w:sz w:val="1"/>
                <w:szCs w:val="1"/>
                <w:color w:val="auto"/>
              </w:rPr>
            </w:pPr>
          </w:p>
        </w:tc>
      </w:tr>
      <w:tr>
        <w:trPr>
          <w:trHeight w:val="385"/>
        </w:trPr>
        <w:tc>
          <w:tcPr>
            <w:tcW w:w="20" w:type="dxa"/>
            <w:vAlign w:val="bottom"/>
          </w:tcPr>
          <w:p>
            <w:pPr>
              <w:spacing w:after="0"/>
              <w:rPr>
                <w:sz w:val="24"/>
                <w:szCs w:val="24"/>
                <w:color w:val="auto"/>
              </w:rPr>
            </w:pPr>
          </w:p>
        </w:tc>
        <w:tc>
          <w:tcPr>
            <w:tcW w:w="2160" w:type="dxa"/>
            <w:vAlign w:val="bottom"/>
            <w:shd w:val="clear" w:color="auto" w:fill="DBE5F1"/>
          </w:tcPr>
          <w:p>
            <w:pPr>
              <w:ind w:left="20"/>
              <w:spacing w:after="0"/>
              <w:rPr>
                <w:sz w:val="20"/>
                <w:szCs w:val="20"/>
                <w:color w:val="auto"/>
              </w:rPr>
            </w:pPr>
            <w:r>
              <w:rPr>
                <w:rFonts w:ascii="Arial" w:cs="Arial" w:eastAsia="Arial" w:hAnsi="Arial"/>
                <w:sz w:val="16"/>
                <w:szCs w:val="16"/>
                <w:color w:val="auto"/>
              </w:rPr>
              <w:t>Michael J. Glosserman</w:t>
            </w:r>
          </w:p>
        </w:tc>
        <w:tc>
          <w:tcPr>
            <w:tcW w:w="3640" w:type="dxa"/>
            <w:vAlign w:val="bottom"/>
            <w:shd w:val="clear" w:color="auto" w:fill="DBE5F1"/>
          </w:tcPr>
          <w:p>
            <w:pPr>
              <w:ind w:left="160"/>
              <w:spacing w:after="0"/>
              <w:rPr>
                <w:sz w:val="20"/>
                <w:szCs w:val="20"/>
                <w:color w:val="auto"/>
              </w:rPr>
            </w:pPr>
            <w:r>
              <w:rPr>
                <w:rFonts w:ascii="Arial" w:cs="Arial" w:eastAsia="Arial" w:hAnsi="Arial"/>
                <w:sz w:val="16"/>
                <w:szCs w:val="16"/>
                <w:color w:val="auto"/>
              </w:rPr>
              <w:t>Managing Member, The JBG Companies</w:t>
            </w:r>
          </w:p>
        </w:tc>
        <w:tc>
          <w:tcPr>
            <w:tcW w:w="2300" w:type="dxa"/>
            <w:vAlign w:val="bottom"/>
            <w:shd w:val="clear" w:color="auto" w:fill="DBE5F1"/>
          </w:tcPr>
          <w:p>
            <w:pPr>
              <w:jc w:val="center"/>
              <w:spacing w:after="0"/>
              <w:rPr>
                <w:sz w:val="20"/>
                <w:szCs w:val="20"/>
                <w:color w:val="auto"/>
              </w:rPr>
            </w:pPr>
            <w:r>
              <w:rPr>
                <w:rFonts w:ascii="Arial" w:cs="Arial" w:eastAsia="Arial" w:hAnsi="Arial"/>
                <w:sz w:val="16"/>
                <w:szCs w:val="16"/>
                <w:color w:val="auto"/>
                <w:w w:val="89"/>
              </w:rPr>
              <w:t>8</w:t>
            </w:r>
          </w:p>
        </w:tc>
        <w:tc>
          <w:tcPr>
            <w:tcW w:w="3300" w:type="dxa"/>
            <w:vAlign w:val="bottom"/>
            <w:shd w:val="clear" w:color="auto" w:fill="DBE5F1"/>
          </w:tcPr>
          <w:p>
            <w:pPr>
              <w:ind w:left="160"/>
              <w:spacing w:after="0"/>
              <w:rPr>
                <w:sz w:val="20"/>
                <w:szCs w:val="20"/>
                <w:color w:val="auto"/>
              </w:rPr>
            </w:pPr>
            <w:r>
              <w:rPr>
                <w:rFonts w:ascii="Arial" w:cs="Arial" w:eastAsia="Arial" w:hAnsi="Arial"/>
                <w:sz w:val="16"/>
                <w:szCs w:val="16"/>
                <w:color w:val="auto"/>
              </w:rPr>
              <w:t>Audit; Nominating &amp; Corporate Governance</w:t>
            </w:r>
          </w:p>
        </w:tc>
        <w:tc>
          <w:tcPr>
            <w:tcW w:w="0" w:type="dxa"/>
            <w:vAlign w:val="bottom"/>
          </w:tcPr>
          <w:p>
            <w:pPr>
              <w:spacing w:after="0"/>
              <w:rPr>
                <w:sz w:val="1"/>
                <w:szCs w:val="1"/>
                <w:color w:val="auto"/>
              </w:rPr>
            </w:pPr>
          </w:p>
        </w:tc>
      </w:tr>
      <w:tr>
        <w:trPr>
          <w:trHeight w:val="378"/>
        </w:trPr>
        <w:tc>
          <w:tcPr>
            <w:tcW w:w="20" w:type="dxa"/>
            <w:vAlign w:val="bottom"/>
          </w:tcPr>
          <w:p>
            <w:pPr>
              <w:spacing w:after="0"/>
              <w:rPr>
                <w:sz w:val="24"/>
                <w:szCs w:val="24"/>
                <w:color w:val="auto"/>
              </w:rPr>
            </w:pPr>
          </w:p>
        </w:tc>
        <w:tc>
          <w:tcPr>
            <w:tcW w:w="2160" w:type="dxa"/>
            <w:vAlign w:val="bottom"/>
            <w:shd w:val="clear" w:color="auto" w:fill="DBE5F1"/>
          </w:tcPr>
          <w:p>
            <w:pPr>
              <w:ind w:left="20"/>
              <w:spacing w:after="0"/>
              <w:rPr>
                <w:sz w:val="20"/>
                <w:szCs w:val="20"/>
                <w:color w:val="auto"/>
              </w:rPr>
            </w:pPr>
            <w:r>
              <w:rPr>
                <w:rFonts w:ascii="Arial" w:cs="Arial" w:eastAsia="Arial" w:hAnsi="Arial"/>
                <w:sz w:val="16"/>
                <w:szCs w:val="16"/>
                <w:color w:val="auto"/>
              </w:rPr>
              <w:t>Warren H. Haber</w:t>
            </w:r>
          </w:p>
        </w:tc>
        <w:tc>
          <w:tcPr>
            <w:tcW w:w="3640" w:type="dxa"/>
            <w:vAlign w:val="bottom"/>
            <w:vMerge w:val="restart"/>
            <w:shd w:val="clear" w:color="auto" w:fill="DBE5F1"/>
          </w:tcPr>
          <w:p>
            <w:pPr>
              <w:ind w:left="220"/>
              <w:spacing w:after="0"/>
              <w:rPr>
                <w:sz w:val="20"/>
                <w:szCs w:val="20"/>
                <w:color w:val="auto"/>
              </w:rPr>
            </w:pPr>
            <w:r>
              <w:rPr>
                <w:rFonts w:ascii="Arial" w:cs="Arial" w:eastAsia="Arial" w:hAnsi="Arial"/>
                <w:sz w:val="16"/>
                <w:szCs w:val="16"/>
                <w:color w:val="auto"/>
                <w:w w:val="99"/>
              </w:rPr>
              <w:t>Chairman of the Board &amp; CEO, Founders Equity</w:t>
            </w:r>
          </w:p>
        </w:tc>
        <w:tc>
          <w:tcPr>
            <w:tcW w:w="2300" w:type="dxa"/>
            <w:vAlign w:val="bottom"/>
            <w:shd w:val="clear" w:color="auto" w:fill="DBE5F1"/>
          </w:tcPr>
          <w:p>
            <w:pPr>
              <w:jc w:val="center"/>
              <w:spacing w:after="0"/>
              <w:rPr>
                <w:sz w:val="20"/>
                <w:szCs w:val="20"/>
                <w:color w:val="auto"/>
              </w:rPr>
            </w:pPr>
            <w:r>
              <w:rPr>
                <w:rFonts w:ascii="Arial" w:cs="Arial" w:eastAsia="Arial" w:hAnsi="Arial"/>
                <w:sz w:val="16"/>
                <w:szCs w:val="16"/>
                <w:color w:val="auto"/>
                <w:w w:val="89"/>
              </w:rPr>
              <w:t>21</w:t>
            </w:r>
          </w:p>
        </w:tc>
        <w:tc>
          <w:tcPr>
            <w:tcW w:w="3300" w:type="dxa"/>
            <w:vAlign w:val="bottom"/>
            <w:shd w:val="clear" w:color="auto" w:fill="DBE5F1"/>
          </w:tcPr>
          <w:p>
            <w:pPr>
              <w:ind w:left="160"/>
              <w:spacing w:after="0"/>
              <w:rPr>
                <w:sz w:val="20"/>
                <w:szCs w:val="20"/>
                <w:color w:val="auto"/>
              </w:rPr>
            </w:pPr>
            <w:r>
              <w:rPr>
                <w:rFonts w:ascii="Arial" w:cs="Arial" w:eastAsia="Arial" w:hAnsi="Arial"/>
                <w:sz w:val="16"/>
                <w:szCs w:val="16"/>
                <w:color w:val="auto"/>
              </w:rPr>
              <w:t>Audit</w:t>
            </w: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2160" w:type="dxa"/>
            <w:vAlign w:val="bottom"/>
            <w:shd w:val="clear" w:color="auto" w:fill="DBE5F1"/>
          </w:tcPr>
          <w:p>
            <w:pPr>
              <w:spacing w:after="0"/>
              <w:rPr>
                <w:sz w:val="5"/>
                <w:szCs w:val="5"/>
                <w:color w:val="auto"/>
              </w:rPr>
            </w:pPr>
          </w:p>
        </w:tc>
        <w:tc>
          <w:tcPr>
            <w:tcW w:w="3640" w:type="dxa"/>
            <w:vAlign w:val="bottom"/>
            <w:vMerge w:val="continue"/>
            <w:shd w:val="clear" w:color="auto" w:fill="DBE5F1"/>
          </w:tcPr>
          <w:p>
            <w:pPr>
              <w:spacing w:after="0"/>
              <w:rPr>
                <w:sz w:val="5"/>
                <w:szCs w:val="5"/>
                <w:color w:val="auto"/>
              </w:rPr>
            </w:pPr>
          </w:p>
        </w:tc>
        <w:tc>
          <w:tcPr>
            <w:tcW w:w="2300" w:type="dxa"/>
            <w:vAlign w:val="bottom"/>
            <w:shd w:val="clear" w:color="auto" w:fill="DBE5F1"/>
          </w:tcPr>
          <w:p>
            <w:pPr>
              <w:spacing w:after="0"/>
              <w:rPr>
                <w:sz w:val="5"/>
                <w:szCs w:val="5"/>
                <w:color w:val="auto"/>
              </w:rPr>
            </w:pPr>
          </w:p>
        </w:tc>
        <w:tc>
          <w:tcPr>
            <w:tcW w:w="3300" w:type="dxa"/>
            <w:vAlign w:val="bottom"/>
            <w:shd w:val="clear" w:color="auto" w:fill="DBE5F1"/>
          </w:tcPr>
          <w:p>
            <w:pPr>
              <w:spacing w:after="0"/>
              <w:rPr>
                <w:sz w:val="5"/>
                <w:szCs w:val="5"/>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160" w:type="dxa"/>
            <w:vAlign w:val="bottom"/>
            <w:shd w:val="clear" w:color="auto" w:fill="DBE5F1"/>
          </w:tcPr>
          <w:p>
            <w:pPr>
              <w:spacing w:after="0"/>
              <w:rPr>
                <w:sz w:val="17"/>
                <w:szCs w:val="17"/>
                <w:color w:val="auto"/>
              </w:rPr>
            </w:pPr>
          </w:p>
        </w:tc>
        <w:tc>
          <w:tcPr>
            <w:tcW w:w="3640" w:type="dxa"/>
            <w:vAlign w:val="bottom"/>
            <w:shd w:val="clear" w:color="auto" w:fill="DBE5F1"/>
          </w:tcPr>
          <w:p>
            <w:pPr>
              <w:ind w:left="220"/>
              <w:spacing w:after="0"/>
              <w:rPr>
                <w:sz w:val="20"/>
                <w:szCs w:val="20"/>
                <w:color w:val="auto"/>
              </w:rPr>
            </w:pPr>
            <w:r>
              <w:rPr>
                <w:rFonts w:ascii="Arial" w:cs="Arial" w:eastAsia="Arial" w:hAnsi="Arial"/>
                <w:sz w:val="16"/>
                <w:szCs w:val="16"/>
                <w:color w:val="auto"/>
              </w:rPr>
              <w:t>Inc.;</w:t>
            </w:r>
          </w:p>
        </w:tc>
        <w:tc>
          <w:tcPr>
            <w:tcW w:w="2300" w:type="dxa"/>
            <w:vAlign w:val="bottom"/>
            <w:shd w:val="clear" w:color="auto" w:fill="DBE5F1"/>
          </w:tcPr>
          <w:p>
            <w:pPr>
              <w:spacing w:after="0"/>
              <w:rPr>
                <w:sz w:val="17"/>
                <w:szCs w:val="17"/>
                <w:color w:val="auto"/>
              </w:rPr>
            </w:pPr>
          </w:p>
        </w:tc>
        <w:tc>
          <w:tcPr>
            <w:tcW w:w="3300" w:type="dxa"/>
            <w:vAlign w:val="bottom"/>
            <w:shd w:val="clear" w:color="auto" w:fill="DBE5F1"/>
          </w:tcPr>
          <w:p>
            <w:pPr>
              <w:spacing w:after="0"/>
              <w:rPr>
                <w:sz w:val="17"/>
                <w:szCs w:val="17"/>
                <w:color w:val="auto"/>
              </w:rPr>
            </w:pPr>
          </w:p>
        </w:tc>
        <w:tc>
          <w:tcPr>
            <w:tcW w:w="0" w:type="dxa"/>
            <w:vAlign w:val="bottom"/>
          </w:tcPr>
          <w:p>
            <w:pPr>
              <w:spacing w:after="0"/>
              <w:rPr>
                <w:sz w:val="1"/>
                <w:szCs w:val="1"/>
                <w:color w:val="auto"/>
              </w:rPr>
            </w:pPr>
          </w:p>
        </w:tc>
      </w:tr>
      <w:tr>
        <w:trPr>
          <w:trHeight w:val="334"/>
        </w:trPr>
        <w:tc>
          <w:tcPr>
            <w:tcW w:w="20" w:type="dxa"/>
            <w:vAlign w:val="bottom"/>
          </w:tcPr>
          <w:p>
            <w:pPr>
              <w:spacing w:after="0"/>
              <w:rPr>
                <w:sz w:val="24"/>
                <w:szCs w:val="24"/>
                <w:color w:val="auto"/>
              </w:rPr>
            </w:pPr>
          </w:p>
        </w:tc>
        <w:tc>
          <w:tcPr>
            <w:tcW w:w="2160" w:type="dxa"/>
            <w:vAlign w:val="bottom"/>
            <w:shd w:val="clear" w:color="auto" w:fill="DBE5F1"/>
          </w:tcPr>
          <w:p>
            <w:pPr>
              <w:spacing w:after="0"/>
              <w:rPr>
                <w:sz w:val="24"/>
                <w:szCs w:val="24"/>
                <w:color w:val="auto"/>
              </w:rPr>
            </w:pPr>
          </w:p>
        </w:tc>
        <w:tc>
          <w:tcPr>
            <w:tcW w:w="3640" w:type="dxa"/>
            <w:vAlign w:val="bottom"/>
            <w:shd w:val="clear" w:color="auto" w:fill="DBE5F1"/>
          </w:tcPr>
          <w:p>
            <w:pPr>
              <w:ind w:left="220"/>
              <w:spacing w:after="0"/>
              <w:rPr>
                <w:sz w:val="20"/>
                <w:szCs w:val="20"/>
                <w:color w:val="auto"/>
              </w:rPr>
            </w:pPr>
            <w:r>
              <w:rPr>
                <w:rFonts w:ascii="Arial" w:cs="Arial" w:eastAsia="Arial" w:hAnsi="Arial"/>
                <w:sz w:val="16"/>
                <w:szCs w:val="16"/>
                <w:color w:val="auto"/>
              </w:rPr>
              <w:t>Managing General Partner of FEF Management</w:t>
            </w:r>
          </w:p>
        </w:tc>
        <w:tc>
          <w:tcPr>
            <w:tcW w:w="2300" w:type="dxa"/>
            <w:vAlign w:val="bottom"/>
            <w:shd w:val="clear" w:color="auto" w:fill="DBE5F1"/>
          </w:tcPr>
          <w:p>
            <w:pPr>
              <w:spacing w:after="0"/>
              <w:rPr>
                <w:sz w:val="24"/>
                <w:szCs w:val="24"/>
                <w:color w:val="auto"/>
              </w:rPr>
            </w:pPr>
          </w:p>
        </w:tc>
        <w:tc>
          <w:tcPr>
            <w:tcW w:w="3300" w:type="dxa"/>
            <w:vAlign w:val="bottom"/>
            <w:shd w:val="clear" w:color="auto" w:fill="DBE5F1"/>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160" w:type="dxa"/>
            <w:vAlign w:val="bottom"/>
            <w:shd w:val="clear" w:color="auto" w:fill="DBE5F1"/>
          </w:tcPr>
          <w:p>
            <w:pPr>
              <w:spacing w:after="0"/>
              <w:rPr>
                <w:sz w:val="17"/>
                <w:szCs w:val="17"/>
                <w:color w:val="auto"/>
              </w:rPr>
            </w:pPr>
          </w:p>
        </w:tc>
        <w:tc>
          <w:tcPr>
            <w:tcW w:w="3640" w:type="dxa"/>
            <w:vAlign w:val="bottom"/>
            <w:shd w:val="clear" w:color="auto" w:fill="DBE5F1"/>
          </w:tcPr>
          <w:p>
            <w:pPr>
              <w:ind w:left="220"/>
              <w:spacing w:after="0"/>
              <w:rPr>
                <w:sz w:val="20"/>
                <w:szCs w:val="20"/>
                <w:color w:val="auto"/>
              </w:rPr>
            </w:pPr>
            <w:r>
              <w:rPr>
                <w:rFonts w:ascii="Arial" w:cs="Arial" w:eastAsia="Arial" w:hAnsi="Arial"/>
                <w:sz w:val="16"/>
                <w:szCs w:val="16"/>
                <w:color w:val="auto"/>
              </w:rPr>
              <w:t>Services, LLC</w:t>
            </w:r>
          </w:p>
        </w:tc>
        <w:tc>
          <w:tcPr>
            <w:tcW w:w="2300" w:type="dxa"/>
            <w:vAlign w:val="bottom"/>
            <w:shd w:val="clear" w:color="auto" w:fill="DBE5F1"/>
          </w:tcPr>
          <w:p>
            <w:pPr>
              <w:spacing w:after="0"/>
              <w:rPr>
                <w:sz w:val="17"/>
                <w:szCs w:val="17"/>
                <w:color w:val="auto"/>
              </w:rPr>
            </w:pPr>
          </w:p>
        </w:tc>
        <w:tc>
          <w:tcPr>
            <w:tcW w:w="3300" w:type="dxa"/>
            <w:vAlign w:val="bottom"/>
            <w:shd w:val="clear" w:color="auto" w:fill="DBE5F1"/>
          </w:tcPr>
          <w:p>
            <w:pPr>
              <w:spacing w:after="0"/>
              <w:rPr>
                <w:sz w:val="17"/>
                <w:szCs w:val="17"/>
                <w:color w:val="auto"/>
              </w:rPr>
            </w:pPr>
          </w:p>
        </w:tc>
        <w:tc>
          <w:tcPr>
            <w:tcW w:w="0" w:type="dxa"/>
            <w:vAlign w:val="bottom"/>
          </w:tcPr>
          <w:p>
            <w:pPr>
              <w:spacing w:after="0"/>
              <w:rPr>
                <w:sz w:val="1"/>
                <w:szCs w:val="1"/>
                <w:color w:val="auto"/>
              </w:rPr>
            </w:pPr>
          </w:p>
        </w:tc>
      </w:tr>
      <w:tr>
        <w:trPr>
          <w:trHeight w:val="378"/>
        </w:trPr>
        <w:tc>
          <w:tcPr>
            <w:tcW w:w="20" w:type="dxa"/>
            <w:vAlign w:val="bottom"/>
          </w:tcPr>
          <w:p>
            <w:pPr>
              <w:spacing w:after="0"/>
              <w:rPr>
                <w:sz w:val="24"/>
                <w:szCs w:val="24"/>
                <w:color w:val="auto"/>
              </w:rPr>
            </w:pPr>
          </w:p>
        </w:tc>
        <w:tc>
          <w:tcPr>
            <w:tcW w:w="2160" w:type="dxa"/>
            <w:vAlign w:val="bottom"/>
            <w:shd w:val="clear" w:color="auto" w:fill="DBE5F1"/>
          </w:tcPr>
          <w:p>
            <w:pPr>
              <w:ind w:left="20"/>
              <w:spacing w:after="0"/>
              <w:rPr>
                <w:sz w:val="20"/>
                <w:szCs w:val="20"/>
                <w:color w:val="auto"/>
              </w:rPr>
            </w:pPr>
            <w:r>
              <w:rPr>
                <w:rFonts w:ascii="Arial" w:cs="Arial" w:eastAsia="Arial" w:hAnsi="Arial"/>
                <w:sz w:val="16"/>
                <w:szCs w:val="16"/>
                <w:color w:val="auto"/>
              </w:rPr>
              <w:t>John W. Hill</w:t>
            </w:r>
          </w:p>
        </w:tc>
        <w:tc>
          <w:tcPr>
            <w:tcW w:w="3640" w:type="dxa"/>
            <w:vAlign w:val="bottom"/>
            <w:shd w:val="clear" w:color="auto" w:fill="DBE5F1"/>
          </w:tcPr>
          <w:p>
            <w:pPr>
              <w:ind w:left="160"/>
              <w:spacing w:after="0"/>
              <w:rPr>
                <w:sz w:val="20"/>
                <w:szCs w:val="20"/>
                <w:color w:val="auto"/>
              </w:rPr>
            </w:pPr>
            <w:r>
              <w:rPr>
                <w:rFonts w:ascii="Arial" w:cs="Arial" w:eastAsia="Arial" w:hAnsi="Arial"/>
                <w:sz w:val="16"/>
                <w:szCs w:val="16"/>
                <w:color w:val="auto"/>
              </w:rPr>
              <w:t>Founder &amp; CEO, J Hill Group</w:t>
            </w:r>
          </w:p>
        </w:tc>
        <w:tc>
          <w:tcPr>
            <w:tcW w:w="2300" w:type="dxa"/>
            <w:vAlign w:val="bottom"/>
            <w:shd w:val="clear" w:color="auto" w:fill="DBE5F1"/>
          </w:tcPr>
          <w:p>
            <w:pPr>
              <w:jc w:val="center"/>
              <w:spacing w:after="0"/>
              <w:rPr>
                <w:sz w:val="20"/>
                <w:szCs w:val="20"/>
                <w:color w:val="auto"/>
              </w:rPr>
            </w:pPr>
            <w:r>
              <w:rPr>
                <w:rFonts w:ascii="Arial" w:cs="Arial" w:eastAsia="Arial" w:hAnsi="Arial"/>
                <w:sz w:val="16"/>
                <w:szCs w:val="16"/>
                <w:color w:val="auto"/>
                <w:w w:val="89"/>
              </w:rPr>
              <w:t>4</w:t>
            </w:r>
          </w:p>
        </w:tc>
        <w:tc>
          <w:tcPr>
            <w:tcW w:w="3300" w:type="dxa"/>
            <w:vAlign w:val="bottom"/>
            <w:shd w:val="clear" w:color="auto" w:fill="DBE5F1"/>
          </w:tcPr>
          <w:p>
            <w:pPr>
              <w:ind w:left="160"/>
              <w:spacing w:after="0"/>
              <w:rPr>
                <w:sz w:val="20"/>
                <w:szCs w:val="20"/>
                <w:color w:val="auto"/>
              </w:rPr>
            </w:pPr>
            <w:r>
              <w:rPr>
                <w:rFonts w:ascii="Arial" w:cs="Arial" w:eastAsia="Arial" w:hAnsi="Arial"/>
                <w:sz w:val="16"/>
                <w:szCs w:val="16"/>
                <w:color w:val="auto"/>
              </w:rPr>
              <w:t>Audit</w:t>
            </w:r>
          </w:p>
        </w:tc>
        <w:tc>
          <w:tcPr>
            <w:tcW w:w="0" w:type="dxa"/>
            <w:vAlign w:val="bottom"/>
          </w:tcPr>
          <w:p>
            <w:pPr>
              <w:spacing w:after="0"/>
              <w:rPr>
                <w:sz w:val="1"/>
                <w:szCs w:val="1"/>
                <w:color w:val="auto"/>
              </w:rPr>
            </w:pPr>
          </w:p>
        </w:tc>
      </w:tr>
      <w:tr>
        <w:trPr>
          <w:trHeight w:val="415"/>
        </w:trPr>
        <w:tc>
          <w:tcPr>
            <w:tcW w:w="20" w:type="dxa"/>
            <w:vAlign w:val="bottom"/>
          </w:tcPr>
          <w:p>
            <w:pPr>
              <w:spacing w:after="0"/>
              <w:rPr>
                <w:sz w:val="24"/>
                <w:szCs w:val="24"/>
                <w:color w:val="auto"/>
              </w:rPr>
            </w:pPr>
          </w:p>
        </w:tc>
        <w:tc>
          <w:tcPr>
            <w:tcW w:w="2160" w:type="dxa"/>
            <w:vAlign w:val="bottom"/>
            <w:shd w:val="clear" w:color="auto" w:fill="DBE5F1"/>
          </w:tcPr>
          <w:p>
            <w:pPr>
              <w:ind w:left="20"/>
              <w:spacing w:after="0"/>
              <w:rPr>
                <w:sz w:val="20"/>
                <w:szCs w:val="20"/>
                <w:color w:val="auto"/>
              </w:rPr>
            </w:pPr>
            <w:r>
              <w:rPr>
                <w:rFonts w:ascii="Arial" w:cs="Arial" w:eastAsia="Arial" w:hAnsi="Arial"/>
                <w:sz w:val="16"/>
                <w:szCs w:val="16"/>
                <w:color w:val="auto"/>
              </w:rPr>
              <w:t>Laura Cox Kaplan</w:t>
            </w:r>
          </w:p>
        </w:tc>
        <w:tc>
          <w:tcPr>
            <w:tcW w:w="3640" w:type="dxa"/>
            <w:vAlign w:val="bottom"/>
            <w:shd w:val="clear" w:color="auto" w:fill="DBE5F1"/>
          </w:tcPr>
          <w:p>
            <w:pPr>
              <w:ind w:left="160"/>
              <w:spacing w:after="0"/>
              <w:rPr>
                <w:sz w:val="20"/>
                <w:szCs w:val="20"/>
                <w:color w:val="auto"/>
              </w:rPr>
            </w:pPr>
            <w:r>
              <w:rPr>
                <w:rFonts w:ascii="Arial" w:cs="Arial" w:eastAsia="Arial" w:hAnsi="Arial"/>
                <w:sz w:val="16"/>
                <w:szCs w:val="16"/>
                <w:color w:val="auto"/>
              </w:rPr>
              <w:t>Principal-in-Charge, Government, Regulatory</w:t>
            </w:r>
          </w:p>
        </w:tc>
        <w:tc>
          <w:tcPr>
            <w:tcW w:w="2300" w:type="dxa"/>
            <w:vAlign w:val="bottom"/>
            <w:shd w:val="clear" w:color="auto" w:fill="DBE5F1"/>
          </w:tcPr>
          <w:p>
            <w:pPr>
              <w:jc w:val="center"/>
              <w:spacing w:after="0"/>
              <w:rPr>
                <w:sz w:val="20"/>
                <w:szCs w:val="20"/>
                <w:color w:val="auto"/>
              </w:rPr>
            </w:pPr>
            <w:r>
              <w:rPr>
                <w:rFonts w:ascii="Arial" w:cs="Arial" w:eastAsia="Arial" w:hAnsi="Arial"/>
                <w:sz w:val="16"/>
                <w:szCs w:val="16"/>
                <w:color w:val="auto"/>
                <w:w w:val="89"/>
              </w:rPr>
              <w:t>1</w:t>
            </w:r>
          </w:p>
        </w:tc>
        <w:tc>
          <w:tcPr>
            <w:tcW w:w="3300" w:type="dxa"/>
            <w:vAlign w:val="bottom"/>
            <w:shd w:val="clear" w:color="auto" w:fill="DBE5F1"/>
          </w:tcPr>
          <w:p>
            <w:pPr>
              <w:ind w:left="160"/>
              <w:spacing w:after="0"/>
              <w:rPr>
                <w:sz w:val="20"/>
                <w:szCs w:val="20"/>
                <w:color w:val="auto"/>
              </w:rPr>
            </w:pPr>
            <w:r>
              <w:rPr>
                <w:rFonts w:ascii="Arial" w:cs="Arial" w:eastAsia="Arial" w:hAnsi="Arial"/>
                <w:sz w:val="16"/>
                <w:szCs w:val="16"/>
                <w:color w:val="auto"/>
              </w:rPr>
              <w:t>None</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160" w:type="dxa"/>
            <w:vAlign w:val="bottom"/>
            <w:shd w:val="clear" w:color="auto" w:fill="DBE5F1"/>
          </w:tcPr>
          <w:p>
            <w:pPr>
              <w:spacing w:after="0"/>
              <w:rPr>
                <w:sz w:val="17"/>
                <w:szCs w:val="17"/>
                <w:color w:val="auto"/>
              </w:rPr>
            </w:pPr>
          </w:p>
        </w:tc>
        <w:tc>
          <w:tcPr>
            <w:tcW w:w="3640" w:type="dxa"/>
            <w:vAlign w:val="bottom"/>
            <w:shd w:val="clear" w:color="auto" w:fill="DBE5F1"/>
          </w:tcPr>
          <w:p>
            <w:pPr>
              <w:ind w:left="160"/>
              <w:spacing w:after="0"/>
              <w:rPr>
                <w:sz w:val="20"/>
                <w:szCs w:val="20"/>
                <w:color w:val="auto"/>
              </w:rPr>
            </w:pPr>
            <w:r>
              <w:rPr>
                <w:rFonts w:ascii="Arial" w:cs="Arial" w:eastAsia="Arial" w:hAnsi="Arial"/>
                <w:sz w:val="16"/>
                <w:szCs w:val="16"/>
                <w:color w:val="auto"/>
              </w:rPr>
              <w:t>Affairs and Public Policy, PwC LLP</w:t>
            </w:r>
          </w:p>
        </w:tc>
        <w:tc>
          <w:tcPr>
            <w:tcW w:w="2300" w:type="dxa"/>
            <w:vAlign w:val="bottom"/>
            <w:shd w:val="clear" w:color="auto" w:fill="DBE5F1"/>
          </w:tcPr>
          <w:p>
            <w:pPr>
              <w:spacing w:after="0"/>
              <w:rPr>
                <w:sz w:val="17"/>
                <w:szCs w:val="17"/>
                <w:color w:val="auto"/>
              </w:rPr>
            </w:pPr>
          </w:p>
        </w:tc>
        <w:tc>
          <w:tcPr>
            <w:tcW w:w="3300" w:type="dxa"/>
            <w:vAlign w:val="bottom"/>
            <w:shd w:val="clear" w:color="auto" w:fill="DBE5F1"/>
          </w:tcPr>
          <w:p>
            <w:pPr>
              <w:spacing w:after="0"/>
              <w:rPr>
                <w:sz w:val="17"/>
                <w:szCs w:val="17"/>
                <w:color w:val="auto"/>
              </w:rPr>
            </w:pPr>
          </w:p>
        </w:tc>
        <w:tc>
          <w:tcPr>
            <w:tcW w:w="0" w:type="dxa"/>
            <w:vAlign w:val="bottom"/>
          </w:tcPr>
          <w:p>
            <w:pPr>
              <w:spacing w:after="0"/>
              <w:rPr>
                <w:sz w:val="1"/>
                <w:szCs w:val="1"/>
                <w:color w:val="auto"/>
              </w:rPr>
            </w:pPr>
          </w:p>
        </w:tc>
      </w:tr>
      <w:tr>
        <w:trPr>
          <w:trHeight w:val="374"/>
        </w:trPr>
        <w:tc>
          <w:tcPr>
            <w:tcW w:w="20" w:type="dxa"/>
            <w:vAlign w:val="bottom"/>
          </w:tcPr>
          <w:p>
            <w:pPr>
              <w:spacing w:after="0"/>
              <w:rPr>
                <w:sz w:val="24"/>
                <w:szCs w:val="24"/>
                <w:color w:val="auto"/>
              </w:rPr>
            </w:pPr>
          </w:p>
        </w:tc>
        <w:tc>
          <w:tcPr>
            <w:tcW w:w="2160" w:type="dxa"/>
            <w:vAlign w:val="bottom"/>
            <w:shd w:val="clear" w:color="auto" w:fill="DBE5F1"/>
          </w:tcPr>
          <w:p>
            <w:pPr>
              <w:ind w:left="20"/>
              <w:spacing w:after="0"/>
              <w:rPr>
                <w:sz w:val="20"/>
                <w:szCs w:val="20"/>
                <w:color w:val="auto"/>
              </w:rPr>
            </w:pPr>
            <w:r>
              <w:rPr>
                <w:rFonts w:ascii="Arial" w:cs="Arial" w:eastAsia="Arial" w:hAnsi="Arial"/>
                <w:sz w:val="16"/>
                <w:szCs w:val="16"/>
                <w:color w:val="auto"/>
              </w:rPr>
              <w:t>Christopher J. Nassetta</w:t>
            </w:r>
          </w:p>
        </w:tc>
        <w:tc>
          <w:tcPr>
            <w:tcW w:w="3640" w:type="dxa"/>
            <w:vAlign w:val="bottom"/>
            <w:shd w:val="clear" w:color="auto" w:fill="DBE5F1"/>
          </w:tcPr>
          <w:p>
            <w:pPr>
              <w:ind w:left="160"/>
              <w:spacing w:after="0"/>
              <w:rPr>
                <w:sz w:val="20"/>
                <w:szCs w:val="20"/>
                <w:color w:val="auto"/>
              </w:rPr>
            </w:pPr>
            <w:r>
              <w:rPr>
                <w:rFonts w:ascii="Arial" w:cs="Arial" w:eastAsia="Arial" w:hAnsi="Arial"/>
                <w:sz w:val="16"/>
                <w:szCs w:val="16"/>
                <w:color w:val="auto"/>
              </w:rPr>
              <w:t>CEO &amp; President, Hilton Worldwide</w:t>
            </w:r>
          </w:p>
        </w:tc>
        <w:tc>
          <w:tcPr>
            <w:tcW w:w="2300" w:type="dxa"/>
            <w:vAlign w:val="bottom"/>
            <w:shd w:val="clear" w:color="auto" w:fill="DBE5F1"/>
          </w:tcPr>
          <w:p>
            <w:pPr>
              <w:jc w:val="center"/>
              <w:spacing w:after="0"/>
              <w:rPr>
                <w:sz w:val="20"/>
                <w:szCs w:val="20"/>
                <w:color w:val="auto"/>
              </w:rPr>
            </w:pPr>
            <w:r>
              <w:rPr>
                <w:rFonts w:ascii="Arial" w:cs="Arial" w:eastAsia="Arial" w:hAnsi="Arial"/>
                <w:sz w:val="16"/>
                <w:szCs w:val="16"/>
                <w:color w:val="auto"/>
                <w:w w:val="89"/>
              </w:rPr>
              <w:t>14</w:t>
            </w:r>
          </w:p>
        </w:tc>
        <w:tc>
          <w:tcPr>
            <w:tcW w:w="3300" w:type="dxa"/>
            <w:vAlign w:val="bottom"/>
            <w:shd w:val="clear" w:color="auto" w:fill="DBE5F1"/>
          </w:tcPr>
          <w:p>
            <w:pPr>
              <w:ind w:left="160"/>
              <w:spacing w:after="0"/>
              <w:rPr>
                <w:sz w:val="20"/>
                <w:szCs w:val="20"/>
                <w:color w:val="auto"/>
              </w:rPr>
            </w:pPr>
            <w:r>
              <w:rPr>
                <w:rFonts w:ascii="Arial" w:cs="Arial" w:eastAsia="Arial" w:hAnsi="Arial"/>
                <w:sz w:val="16"/>
                <w:szCs w:val="16"/>
                <w:color w:val="auto"/>
              </w:rPr>
              <w:t>Compensation; Nominating &amp; Corporate</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160" w:type="dxa"/>
            <w:vAlign w:val="bottom"/>
            <w:shd w:val="clear" w:color="auto" w:fill="DBE5F1"/>
          </w:tcPr>
          <w:p>
            <w:pPr>
              <w:spacing w:after="0"/>
              <w:rPr>
                <w:sz w:val="17"/>
                <w:szCs w:val="17"/>
                <w:color w:val="auto"/>
              </w:rPr>
            </w:pPr>
          </w:p>
        </w:tc>
        <w:tc>
          <w:tcPr>
            <w:tcW w:w="3640" w:type="dxa"/>
            <w:vAlign w:val="bottom"/>
            <w:shd w:val="clear" w:color="auto" w:fill="DBE5F1"/>
          </w:tcPr>
          <w:p>
            <w:pPr>
              <w:spacing w:after="0"/>
              <w:rPr>
                <w:sz w:val="17"/>
                <w:szCs w:val="17"/>
                <w:color w:val="auto"/>
              </w:rPr>
            </w:pPr>
          </w:p>
        </w:tc>
        <w:tc>
          <w:tcPr>
            <w:tcW w:w="2300" w:type="dxa"/>
            <w:vAlign w:val="bottom"/>
            <w:shd w:val="clear" w:color="auto" w:fill="DBE5F1"/>
          </w:tcPr>
          <w:p>
            <w:pPr>
              <w:spacing w:after="0"/>
              <w:rPr>
                <w:sz w:val="17"/>
                <w:szCs w:val="17"/>
                <w:color w:val="auto"/>
              </w:rPr>
            </w:pPr>
          </w:p>
        </w:tc>
        <w:tc>
          <w:tcPr>
            <w:tcW w:w="3300" w:type="dxa"/>
            <w:vAlign w:val="bottom"/>
            <w:shd w:val="clear" w:color="auto" w:fill="DBE5F1"/>
          </w:tcPr>
          <w:p>
            <w:pPr>
              <w:ind w:left="160"/>
              <w:spacing w:after="0"/>
              <w:rPr>
                <w:sz w:val="20"/>
                <w:szCs w:val="20"/>
                <w:color w:val="auto"/>
              </w:rPr>
            </w:pPr>
            <w:r>
              <w:rPr>
                <w:rFonts w:ascii="Arial" w:cs="Arial" w:eastAsia="Arial" w:hAnsi="Arial"/>
                <w:sz w:val="16"/>
                <w:szCs w:val="16"/>
                <w:color w:val="auto"/>
              </w:rPr>
              <w:t>Governance</w:t>
            </w:r>
          </w:p>
        </w:tc>
        <w:tc>
          <w:tcPr>
            <w:tcW w:w="0" w:type="dxa"/>
            <w:vAlign w:val="bottom"/>
          </w:tcPr>
          <w:p>
            <w:pPr>
              <w:spacing w:after="0"/>
              <w:rPr>
                <w:sz w:val="1"/>
                <w:szCs w:val="1"/>
                <w:color w:val="auto"/>
              </w:rPr>
            </w:pPr>
          </w:p>
        </w:tc>
      </w:tr>
      <w:tr>
        <w:trPr>
          <w:trHeight w:val="419"/>
        </w:trPr>
        <w:tc>
          <w:tcPr>
            <w:tcW w:w="20" w:type="dxa"/>
            <w:vAlign w:val="bottom"/>
          </w:tcPr>
          <w:p>
            <w:pPr>
              <w:spacing w:after="0"/>
              <w:rPr>
                <w:sz w:val="24"/>
                <w:szCs w:val="24"/>
                <w:color w:val="auto"/>
              </w:rPr>
            </w:pPr>
          </w:p>
        </w:tc>
        <w:tc>
          <w:tcPr>
            <w:tcW w:w="2160" w:type="dxa"/>
            <w:vAlign w:val="bottom"/>
            <w:shd w:val="clear" w:color="auto" w:fill="DBE5F1"/>
          </w:tcPr>
          <w:p>
            <w:pPr>
              <w:ind w:left="20"/>
              <w:spacing w:after="0"/>
              <w:rPr>
                <w:sz w:val="20"/>
                <w:szCs w:val="20"/>
                <w:color w:val="auto"/>
              </w:rPr>
            </w:pPr>
            <w:r>
              <w:rPr>
                <w:rFonts w:ascii="Arial" w:cs="Arial" w:eastAsia="Arial" w:hAnsi="Arial"/>
                <w:sz w:val="16"/>
                <w:szCs w:val="16"/>
                <w:color w:val="auto"/>
              </w:rPr>
              <w:t>David J. Steinberg</w:t>
            </w:r>
          </w:p>
        </w:tc>
        <w:tc>
          <w:tcPr>
            <w:tcW w:w="3640" w:type="dxa"/>
            <w:vAlign w:val="bottom"/>
            <w:shd w:val="clear" w:color="auto" w:fill="DBE5F1"/>
          </w:tcPr>
          <w:p>
            <w:pPr>
              <w:ind w:left="160"/>
              <w:spacing w:after="0"/>
              <w:rPr>
                <w:sz w:val="20"/>
                <w:szCs w:val="20"/>
                <w:color w:val="auto"/>
              </w:rPr>
            </w:pPr>
            <w:r>
              <w:rPr>
                <w:rFonts w:ascii="Arial" w:cs="Arial" w:eastAsia="Arial" w:hAnsi="Arial"/>
                <w:sz w:val="16"/>
                <w:szCs w:val="16"/>
                <w:color w:val="auto"/>
              </w:rPr>
              <w:t>CEO, SnappCloud, Inc.</w:t>
            </w:r>
          </w:p>
        </w:tc>
        <w:tc>
          <w:tcPr>
            <w:tcW w:w="2300" w:type="dxa"/>
            <w:vAlign w:val="bottom"/>
            <w:shd w:val="clear" w:color="auto" w:fill="DBE5F1"/>
          </w:tcPr>
          <w:p>
            <w:pPr>
              <w:jc w:val="center"/>
              <w:spacing w:after="0"/>
              <w:rPr>
                <w:sz w:val="20"/>
                <w:szCs w:val="20"/>
                <w:color w:val="auto"/>
              </w:rPr>
            </w:pPr>
            <w:r>
              <w:rPr>
                <w:rFonts w:ascii="Arial" w:cs="Arial" w:eastAsia="Arial" w:hAnsi="Arial"/>
                <w:sz w:val="16"/>
                <w:szCs w:val="16"/>
                <w:color w:val="auto"/>
                <w:w w:val="89"/>
              </w:rPr>
              <w:t>5</w:t>
            </w:r>
          </w:p>
        </w:tc>
        <w:tc>
          <w:tcPr>
            <w:tcW w:w="3300" w:type="dxa"/>
            <w:vAlign w:val="bottom"/>
            <w:shd w:val="clear" w:color="auto" w:fill="DBE5F1"/>
          </w:tcPr>
          <w:p>
            <w:pPr>
              <w:ind w:left="160"/>
              <w:spacing w:after="0"/>
              <w:rPr>
                <w:sz w:val="20"/>
                <w:szCs w:val="20"/>
                <w:color w:val="auto"/>
              </w:rPr>
            </w:pPr>
            <w:r>
              <w:rPr>
                <w:rFonts w:ascii="Arial" w:cs="Arial" w:eastAsia="Arial" w:hAnsi="Arial"/>
                <w:sz w:val="16"/>
                <w:szCs w:val="16"/>
                <w:color w:val="auto"/>
              </w:rPr>
              <w:t>Audit</w:t>
            </w:r>
          </w:p>
        </w:tc>
        <w:tc>
          <w:tcPr>
            <w:tcW w:w="0" w:type="dxa"/>
            <w:vAlign w:val="bottom"/>
          </w:tcPr>
          <w:p>
            <w:pPr>
              <w:spacing w:after="0"/>
              <w:rPr>
                <w:sz w:val="1"/>
                <w:szCs w:val="1"/>
                <w:color w:val="auto"/>
              </w:rPr>
            </w:pPr>
          </w:p>
        </w:tc>
      </w:tr>
      <w:tr>
        <w:trPr>
          <w:trHeight w:val="141"/>
        </w:trPr>
        <w:tc>
          <w:tcPr>
            <w:tcW w:w="20" w:type="dxa"/>
            <w:vAlign w:val="bottom"/>
            <w:vMerge w:val="restart"/>
          </w:tcPr>
          <w:p>
            <w:pPr>
              <w:spacing w:after="0"/>
              <w:rPr>
                <w:sz w:val="12"/>
                <w:szCs w:val="12"/>
                <w:color w:val="auto"/>
              </w:rPr>
            </w:pPr>
          </w:p>
        </w:tc>
        <w:tc>
          <w:tcPr>
            <w:tcW w:w="2160" w:type="dxa"/>
            <w:vAlign w:val="bottom"/>
            <w:shd w:val="clear" w:color="auto" w:fill="DBE5F1"/>
          </w:tcPr>
          <w:p>
            <w:pPr>
              <w:spacing w:after="0"/>
              <w:rPr>
                <w:sz w:val="12"/>
                <w:szCs w:val="12"/>
                <w:color w:val="auto"/>
              </w:rPr>
            </w:pPr>
          </w:p>
        </w:tc>
        <w:tc>
          <w:tcPr>
            <w:tcW w:w="3640" w:type="dxa"/>
            <w:vAlign w:val="bottom"/>
            <w:shd w:val="clear" w:color="auto" w:fill="DBE5F1"/>
          </w:tcPr>
          <w:p>
            <w:pPr>
              <w:spacing w:after="0"/>
              <w:rPr>
                <w:sz w:val="12"/>
                <w:szCs w:val="12"/>
                <w:color w:val="auto"/>
              </w:rPr>
            </w:pPr>
          </w:p>
        </w:tc>
        <w:tc>
          <w:tcPr>
            <w:tcW w:w="2300" w:type="dxa"/>
            <w:vAlign w:val="bottom"/>
            <w:shd w:val="clear" w:color="auto" w:fill="DBE5F1"/>
          </w:tcPr>
          <w:p>
            <w:pPr>
              <w:spacing w:after="0"/>
              <w:rPr>
                <w:sz w:val="12"/>
                <w:szCs w:val="12"/>
                <w:color w:val="auto"/>
              </w:rPr>
            </w:pPr>
          </w:p>
        </w:tc>
        <w:tc>
          <w:tcPr>
            <w:tcW w:w="3300" w:type="dxa"/>
            <w:vAlign w:val="bottom"/>
            <w:shd w:val="clear" w:color="auto" w:fill="DBE5F1"/>
          </w:tcPr>
          <w:p>
            <w:pPr>
              <w:spacing w:after="0"/>
              <w:rPr>
                <w:sz w:val="12"/>
                <w:szCs w:val="12"/>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20"/>
                <w:szCs w:val="20"/>
                <w:color w:val="auto"/>
              </w:rPr>
            </w:pPr>
          </w:p>
        </w:tc>
        <w:tc>
          <w:tcPr>
            <w:tcW w:w="2160" w:type="dxa"/>
            <w:vAlign w:val="bottom"/>
          </w:tcPr>
          <w:p>
            <w:pPr>
              <w:spacing w:after="0"/>
              <w:rPr>
                <w:sz w:val="20"/>
                <w:szCs w:val="20"/>
                <w:color w:val="auto"/>
              </w:rPr>
            </w:pPr>
            <w:r>
              <w:rPr>
                <w:rFonts w:ascii="Arial" w:cs="Arial" w:eastAsia="Arial" w:hAnsi="Arial"/>
                <w:sz w:val="18"/>
                <w:szCs w:val="18"/>
                <w:color w:val="auto"/>
              </w:rPr>
              <w:t>____________</w:t>
            </w:r>
          </w:p>
        </w:tc>
        <w:tc>
          <w:tcPr>
            <w:tcW w:w="364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33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43" w:lineRule="exact"/>
        <w:rPr>
          <w:sz w:val="20"/>
          <w:szCs w:val="20"/>
          <w:color w:val="auto"/>
        </w:rPr>
      </w:pPr>
    </w:p>
    <w:p>
      <w:pPr>
        <w:ind w:left="400" w:hanging="392"/>
        <w:spacing w:after="0"/>
        <w:tabs>
          <w:tab w:leader="none" w:pos="400" w:val="left"/>
        </w:tabs>
        <w:numPr>
          <w:ilvl w:val="0"/>
          <w:numId w:val="11"/>
        </w:numPr>
        <w:rPr>
          <w:rFonts w:ascii="Arial" w:cs="Arial" w:eastAsia="Arial" w:hAnsi="Arial"/>
          <w:sz w:val="16"/>
          <w:szCs w:val="16"/>
          <w:color w:val="auto"/>
        </w:rPr>
      </w:pPr>
      <w:r>
        <w:rPr>
          <w:rFonts w:ascii="Arial" w:cs="Arial" w:eastAsia="Arial" w:hAnsi="Arial"/>
          <w:sz w:val="16"/>
          <w:szCs w:val="16"/>
          <w:color w:val="auto"/>
        </w:rPr>
        <w:t>Years of service include the current year of service. Ms. Kaplan’s service commenced on April 22, 2016.</w:t>
      </w:r>
    </w:p>
    <w:p>
      <w:pPr>
        <w:spacing w:after="0" w:line="19" w:lineRule="exact"/>
        <w:rPr>
          <w:rFonts w:ascii="Arial" w:cs="Arial" w:eastAsia="Arial" w:hAnsi="Arial"/>
          <w:sz w:val="16"/>
          <w:szCs w:val="16"/>
          <w:color w:val="auto"/>
        </w:rPr>
      </w:pPr>
    </w:p>
    <w:p>
      <w:pPr>
        <w:ind w:left="240" w:hanging="232"/>
        <w:spacing w:after="0"/>
        <w:tabs>
          <w:tab w:leader="none" w:pos="240" w:val="left"/>
        </w:tabs>
        <w:numPr>
          <w:ilvl w:val="0"/>
          <w:numId w:val="11"/>
        </w:numPr>
        <w:rPr>
          <w:rFonts w:ascii="Arial" w:cs="Arial" w:eastAsia="Arial" w:hAnsi="Arial"/>
          <w:sz w:val="16"/>
          <w:szCs w:val="16"/>
          <w:color w:val="auto"/>
        </w:rPr>
      </w:pPr>
      <w:r>
        <w:rPr>
          <w:rFonts w:ascii="Arial" w:cs="Arial" w:eastAsia="Arial" w:hAnsi="Arial"/>
          <w:sz w:val="16"/>
          <w:szCs w:val="16"/>
          <w:color w:val="auto"/>
        </w:rPr>
        <w:t>Executive Officer</w:t>
      </w:r>
    </w:p>
    <w:p>
      <w:pPr>
        <w:spacing w:after="0" w:line="19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NOMINEES’ BUSINESS EXPERIENCE, QUALIFICATIONS AND DIRECTORSHIPS</w:t>
      </w:r>
    </w:p>
    <w:p>
      <w:pPr>
        <w:spacing w:after="0" w:line="224" w:lineRule="exact"/>
        <w:rPr>
          <w:sz w:val="20"/>
          <w:szCs w:val="20"/>
          <w:color w:val="auto"/>
        </w:rPr>
      </w:pPr>
    </w:p>
    <w:p>
      <w:pPr>
        <w:jc w:val="both"/>
        <w:spacing w:after="0" w:line="269" w:lineRule="auto"/>
        <w:rPr>
          <w:sz w:val="20"/>
          <w:szCs w:val="20"/>
          <w:color w:val="auto"/>
        </w:rPr>
      </w:pPr>
      <w:r>
        <w:rPr>
          <w:rFonts w:ascii="Arial" w:cs="Arial" w:eastAsia="Arial" w:hAnsi="Arial"/>
          <w:sz w:val="17"/>
          <w:szCs w:val="17"/>
          <w:i w:val="1"/>
          <w:iCs w:val="1"/>
          <w:color w:val="auto"/>
        </w:rPr>
        <w:t xml:space="preserve">Michael R. Klein </w:t>
      </w:r>
      <w:r>
        <w:rPr>
          <w:rFonts w:ascii="Arial" w:cs="Arial" w:eastAsia="Arial" w:hAnsi="Arial"/>
          <w:sz w:val="17"/>
          <w:szCs w:val="17"/>
          <w:color w:val="auto"/>
        </w:rPr>
        <w:t>has been the Chairman of our Board of Directors since he and Mr. Florance started the Company in 1987. Mr. Klein also currently serves as</w:t>
      </w:r>
      <w:r>
        <w:rPr>
          <w:rFonts w:ascii="Arial" w:cs="Arial" w:eastAsia="Arial" w:hAnsi="Arial"/>
          <w:sz w:val="17"/>
          <w:szCs w:val="17"/>
          <w:i w:val="1"/>
          <w:iCs w:val="1"/>
          <w:color w:val="auto"/>
        </w:rPr>
        <w:t xml:space="preserve"> </w:t>
      </w:r>
      <w:r>
        <w:rPr>
          <w:rFonts w:ascii="Arial" w:cs="Arial" w:eastAsia="Arial" w:hAnsi="Arial"/>
          <w:sz w:val="17"/>
          <w:szCs w:val="17"/>
          <w:color w:val="auto"/>
        </w:rPr>
        <w:t>Chairman of the board of directors and Chief Executive Officer of The Sunlight Foundation, a non-profit public education organization which he founded in 2005, Chairman of Gun Violence Archive, a non-profit public education organization which he founded in 2014, and as Vice Chairman of the board of directors, Lead Director, Chairman of the Compensation and Corporate Governance &amp; Nominating Committees, and member of the Audit Committee of Tutor Perini Corporation, a publicly-held construction company. From 1998 to 2011, he served on the board of directors of SRA International, Inc., a formerly publicly held provider of technology and strategic consulting services and solutions which was sold in June 2011. Mr. Klein previously served as a director of ASTAR Air Cargo, Inc., a privately held company, until it was sold in 2015. He also serves as Chairman of the board of directors of The Shakespeare Theatre Company, as a director and secretary of the American Himalayan Foundation, as a director of the NAACP Legal Defense and Education Fund, and as a trustee of the Aspen Music Festival and School and the Aspen Institutes. From 1974 through 2005, he was a partner of the law firm now known as Wilmer Cutler Pickering Hale &amp; Dorr, LLP. Mr. Klein received a B.B.A. and a J.D. from the University of Miami and an L.L.M. from Harvard University. Mr. Klein is 74 years old.</w:t>
      </w:r>
    </w:p>
    <w:p>
      <w:pPr>
        <w:spacing w:after="0" w:line="18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As a result of his service on our Board of Directors since the Company’s inception, Mr. Klein has extensive knowledge of the commercial real estate, data provider and technology industries, as well as the Company’s products, services and business strategies. In addition to his role and tenure on our Board, Mr. Klein brings to the Board of Directors extensive experience through his service over the past 29 years on the boards of directors of the foregoing and other publicly-held companies, as well as several privately held businesses and non-profit organizations, including in the role of Chairman and Lead Director. Mr. Klein’s experience gained as a result of his involvement as a founder, director and/or investor in those entities over the past 29 years, including active participation in their business development and</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368" w:right="239" w:bottom="1440" w:gutter="0" w:footer="0" w:header="0"/>
        </w:sectPr>
      </w:pPr>
    </w:p>
    <w:bookmarkStart w:id="11" w:name="page12"/>
    <w:bookmarkEnd w:id="11"/>
    <w:p>
      <w:pPr>
        <w:jc w:val="both"/>
        <w:spacing w:after="0" w:line="264" w:lineRule="auto"/>
        <w:rPr>
          <w:sz w:val="20"/>
          <w:szCs w:val="20"/>
          <w:color w:val="auto"/>
        </w:rPr>
      </w:pPr>
      <w:r>
        <w:rPr>
          <w:rFonts w:ascii="Arial" w:cs="Arial" w:eastAsia="Arial" w:hAnsi="Arial"/>
          <w:sz w:val="18"/>
          <w:szCs w:val="18"/>
          <w:color w:val="auto"/>
        </w:rPr>
        <w:t>management, enables him to contribute significantly to the oversight and governance of the Company. Mr. Klein also has three decades of service as a corporate and securities lawyer with significant participation in corporate financings and mergers &amp; acquisitions, allowing him to provide valuable insight when evaluating or overseeing the Company’s business and growth strategies.</w:t>
      </w:r>
    </w:p>
    <w:p>
      <w:pPr>
        <w:spacing w:after="0" w:line="181" w:lineRule="exact"/>
        <w:rPr>
          <w:sz w:val="20"/>
          <w:szCs w:val="20"/>
          <w:color w:val="auto"/>
        </w:rPr>
      </w:pPr>
    </w:p>
    <w:p>
      <w:pPr>
        <w:jc w:val="both"/>
        <w:spacing w:after="0" w:line="284" w:lineRule="auto"/>
        <w:rPr>
          <w:sz w:val="20"/>
          <w:szCs w:val="20"/>
          <w:color w:val="auto"/>
        </w:rPr>
      </w:pPr>
      <w:r>
        <w:rPr>
          <w:rFonts w:ascii="Arial" w:cs="Arial" w:eastAsia="Arial" w:hAnsi="Arial"/>
          <w:sz w:val="16"/>
          <w:szCs w:val="16"/>
          <w:i w:val="1"/>
          <w:iCs w:val="1"/>
          <w:color w:val="auto"/>
        </w:rPr>
        <w:t xml:space="preserve">Andrew C. Florance </w:t>
      </w:r>
      <w:r>
        <w:rPr>
          <w:rFonts w:ascii="Arial" w:cs="Arial" w:eastAsia="Arial" w:hAnsi="Arial"/>
          <w:sz w:val="16"/>
          <w:szCs w:val="16"/>
          <w:color w:val="auto"/>
        </w:rPr>
        <w:t>founded the Company in 1987. As President and CEO of CoStar, Mr. Florance has directed CoStar Group’s successful expansion from</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start-up, to its IPO in July 1998, to its market-leading position today with a staff of approximately 2,600 worldwide and a client base that includes the real estate industry’s leading brokerage firms, property owners, and lenders. He manages an international service platform that includes the United States, United Kingdom, France, Spain and Canada and is utilized by 24 million users a month as of March 2016. Mr. Florance is a recognized authority for analysis of real estate markets. While leading CoStar Group, he has identified, negotiated, and closed more than 20 acquisitions across five countries. He is a frequent speaker on commercial real estate at industry events. He conceived of and co-authored the study resulting in the 2010 launch of the CoStar Commercial Repeat-Sale Indices (CCRSI), which is believed to be the most comprehensive and thorough commercial real estate repeat-sale price index available in the market today. The study was recognized as “Best Manuscript” by the James R. Webb American Real Estate Society (ARES) Foundation. He also co-authored the first comprehensive analysis of leasing and sales activity in energy-efficient office buildings in the United States. The study, which was published in </w:t>
      </w:r>
      <w:r>
        <w:rPr>
          <w:rFonts w:ascii="Arial" w:cs="Arial" w:eastAsia="Arial" w:hAnsi="Arial"/>
          <w:sz w:val="16"/>
          <w:szCs w:val="16"/>
          <w:i w:val="1"/>
          <w:iCs w:val="1"/>
          <w:color w:val="auto"/>
        </w:rPr>
        <w:t>The Journal</w:t>
      </w:r>
      <w:r>
        <w:rPr>
          <w:rFonts w:ascii="Arial" w:cs="Arial" w:eastAsia="Arial" w:hAnsi="Arial"/>
          <w:sz w:val="16"/>
          <w:szCs w:val="16"/>
          <w:color w:val="auto"/>
        </w:rPr>
        <w:t xml:space="preserve"> </w:t>
      </w:r>
      <w:r>
        <w:rPr>
          <w:rFonts w:ascii="Arial" w:cs="Arial" w:eastAsia="Arial" w:hAnsi="Arial"/>
          <w:sz w:val="16"/>
          <w:szCs w:val="16"/>
          <w:i w:val="1"/>
          <w:iCs w:val="1"/>
          <w:color w:val="auto"/>
        </w:rPr>
        <w:t>of Real Estate Portfolio Management</w:t>
      </w:r>
      <w:r>
        <w:rPr>
          <w:rFonts w:ascii="Arial" w:cs="Arial" w:eastAsia="Arial" w:hAnsi="Arial"/>
          <w:sz w:val="16"/>
          <w:szCs w:val="16"/>
          <w:color w:val="auto"/>
        </w:rPr>
        <w:t>, was selected by the ARES as the “Best Paper” published in this prestigious academic real estate journal in 2008. The</w:t>
      </w:r>
      <w:r>
        <w:rPr>
          <w:rFonts w:ascii="Arial" w:cs="Arial" w:eastAsia="Arial" w:hAnsi="Arial"/>
          <w:sz w:val="16"/>
          <w:szCs w:val="16"/>
          <w:i w:val="1"/>
          <w:iCs w:val="1"/>
          <w:color w:val="auto"/>
        </w:rPr>
        <w:t xml:space="preserve"> </w:t>
      </w:r>
      <w:r>
        <w:rPr>
          <w:rFonts w:ascii="Arial" w:cs="Arial" w:eastAsia="Arial" w:hAnsi="Arial"/>
          <w:sz w:val="16"/>
          <w:szCs w:val="16"/>
          <w:color w:val="auto"/>
        </w:rPr>
        <w:t>groundbreaking study was also cited as a critical factor in the Company’s selection as the only commercial real estate-related company to win an ENERGY STAR award for excellence from the U.S. Environmental Protection Agency in 2009. In addition, Mr. Florance is the recipient of numerous other awards recognizing his accomplishments as an entrepreneur and corporate leader, including: Cornell Real Estate Review’s Real Estate Industry Executive of the Year for 2009; Transwestern’s 2007 Public Company Trendsetter of the Year for revolutionizing the way the commercial real estate industry gathers, analyzes and uses information on commercial property and markets; and Ernst &amp; Young’s Entrepreneur of the Year award in 2000 for his pioneering work in real estate information services. Mr. Florance was recently honored by the Leadership Enterprise for a Diverse America Organization for his entrepreneurial leadership and commitment to education. He currently serves on the board of directors of Walker &amp; Dunlop, Inc. Mr. Florance has served on nearly a dozen non-profit boards. He currently serves on the board of directors of ARES, an association of real estate thought leaders, on the St. Albans School Governing Board, on the board of the Children’s Hospital Foundation, and as Co-Chair of The Bunny Mellon Healing Garden Dedicated to the First Ladies of the United States located at Children’s National Health System. Mr. Florance is a member of the Cathedral Chapter overseeing the Washington National Cathedral. Mr. Florance received a B.A. in economics from Princeton University. He is 52 years old.</w:t>
      </w:r>
    </w:p>
    <w:p>
      <w:pPr>
        <w:spacing w:after="0" w:line="18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As the founder of the Company and the only member of the Company’s senior management team who serves on our Board, Mr. Florance brings to the Board significant knowledge and understanding of the real estate and information services industries, unique expertise on the Company’s products and services, and extensive leadership experience. Over his 29-year tenure with the Company, Mr. Florance has served as the Chief Executive Officer and has been actively involved in all facets of the Company’s business, including developing the Company’s products and services, identifying and developing markets for the Company’s products and services and identifying and integrating acquisition targets. This experience enables Mr. Florance to make significant contributions to the Company’s business development and strategy.</w:t>
      </w:r>
    </w:p>
    <w:p>
      <w:pPr>
        <w:spacing w:after="0" w:line="19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color w:val="auto"/>
        </w:rPr>
        <w:t xml:space="preserve">Michael J. Glosserman </w:t>
      </w:r>
      <w:r>
        <w:rPr>
          <w:rFonts w:ascii="Arial" w:cs="Arial" w:eastAsia="Arial" w:hAnsi="Arial"/>
          <w:sz w:val="18"/>
          <w:szCs w:val="18"/>
          <w:color w:val="auto"/>
        </w:rPr>
        <w:t>has served as a Managing Member of The JBG Companies, a real estate investment and development firm, since 1998, and is</w:t>
      </w:r>
      <w:r>
        <w:rPr>
          <w:rFonts w:ascii="Arial" w:cs="Arial" w:eastAsia="Arial" w:hAnsi="Arial"/>
          <w:sz w:val="18"/>
          <w:szCs w:val="18"/>
          <w:i w:val="1"/>
          <w:iCs w:val="1"/>
          <w:color w:val="auto"/>
        </w:rPr>
        <w:t xml:space="preserve"> </w:t>
      </w:r>
      <w:r>
        <w:rPr>
          <w:rFonts w:ascii="Arial" w:cs="Arial" w:eastAsia="Arial" w:hAnsi="Arial"/>
          <w:sz w:val="18"/>
          <w:szCs w:val="18"/>
          <w:color w:val="auto"/>
        </w:rPr>
        <w:t>Chairman of its Executive Committee. He began his career as a staff attorney with the U.S. Department of Justice, shortly thereafter moving into commercial real estate investment and development with the Rouse Company in 1972 and then joining JBG in 1979. His non-professional affiliations include: Honorary Trustee, National Building Museum; Trustee, Federal City Council; and Advisory Board Member of the University of Pennsylvania Institute for Urban Research. He received a B.S. in Economics from the Wharton School at the University of Pennsylvania and received his J.D. from the University of Texas Law School. He is 70 years old.</w:t>
      </w:r>
    </w:p>
    <w:p>
      <w:pPr>
        <w:spacing w:after="0" w:line="193"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Mr. Glosserman has over 45 years of experience investing in, developing and owning commercial real estate. As a result of his experience, Mr. Glosserman brings to the Board significant business development, financial and commercial real estate industry expertise. As a user of commercial real estate information, Mr. Glosserman also provides the Board with a client’s perspective on the Company’s business development and mergers &amp; acquisitions strategies, including valuable insight into the potential ‘fit’ of acquisition targets and the development and marketing of products and services.</w:t>
      </w:r>
    </w:p>
    <w:p>
      <w:pPr>
        <w:spacing w:after="0" w:line="15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Warren H. Haber </w:t>
      </w:r>
      <w:r>
        <w:rPr>
          <w:rFonts w:ascii="Arial" w:cs="Arial" w:eastAsia="Arial" w:hAnsi="Arial"/>
          <w:sz w:val="18"/>
          <w:szCs w:val="18"/>
          <w:color w:val="auto"/>
        </w:rPr>
        <w:t>has been, for more than 40 years, Chairman of the Board and Chief Executive Officer of Founders Equity, Inc. and its affiliates, private</w:t>
      </w:r>
      <w:r>
        <w:rPr>
          <w:rFonts w:ascii="Arial" w:cs="Arial" w:eastAsia="Arial" w:hAnsi="Arial"/>
          <w:sz w:val="18"/>
          <w:szCs w:val="18"/>
          <w:i w:val="1"/>
          <w:iCs w:val="1"/>
          <w:color w:val="auto"/>
        </w:rPr>
        <w:t xml:space="preserve"> </w:t>
      </w:r>
      <w:r>
        <w:rPr>
          <w:rFonts w:ascii="Arial" w:cs="Arial" w:eastAsia="Arial" w:hAnsi="Arial"/>
          <w:sz w:val="18"/>
          <w:szCs w:val="18"/>
          <w:color w:val="auto"/>
        </w:rPr>
        <w:t>investment concerns. Mr. Haber is also Managing General Partner of FEF</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368" w:right="239" w:bottom="1440" w:gutter="0" w:footer="0" w:header="0"/>
        </w:sectPr>
      </w:pPr>
    </w:p>
    <w:bookmarkStart w:id="12" w:name="page13"/>
    <w:bookmarkEnd w:id="12"/>
    <w:p>
      <w:pPr>
        <w:jc w:val="both"/>
        <w:spacing w:after="0" w:line="255" w:lineRule="auto"/>
        <w:rPr>
          <w:sz w:val="20"/>
          <w:szCs w:val="20"/>
          <w:color w:val="auto"/>
        </w:rPr>
      </w:pPr>
      <w:r>
        <w:rPr>
          <w:rFonts w:ascii="Arial" w:cs="Arial" w:eastAsia="Arial" w:hAnsi="Arial"/>
          <w:sz w:val="18"/>
          <w:szCs w:val="18"/>
          <w:color w:val="auto"/>
        </w:rPr>
        <w:t>Management Services, LLC, which manages Founders Equity I, L.P. and Founders Equity NY L.P, and a Partner of Founders Property LLC, an affiliate of FEF Management Services, LLC. Mr. Haber served on the board of directors of Warnex, Inc. (Toronto Stock Exchange) and currently serves on the boards of directors of several privately-held companies, including Core BTS (formerly known as Core Business Solutions), where he serves on the Compensation Committee; Richardson Foods, Inc., where he serves on the Compensation Committee; Stone Source, Inc.; Pay-O-Matic, Inc., COR Health Services LLC, and Watertown Mall. Mr. Haber also serves as a Trustee and member of both the Audit and Investment Committees of Temple Emanu-el, New York City. Mr. Haber holds a BBA in Finance from Baruch College. He is 75 years old.</w:t>
      </w:r>
    </w:p>
    <w:p>
      <w:pPr>
        <w:spacing w:after="0" w:line="193"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Through his more than 40 years of investment banking experience, Mr. Haber has served as an executive officer and/or director of a number of portfolio companies. As a result of his experience, he brings financial and business development expertise to the Company’s Board, leadership experience, as well as public company board and management experience. The Board also draws upon Mr. Haber’s mergers &amp; acquisitions experience when developing strategies for business combinations and integrating acquired companies. Through his more than 20 years of service on the Board, Mr. Haber has also developed extensive knowledge of the commercial real estate and information services industries and the Company’s products, services and business strategies.</w:t>
      </w:r>
    </w:p>
    <w:p>
      <w:pPr>
        <w:spacing w:after="0" w:line="158" w:lineRule="exact"/>
        <w:rPr>
          <w:sz w:val="20"/>
          <w:szCs w:val="20"/>
          <w:color w:val="auto"/>
        </w:rPr>
      </w:pPr>
    </w:p>
    <w:p>
      <w:pPr>
        <w:jc w:val="both"/>
        <w:spacing w:after="0" w:line="270" w:lineRule="auto"/>
        <w:rPr>
          <w:sz w:val="20"/>
          <w:szCs w:val="20"/>
          <w:color w:val="auto"/>
        </w:rPr>
      </w:pPr>
      <w:r>
        <w:rPr>
          <w:rFonts w:ascii="Arial" w:cs="Arial" w:eastAsia="Arial" w:hAnsi="Arial"/>
          <w:sz w:val="17"/>
          <w:szCs w:val="17"/>
          <w:i w:val="1"/>
          <w:iCs w:val="1"/>
          <w:color w:val="auto"/>
        </w:rPr>
        <w:t xml:space="preserve">John W. Hill </w:t>
      </w:r>
      <w:r>
        <w:rPr>
          <w:rFonts w:ascii="Arial" w:cs="Arial" w:eastAsia="Arial" w:hAnsi="Arial"/>
          <w:sz w:val="17"/>
          <w:szCs w:val="17"/>
          <w:color w:val="auto"/>
        </w:rPr>
        <w:t>is Founder and Chief Executive Officer of J Hill Group, a professional services practice specializing in assisting clients in improving their</w:t>
      </w:r>
      <w:r>
        <w:rPr>
          <w:rFonts w:ascii="Arial" w:cs="Arial" w:eastAsia="Arial" w:hAnsi="Arial"/>
          <w:sz w:val="17"/>
          <w:szCs w:val="17"/>
          <w:i w:val="1"/>
          <w:iCs w:val="1"/>
          <w:color w:val="auto"/>
        </w:rPr>
        <w:t xml:space="preserve"> </w:t>
      </w:r>
      <w:r>
        <w:rPr>
          <w:rFonts w:ascii="Arial" w:cs="Arial" w:eastAsia="Arial" w:hAnsi="Arial"/>
          <w:sz w:val="17"/>
          <w:szCs w:val="17"/>
          <w:color w:val="auto"/>
        </w:rPr>
        <w:t>management operations, which he started in 2012. He has been the CFO of the City of Detroit, Michigan on a non-employment personal services contract since November 2013. Prior to starting his consulting practice, from 2004 to 2012, Mr. Hill served as Chief Executive Officer of Federal City Council, a non-profit, non-partisan organization dedicated to improving the Nation’s Capital. Mr. Hill has previously served in multiple other executive and financial leadership positions, including as Chief Executive Officer of In2Books, Inc. and as a Partner at Andersen, LLP. Mr. Hill currently serves as a trustee, and the Chair of the Compensation Committee and as a member of the Corporate Governance Committee of Chesapeake Lodging Trust, a publicly traded REIT, and he previously served as a member of the Audit Committees of various public companies, including Highland Hospitality Inc. and Chesapeake Lodging Trust, and various private entities, including Prestwick Pharmaceuticals, Inc. Mr. Hill also serves as Treasurer on The Shakespeare Theatre Company board of trustees, and as Chair of the board of directors of the National Minority AIDS Council. Mr. Hill received a B.S. in Accounting from the University of Maryland, passed the CPA exam and became a Certified Public Accountant in 1977. He is 61 years old.</w:t>
      </w:r>
    </w:p>
    <w:p>
      <w:pPr>
        <w:spacing w:after="0" w:line="17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Through his current and previous positions, Mr. Hill has gained over 30 years of experience in accounting, auditing and financial matters, as well as significant management expertise. As a result of his extensive experience, Mr. Hill brings to the Board valuable financial knowledge and executive management experience.</w:t>
      </w:r>
    </w:p>
    <w:p>
      <w:pPr>
        <w:spacing w:after="0" w:line="181" w:lineRule="exact"/>
        <w:rPr>
          <w:sz w:val="20"/>
          <w:szCs w:val="20"/>
          <w:color w:val="auto"/>
        </w:rPr>
      </w:pPr>
    </w:p>
    <w:p>
      <w:pPr>
        <w:jc w:val="both"/>
        <w:spacing w:after="0" w:line="268" w:lineRule="auto"/>
        <w:rPr>
          <w:sz w:val="20"/>
          <w:szCs w:val="20"/>
          <w:color w:val="auto"/>
        </w:rPr>
      </w:pPr>
      <w:r>
        <w:rPr>
          <w:rFonts w:ascii="Arial" w:cs="Arial" w:eastAsia="Arial" w:hAnsi="Arial"/>
          <w:sz w:val="17"/>
          <w:szCs w:val="17"/>
          <w:i w:val="1"/>
          <w:iCs w:val="1"/>
          <w:color w:val="auto"/>
        </w:rPr>
        <w:t xml:space="preserve">Laura Cox Kaplan </w:t>
      </w:r>
      <w:r>
        <w:rPr>
          <w:rFonts w:ascii="Arial" w:cs="Arial" w:eastAsia="Arial" w:hAnsi="Arial"/>
          <w:sz w:val="17"/>
          <w:szCs w:val="17"/>
          <w:color w:val="auto"/>
        </w:rPr>
        <w:t>is the Principal-in-Charge of Government, Regulatory Affairs and Public Policy for professional services and accounting firm</w:t>
      </w:r>
      <w:r>
        <w:rPr>
          <w:rFonts w:ascii="Arial" w:cs="Arial" w:eastAsia="Arial" w:hAnsi="Arial"/>
          <w:sz w:val="17"/>
          <w:szCs w:val="17"/>
          <w:i w:val="1"/>
          <w:iCs w:val="1"/>
          <w:color w:val="auto"/>
        </w:rPr>
        <w:t xml:space="preserve"> </w:t>
      </w:r>
      <w:r>
        <w:rPr>
          <w:rFonts w:ascii="Arial" w:cs="Arial" w:eastAsia="Arial" w:hAnsi="Arial"/>
          <w:sz w:val="17"/>
          <w:szCs w:val="17"/>
          <w:color w:val="auto"/>
        </w:rPr>
        <w:t>PricewaterhouseCoopers (PwC), where she has spent more than 11 years managing the firm’s public policy engagement strategy, and almost a decade on the executive management team. In her role at PwC, she also provides advice to clients, particularly at the executive and board level, on developments in public policy. Ms. Kaplan also serves on PwC’s Global Public Policy and Regulatory Board, which coordinates public policy strategies across the more than 150 countries in which PwC operates. She is the Chair of the American Institute of Certified Public Accountants’ (AICPA) Federal Legislative Task Force, which coordinates strategies for shaping legislative policy that impacts the accounting profession, and is a member of the Center for Audit Quality’s (CAQ) Executive Management Committee. Prior to joining PwC, Ms. Kaplan served in senior level positions at the U.S. Securities and Exchange Commission and the U.S. Department of the Treasury, where she focused largely on the legislative and regulatory response to corporate governance and accounting failures in the late 1990s and on the implementation of the Sarbanes-Oxley Act of 2002. Ms. Kaplan currently serves on the following non-profit boards: Running Start; American Council on Germany; All in Together; Empowered Women; and Global Women in Innovation, where she is Chair of the Board. She serves on the Advisory Committee for the Bush School of Government and Public Service at Texas A&amp;M University, the National Women’s History Museum’s Development Committee, and the Marine Corps Scholarship Foundation’s Development Committee. Ms. Kaplan received a Master’s degree from American University and a B.A. from the University of Texas, Austin. She is 46 years old.</w:t>
      </w:r>
    </w:p>
    <w:p>
      <w:pPr>
        <w:spacing w:after="0" w:line="18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Ms. Kaplan has more than 24 years of experience in communications, corporate governance, stakeholder engagement and public policy strategy. She lends her experience and voice publicly to a range of topics important to the public and private sectors including career and talent development, the importance of developing a diversified workforce and of the value of diversified teams, women’s leadership, and corporate governance. As a result of her experience, Ms. Kaplan brings to the Board valuable leadership, management and corporate governance experience.</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368" w:right="239" w:bottom="1440" w:gutter="0" w:footer="0" w:header="0"/>
        </w:sectPr>
      </w:pPr>
    </w:p>
    <w:bookmarkStart w:id="13" w:name="page14"/>
    <w:bookmarkEnd w:id="13"/>
    <w:p>
      <w:pPr>
        <w:jc w:val="both"/>
        <w:spacing w:after="0" w:line="269" w:lineRule="auto"/>
        <w:rPr>
          <w:sz w:val="20"/>
          <w:szCs w:val="20"/>
          <w:color w:val="auto"/>
        </w:rPr>
      </w:pPr>
      <w:r>
        <w:rPr>
          <w:rFonts w:ascii="Arial" w:cs="Arial" w:eastAsia="Arial" w:hAnsi="Arial"/>
          <w:sz w:val="17"/>
          <w:szCs w:val="17"/>
          <w:i w:val="1"/>
          <w:iCs w:val="1"/>
          <w:color w:val="auto"/>
        </w:rPr>
        <w:t xml:space="preserve">Christopher J. Nassetta </w:t>
      </w:r>
      <w:r>
        <w:rPr>
          <w:rFonts w:ascii="Arial" w:cs="Arial" w:eastAsia="Arial" w:hAnsi="Arial"/>
          <w:sz w:val="17"/>
          <w:szCs w:val="17"/>
          <w:color w:val="auto"/>
        </w:rPr>
        <w:t>has been the President and Chief Executive Officer of Hilton Worldwide (fka Hilton Hotels Corporation), a global hospitality</w:t>
      </w:r>
      <w:r>
        <w:rPr>
          <w:rFonts w:ascii="Arial" w:cs="Arial" w:eastAsia="Arial" w:hAnsi="Arial"/>
          <w:sz w:val="17"/>
          <w:szCs w:val="17"/>
          <w:i w:val="1"/>
          <w:iCs w:val="1"/>
          <w:color w:val="auto"/>
        </w:rPr>
        <w:t xml:space="preserve"> </w:t>
      </w:r>
      <w:r>
        <w:rPr>
          <w:rFonts w:ascii="Arial" w:cs="Arial" w:eastAsia="Arial" w:hAnsi="Arial"/>
          <w:sz w:val="17"/>
          <w:szCs w:val="17"/>
          <w:color w:val="auto"/>
        </w:rPr>
        <w:t>company, since December 2007. Prior to joining Hilton Worldwide, Mr. Nassetta served as the President and Chief Executive Officer of Host Hotels &amp; Resorts (fka Host Marriott Corporation), a lodging real estate investment trust and owner of luxury and upper upscale hotels, from May 2000 to December 2007. Mr. Nassetta joined Host Hotels &amp; Resorts in 1995 as Executive Vice President and was elected the Chief Operating Officer in 1997. Prior to joining Host Hotels &amp; Resorts, Mr. Nassetta served as President of Bailey Realty Corporation from 1991 until 1995, and he had previously served as Chief Development Officer and in various other positions with the Oliver Carr Company from 1984 through 1991. Mr. Nassetta serves as a member of the Real Estate Roundtable, as an Advisory Board member for the McIntire School of Commerce at the University of Virginia, and as Vice Chairman of the Corporate Fund for The John F. Kennedy Center for the Performing Arts. Mr. Nassetta is a member of Federal City Council, a member of the Steering Committee of Partners for a New Beginning, and is on the boards of the International Youth Foundation, the Wolf Trap Foundation for the Performing Arts, and the Economic Club of Washington, D.C. Mr. Nassetta previously served on the board of directors of Host Hotels &amp; Resorts. Mr. Nassetta received a degree in finance from the University of Virginia McIntire School of Commerce. Mr. Nassetta is 53 years old.</w:t>
      </w:r>
    </w:p>
    <w:p>
      <w:pPr>
        <w:spacing w:after="0" w:line="18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Through his current and previous positions, Mr. Nassetta brings to the Board significant operational and business development experience, mergers &amp; acquisitions experience, public company board and management experience, leadership experience, as well as commercial real estate industry expertise. As a user of commercial real estate information, Mr. Nassetta also provides the Board with a client’s perspective on the Company’s business development and mergers &amp; acquisitions strategies, including valuable insight into the potential “fit” of acquisition targets and the development and marketing of products and services.</w:t>
      </w:r>
    </w:p>
    <w:p>
      <w:pPr>
        <w:spacing w:after="0" w:line="188" w:lineRule="exact"/>
        <w:rPr>
          <w:sz w:val="20"/>
          <w:szCs w:val="20"/>
          <w:color w:val="auto"/>
        </w:rPr>
      </w:pPr>
    </w:p>
    <w:p>
      <w:pPr>
        <w:jc w:val="both"/>
        <w:spacing w:after="0" w:line="268" w:lineRule="auto"/>
        <w:rPr>
          <w:sz w:val="20"/>
          <w:szCs w:val="20"/>
          <w:color w:val="auto"/>
        </w:rPr>
      </w:pPr>
      <w:r>
        <w:rPr>
          <w:rFonts w:ascii="Arial" w:cs="Arial" w:eastAsia="Arial" w:hAnsi="Arial"/>
          <w:sz w:val="17"/>
          <w:szCs w:val="17"/>
          <w:i w:val="1"/>
          <w:iCs w:val="1"/>
          <w:color w:val="auto"/>
        </w:rPr>
        <w:t xml:space="preserve">David J. Steinberg </w:t>
      </w:r>
      <w:r>
        <w:rPr>
          <w:rFonts w:ascii="Arial" w:cs="Arial" w:eastAsia="Arial" w:hAnsi="Arial"/>
          <w:sz w:val="17"/>
          <w:szCs w:val="17"/>
          <w:color w:val="auto"/>
        </w:rPr>
        <w:t>has been the Chief Executive Officer of Nextility, Inc., a technology company that creates an intelligent data based market for energy,</w:t>
      </w:r>
      <w:r>
        <w:rPr>
          <w:rFonts w:ascii="Arial" w:cs="Arial" w:eastAsia="Arial" w:hAnsi="Arial"/>
          <w:sz w:val="17"/>
          <w:szCs w:val="17"/>
          <w:i w:val="1"/>
          <w:iCs w:val="1"/>
          <w:color w:val="auto"/>
        </w:rPr>
        <w:t xml:space="preserve"> </w:t>
      </w:r>
      <w:r>
        <w:rPr>
          <w:rFonts w:ascii="Arial" w:cs="Arial" w:eastAsia="Arial" w:hAnsi="Arial"/>
          <w:sz w:val="17"/>
          <w:szCs w:val="17"/>
          <w:color w:val="auto"/>
        </w:rPr>
        <w:t>since September 2015. He served as Chief Executive Officer of SnappCloud, Inc., a technology company that integrates online cloud software applications for distribution by large PC and software OEMs, from September 2009 to September 2015. From November 2008 to September 2009, Mr. Steinberg worked with investors and the board of directors of SnappCloud (formerly known as ARPU) on funding and revising the Company’s operational focus. Prior to joining SnappCloud, Mr. Steinberg was the Chairman and Chief Executive Officer of SwapDrive, Inc., an online storage cloud solution from May 2001 to October 2008, during which time SwapDrive was sold to Symantec. Mr. Steinberg also founded bridge2bridge, where he helped companies at all stages with strategy in the areas of business development, channels, and capital formation. Prior to founding bridge2bridge, Mr. Steinberg was Vice President of BioNetrix Software, Inc., where he was responsible for worldwide sales and market development. Mr. Steinberg also previously served as the director of worldwide vertical channels at then start up Check Point Software, Inc. and as a founding member of SynOptics Communications, Inc. (which became Bay Networks after a merger), establishing SynOptics’ U.S. Eastern and federal systems operations. Mr. Steinberg serves on the boards of directors of the following privately held companies: SolSystems; Radius Networks, where he serves as Chairman; and The Wireless Registry where he serves as Chairman. He is a member of the advisory board of the Washington, DC venture capital firm Core Capital Partners, and he serves on the boards of directors of the following not-for-profit entities: SEED School of Washington, DC and We are Family. Mr. Steinberg received a B.S. in physiological psychology from the University of Cincinnati. Mr. Steinberg is 58 years old.</w:t>
      </w:r>
    </w:p>
    <w:p>
      <w:pPr>
        <w:spacing w:after="0" w:line="18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Mr. Steinberg has over 30 years of sales, technical and executive experience in the data communication, network security, and Internet services industries. As a result of his experience, Mr. Steinberg brings to the Board significant business development, marketing, and executive management experience, as well as significant Internet services industry, financial and growth strategies expertise.</w:t>
      </w:r>
    </w:p>
    <w:p>
      <w:pPr>
        <w:spacing w:after="0" w:line="17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THE BOARD RECOMMENDS A VOTE “FOR” EACH OF THESE NOMINEES.</w:t>
      </w: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368" w:right="239" w:bottom="1440" w:gutter="0" w:footer="0" w:header="0"/>
        </w:sectPr>
      </w:pPr>
    </w:p>
    <w:bookmarkStart w:id="14" w:name="page15"/>
    <w:bookmarkEnd w:id="14"/>
    <w:p>
      <w:pPr>
        <w:jc w:val="center"/>
        <w:ind w:right="40"/>
        <w:spacing w:after="0"/>
        <w:rPr>
          <w:sz w:val="20"/>
          <w:szCs w:val="20"/>
          <w:color w:val="auto"/>
        </w:rPr>
      </w:pPr>
      <w:r>
        <w:rPr>
          <w:rFonts w:ascii="Arial" w:cs="Arial" w:eastAsia="Arial" w:hAnsi="Arial"/>
          <w:sz w:val="25"/>
          <w:szCs w:val="25"/>
          <w:b w:val="1"/>
          <w:bCs w:val="1"/>
          <w:color w:val="auto"/>
        </w:rPr>
        <w:t>ITEM 2</w:t>
      </w:r>
    </w:p>
    <w:p>
      <w:pPr>
        <w:spacing w:after="0" w:line="41"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APPROVAL OF THE COSTAR GROUP, INC. 2016 STOCK INCENTIVE PLAN</w:t>
      </w:r>
    </w:p>
    <w:p>
      <w:pPr>
        <w:spacing w:after="0" w:line="230"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At the Annual Meeting, stockholders will be asked to approve the CoStar Group, Inc. 2016 Stock Incentive Plan (the “2016 Stock Incentive Plan”). The Company currently administers its equity-based compensation programs under the CoStar Group, Inc. 2007 Stock Incentive Plan (the “2007 Plan”). As of April 1, 2016, 851,627 shares of common stock remained available for future grants of awards under the 2007 Plan. The 2007 Plan will expire as of April 26, 2017. Therefore, in April 2016, the Compensation Committee of the Board of Directors approved and recommended to the Board, and the Board of Directors adopted, subject to stockholder approval, the 2016 Stock Incentive Plan. The 2016 Stock Incentive Plan will replace the 2007 Plan for future grants of equity incentive awards. Following stockholder approval of the 2016 Stock Incentive Plan, no further grants will be made pursuant to the 2007 Plan.</w:t>
      </w:r>
    </w:p>
    <w:p>
      <w:pPr>
        <w:spacing w:after="0" w:line="16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number of shares that will be available for grant under the 2016 Stock Incentive Plan will be 1,450,000 shares plus (i) any shares that remain available for grant under the 2007 Plan and (ii) shares received upon cancellation, expiration or forfeiture of awards under the 2007 Plan and shares received by the Company as the result of the exchange of shares by a participant in the 2007 Plan as full or partial payment of the exercise price or tax withholding with respect to awards issued under the 2007 Plan, in each case subject to adjustment upon certain changes in our capital structure. The 1,450,000 shares represent 4.5% of the Company’s outstanding common equity, and the 1,450,000 shares plus the number of shares that remain available for grant under the 2007 Plan as of April 1, 2016 (851,627) that would be rolled into the 2016 Stock Incentive Plan represents 7.1% of the Company’s outstanding common equity, in each case measured as of April 1, 2016. The Compensation Committee considered this potential dilution level in the context of competitive data and believes that the resulting dilution levels would be within normal competitive ranges.</w:t>
      </w:r>
    </w:p>
    <w:p>
      <w:pPr>
        <w:spacing w:after="0" w:line="179"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The following table sets forth certain information about the Company’s equity compensation plans and awards outstanding under those plans as of April 1, 2016. Additional information about the Company’s equity compensation plans can be found under the Equity Compensation Plan Information table below.</w:t>
      </w:r>
      <w:r>
        <w:rPr>
          <w:rFonts w:ascii="Arial" w:cs="Arial" w:eastAsia="Arial" w:hAnsi="Arial"/>
          <w:sz w:val="22"/>
          <w:szCs w:val="22"/>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56515</wp:posOffset>
            </wp:positionH>
            <wp:positionV relativeFrom="paragraph">
              <wp:posOffset>248285</wp:posOffset>
            </wp:positionV>
            <wp:extent cx="7126605" cy="125222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26605" cy="1252220"/>
                    </a:xfrm>
                    <a:prstGeom prst="rect">
                      <a:avLst/>
                    </a:prstGeom>
                    <a:noFill/>
                  </pic:spPr>
                </pic:pic>
              </a:graphicData>
            </a:graphic>
          </wp:anchor>
        </w:drawing>
      </w:r>
    </w:p>
    <w:p>
      <w:pPr>
        <w:spacing w:after="0" w:line="371" w:lineRule="exact"/>
        <w:rPr>
          <w:sz w:val="20"/>
          <w:szCs w:val="20"/>
          <w:color w:val="auto"/>
        </w:rPr>
      </w:pPr>
    </w:p>
    <w:tbl>
      <w:tblPr>
        <w:tblLayout w:type="fixed"/>
        <w:tblInd w:w="80" w:type="dxa"/>
        <w:tblCellMar>
          <w:top w:w="0" w:type="dxa"/>
          <w:left w:w="0" w:type="dxa"/>
          <w:bottom w:w="0" w:type="dxa"/>
          <w:right w:w="0" w:type="dxa"/>
        </w:tblCellMar>
      </w:tblPr>
      <w:tr>
        <w:trPr>
          <w:trHeight w:val="270"/>
        </w:trPr>
        <w:tc>
          <w:tcPr>
            <w:tcW w:w="9820" w:type="dxa"/>
            <w:vAlign w:val="bottom"/>
            <w:shd w:val="clear" w:color="auto" w:fill="DBE5F1"/>
          </w:tcPr>
          <w:p>
            <w:pPr>
              <w:ind w:left="40"/>
              <w:spacing w:after="0"/>
              <w:rPr>
                <w:sz w:val="20"/>
                <w:szCs w:val="20"/>
                <w:color w:val="auto"/>
              </w:rPr>
            </w:pPr>
            <w:r>
              <w:rPr>
                <w:rFonts w:ascii="Arial" w:cs="Arial" w:eastAsia="Arial" w:hAnsi="Arial"/>
                <w:sz w:val="18"/>
                <w:szCs w:val="18"/>
                <w:color w:val="auto"/>
              </w:rPr>
              <w:t>Number of shares available for future awards under 2007 Plan</w:t>
            </w:r>
          </w:p>
        </w:tc>
        <w:tc>
          <w:tcPr>
            <w:tcW w:w="1420" w:type="dxa"/>
            <w:vAlign w:val="bottom"/>
            <w:shd w:val="clear" w:color="auto" w:fill="DBE5F1"/>
          </w:tcPr>
          <w:p>
            <w:pPr>
              <w:jc w:val="right"/>
              <w:ind w:right="110"/>
              <w:spacing w:after="0"/>
              <w:rPr>
                <w:sz w:val="20"/>
                <w:szCs w:val="20"/>
                <w:color w:val="auto"/>
              </w:rPr>
            </w:pPr>
            <w:r>
              <w:rPr>
                <w:rFonts w:ascii="Arial" w:cs="Arial" w:eastAsia="Arial" w:hAnsi="Arial"/>
                <w:sz w:val="18"/>
                <w:szCs w:val="18"/>
                <w:color w:val="auto"/>
              </w:rPr>
              <w:t>851,627</w:t>
            </w:r>
          </w:p>
        </w:tc>
      </w:tr>
      <w:tr>
        <w:trPr>
          <w:trHeight w:val="264"/>
        </w:trPr>
        <w:tc>
          <w:tcPr>
            <w:tcW w:w="9820" w:type="dxa"/>
            <w:vAlign w:val="bottom"/>
          </w:tcPr>
          <w:p>
            <w:pPr>
              <w:ind w:left="40"/>
              <w:spacing w:after="0"/>
              <w:rPr>
                <w:sz w:val="20"/>
                <w:szCs w:val="20"/>
                <w:color w:val="auto"/>
              </w:rPr>
            </w:pPr>
            <w:r>
              <w:rPr>
                <w:rFonts w:ascii="Arial" w:cs="Arial" w:eastAsia="Arial" w:hAnsi="Arial"/>
                <w:sz w:val="18"/>
                <w:szCs w:val="18"/>
                <w:color w:val="auto"/>
              </w:rPr>
              <w:t>Number of shares subject to outstanding stock options</w:t>
            </w:r>
          </w:p>
        </w:tc>
        <w:tc>
          <w:tcPr>
            <w:tcW w:w="1420" w:type="dxa"/>
            <w:vAlign w:val="bottom"/>
            <w:tcBorders>
              <w:bottom w:val="single" w:sz="8" w:color="DBE5F1"/>
            </w:tcBorders>
            <w:shd w:val="clear" w:color="auto" w:fill="DBE5F1"/>
          </w:tcPr>
          <w:p>
            <w:pPr>
              <w:jc w:val="right"/>
              <w:ind w:right="110"/>
              <w:spacing w:after="0"/>
              <w:rPr>
                <w:sz w:val="20"/>
                <w:szCs w:val="20"/>
                <w:color w:val="auto"/>
              </w:rPr>
            </w:pPr>
            <w:r>
              <w:rPr>
                <w:rFonts w:ascii="Arial" w:cs="Arial" w:eastAsia="Arial" w:hAnsi="Arial"/>
                <w:sz w:val="18"/>
                <w:szCs w:val="18"/>
                <w:color w:val="auto"/>
              </w:rPr>
              <w:t>464,943</w:t>
            </w:r>
          </w:p>
        </w:tc>
      </w:tr>
      <w:tr>
        <w:trPr>
          <w:trHeight w:val="310"/>
        </w:trPr>
        <w:tc>
          <w:tcPr>
            <w:tcW w:w="9820" w:type="dxa"/>
            <w:vAlign w:val="bottom"/>
          </w:tcPr>
          <w:p>
            <w:pPr>
              <w:ind w:left="40"/>
              <w:spacing w:after="0"/>
              <w:rPr>
                <w:sz w:val="20"/>
                <w:szCs w:val="20"/>
                <w:color w:val="auto"/>
              </w:rPr>
            </w:pPr>
            <w:r>
              <w:rPr>
                <w:rFonts w:ascii="Arial" w:cs="Arial" w:eastAsia="Arial" w:hAnsi="Arial"/>
                <w:sz w:val="18"/>
                <w:szCs w:val="18"/>
                <w:color w:val="auto"/>
              </w:rPr>
              <w:t>Number of shares outstanding relating to awards of restricted stock and restricted stock units</w:t>
            </w:r>
            <w:r>
              <w:rPr>
                <w:rFonts w:ascii="Arial" w:cs="Arial" w:eastAsia="Arial" w:hAnsi="Arial"/>
                <w:sz w:val="25"/>
                <w:szCs w:val="25"/>
                <w:color w:val="auto"/>
                <w:vertAlign w:val="superscript"/>
              </w:rPr>
              <w:t>(2)</w:t>
            </w:r>
          </w:p>
        </w:tc>
        <w:tc>
          <w:tcPr>
            <w:tcW w:w="1420" w:type="dxa"/>
            <w:vAlign w:val="bottom"/>
          </w:tcPr>
          <w:p>
            <w:pPr>
              <w:jc w:val="right"/>
              <w:ind w:right="110"/>
              <w:spacing w:after="0"/>
              <w:rPr>
                <w:sz w:val="20"/>
                <w:szCs w:val="20"/>
                <w:color w:val="auto"/>
              </w:rPr>
            </w:pPr>
            <w:r>
              <w:rPr>
                <w:rFonts w:ascii="Arial" w:cs="Arial" w:eastAsia="Arial" w:hAnsi="Arial"/>
                <w:sz w:val="18"/>
                <w:szCs w:val="18"/>
                <w:color w:val="auto"/>
              </w:rPr>
              <w:t>554,657</w:t>
            </w:r>
          </w:p>
        </w:tc>
      </w:tr>
      <w:tr>
        <w:trPr>
          <w:trHeight w:val="230"/>
        </w:trPr>
        <w:tc>
          <w:tcPr>
            <w:tcW w:w="9820" w:type="dxa"/>
            <w:vAlign w:val="bottom"/>
          </w:tcPr>
          <w:p>
            <w:pPr>
              <w:ind w:left="40"/>
              <w:spacing w:after="0"/>
              <w:rPr>
                <w:sz w:val="20"/>
                <w:szCs w:val="20"/>
                <w:color w:val="auto"/>
              </w:rPr>
            </w:pPr>
            <w:r>
              <w:rPr>
                <w:rFonts w:ascii="Arial" w:cs="Arial" w:eastAsia="Arial" w:hAnsi="Arial"/>
                <w:sz w:val="18"/>
                <w:szCs w:val="18"/>
                <w:color w:val="auto"/>
              </w:rPr>
              <w:t>Maximum option term</w:t>
            </w:r>
          </w:p>
        </w:tc>
        <w:tc>
          <w:tcPr>
            <w:tcW w:w="1420" w:type="dxa"/>
            <w:vAlign w:val="bottom"/>
          </w:tcPr>
          <w:p>
            <w:pPr>
              <w:jc w:val="right"/>
              <w:ind w:right="110"/>
              <w:spacing w:after="0"/>
              <w:rPr>
                <w:sz w:val="20"/>
                <w:szCs w:val="20"/>
                <w:color w:val="auto"/>
              </w:rPr>
            </w:pPr>
            <w:r>
              <w:rPr>
                <w:rFonts w:ascii="Arial" w:cs="Arial" w:eastAsia="Arial" w:hAnsi="Arial"/>
                <w:sz w:val="18"/>
                <w:szCs w:val="18"/>
                <w:color w:val="auto"/>
              </w:rPr>
              <w:t>10 years</w:t>
            </w:r>
          </w:p>
        </w:tc>
      </w:tr>
      <w:tr>
        <w:trPr>
          <w:trHeight w:val="284"/>
        </w:trPr>
        <w:tc>
          <w:tcPr>
            <w:tcW w:w="9820" w:type="dxa"/>
            <w:vAlign w:val="bottom"/>
          </w:tcPr>
          <w:p>
            <w:pPr>
              <w:ind w:left="40"/>
              <w:spacing w:after="0"/>
              <w:rPr>
                <w:sz w:val="20"/>
                <w:szCs w:val="20"/>
                <w:color w:val="auto"/>
              </w:rPr>
            </w:pPr>
            <w:r>
              <w:rPr>
                <w:rFonts w:ascii="Arial" w:cs="Arial" w:eastAsia="Arial" w:hAnsi="Arial"/>
                <w:sz w:val="18"/>
                <w:szCs w:val="18"/>
                <w:color w:val="auto"/>
              </w:rPr>
              <w:t>Minimum exercise price (relative to market value on date of grant)</w:t>
            </w:r>
          </w:p>
        </w:tc>
        <w:tc>
          <w:tcPr>
            <w:tcW w:w="1420" w:type="dxa"/>
            <w:vAlign w:val="bottom"/>
          </w:tcPr>
          <w:p>
            <w:pPr>
              <w:jc w:val="right"/>
              <w:spacing w:after="0"/>
              <w:rPr>
                <w:sz w:val="20"/>
                <w:szCs w:val="20"/>
                <w:color w:val="auto"/>
              </w:rPr>
            </w:pPr>
            <w:r>
              <w:rPr>
                <w:rFonts w:ascii="Arial" w:cs="Arial" w:eastAsia="Arial" w:hAnsi="Arial"/>
                <w:sz w:val="18"/>
                <w:szCs w:val="18"/>
                <w:color w:val="auto"/>
              </w:rPr>
              <w:t>100%</w:t>
            </w:r>
          </w:p>
        </w:tc>
      </w:tr>
      <w:tr>
        <w:trPr>
          <w:trHeight w:val="284"/>
        </w:trPr>
        <w:tc>
          <w:tcPr>
            <w:tcW w:w="9820" w:type="dxa"/>
            <w:vAlign w:val="bottom"/>
          </w:tcPr>
          <w:p>
            <w:pPr>
              <w:ind w:left="40"/>
              <w:spacing w:after="0"/>
              <w:rPr>
                <w:sz w:val="20"/>
                <w:szCs w:val="20"/>
                <w:color w:val="auto"/>
              </w:rPr>
            </w:pPr>
            <w:r>
              <w:rPr>
                <w:rFonts w:ascii="Arial" w:cs="Arial" w:eastAsia="Arial" w:hAnsi="Arial"/>
                <w:sz w:val="18"/>
                <w:szCs w:val="18"/>
                <w:color w:val="auto"/>
              </w:rPr>
              <w:t>Weighted average remaining term of outstanding options</w:t>
            </w:r>
          </w:p>
        </w:tc>
        <w:tc>
          <w:tcPr>
            <w:tcW w:w="1420" w:type="dxa"/>
            <w:vAlign w:val="bottom"/>
          </w:tcPr>
          <w:p>
            <w:pPr>
              <w:jc w:val="right"/>
              <w:ind w:right="110"/>
              <w:spacing w:after="0"/>
              <w:rPr>
                <w:sz w:val="20"/>
                <w:szCs w:val="20"/>
                <w:color w:val="auto"/>
              </w:rPr>
            </w:pPr>
            <w:r>
              <w:rPr>
                <w:rFonts w:ascii="Arial" w:cs="Arial" w:eastAsia="Arial" w:hAnsi="Arial"/>
                <w:sz w:val="18"/>
                <w:szCs w:val="18"/>
                <w:color w:val="auto"/>
              </w:rPr>
              <w:t>7.242</w:t>
            </w:r>
          </w:p>
        </w:tc>
      </w:tr>
      <w:tr>
        <w:trPr>
          <w:trHeight w:val="284"/>
        </w:trPr>
        <w:tc>
          <w:tcPr>
            <w:tcW w:w="9820" w:type="dxa"/>
            <w:vAlign w:val="bottom"/>
          </w:tcPr>
          <w:p>
            <w:pPr>
              <w:ind w:left="40"/>
              <w:spacing w:after="0"/>
              <w:rPr>
                <w:sz w:val="20"/>
                <w:szCs w:val="20"/>
                <w:color w:val="auto"/>
              </w:rPr>
            </w:pPr>
            <w:r>
              <w:rPr>
                <w:rFonts w:ascii="Arial" w:cs="Arial" w:eastAsia="Arial" w:hAnsi="Arial"/>
                <w:sz w:val="18"/>
                <w:szCs w:val="18"/>
                <w:color w:val="auto"/>
              </w:rPr>
              <w:t>Weighted average exercise price of outstanding options</w:t>
            </w:r>
          </w:p>
        </w:tc>
        <w:tc>
          <w:tcPr>
            <w:tcW w:w="1420" w:type="dxa"/>
            <w:vAlign w:val="bottom"/>
          </w:tcPr>
          <w:p>
            <w:pPr>
              <w:jc w:val="right"/>
              <w:ind w:right="110"/>
              <w:spacing w:after="0"/>
              <w:rPr>
                <w:sz w:val="20"/>
                <w:szCs w:val="20"/>
                <w:color w:val="auto"/>
              </w:rPr>
            </w:pPr>
            <w:r>
              <w:rPr>
                <w:rFonts w:ascii="Arial" w:cs="Arial" w:eastAsia="Arial" w:hAnsi="Arial"/>
                <w:sz w:val="18"/>
                <w:szCs w:val="18"/>
                <w:color w:val="auto"/>
              </w:rPr>
              <w:t>$131.15</w:t>
            </w:r>
          </w:p>
        </w:tc>
      </w:tr>
    </w:tbl>
    <w:p>
      <w:pPr>
        <w:spacing w:after="0" w:line="8" w:lineRule="exact"/>
        <w:rPr>
          <w:sz w:val="20"/>
          <w:szCs w:val="20"/>
          <w:color w:val="auto"/>
        </w:rPr>
      </w:pPr>
    </w:p>
    <w:p>
      <w:pPr>
        <w:spacing w:after="0"/>
        <w:rPr>
          <w:sz w:val="20"/>
          <w:szCs w:val="20"/>
          <w:color w:val="auto"/>
        </w:rPr>
      </w:pPr>
      <w:r>
        <w:rPr>
          <w:rFonts w:ascii="Arial" w:cs="Arial" w:eastAsia="Arial" w:hAnsi="Arial"/>
          <w:sz w:val="14"/>
          <w:szCs w:val="14"/>
          <w:color w:val="auto"/>
        </w:rPr>
        <w:t>__________</w:t>
      </w:r>
    </w:p>
    <w:p>
      <w:pPr>
        <w:spacing w:after="0" w:line="240" w:lineRule="exact"/>
        <w:rPr>
          <w:sz w:val="20"/>
          <w:szCs w:val="20"/>
          <w:color w:val="auto"/>
        </w:rPr>
      </w:pPr>
    </w:p>
    <w:p>
      <w:pPr>
        <w:ind w:left="240" w:hanging="232"/>
        <w:spacing w:after="0"/>
        <w:tabs>
          <w:tab w:leader="none" w:pos="240" w:val="left"/>
        </w:tabs>
        <w:numPr>
          <w:ilvl w:val="0"/>
          <w:numId w:val="12"/>
        </w:numPr>
        <w:rPr>
          <w:rFonts w:ascii="Arial" w:cs="Arial" w:eastAsia="Arial" w:hAnsi="Arial"/>
          <w:sz w:val="16"/>
          <w:szCs w:val="16"/>
          <w:color w:val="auto"/>
        </w:rPr>
      </w:pPr>
      <w:r>
        <w:rPr>
          <w:rFonts w:ascii="Arial" w:cs="Arial" w:eastAsia="Arial" w:hAnsi="Arial"/>
          <w:sz w:val="16"/>
          <w:szCs w:val="16"/>
          <w:color w:val="auto"/>
        </w:rPr>
        <w:t>The information in this table does not include shares under the Company’s Employee Stock Purchase Plan.</w:t>
      </w:r>
    </w:p>
    <w:p>
      <w:pPr>
        <w:spacing w:after="0" w:line="22" w:lineRule="exact"/>
        <w:rPr>
          <w:rFonts w:ascii="Arial" w:cs="Arial" w:eastAsia="Arial" w:hAnsi="Arial"/>
          <w:sz w:val="16"/>
          <w:szCs w:val="16"/>
          <w:color w:val="auto"/>
        </w:rPr>
      </w:pPr>
    </w:p>
    <w:p>
      <w:pPr>
        <w:jc w:val="both"/>
        <w:ind w:firstLine="8"/>
        <w:spacing w:after="0" w:line="258" w:lineRule="auto"/>
        <w:tabs>
          <w:tab w:leader="none" w:pos="229" w:val="left"/>
        </w:tabs>
        <w:numPr>
          <w:ilvl w:val="0"/>
          <w:numId w:val="12"/>
        </w:numPr>
        <w:rPr>
          <w:rFonts w:ascii="Arial" w:cs="Arial" w:eastAsia="Arial" w:hAnsi="Arial"/>
          <w:sz w:val="16"/>
          <w:szCs w:val="16"/>
          <w:color w:val="auto"/>
        </w:rPr>
      </w:pPr>
      <w:r>
        <w:rPr>
          <w:rFonts w:ascii="Arial" w:cs="Arial" w:eastAsia="Arial" w:hAnsi="Arial"/>
          <w:sz w:val="16"/>
          <w:szCs w:val="16"/>
          <w:color w:val="auto"/>
        </w:rPr>
        <w:t>Consists of 554,350 shares of restricted stock and 307 shares of common stock subject to restricted stock unit awards that vest over time. The actual number of shares of restricted stock that vest depends on whether the vesting conditions are met, and the actual number of shares issued with respect to the restricted stock unit awards depends on whether vesting conditions are met.</w:t>
      </w:r>
    </w:p>
    <w:p>
      <w:pPr>
        <w:spacing w:after="0" w:line="18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When reviewing and approving the 2016 Stock Incentive Plan, the Compensation Committee considered, among other things, potential dilution to our current shareholders, including burn rate and overhang; the continued importance of motivating, recruiting and retaining key employees; and the Company’s increased equity compensation needs given the Apartments.com and Apartment Finder acquisitions.</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Compensation Committee reviewed annual dilution from the Company’s 2007 Plan when approving the 2016 Stock Incentive Plan. The Company measures annual dilution as the total number of shares subject to equity awards granted during the year, less cancellations and other shares returned to the reserve, divided by total common stock outstanding at the end of the respective year. The Company’s annual dilution under the 2007 Plan for 2015, 2014 and 2013, respectively, calculated on this basis was 0.64%, 0.01% and 0.66%.</w:t>
      </w:r>
    </w:p>
    <w:p>
      <w:pPr>
        <w:spacing w:after="0" w:line="187"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The Company manages long-term dilution by limiting the number of shares subject to equity awards that it grants annually, referred to as the burn rate. Burn rate is a measure of share usage and quantifies the rate at which a company is utilizing its share reserve by expressing the number of equity awards granted as a percentage of the weighted-average</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360" w:right="239" w:bottom="1440" w:gutter="0" w:footer="0" w:header="0"/>
        </w:sectPr>
      </w:pPr>
    </w:p>
    <w:bookmarkStart w:id="15" w:name="page16"/>
    <w:bookmarkEnd w:id="15"/>
    <w:p>
      <w:pPr>
        <w:jc w:val="both"/>
        <w:ind w:right="20"/>
        <w:spacing w:after="0" w:line="342" w:lineRule="auto"/>
        <w:rPr>
          <w:sz w:val="20"/>
          <w:szCs w:val="20"/>
          <w:color w:val="auto"/>
        </w:rPr>
      </w:pPr>
      <w:r>
        <w:rPr>
          <w:rFonts w:ascii="Arial" w:cs="Arial" w:eastAsia="Arial" w:hAnsi="Arial"/>
          <w:sz w:val="16"/>
          <w:szCs w:val="16"/>
          <w:color w:val="auto"/>
        </w:rPr>
        <w:t>undiluted number of shares of common stock outstanding during the year. Burn rate does not typically take into account cancellations and other shares returned to the share reserve. The Company has calculated the burn rate under the 2007 Plan for the past three years, as set forth in the following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139065</wp:posOffset>
            </wp:positionV>
            <wp:extent cx="7092315" cy="123507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092315" cy="1235075"/>
                    </a:xfrm>
                    <a:prstGeom prst="rect">
                      <a:avLst/>
                    </a:prstGeom>
                    <a:noFill/>
                  </pic:spPr>
                </pic:pic>
              </a:graphicData>
            </a:graphic>
          </wp:anchor>
        </w:drawing>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1780" w:type="dxa"/>
            <w:vAlign w:val="bottom"/>
            <w:shd w:val="clear" w:color="auto" w:fill="B8CCE4"/>
          </w:tcPr>
          <w:p>
            <w:pPr>
              <w:spacing w:after="0"/>
              <w:rPr>
                <w:sz w:val="19"/>
                <w:szCs w:val="19"/>
                <w:color w:val="auto"/>
              </w:rPr>
            </w:pPr>
          </w:p>
        </w:tc>
        <w:tc>
          <w:tcPr>
            <w:tcW w:w="1560" w:type="dxa"/>
            <w:vAlign w:val="bottom"/>
            <w:shd w:val="clear" w:color="auto" w:fill="B8CCE4"/>
          </w:tcPr>
          <w:p>
            <w:pPr>
              <w:spacing w:after="0"/>
              <w:rPr>
                <w:sz w:val="19"/>
                <w:szCs w:val="19"/>
                <w:color w:val="auto"/>
              </w:rPr>
            </w:pPr>
          </w:p>
        </w:tc>
        <w:tc>
          <w:tcPr>
            <w:tcW w:w="1900" w:type="dxa"/>
            <w:vAlign w:val="bottom"/>
            <w:shd w:val="clear" w:color="auto" w:fill="B8CCE4"/>
          </w:tcPr>
          <w:p>
            <w:pPr>
              <w:spacing w:after="0"/>
              <w:rPr>
                <w:sz w:val="19"/>
                <w:szCs w:val="19"/>
                <w:color w:val="auto"/>
              </w:rPr>
            </w:pPr>
          </w:p>
        </w:tc>
        <w:tc>
          <w:tcPr>
            <w:tcW w:w="1820" w:type="dxa"/>
            <w:vAlign w:val="bottom"/>
            <w:shd w:val="clear" w:color="auto" w:fill="B8CCE4"/>
          </w:tcPr>
          <w:p>
            <w:pPr>
              <w:jc w:val="center"/>
              <w:ind w:right="99"/>
              <w:spacing w:after="0"/>
              <w:rPr>
                <w:sz w:val="20"/>
                <w:szCs w:val="20"/>
                <w:color w:val="auto"/>
              </w:rPr>
            </w:pPr>
            <w:r>
              <w:rPr>
                <w:rFonts w:ascii="Arial" w:cs="Arial" w:eastAsia="Arial" w:hAnsi="Arial"/>
                <w:sz w:val="16"/>
                <w:szCs w:val="16"/>
                <w:b w:val="1"/>
                <w:bCs w:val="1"/>
                <w:color w:val="auto"/>
                <w:w w:val="95"/>
              </w:rPr>
              <w:t>Total Granted =</w:t>
            </w:r>
          </w:p>
        </w:tc>
        <w:tc>
          <w:tcPr>
            <w:tcW w:w="2540" w:type="dxa"/>
            <w:vAlign w:val="bottom"/>
            <w:shd w:val="clear" w:color="auto" w:fill="B8CCE4"/>
          </w:tcPr>
          <w:p>
            <w:pPr>
              <w:spacing w:after="0"/>
              <w:rPr>
                <w:sz w:val="19"/>
                <w:szCs w:val="19"/>
                <w:color w:val="auto"/>
              </w:rPr>
            </w:pPr>
          </w:p>
        </w:tc>
        <w:tc>
          <w:tcPr>
            <w:tcW w:w="1560" w:type="dxa"/>
            <w:vAlign w:val="bottom"/>
            <w:shd w:val="clear" w:color="auto" w:fill="B8CCE4"/>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1780" w:type="dxa"/>
            <w:vAlign w:val="bottom"/>
            <w:shd w:val="clear" w:color="auto" w:fill="B8CCE4"/>
          </w:tcPr>
          <w:p>
            <w:pPr>
              <w:spacing w:after="0"/>
              <w:rPr>
                <w:sz w:val="17"/>
                <w:szCs w:val="17"/>
                <w:color w:val="auto"/>
              </w:rPr>
            </w:pPr>
          </w:p>
        </w:tc>
        <w:tc>
          <w:tcPr>
            <w:tcW w:w="1560" w:type="dxa"/>
            <w:vAlign w:val="bottom"/>
            <w:vMerge w:val="restart"/>
            <w:shd w:val="clear" w:color="auto" w:fill="B8CCE4"/>
          </w:tcPr>
          <w:p>
            <w:pPr>
              <w:jc w:val="right"/>
              <w:ind w:right="99"/>
              <w:spacing w:after="0"/>
              <w:rPr>
                <w:sz w:val="20"/>
                <w:szCs w:val="20"/>
                <w:color w:val="auto"/>
              </w:rPr>
            </w:pPr>
            <w:r>
              <w:rPr>
                <w:rFonts w:ascii="Arial" w:cs="Arial" w:eastAsia="Arial" w:hAnsi="Arial"/>
                <w:sz w:val="16"/>
                <w:szCs w:val="16"/>
                <w:b w:val="1"/>
                <w:bCs w:val="1"/>
                <w:color w:val="auto"/>
              </w:rPr>
              <w:t>Options Granted</w:t>
            </w:r>
          </w:p>
        </w:tc>
        <w:tc>
          <w:tcPr>
            <w:tcW w:w="1900" w:type="dxa"/>
            <w:vAlign w:val="bottom"/>
            <w:shd w:val="clear" w:color="auto" w:fill="B8CCE4"/>
          </w:tcPr>
          <w:p>
            <w:pPr>
              <w:jc w:val="right"/>
              <w:ind w:right="319"/>
              <w:spacing w:after="0"/>
              <w:rPr>
                <w:sz w:val="20"/>
                <w:szCs w:val="20"/>
                <w:color w:val="auto"/>
              </w:rPr>
            </w:pPr>
            <w:r>
              <w:rPr>
                <w:rFonts w:ascii="Arial" w:cs="Arial" w:eastAsia="Arial" w:hAnsi="Arial"/>
                <w:sz w:val="16"/>
                <w:szCs w:val="16"/>
                <w:b w:val="1"/>
                <w:bCs w:val="1"/>
                <w:color w:val="auto"/>
              </w:rPr>
              <w:t>Full-Value Shares</w:t>
            </w:r>
          </w:p>
        </w:tc>
        <w:tc>
          <w:tcPr>
            <w:tcW w:w="1820" w:type="dxa"/>
            <w:vAlign w:val="bottom"/>
            <w:shd w:val="clear" w:color="auto" w:fill="B8CCE4"/>
          </w:tcPr>
          <w:p>
            <w:pPr>
              <w:jc w:val="center"/>
              <w:ind w:right="99"/>
              <w:spacing w:after="0"/>
              <w:rPr>
                <w:sz w:val="20"/>
                <w:szCs w:val="20"/>
                <w:color w:val="auto"/>
              </w:rPr>
            </w:pPr>
            <w:r>
              <w:rPr>
                <w:rFonts w:ascii="Arial" w:cs="Arial" w:eastAsia="Arial" w:hAnsi="Arial"/>
                <w:sz w:val="16"/>
                <w:szCs w:val="16"/>
                <w:b w:val="1"/>
                <w:bCs w:val="1"/>
                <w:color w:val="auto"/>
                <w:w w:val="92"/>
              </w:rPr>
              <w:t>Options+Full-Value</w:t>
            </w:r>
          </w:p>
        </w:tc>
        <w:tc>
          <w:tcPr>
            <w:tcW w:w="2540" w:type="dxa"/>
            <w:vAlign w:val="bottom"/>
            <w:shd w:val="clear" w:color="auto" w:fill="B8CCE4"/>
          </w:tcPr>
          <w:p>
            <w:pPr>
              <w:jc w:val="right"/>
              <w:ind w:right="319"/>
              <w:spacing w:after="0"/>
              <w:rPr>
                <w:sz w:val="20"/>
                <w:szCs w:val="20"/>
                <w:color w:val="auto"/>
              </w:rPr>
            </w:pPr>
            <w:r>
              <w:rPr>
                <w:rFonts w:ascii="Arial" w:cs="Arial" w:eastAsia="Arial" w:hAnsi="Arial"/>
                <w:sz w:val="16"/>
                <w:szCs w:val="16"/>
                <w:b w:val="1"/>
                <w:bCs w:val="1"/>
                <w:color w:val="auto"/>
                <w:w w:val="94"/>
              </w:rPr>
              <w:t>Weighted Average Number of</w:t>
            </w:r>
          </w:p>
        </w:tc>
        <w:tc>
          <w:tcPr>
            <w:tcW w:w="1560" w:type="dxa"/>
            <w:vAlign w:val="bottom"/>
            <w:shd w:val="clear" w:color="auto" w:fill="B8CCE4"/>
          </w:tcPr>
          <w:p>
            <w:pPr>
              <w:spacing w:after="0"/>
              <w:rPr>
                <w:sz w:val="17"/>
                <w:szCs w:val="17"/>
                <w:color w:val="auto"/>
              </w:rPr>
            </w:pPr>
          </w:p>
        </w:tc>
        <w:tc>
          <w:tcPr>
            <w:tcW w:w="0" w:type="dxa"/>
            <w:vAlign w:val="bottom"/>
          </w:tcPr>
          <w:p>
            <w:pPr>
              <w:spacing w:after="0"/>
              <w:rPr>
                <w:sz w:val="1"/>
                <w:szCs w:val="1"/>
                <w:color w:val="auto"/>
              </w:rPr>
            </w:pPr>
          </w:p>
        </w:tc>
      </w:tr>
      <w:tr>
        <w:trPr>
          <w:trHeight w:val="102"/>
        </w:trPr>
        <w:tc>
          <w:tcPr>
            <w:tcW w:w="1780" w:type="dxa"/>
            <w:vAlign w:val="bottom"/>
            <w:shd w:val="clear" w:color="auto" w:fill="B8CCE4"/>
          </w:tcPr>
          <w:p>
            <w:pPr>
              <w:spacing w:after="0"/>
              <w:rPr>
                <w:sz w:val="8"/>
                <w:szCs w:val="8"/>
                <w:color w:val="auto"/>
              </w:rPr>
            </w:pPr>
          </w:p>
        </w:tc>
        <w:tc>
          <w:tcPr>
            <w:tcW w:w="1560" w:type="dxa"/>
            <w:vAlign w:val="bottom"/>
            <w:vMerge w:val="continue"/>
            <w:shd w:val="clear" w:color="auto" w:fill="B8CCE4"/>
          </w:tcPr>
          <w:p>
            <w:pPr>
              <w:spacing w:after="0"/>
              <w:rPr>
                <w:sz w:val="8"/>
                <w:szCs w:val="8"/>
                <w:color w:val="auto"/>
              </w:rPr>
            </w:pPr>
          </w:p>
        </w:tc>
        <w:tc>
          <w:tcPr>
            <w:tcW w:w="1900" w:type="dxa"/>
            <w:vAlign w:val="bottom"/>
            <w:vMerge w:val="restart"/>
            <w:shd w:val="clear" w:color="auto" w:fill="B8CCE4"/>
          </w:tcPr>
          <w:p>
            <w:pPr>
              <w:jc w:val="right"/>
              <w:ind w:right="639"/>
              <w:spacing w:after="0"/>
              <w:rPr>
                <w:sz w:val="20"/>
                <w:szCs w:val="20"/>
                <w:color w:val="auto"/>
              </w:rPr>
            </w:pPr>
            <w:r>
              <w:rPr>
                <w:rFonts w:ascii="Arial" w:cs="Arial" w:eastAsia="Arial" w:hAnsi="Arial"/>
                <w:sz w:val="16"/>
                <w:szCs w:val="16"/>
                <w:b w:val="1"/>
                <w:bCs w:val="1"/>
                <w:color w:val="auto"/>
              </w:rPr>
              <w:t>Granted</w:t>
            </w:r>
          </w:p>
        </w:tc>
        <w:tc>
          <w:tcPr>
            <w:tcW w:w="1820" w:type="dxa"/>
            <w:vAlign w:val="bottom"/>
            <w:vMerge w:val="restart"/>
            <w:shd w:val="clear" w:color="auto" w:fill="B8CCE4"/>
          </w:tcPr>
          <w:p>
            <w:pPr>
              <w:jc w:val="center"/>
              <w:ind w:right="79"/>
              <w:spacing w:after="0"/>
              <w:rPr>
                <w:sz w:val="20"/>
                <w:szCs w:val="20"/>
                <w:color w:val="auto"/>
              </w:rPr>
            </w:pPr>
            <w:r>
              <w:rPr>
                <w:rFonts w:ascii="Arial" w:cs="Arial" w:eastAsia="Arial" w:hAnsi="Arial"/>
                <w:sz w:val="16"/>
                <w:szCs w:val="16"/>
                <w:b w:val="1"/>
                <w:bCs w:val="1"/>
                <w:color w:val="auto"/>
                <w:w w:val="86"/>
              </w:rPr>
              <w:t>Shares</w:t>
            </w:r>
          </w:p>
        </w:tc>
        <w:tc>
          <w:tcPr>
            <w:tcW w:w="2540" w:type="dxa"/>
            <w:vAlign w:val="bottom"/>
            <w:vMerge w:val="restart"/>
            <w:shd w:val="clear" w:color="auto" w:fill="B8CCE4"/>
          </w:tcPr>
          <w:p>
            <w:pPr>
              <w:jc w:val="right"/>
              <w:ind w:right="319"/>
              <w:spacing w:after="0"/>
              <w:rPr>
                <w:sz w:val="20"/>
                <w:szCs w:val="20"/>
                <w:color w:val="auto"/>
              </w:rPr>
            </w:pPr>
            <w:r>
              <w:rPr>
                <w:rFonts w:ascii="Arial" w:cs="Arial" w:eastAsia="Arial" w:hAnsi="Arial"/>
                <w:sz w:val="16"/>
                <w:szCs w:val="16"/>
                <w:b w:val="1"/>
                <w:bCs w:val="1"/>
                <w:color w:val="auto"/>
                <w:w w:val="93"/>
              </w:rPr>
              <w:t>Common Shares Outstanding</w:t>
            </w:r>
          </w:p>
        </w:tc>
        <w:tc>
          <w:tcPr>
            <w:tcW w:w="1560" w:type="dxa"/>
            <w:vAlign w:val="bottom"/>
            <w:vMerge w:val="restart"/>
            <w:shd w:val="clear" w:color="auto" w:fill="B8CCE4"/>
          </w:tcPr>
          <w:p>
            <w:pPr>
              <w:jc w:val="right"/>
              <w:ind w:right="459"/>
              <w:spacing w:after="0"/>
              <w:rPr>
                <w:sz w:val="20"/>
                <w:szCs w:val="20"/>
                <w:color w:val="auto"/>
              </w:rPr>
            </w:pPr>
            <w:r>
              <w:rPr>
                <w:rFonts w:ascii="Arial" w:cs="Arial" w:eastAsia="Arial" w:hAnsi="Arial"/>
                <w:sz w:val="16"/>
                <w:szCs w:val="16"/>
                <w:b w:val="1"/>
                <w:bCs w:val="1"/>
                <w:color w:val="auto"/>
              </w:rPr>
              <w:t>Burn Rate</w:t>
            </w:r>
          </w:p>
        </w:tc>
        <w:tc>
          <w:tcPr>
            <w:tcW w:w="0" w:type="dxa"/>
            <w:vAlign w:val="bottom"/>
          </w:tcPr>
          <w:p>
            <w:pPr>
              <w:spacing w:after="0"/>
              <w:rPr>
                <w:sz w:val="1"/>
                <w:szCs w:val="1"/>
                <w:color w:val="auto"/>
              </w:rPr>
            </w:pPr>
          </w:p>
        </w:tc>
      </w:tr>
      <w:tr>
        <w:trPr>
          <w:trHeight w:val="121"/>
        </w:trPr>
        <w:tc>
          <w:tcPr>
            <w:tcW w:w="1780" w:type="dxa"/>
            <w:vAlign w:val="bottom"/>
            <w:tcBorders>
              <w:bottom w:val="single" w:sz="8" w:color="B8CCE4"/>
            </w:tcBorders>
            <w:shd w:val="clear" w:color="auto" w:fill="B8CCE4"/>
          </w:tcPr>
          <w:p>
            <w:pPr>
              <w:spacing w:after="0"/>
              <w:rPr>
                <w:sz w:val="10"/>
                <w:szCs w:val="10"/>
                <w:color w:val="auto"/>
              </w:rPr>
            </w:pPr>
          </w:p>
        </w:tc>
        <w:tc>
          <w:tcPr>
            <w:tcW w:w="1560" w:type="dxa"/>
            <w:vAlign w:val="bottom"/>
            <w:tcBorders>
              <w:bottom w:val="single" w:sz="8" w:color="B8CCE4"/>
            </w:tcBorders>
            <w:shd w:val="clear" w:color="auto" w:fill="B8CCE4"/>
          </w:tcPr>
          <w:p>
            <w:pPr>
              <w:spacing w:after="0"/>
              <w:rPr>
                <w:sz w:val="10"/>
                <w:szCs w:val="10"/>
                <w:color w:val="auto"/>
              </w:rPr>
            </w:pPr>
          </w:p>
        </w:tc>
        <w:tc>
          <w:tcPr>
            <w:tcW w:w="1900" w:type="dxa"/>
            <w:vAlign w:val="bottom"/>
            <w:tcBorders>
              <w:bottom w:val="single" w:sz="8" w:color="B8CCE4"/>
            </w:tcBorders>
            <w:vMerge w:val="continue"/>
            <w:shd w:val="clear" w:color="auto" w:fill="B8CCE4"/>
          </w:tcPr>
          <w:p>
            <w:pPr>
              <w:spacing w:after="0"/>
              <w:rPr>
                <w:sz w:val="10"/>
                <w:szCs w:val="10"/>
                <w:color w:val="auto"/>
              </w:rPr>
            </w:pPr>
          </w:p>
        </w:tc>
        <w:tc>
          <w:tcPr>
            <w:tcW w:w="1820" w:type="dxa"/>
            <w:vAlign w:val="bottom"/>
            <w:tcBorders>
              <w:bottom w:val="single" w:sz="8" w:color="B8CCE4"/>
            </w:tcBorders>
            <w:vMerge w:val="continue"/>
            <w:shd w:val="clear" w:color="auto" w:fill="B8CCE4"/>
          </w:tcPr>
          <w:p>
            <w:pPr>
              <w:spacing w:after="0"/>
              <w:rPr>
                <w:sz w:val="10"/>
                <w:szCs w:val="10"/>
                <w:color w:val="auto"/>
              </w:rPr>
            </w:pPr>
          </w:p>
        </w:tc>
        <w:tc>
          <w:tcPr>
            <w:tcW w:w="2540" w:type="dxa"/>
            <w:vAlign w:val="bottom"/>
            <w:tcBorders>
              <w:bottom w:val="single" w:sz="8" w:color="B8CCE4"/>
            </w:tcBorders>
            <w:vMerge w:val="continue"/>
            <w:shd w:val="clear" w:color="auto" w:fill="B8CCE4"/>
          </w:tcPr>
          <w:p>
            <w:pPr>
              <w:spacing w:after="0"/>
              <w:rPr>
                <w:sz w:val="10"/>
                <w:szCs w:val="10"/>
                <w:color w:val="auto"/>
              </w:rPr>
            </w:pPr>
          </w:p>
        </w:tc>
        <w:tc>
          <w:tcPr>
            <w:tcW w:w="1560" w:type="dxa"/>
            <w:vAlign w:val="bottom"/>
            <w:tcBorders>
              <w:bottom w:val="single" w:sz="8" w:color="B8CCE4"/>
            </w:tcBorders>
            <w:vMerge w:val="continue"/>
            <w:shd w:val="clear" w:color="auto" w:fill="B8CCE4"/>
          </w:tcPr>
          <w:p>
            <w:pPr>
              <w:spacing w:after="0"/>
              <w:rPr>
                <w:sz w:val="10"/>
                <w:szCs w:val="10"/>
                <w:color w:val="auto"/>
              </w:rPr>
            </w:pPr>
          </w:p>
        </w:tc>
        <w:tc>
          <w:tcPr>
            <w:tcW w:w="0" w:type="dxa"/>
            <w:vAlign w:val="bottom"/>
          </w:tcPr>
          <w:p>
            <w:pPr>
              <w:spacing w:after="0"/>
              <w:rPr>
                <w:sz w:val="1"/>
                <w:szCs w:val="1"/>
                <w:color w:val="auto"/>
              </w:rPr>
            </w:pPr>
          </w:p>
        </w:tc>
      </w:tr>
      <w:tr>
        <w:trPr>
          <w:trHeight w:val="278"/>
        </w:trPr>
        <w:tc>
          <w:tcPr>
            <w:tcW w:w="1780" w:type="dxa"/>
            <w:vAlign w:val="bottom"/>
            <w:shd w:val="clear" w:color="auto" w:fill="DBE5F1"/>
          </w:tcPr>
          <w:p>
            <w:pPr>
              <w:ind w:left="180"/>
              <w:spacing w:after="0"/>
              <w:rPr>
                <w:sz w:val="20"/>
                <w:szCs w:val="20"/>
                <w:color w:val="auto"/>
              </w:rPr>
            </w:pPr>
            <w:r>
              <w:rPr>
                <w:rFonts w:ascii="Arial" w:cs="Arial" w:eastAsia="Arial" w:hAnsi="Arial"/>
                <w:sz w:val="16"/>
                <w:szCs w:val="16"/>
                <w:color w:val="auto"/>
              </w:rPr>
              <w:t>Fiscal Year 2015</w:t>
            </w:r>
          </w:p>
        </w:tc>
        <w:tc>
          <w:tcPr>
            <w:tcW w:w="1560" w:type="dxa"/>
            <w:vAlign w:val="bottom"/>
            <w:shd w:val="clear" w:color="auto" w:fill="DBE5F1"/>
          </w:tcPr>
          <w:p>
            <w:pPr>
              <w:jc w:val="right"/>
              <w:ind w:right="59"/>
              <w:spacing w:after="0"/>
              <w:rPr>
                <w:sz w:val="20"/>
                <w:szCs w:val="20"/>
                <w:color w:val="auto"/>
              </w:rPr>
            </w:pPr>
            <w:r>
              <w:rPr>
                <w:rFonts w:ascii="Arial" w:cs="Arial" w:eastAsia="Arial" w:hAnsi="Arial"/>
                <w:sz w:val="16"/>
                <w:szCs w:val="16"/>
                <w:color w:val="auto"/>
              </w:rPr>
              <w:t>89,500</w:t>
            </w:r>
          </w:p>
        </w:tc>
        <w:tc>
          <w:tcPr>
            <w:tcW w:w="1900" w:type="dxa"/>
            <w:vAlign w:val="bottom"/>
            <w:vMerge w:val="restart"/>
            <w:shd w:val="clear" w:color="auto" w:fill="DBE5F1"/>
          </w:tcPr>
          <w:p>
            <w:pPr>
              <w:jc w:val="right"/>
              <w:ind w:right="79"/>
              <w:spacing w:after="0"/>
              <w:rPr>
                <w:sz w:val="20"/>
                <w:szCs w:val="20"/>
                <w:color w:val="auto"/>
              </w:rPr>
            </w:pPr>
            <w:r>
              <w:rPr>
                <w:rFonts w:ascii="Arial" w:cs="Arial" w:eastAsia="Arial" w:hAnsi="Arial"/>
                <w:sz w:val="16"/>
                <w:szCs w:val="16"/>
                <w:color w:val="auto"/>
              </w:rPr>
              <w:t>240,385</w:t>
            </w:r>
          </w:p>
        </w:tc>
        <w:tc>
          <w:tcPr>
            <w:tcW w:w="1820" w:type="dxa"/>
            <w:vAlign w:val="bottom"/>
            <w:vMerge w:val="restart"/>
            <w:shd w:val="clear" w:color="auto" w:fill="DBE5F1"/>
          </w:tcPr>
          <w:p>
            <w:pPr>
              <w:jc w:val="right"/>
              <w:spacing w:after="0"/>
              <w:rPr>
                <w:sz w:val="20"/>
                <w:szCs w:val="20"/>
                <w:color w:val="auto"/>
              </w:rPr>
            </w:pPr>
            <w:r>
              <w:rPr>
                <w:rFonts w:ascii="Arial" w:cs="Arial" w:eastAsia="Arial" w:hAnsi="Arial"/>
                <w:sz w:val="16"/>
                <w:szCs w:val="16"/>
                <w:color w:val="auto"/>
              </w:rPr>
              <w:t>329,885</w:t>
            </w:r>
          </w:p>
        </w:tc>
        <w:tc>
          <w:tcPr>
            <w:tcW w:w="2540" w:type="dxa"/>
            <w:vAlign w:val="bottom"/>
            <w:vMerge w:val="restart"/>
            <w:shd w:val="clear" w:color="auto" w:fill="DBE5F1"/>
          </w:tcPr>
          <w:p>
            <w:pPr>
              <w:jc w:val="right"/>
              <w:ind w:right="199"/>
              <w:spacing w:after="0"/>
              <w:rPr>
                <w:sz w:val="20"/>
                <w:szCs w:val="20"/>
                <w:color w:val="auto"/>
              </w:rPr>
            </w:pPr>
            <w:r>
              <w:rPr>
                <w:rFonts w:ascii="Arial" w:cs="Arial" w:eastAsia="Arial" w:hAnsi="Arial"/>
                <w:sz w:val="16"/>
                <w:szCs w:val="16"/>
                <w:color w:val="auto"/>
              </w:rPr>
              <w:t>31,950,000</w:t>
            </w:r>
          </w:p>
        </w:tc>
        <w:tc>
          <w:tcPr>
            <w:tcW w:w="1560" w:type="dxa"/>
            <w:vAlign w:val="bottom"/>
            <w:vMerge w:val="restart"/>
            <w:shd w:val="clear" w:color="auto" w:fill="DBE5F1"/>
          </w:tcPr>
          <w:p>
            <w:pPr>
              <w:jc w:val="right"/>
              <w:spacing w:after="0"/>
              <w:rPr>
                <w:sz w:val="20"/>
                <w:szCs w:val="20"/>
                <w:color w:val="auto"/>
              </w:rPr>
            </w:pPr>
            <w:r>
              <w:rPr>
                <w:rFonts w:ascii="Arial" w:cs="Arial" w:eastAsia="Arial" w:hAnsi="Arial"/>
                <w:sz w:val="16"/>
                <w:szCs w:val="16"/>
                <w:color w:val="auto"/>
              </w:rPr>
              <w:t>1.03%</w:t>
            </w:r>
          </w:p>
        </w:tc>
        <w:tc>
          <w:tcPr>
            <w:tcW w:w="0" w:type="dxa"/>
            <w:vAlign w:val="bottom"/>
          </w:tcPr>
          <w:p>
            <w:pPr>
              <w:spacing w:after="0"/>
              <w:rPr>
                <w:sz w:val="1"/>
                <w:szCs w:val="1"/>
                <w:color w:val="auto"/>
              </w:rPr>
            </w:pPr>
          </w:p>
        </w:tc>
      </w:tr>
      <w:tr>
        <w:trPr>
          <w:trHeight w:val="108"/>
        </w:trPr>
        <w:tc>
          <w:tcPr>
            <w:tcW w:w="1780" w:type="dxa"/>
            <w:vAlign w:val="bottom"/>
            <w:shd w:val="clear" w:color="auto" w:fill="DBE5F1"/>
          </w:tcPr>
          <w:p>
            <w:pPr>
              <w:spacing w:after="0"/>
              <w:rPr>
                <w:sz w:val="9"/>
                <w:szCs w:val="9"/>
                <w:color w:val="auto"/>
              </w:rPr>
            </w:pPr>
          </w:p>
        </w:tc>
        <w:tc>
          <w:tcPr>
            <w:tcW w:w="1560" w:type="dxa"/>
            <w:vAlign w:val="bottom"/>
            <w:shd w:val="clear" w:color="auto" w:fill="DBE5F1"/>
          </w:tcPr>
          <w:p>
            <w:pPr>
              <w:spacing w:after="0"/>
              <w:rPr>
                <w:sz w:val="9"/>
                <w:szCs w:val="9"/>
                <w:color w:val="auto"/>
              </w:rPr>
            </w:pPr>
          </w:p>
        </w:tc>
        <w:tc>
          <w:tcPr>
            <w:tcW w:w="1900" w:type="dxa"/>
            <w:vAlign w:val="bottom"/>
            <w:vMerge w:val="continue"/>
            <w:shd w:val="clear" w:color="auto" w:fill="DBE5F1"/>
          </w:tcPr>
          <w:p>
            <w:pPr>
              <w:spacing w:after="0"/>
              <w:rPr>
                <w:sz w:val="9"/>
                <w:szCs w:val="9"/>
                <w:color w:val="auto"/>
              </w:rPr>
            </w:pPr>
          </w:p>
        </w:tc>
        <w:tc>
          <w:tcPr>
            <w:tcW w:w="1820" w:type="dxa"/>
            <w:vAlign w:val="bottom"/>
            <w:vMerge w:val="continue"/>
            <w:shd w:val="clear" w:color="auto" w:fill="DBE5F1"/>
          </w:tcPr>
          <w:p>
            <w:pPr>
              <w:spacing w:after="0"/>
              <w:rPr>
                <w:sz w:val="9"/>
                <w:szCs w:val="9"/>
                <w:color w:val="auto"/>
              </w:rPr>
            </w:pPr>
          </w:p>
        </w:tc>
        <w:tc>
          <w:tcPr>
            <w:tcW w:w="2540" w:type="dxa"/>
            <w:vAlign w:val="bottom"/>
            <w:vMerge w:val="continue"/>
            <w:shd w:val="clear" w:color="auto" w:fill="DBE5F1"/>
          </w:tcPr>
          <w:p>
            <w:pPr>
              <w:spacing w:after="0"/>
              <w:rPr>
                <w:sz w:val="9"/>
                <w:szCs w:val="9"/>
                <w:color w:val="auto"/>
              </w:rPr>
            </w:pPr>
          </w:p>
        </w:tc>
        <w:tc>
          <w:tcPr>
            <w:tcW w:w="1560" w:type="dxa"/>
            <w:vAlign w:val="bottom"/>
            <w:vMerge w:val="continue"/>
            <w:shd w:val="clear" w:color="auto" w:fill="DBE5F1"/>
          </w:tcPr>
          <w:p>
            <w:pPr>
              <w:spacing w:after="0"/>
              <w:rPr>
                <w:sz w:val="9"/>
                <w:szCs w:val="9"/>
                <w:color w:val="auto"/>
              </w:rPr>
            </w:pPr>
          </w:p>
        </w:tc>
        <w:tc>
          <w:tcPr>
            <w:tcW w:w="0" w:type="dxa"/>
            <w:vAlign w:val="bottom"/>
          </w:tcPr>
          <w:p>
            <w:pPr>
              <w:spacing w:after="0"/>
              <w:rPr>
                <w:sz w:val="1"/>
                <w:szCs w:val="1"/>
                <w:color w:val="auto"/>
              </w:rPr>
            </w:pPr>
          </w:p>
        </w:tc>
      </w:tr>
      <w:tr>
        <w:trPr>
          <w:trHeight w:val="311"/>
        </w:trPr>
        <w:tc>
          <w:tcPr>
            <w:tcW w:w="1780" w:type="dxa"/>
            <w:vAlign w:val="bottom"/>
            <w:shd w:val="clear" w:color="auto" w:fill="DBE5F1"/>
          </w:tcPr>
          <w:p>
            <w:pPr>
              <w:ind w:left="180"/>
              <w:spacing w:after="0"/>
              <w:rPr>
                <w:sz w:val="20"/>
                <w:szCs w:val="20"/>
                <w:color w:val="auto"/>
              </w:rPr>
            </w:pPr>
            <w:r>
              <w:rPr>
                <w:rFonts w:ascii="Arial" w:cs="Arial" w:eastAsia="Arial" w:hAnsi="Arial"/>
                <w:sz w:val="16"/>
                <w:szCs w:val="16"/>
                <w:color w:val="auto"/>
              </w:rPr>
              <w:t>Fiscal Year 2014</w:t>
            </w:r>
          </w:p>
        </w:tc>
        <w:tc>
          <w:tcPr>
            <w:tcW w:w="1560" w:type="dxa"/>
            <w:vAlign w:val="bottom"/>
            <w:shd w:val="clear" w:color="auto" w:fill="DBE5F1"/>
          </w:tcPr>
          <w:p>
            <w:pPr>
              <w:jc w:val="right"/>
              <w:ind w:right="59"/>
              <w:spacing w:after="0"/>
              <w:rPr>
                <w:sz w:val="20"/>
                <w:szCs w:val="20"/>
                <w:color w:val="auto"/>
              </w:rPr>
            </w:pPr>
            <w:r>
              <w:rPr>
                <w:rFonts w:ascii="Arial" w:cs="Arial" w:eastAsia="Arial" w:hAnsi="Arial"/>
                <w:sz w:val="16"/>
                <w:szCs w:val="16"/>
                <w:color w:val="auto"/>
              </w:rPr>
              <w:t>87,700</w:t>
            </w:r>
          </w:p>
        </w:tc>
        <w:tc>
          <w:tcPr>
            <w:tcW w:w="1900" w:type="dxa"/>
            <w:vAlign w:val="bottom"/>
            <w:vMerge w:val="restart"/>
            <w:shd w:val="clear" w:color="auto" w:fill="DBE5F1"/>
          </w:tcPr>
          <w:p>
            <w:pPr>
              <w:jc w:val="right"/>
              <w:ind w:right="79"/>
              <w:spacing w:after="0"/>
              <w:rPr>
                <w:sz w:val="20"/>
                <w:szCs w:val="20"/>
                <w:color w:val="auto"/>
              </w:rPr>
            </w:pPr>
            <w:r>
              <w:rPr>
                <w:rFonts w:ascii="Arial" w:cs="Arial" w:eastAsia="Arial" w:hAnsi="Arial"/>
                <w:sz w:val="16"/>
                <w:szCs w:val="16"/>
                <w:color w:val="auto"/>
              </w:rPr>
              <w:t>259,889</w:t>
            </w:r>
          </w:p>
        </w:tc>
        <w:tc>
          <w:tcPr>
            <w:tcW w:w="1820" w:type="dxa"/>
            <w:vAlign w:val="bottom"/>
            <w:vMerge w:val="restart"/>
            <w:shd w:val="clear" w:color="auto" w:fill="DBE5F1"/>
          </w:tcPr>
          <w:p>
            <w:pPr>
              <w:jc w:val="right"/>
              <w:spacing w:after="0"/>
              <w:rPr>
                <w:sz w:val="20"/>
                <w:szCs w:val="20"/>
                <w:color w:val="auto"/>
              </w:rPr>
            </w:pPr>
            <w:r>
              <w:rPr>
                <w:rFonts w:ascii="Arial" w:cs="Arial" w:eastAsia="Arial" w:hAnsi="Arial"/>
                <w:sz w:val="16"/>
                <w:szCs w:val="16"/>
                <w:color w:val="auto"/>
              </w:rPr>
              <w:t>347,589</w:t>
            </w:r>
          </w:p>
        </w:tc>
        <w:tc>
          <w:tcPr>
            <w:tcW w:w="2540" w:type="dxa"/>
            <w:vAlign w:val="bottom"/>
            <w:vMerge w:val="restart"/>
            <w:shd w:val="clear" w:color="auto" w:fill="DBE5F1"/>
          </w:tcPr>
          <w:p>
            <w:pPr>
              <w:jc w:val="right"/>
              <w:ind w:right="199"/>
              <w:spacing w:after="0"/>
              <w:rPr>
                <w:sz w:val="20"/>
                <w:szCs w:val="20"/>
                <w:color w:val="auto"/>
              </w:rPr>
            </w:pPr>
            <w:r>
              <w:rPr>
                <w:rFonts w:ascii="Arial" w:cs="Arial" w:eastAsia="Arial" w:hAnsi="Arial"/>
                <w:sz w:val="16"/>
                <w:szCs w:val="16"/>
                <w:color w:val="auto"/>
              </w:rPr>
              <w:t>30,215,000</w:t>
            </w:r>
          </w:p>
        </w:tc>
        <w:tc>
          <w:tcPr>
            <w:tcW w:w="1560" w:type="dxa"/>
            <w:vAlign w:val="bottom"/>
            <w:vMerge w:val="restart"/>
            <w:shd w:val="clear" w:color="auto" w:fill="DBE5F1"/>
          </w:tcPr>
          <w:p>
            <w:pPr>
              <w:jc w:val="right"/>
              <w:spacing w:after="0"/>
              <w:rPr>
                <w:sz w:val="20"/>
                <w:szCs w:val="20"/>
                <w:color w:val="auto"/>
              </w:rPr>
            </w:pPr>
            <w:r>
              <w:rPr>
                <w:rFonts w:ascii="Arial" w:cs="Arial" w:eastAsia="Arial" w:hAnsi="Arial"/>
                <w:sz w:val="16"/>
                <w:szCs w:val="16"/>
                <w:color w:val="auto"/>
              </w:rPr>
              <w:t>1.15%</w:t>
            </w:r>
          </w:p>
        </w:tc>
        <w:tc>
          <w:tcPr>
            <w:tcW w:w="0" w:type="dxa"/>
            <w:vAlign w:val="bottom"/>
          </w:tcPr>
          <w:p>
            <w:pPr>
              <w:spacing w:after="0"/>
              <w:rPr>
                <w:sz w:val="1"/>
                <w:szCs w:val="1"/>
                <w:color w:val="auto"/>
              </w:rPr>
            </w:pPr>
          </w:p>
        </w:tc>
      </w:tr>
      <w:tr>
        <w:trPr>
          <w:trHeight w:val="108"/>
        </w:trPr>
        <w:tc>
          <w:tcPr>
            <w:tcW w:w="1780" w:type="dxa"/>
            <w:vAlign w:val="bottom"/>
            <w:shd w:val="clear" w:color="auto" w:fill="DBE5F1"/>
          </w:tcPr>
          <w:p>
            <w:pPr>
              <w:spacing w:after="0"/>
              <w:rPr>
                <w:sz w:val="9"/>
                <w:szCs w:val="9"/>
                <w:color w:val="auto"/>
              </w:rPr>
            </w:pPr>
          </w:p>
        </w:tc>
        <w:tc>
          <w:tcPr>
            <w:tcW w:w="1560" w:type="dxa"/>
            <w:vAlign w:val="bottom"/>
            <w:shd w:val="clear" w:color="auto" w:fill="DBE5F1"/>
          </w:tcPr>
          <w:p>
            <w:pPr>
              <w:spacing w:after="0"/>
              <w:rPr>
                <w:sz w:val="9"/>
                <w:szCs w:val="9"/>
                <w:color w:val="auto"/>
              </w:rPr>
            </w:pPr>
          </w:p>
        </w:tc>
        <w:tc>
          <w:tcPr>
            <w:tcW w:w="1900" w:type="dxa"/>
            <w:vAlign w:val="bottom"/>
            <w:vMerge w:val="continue"/>
            <w:shd w:val="clear" w:color="auto" w:fill="DBE5F1"/>
          </w:tcPr>
          <w:p>
            <w:pPr>
              <w:spacing w:after="0"/>
              <w:rPr>
                <w:sz w:val="9"/>
                <w:szCs w:val="9"/>
                <w:color w:val="auto"/>
              </w:rPr>
            </w:pPr>
          </w:p>
        </w:tc>
        <w:tc>
          <w:tcPr>
            <w:tcW w:w="1820" w:type="dxa"/>
            <w:vAlign w:val="bottom"/>
            <w:vMerge w:val="continue"/>
            <w:shd w:val="clear" w:color="auto" w:fill="DBE5F1"/>
          </w:tcPr>
          <w:p>
            <w:pPr>
              <w:spacing w:after="0"/>
              <w:rPr>
                <w:sz w:val="9"/>
                <w:szCs w:val="9"/>
                <w:color w:val="auto"/>
              </w:rPr>
            </w:pPr>
          </w:p>
        </w:tc>
        <w:tc>
          <w:tcPr>
            <w:tcW w:w="2540" w:type="dxa"/>
            <w:vAlign w:val="bottom"/>
            <w:vMerge w:val="continue"/>
            <w:shd w:val="clear" w:color="auto" w:fill="DBE5F1"/>
          </w:tcPr>
          <w:p>
            <w:pPr>
              <w:spacing w:after="0"/>
              <w:rPr>
                <w:sz w:val="9"/>
                <w:szCs w:val="9"/>
                <w:color w:val="auto"/>
              </w:rPr>
            </w:pPr>
          </w:p>
        </w:tc>
        <w:tc>
          <w:tcPr>
            <w:tcW w:w="1560" w:type="dxa"/>
            <w:vAlign w:val="bottom"/>
            <w:vMerge w:val="continue"/>
            <w:shd w:val="clear" w:color="auto" w:fill="DBE5F1"/>
          </w:tcPr>
          <w:p>
            <w:pPr>
              <w:spacing w:after="0"/>
              <w:rPr>
                <w:sz w:val="9"/>
                <w:szCs w:val="9"/>
                <w:color w:val="auto"/>
              </w:rPr>
            </w:pPr>
          </w:p>
        </w:tc>
        <w:tc>
          <w:tcPr>
            <w:tcW w:w="0" w:type="dxa"/>
            <w:vAlign w:val="bottom"/>
          </w:tcPr>
          <w:p>
            <w:pPr>
              <w:spacing w:after="0"/>
              <w:rPr>
                <w:sz w:val="1"/>
                <w:szCs w:val="1"/>
                <w:color w:val="auto"/>
              </w:rPr>
            </w:pPr>
          </w:p>
        </w:tc>
      </w:tr>
      <w:tr>
        <w:trPr>
          <w:trHeight w:val="311"/>
        </w:trPr>
        <w:tc>
          <w:tcPr>
            <w:tcW w:w="1780" w:type="dxa"/>
            <w:vAlign w:val="bottom"/>
            <w:shd w:val="clear" w:color="auto" w:fill="DBE5F1"/>
          </w:tcPr>
          <w:p>
            <w:pPr>
              <w:ind w:left="180"/>
              <w:spacing w:after="0"/>
              <w:rPr>
                <w:sz w:val="20"/>
                <w:szCs w:val="20"/>
                <w:color w:val="auto"/>
              </w:rPr>
            </w:pPr>
            <w:r>
              <w:rPr>
                <w:rFonts w:ascii="Arial" w:cs="Arial" w:eastAsia="Arial" w:hAnsi="Arial"/>
                <w:sz w:val="16"/>
                <w:szCs w:val="16"/>
                <w:color w:val="auto"/>
              </w:rPr>
              <w:t>Fiscal Year 2013</w:t>
            </w:r>
          </w:p>
        </w:tc>
        <w:tc>
          <w:tcPr>
            <w:tcW w:w="1560" w:type="dxa"/>
            <w:vAlign w:val="bottom"/>
            <w:shd w:val="clear" w:color="auto" w:fill="DBE5F1"/>
          </w:tcPr>
          <w:p>
            <w:pPr>
              <w:jc w:val="right"/>
              <w:ind w:right="59"/>
              <w:spacing w:after="0"/>
              <w:rPr>
                <w:sz w:val="20"/>
                <w:szCs w:val="20"/>
                <w:color w:val="auto"/>
              </w:rPr>
            </w:pPr>
            <w:r>
              <w:rPr>
                <w:rFonts w:ascii="Arial" w:cs="Arial" w:eastAsia="Arial" w:hAnsi="Arial"/>
                <w:sz w:val="16"/>
                <w:szCs w:val="16"/>
                <w:color w:val="auto"/>
              </w:rPr>
              <w:t>126,800</w:t>
            </w:r>
          </w:p>
        </w:tc>
        <w:tc>
          <w:tcPr>
            <w:tcW w:w="1900" w:type="dxa"/>
            <w:vAlign w:val="bottom"/>
            <w:vMerge w:val="restart"/>
            <w:shd w:val="clear" w:color="auto" w:fill="DBE5F1"/>
          </w:tcPr>
          <w:p>
            <w:pPr>
              <w:jc w:val="right"/>
              <w:ind w:right="79"/>
              <w:spacing w:after="0"/>
              <w:rPr>
                <w:sz w:val="20"/>
                <w:szCs w:val="20"/>
                <w:color w:val="auto"/>
              </w:rPr>
            </w:pPr>
            <w:r>
              <w:rPr>
                <w:rFonts w:ascii="Arial" w:cs="Arial" w:eastAsia="Arial" w:hAnsi="Arial"/>
                <w:sz w:val="16"/>
                <w:szCs w:val="16"/>
                <w:color w:val="auto"/>
              </w:rPr>
              <w:t>238,273</w:t>
            </w:r>
          </w:p>
        </w:tc>
        <w:tc>
          <w:tcPr>
            <w:tcW w:w="1820" w:type="dxa"/>
            <w:vAlign w:val="bottom"/>
            <w:vMerge w:val="restart"/>
            <w:shd w:val="clear" w:color="auto" w:fill="DBE5F1"/>
          </w:tcPr>
          <w:p>
            <w:pPr>
              <w:jc w:val="right"/>
              <w:spacing w:after="0"/>
              <w:rPr>
                <w:sz w:val="20"/>
                <w:szCs w:val="20"/>
                <w:color w:val="auto"/>
              </w:rPr>
            </w:pPr>
            <w:r>
              <w:rPr>
                <w:rFonts w:ascii="Arial" w:cs="Arial" w:eastAsia="Arial" w:hAnsi="Arial"/>
                <w:sz w:val="16"/>
                <w:szCs w:val="16"/>
                <w:color w:val="auto"/>
              </w:rPr>
              <w:t>365,073</w:t>
            </w:r>
          </w:p>
        </w:tc>
        <w:tc>
          <w:tcPr>
            <w:tcW w:w="2540" w:type="dxa"/>
            <w:vAlign w:val="bottom"/>
            <w:vMerge w:val="restart"/>
            <w:shd w:val="clear" w:color="auto" w:fill="DBE5F1"/>
          </w:tcPr>
          <w:p>
            <w:pPr>
              <w:jc w:val="right"/>
              <w:ind w:right="199"/>
              <w:spacing w:after="0"/>
              <w:rPr>
                <w:sz w:val="20"/>
                <w:szCs w:val="20"/>
                <w:color w:val="auto"/>
              </w:rPr>
            </w:pPr>
            <w:r>
              <w:rPr>
                <w:rFonts w:ascii="Arial" w:cs="Arial" w:eastAsia="Arial" w:hAnsi="Arial"/>
                <w:sz w:val="16"/>
                <w:szCs w:val="16"/>
                <w:color w:val="auto"/>
              </w:rPr>
              <w:t>27,670,000</w:t>
            </w:r>
          </w:p>
        </w:tc>
        <w:tc>
          <w:tcPr>
            <w:tcW w:w="1560" w:type="dxa"/>
            <w:vAlign w:val="bottom"/>
            <w:vMerge w:val="restart"/>
            <w:shd w:val="clear" w:color="auto" w:fill="DBE5F1"/>
          </w:tcPr>
          <w:p>
            <w:pPr>
              <w:jc w:val="right"/>
              <w:spacing w:after="0"/>
              <w:rPr>
                <w:sz w:val="20"/>
                <w:szCs w:val="20"/>
                <w:color w:val="auto"/>
              </w:rPr>
            </w:pPr>
            <w:r>
              <w:rPr>
                <w:rFonts w:ascii="Arial" w:cs="Arial" w:eastAsia="Arial" w:hAnsi="Arial"/>
                <w:sz w:val="16"/>
                <w:szCs w:val="16"/>
                <w:color w:val="auto"/>
              </w:rPr>
              <w:t>1.32%</w:t>
            </w:r>
          </w:p>
        </w:tc>
        <w:tc>
          <w:tcPr>
            <w:tcW w:w="0" w:type="dxa"/>
            <w:vAlign w:val="bottom"/>
          </w:tcPr>
          <w:p>
            <w:pPr>
              <w:spacing w:after="0"/>
              <w:rPr>
                <w:sz w:val="1"/>
                <w:szCs w:val="1"/>
                <w:color w:val="auto"/>
              </w:rPr>
            </w:pPr>
          </w:p>
        </w:tc>
      </w:tr>
      <w:tr>
        <w:trPr>
          <w:trHeight w:val="108"/>
        </w:trPr>
        <w:tc>
          <w:tcPr>
            <w:tcW w:w="1780" w:type="dxa"/>
            <w:vAlign w:val="bottom"/>
            <w:shd w:val="clear" w:color="auto" w:fill="DBE5F1"/>
          </w:tcPr>
          <w:p>
            <w:pPr>
              <w:spacing w:after="0"/>
              <w:rPr>
                <w:sz w:val="9"/>
                <w:szCs w:val="9"/>
                <w:color w:val="auto"/>
              </w:rPr>
            </w:pPr>
          </w:p>
        </w:tc>
        <w:tc>
          <w:tcPr>
            <w:tcW w:w="1560" w:type="dxa"/>
            <w:vAlign w:val="bottom"/>
            <w:shd w:val="clear" w:color="auto" w:fill="DBE5F1"/>
          </w:tcPr>
          <w:p>
            <w:pPr>
              <w:spacing w:after="0"/>
              <w:rPr>
                <w:sz w:val="9"/>
                <w:szCs w:val="9"/>
                <w:color w:val="auto"/>
              </w:rPr>
            </w:pPr>
          </w:p>
        </w:tc>
        <w:tc>
          <w:tcPr>
            <w:tcW w:w="1900" w:type="dxa"/>
            <w:vAlign w:val="bottom"/>
            <w:vMerge w:val="continue"/>
            <w:shd w:val="clear" w:color="auto" w:fill="DBE5F1"/>
          </w:tcPr>
          <w:p>
            <w:pPr>
              <w:spacing w:after="0"/>
              <w:rPr>
                <w:sz w:val="9"/>
                <w:szCs w:val="9"/>
                <w:color w:val="auto"/>
              </w:rPr>
            </w:pPr>
          </w:p>
        </w:tc>
        <w:tc>
          <w:tcPr>
            <w:tcW w:w="1820" w:type="dxa"/>
            <w:vAlign w:val="bottom"/>
            <w:vMerge w:val="continue"/>
            <w:shd w:val="clear" w:color="auto" w:fill="DBE5F1"/>
          </w:tcPr>
          <w:p>
            <w:pPr>
              <w:spacing w:after="0"/>
              <w:rPr>
                <w:sz w:val="9"/>
                <w:szCs w:val="9"/>
                <w:color w:val="auto"/>
              </w:rPr>
            </w:pPr>
          </w:p>
        </w:tc>
        <w:tc>
          <w:tcPr>
            <w:tcW w:w="2540" w:type="dxa"/>
            <w:vAlign w:val="bottom"/>
            <w:vMerge w:val="continue"/>
            <w:shd w:val="clear" w:color="auto" w:fill="DBE5F1"/>
          </w:tcPr>
          <w:p>
            <w:pPr>
              <w:spacing w:after="0"/>
              <w:rPr>
                <w:sz w:val="9"/>
                <w:szCs w:val="9"/>
                <w:color w:val="auto"/>
              </w:rPr>
            </w:pPr>
          </w:p>
        </w:tc>
        <w:tc>
          <w:tcPr>
            <w:tcW w:w="1560" w:type="dxa"/>
            <w:vAlign w:val="bottom"/>
            <w:vMerge w:val="continue"/>
            <w:shd w:val="clear" w:color="auto" w:fill="DBE5F1"/>
          </w:tcPr>
          <w:p>
            <w:pPr>
              <w:spacing w:after="0"/>
              <w:rPr>
                <w:sz w:val="9"/>
                <w:szCs w:val="9"/>
                <w:color w:val="auto"/>
              </w:rPr>
            </w:pPr>
          </w:p>
        </w:tc>
        <w:tc>
          <w:tcPr>
            <w:tcW w:w="0" w:type="dxa"/>
            <w:vAlign w:val="bottom"/>
          </w:tcPr>
          <w:p>
            <w:pPr>
              <w:spacing w:after="0"/>
              <w:rPr>
                <w:sz w:val="1"/>
                <w:szCs w:val="1"/>
                <w:color w:val="auto"/>
              </w:rPr>
            </w:pPr>
          </w:p>
        </w:tc>
      </w:tr>
      <w:tr>
        <w:trPr>
          <w:trHeight w:val="33"/>
        </w:trPr>
        <w:tc>
          <w:tcPr>
            <w:tcW w:w="1780" w:type="dxa"/>
            <w:vAlign w:val="bottom"/>
            <w:shd w:val="clear" w:color="auto" w:fill="DBE5F1"/>
          </w:tcPr>
          <w:p>
            <w:pPr>
              <w:spacing w:after="0"/>
              <w:rPr>
                <w:sz w:val="2"/>
                <w:szCs w:val="2"/>
                <w:color w:val="auto"/>
              </w:rPr>
            </w:pPr>
          </w:p>
        </w:tc>
        <w:tc>
          <w:tcPr>
            <w:tcW w:w="1560" w:type="dxa"/>
            <w:vAlign w:val="bottom"/>
            <w:shd w:val="clear" w:color="auto" w:fill="DBE5F1"/>
          </w:tcPr>
          <w:p>
            <w:pPr>
              <w:spacing w:after="0"/>
              <w:rPr>
                <w:sz w:val="2"/>
                <w:szCs w:val="2"/>
                <w:color w:val="auto"/>
              </w:rPr>
            </w:pPr>
          </w:p>
        </w:tc>
        <w:tc>
          <w:tcPr>
            <w:tcW w:w="1900" w:type="dxa"/>
            <w:vAlign w:val="bottom"/>
            <w:shd w:val="clear" w:color="auto" w:fill="DBE5F1"/>
          </w:tcPr>
          <w:p>
            <w:pPr>
              <w:spacing w:after="0"/>
              <w:rPr>
                <w:sz w:val="2"/>
                <w:szCs w:val="2"/>
                <w:color w:val="auto"/>
              </w:rPr>
            </w:pPr>
          </w:p>
        </w:tc>
        <w:tc>
          <w:tcPr>
            <w:tcW w:w="1820" w:type="dxa"/>
            <w:vAlign w:val="bottom"/>
            <w:shd w:val="clear" w:color="auto" w:fill="DBE5F1"/>
          </w:tcPr>
          <w:p>
            <w:pPr>
              <w:spacing w:after="0"/>
              <w:rPr>
                <w:sz w:val="2"/>
                <w:szCs w:val="2"/>
                <w:color w:val="auto"/>
              </w:rPr>
            </w:pPr>
          </w:p>
        </w:tc>
        <w:tc>
          <w:tcPr>
            <w:tcW w:w="2540" w:type="dxa"/>
            <w:vAlign w:val="bottom"/>
            <w:shd w:val="clear" w:color="auto" w:fill="DBE5F1"/>
          </w:tcPr>
          <w:p>
            <w:pPr>
              <w:spacing w:after="0"/>
              <w:rPr>
                <w:sz w:val="2"/>
                <w:szCs w:val="2"/>
                <w:color w:val="auto"/>
              </w:rPr>
            </w:pPr>
          </w:p>
        </w:tc>
        <w:tc>
          <w:tcPr>
            <w:tcW w:w="1560" w:type="dxa"/>
            <w:vAlign w:val="bottom"/>
            <w:shd w:val="clear" w:color="auto" w:fill="DBE5F1"/>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The three-year average burn rate (calculated as set forth above) is 1.17%.</w:t>
      </w:r>
    </w:p>
    <w:p>
      <w:pPr>
        <w:spacing w:after="0" w:line="22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Another measure used to quantify the cumulative impact of our equity compensation practices is a dilution analysis commonly referred to as “overhang.” Overhang is equal to the sum of the total number of shares subject to equity awards outstanding and the total number of shares available for grant under the Company’s equity plans divided by the sum of the total common stock outstanding, the total number of shares subject to equity awards outstanding and the total number of shares available for grant under the Company’s equity plans. If the 2016 Stock Incentive Plan is approved, the Company’s overhang calculated on this basis as of April 1, 2016 (based on 32,566,969 shares outstanding on that date) is 9.25%. Actual dilution from the 2016 Stock Incentive Plan will depend on several factors, including the types of awards made under that plan.</w:t>
      </w:r>
    </w:p>
    <w:p>
      <w:pPr>
        <w:spacing w:after="0" w:line="17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When considering the number of shares to be available under the 2016 Stock Incentive Plan, the Board also reviewed, among other things, projected future share usage and projected future forfeitures. Depending on assumptions, the 1,450,000 shares under the 2016 Stock Incentive Plan, in combination with the remaining authorized shares under the 2007 Plan and shares added back to the plan from forfeitures of awards previously granted and shares exchanged or withheld for payment of an exercise price or for tax withholding, is expected to satisfy the Company’s equity compensation needs for approximately five to seven years, assuming no significant acquisitions of other companies.</w:t>
      </w:r>
    </w:p>
    <w:p>
      <w:pPr>
        <w:spacing w:after="0" w:line="18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Stock incentive plans allow companies to provide equity compensation under a stockholder-approved plan in order to attract, motivate and retain key personnel, encourage equity ownership among this group, and enhance a mutuality of interest with stockholders in improving the long-term performance of the Company and the value of the Company’s common stock. There are approximately seven non-employee directors, four executive officers and 2,600 employees who are currently eligible to receive awards under the 2016 Stock Incentive Plan.</w:t>
      </w:r>
    </w:p>
    <w:p>
      <w:pPr>
        <w:spacing w:after="0" w:line="187"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In addition to grants to continuing Company employees, the Company utilizes equity compensation as an incentive for employees of acquired companies to stay with the combined entity and to work to realize the benefits of the combination. The Company also grants performance-based restricted stock awards to our executive officers and currently contemplates awarding similar performance-based restricted stock awards to employees in the future, which awards may utilize a greater number of shares than our more typical restricted stock grants which vest over time. The performance-based restricted stock awards are expected to further align employee incentives with long-term stockholder value. To permit us to continue to grow organically and through acquisitions and to continue to have the ability to grant stock options and restricted stock to our new and existing employees and directors and to incentivize those individuals by granting a continuing interest in the long-term success of the Company, the Board of Directors adopted the 2016 Stock Incentive Plan.</w:t>
      </w:r>
    </w:p>
    <w:p>
      <w:pPr>
        <w:spacing w:after="0" w:line="16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Compensation Committee and the Board of Directors believe that in order for us to successfully attract and retain the best possible candidates, we must continue to offer a competitive equity compensation program. Approval of the 2016 Stock Incentive Plan is important so we can continue to grant stock options and restricted stock that are vital to our ability to attract and retain outstanding and highly skilled individuals in the extremely competitive labor markets in which we operate. In addition, the 2016 Stock Incentive Plan will give the Compensation Committee and the Board of Directors flexibility in determining the form of future equity awards to our key employees, including performance-based stock grants and/or multi-year long-term incentive awards if the Board or Compensation Committee chooses to utilize such programs. Our employees are one of our most valuable assets and attracting and retaining them is crucial</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368" w:right="239" w:bottom="1440" w:gutter="0" w:footer="0" w:header="0"/>
        </w:sectPr>
      </w:pPr>
    </w:p>
    <w:bookmarkStart w:id="16" w:name="page17"/>
    <w:bookmarkEnd w:id="16"/>
    <w:p>
      <w:pPr>
        <w:spacing w:after="0"/>
        <w:rPr>
          <w:sz w:val="20"/>
          <w:szCs w:val="20"/>
          <w:color w:val="auto"/>
        </w:rPr>
      </w:pPr>
      <w:r>
        <w:rPr>
          <w:rFonts w:ascii="Arial" w:cs="Arial" w:eastAsia="Arial" w:hAnsi="Arial"/>
          <w:sz w:val="18"/>
          <w:szCs w:val="18"/>
          <w:color w:val="auto"/>
        </w:rPr>
        <w:t>to our business. In addition, we believe that stock awards generally align the interests of our employees with the interests of our stockholders.</w:t>
      </w:r>
    </w:p>
    <w:p>
      <w:pPr>
        <w:spacing w:after="0" w:line="225"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In addition, the shares available for issuance under the 2016 Stock Incentive Plan will allow us to continue to grant stock awards to our new and existing employees and directors, as well as receive a federal income tax deduction for “qualifying performance-based” compensation paid under the 2016 Stock Incentive Plan, although there can be no assurance that any compensation awarded or paid under the 2016 Stock Incentive Plan will be fully deductible under all circumstances. Without the approval of the 2016 Stock Incentive Plan, we will be severely constrained in our ability to grant equity incentives generally, and to grant long-term awards that qualify as fully-deductible “performance-based compensation” specifically.</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color w:val="auto"/>
        </w:rPr>
        <w:t>Key Governance Highlights of the 2016 Stock Incentive Plan include:</w:t>
      </w:r>
    </w:p>
    <w:p>
      <w:pPr>
        <w:spacing w:after="0" w:line="225" w:lineRule="exact"/>
        <w:rPr>
          <w:sz w:val="20"/>
          <w:szCs w:val="20"/>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No discounted options may be granted;</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No repricing of stock options or stock appreciation rights without shareholder approval;</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Minimum vesting periods;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Awards are subject to potential reduction, cancellation, forfeiture or other clawback in certain circumstances;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Annual limit on equity that may be awarded to non-employee directors;</w:t>
      </w:r>
    </w:p>
    <w:p>
      <w:pPr>
        <w:spacing w:after="0" w:line="9"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Awards under the 2016 Stock Incentive Plan may qualify as “performance-based compensation” under Section 162(m) of the Tax Code (defined below); and</w:t>
      </w: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No evergreen feature.</w:t>
      </w: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SUMMARY OF THE 2016 STOCK INCENTIVE PLAN</w:t>
      </w:r>
    </w:p>
    <w:p>
      <w:pPr>
        <w:spacing w:after="0" w:line="22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 xml:space="preserve">The following summary of the 2016 Stock Incentive Plan is qualified in its entirety by the specific language of the 2016 Stock Incentive Plan, which is set forth in </w:t>
      </w:r>
      <w:r>
        <w:rPr>
          <w:rFonts w:ascii="Arial" w:cs="Arial" w:eastAsia="Arial" w:hAnsi="Arial"/>
          <w:sz w:val="18"/>
          <w:szCs w:val="18"/>
          <w:u w:val="single" w:color="auto"/>
          <w:color w:val="auto"/>
        </w:rPr>
        <w:t>Appendix A</w:t>
      </w:r>
      <w:r>
        <w:rPr>
          <w:rFonts w:ascii="Arial" w:cs="Arial" w:eastAsia="Arial" w:hAnsi="Arial"/>
          <w:sz w:val="18"/>
          <w:szCs w:val="18"/>
          <w:color w:val="auto"/>
        </w:rPr>
        <w:t xml:space="preserve"> to this Proxy Statement.</w:t>
      </w:r>
    </w:p>
    <w:p>
      <w:pPr>
        <w:spacing w:after="0" w:line="17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Plan Administration</w:t>
      </w:r>
      <w:r>
        <w:rPr>
          <w:rFonts w:ascii="Arial" w:cs="Arial" w:eastAsia="Arial" w:hAnsi="Arial"/>
          <w:sz w:val="18"/>
          <w:szCs w:val="18"/>
          <w:color w:val="auto"/>
        </w:rPr>
        <w:t>. The 2016 Stock Incentive Plan is administered by the Compensation Committee, which is composed of individuals who are “non-employee directors” (as that term is defined under Rule 16b-3 of the Securities Exchange Act of 1934, as amended (the “Exchange Act”)) and “outside directors” (within the meaning of Section 162(m) of the Internal Revenue Code of 1986, as amended (the “Tax Code”)). All of the members of the Compensation Committee are independent as defined under Rule 5605(a)(2) of the NASDAQ listing rules. The Compensation Committee has authority to, among other things:</w:t>
      </w:r>
    </w:p>
    <w:p>
      <w:pPr>
        <w:spacing w:after="0" w:line="188" w:lineRule="exact"/>
        <w:rPr>
          <w:sz w:val="20"/>
          <w:szCs w:val="20"/>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Interpret and administer the 2016 Stock Incentive Plan;</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Make rules and regulations relating to the administration of the 2016 Stock Incentive Plan;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6"/>
          <w:szCs w:val="16"/>
          <w:color w:val="auto"/>
        </w:rPr>
      </w:pPr>
      <w:r>
        <w:rPr>
          <w:rFonts w:ascii="Arial" w:cs="Arial" w:eastAsia="Arial" w:hAnsi="Arial"/>
          <w:sz w:val="16"/>
          <w:szCs w:val="16"/>
          <w:color w:val="auto"/>
        </w:rPr>
        <w:t>Make any other determinations and take any other action that it deems necessary or desirable for the administration of the 2016 Stock Incentive Plan.</w:t>
      </w:r>
    </w:p>
    <w:p>
      <w:pPr>
        <w:spacing w:after="0" w:line="23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Decisions of the Committee or another person delegated responsibilities under the 2016 Stock Incentive Plan shall be final, conclusive and binding on all persons.</w:t>
      </w:r>
    </w:p>
    <w:p>
      <w:pPr>
        <w:spacing w:after="0" w:line="17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i w:val="1"/>
          <w:iCs w:val="1"/>
          <w:color w:val="auto"/>
        </w:rPr>
        <w:t>Stock Subject to the Plan</w:t>
      </w:r>
      <w:r>
        <w:rPr>
          <w:rFonts w:ascii="Arial" w:cs="Arial" w:eastAsia="Arial" w:hAnsi="Arial"/>
          <w:sz w:val="18"/>
          <w:szCs w:val="18"/>
          <w:color w:val="auto"/>
        </w:rPr>
        <w:t>. Assuming stockholders approve this proposal, 1,450,000 shares of common stock will have been reserved for issuance pursuant to</w:t>
      </w:r>
      <w:r>
        <w:rPr>
          <w:rFonts w:ascii="Arial" w:cs="Arial" w:eastAsia="Arial" w:hAnsi="Arial"/>
          <w:sz w:val="18"/>
          <w:szCs w:val="18"/>
          <w:i w:val="1"/>
          <w:iCs w:val="1"/>
          <w:color w:val="auto"/>
        </w:rPr>
        <w:t xml:space="preserve"> </w:t>
      </w:r>
      <w:r>
        <w:rPr>
          <w:rFonts w:ascii="Arial" w:cs="Arial" w:eastAsia="Arial" w:hAnsi="Arial"/>
          <w:sz w:val="18"/>
          <w:szCs w:val="18"/>
          <w:color w:val="auto"/>
        </w:rPr>
        <w:t>the 2016 Stock Incentive Plan, plus (1) any shares that remained available for issuance under the 2007 Plan that will be rolled into the 2016 Stock Incentive Plan, and (2) any shares that are subject to an award under the 2007 Plan that are forfeited, cancelled, or expire without the issuance of such shares will again be available for grant under the 2016 Stock Incentive Plan. Further, any shares that are subject to an award under the 2007 Plan that are received by the Company as the result of the exchange of shares by a participant in the 2007 Plan as full or partial payment of the exercise price or tax withholding with respect to awards issued under the 2007 Plan will be available for grant under the 2016 Stock Incentive Plan. The shares issued under the 2016 Stock Incentive Plan may consist, in whole or in part, of authorized but unissued shares or treasury shares or shares held in trust for issuance under the 2016 Stock Incentive Plan.</w:t>
      </w:r>
    </w:p>
    <w:p>
      <w:pPr>
        <w:spacing w:after="0" w:line="19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i w:val="1"/>
          <w:iCs w:val="1"/>
          <w:color w:val="auto"/>
        </w:rPr>
        <w:t>Limitations</w:t>
      </w:r>
      <w:r>
        <w:rPr>
          <w:rFonts w:ascii="Arial" w:cs="Arial" w:eastAsia="Arial" w:hAnsi="Arial"/>
          <w:sz w:val="18"/>
          <w:szCs w:val="18"/>
          <w:color w:val="auto"/>
        </w:rPr>
        <w:t>. Subject to adjustment as provided in the 2016 Stock Incentive Plan, no participant shall be eligible to receive in any one calendar year awards</w:t>
      </w:r>
      <w:r>
        <w:rPr>
          <w:rFonts w:ascii="Arial" w:cs="Arial" w:eastAsia="Arial" w:hAnsi="Arial"/>
          <w:sz w:val="18"/>
          <w:szCs w:val="18"/>
          <w:i w:val="1"/>
          <w:iCs w:val="1"/>
          <w:color w:val="auto"/>
        </w:rPr>
        <w:t xml:space="preserve"> </w:t>
      </w:r>
      <w:r>
        <w:rPr>
          <w:rFonts w:ascii="Arial" w:cs="Arial" w:eastAsia="Arial" w:hAnsi="Arial"/>
          <w:sz w:val="18"/>
          <w:szCs w:val="18"/>
          <w:color w:val="auto"/>
        </w:rPr>
        <w:t>relating to more than 400,000 shares of our common stock.</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Eligibility</w:t>
      </w:r>
      <w:r>
        <w:rPr>
          <w:rFonts w:ascii="Arial" w:cs="Arial" w:eastAsia="Arial" w:hAnsi="Arial"/>
          <w:sz w:val="18"/>
          <w:szCs w:val="18"/>
          <w:color w:val="auto"/>
        </w:rPr>
        <w:t>. The 2016 Stock Incentive Plan permits awards to employees, officers, consultants and directors of the Company and its subsidiaries.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368" w:right="239" w:bottom="1440" w:gutter="0" w:footer="0" w:header="0"/>
        </w:sectPr>
      </w:pPr>
    </w:p>
    <w:bookmarkStart w:id="17" w:name="page18"/>
    <w:bookmarkEnd w:id="17"/>
    <w:p>
      <w:pPr>
        <w:jc w:val="both"/>
        <w:ind w:right="20"/>
        <w:spacing w:after="0" w:line="277" w:lineRule="auto"/>
        <w:rPr>
          <w:sz w:val="20"/>
          <w:szCs w:val="20"/>
          <w:color w:val="auto"/>
        </w:rPr>
      </w:pPr>
      <w:r>
        <w:rPr>
          <w:rFonts w:ascii="Arial" w:cs="Arial" w:eastAsia="Arial" w:hAnsi="Arial"/>
          <w:sz w:val="18"/>
          <w:szCs w:val="18"/>
          <w:i w:val="1"/>
          <w:iCs w:val="1"/>
          <w:color w:val="auto"/>
        </w:rPr>
        <w:t>Awards</w:t>
      </w:r>
      <w:r>
        <w:rPr>
          <w:rFonts w:ascii="Arial" w:cs="Arial" w:eastAsia="Arial" w:hAnsi="Arial"/>
          <w:sz w:val="18"/>
          <w:szCs w:val="18"/>
          <w:color w:val="auto"/>
        </w:rPr>
        <w:t>. The 2016 Stock Incentive Plan provides for the grant of options (including nonqualified options), stock appreciation rights, restricted stock, and</w:t>
      </w:r>
      <w:r>
        <w:rPr>
          <w:rFonts w:ascii="Arial" w:cs="Arial" w:eastAsia="Arial" w:hAnsi="Arial"/>
          <w:sz w:val="18"/>
          <w:szCs w:val="18"/>
          <w:i w:val="1"/>
          <w:iCs w:val="1"/>
          <w:color w:val="auto"/>
        </w:rPr>
        <w:t xml:space="preserve"> </w:t>
      </w:r>
      <w:r>
        <w:rPr>
          <w:rFonts w:ascii="Arial" w:cs="Arial" w:eastAsia="Arial" w:hAnsi="Arial"/>
          <w:sz w:val="18"/>
          <w:szCs w:val="18"/>
          <w:color w:val="auto"/>
        </w:rPr>
        <w:t>restricted stock units.</w:t>
      </w:r>
    </w:p>
    <w:p>
      <w:pPr>
        <w:spacing w:after="0" w:line="170" w:lineRule="exact"/>
        <w:rPr>
          <w:sz w:val="20"/>
          <w:szCs w:val="20"/>
          <w:color w:val="auto"/>
        </w:rPr>
      </w:pPr>
    </w:p>
    <w:p>
      <w:pPr>
        <w:jc w:val="both"/>
        <w:spacing w:after="0" w:line="276" w:lineRule="auto"/>
        <w:rPr>
          <w:sz w:val="20"/>
          <w:szCs w:val="20"/>
          <w:color w:val="auto"/>
        </w:rPr>
      </w:pPr>
      <w:r>
        <w:rPr>
          <w:rFonts w:ascii="Arial" w:cs="Arial" w:eastAsia="Arial" w:hAnsi="Arial"/>
          <w:sz w:val="17"/>
          <w:szCs w:val="17"/>
          <w:i w:val="1"/>
          <w:iCs w:val="1"/>
          <w:color w:val="auto"/>
        </w:rPr>
        <w:t>Options</w:t>
      </w:r>
      <w:r>
        <w:rPr>
          <w:rFonts w:ascii="Arial" w:cs="Arial" w:eastAsia="Arial" w:hAnsi="Arial"/>
          <w:sz w:val="17"/>
          <w:szCs w:val="17"/>
          <w:color w:val="auto"/>
        </w:rPr>
        <w:t>. Incentive stock options and nonqualified stock options may be granted under the 2016 Stock Incentive Plan, either alone or in combination with</w:t>
      </w:r>
      <w:r>
        <w:rPr>
          <w:rFonts w:ascii="Arial" w:cs="Arial" w:eastAsia="Arial" w:hAnsi="Arial"/>
          <w:sz w:val="17"/>
          <w:szCs w:val="17"/>
          <w:i w:val="1"/>
          <w:iCs w:val="1"/>
          <w:color w:val="auto"/>
        </w:rPr>
        <w:t xml:space="preserve"> </w:t>
      </w:r>
      <w:r>
        <w:rPr>
          <w:rFonts w:ascii="Arial" w:cs="Arial" w:eastAsia="Arial" w:hAnsi="Arial"/>
          <w:sz w:val="17"/>
          <w:szCs w:val="17"/>
          <w:color w:val="auto"/>
        </w:rPr>
        <w:t>other awards. The terms of any option grant generally are determined by the Compensation Committee. The price at which a share may be purchased under an option may not be less than the fair market value of a share on the date the option is granted. Fair market value generally means the closing price for the Company’s common stock on the Nasdaq Global Select Market on the date of grant. The 2016 Stock Incentive Plan provides that the Compensation Committee shall establish the term of each option, which in no case shall exceed a period of ten years from the date of grant.</w:t>
      </w:r>
    </w:p>
    <w:p>
      <w:pPr>
        <w:spacing w:after="0" w:line="17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color w:val="auto"/>
        </w:rPr>
        <w:t>Stock Appreciation Rights</w:t>
      </w:r>
      <w:r>
        <w:rPr>
          <w:rFonts w:ascii="Arial" w:cs="Arial" w:eastAsia="Arial" w:hAnsi="Arial"/>
          <w:sz w:val="18"/>
          <w:szCs w:val="18"/>
          <w:color w:val="auto"/>
        </w:rPr>
        <w:t>. Stock appreciation rights entitle a participant to receive payment from the Company in an amount determined by multiplying the</w:t>
      </w:r>
      <w:r>
        <w:rPr>
          <w:rFonts w:ascii="Arial" w:cs="Arial" w:eastAsia="Arial" w:hAnsi="Arial"/>
          <w:sz w:val="18"/>
          <w:szCs w:val="18"/>
          <w:i w:val="1"/>
          <w:iCs w:val="1"/>
          <w:color w:val="auto"/>
        </w:rPr>
        <w:t xml:space="preserve"> </w:t>
      </w:r>
      <w:r>
        <w:rPr>
          <w:rFonts w:ascii="Arial" w:cs="Arial" w:eastAsia="Arial" w:hAnsi="Arial"/>
          <w:sz w:val="18"/>
          <w:szCs w:val="18"/>
          <w:color w:val="auto"/>
        </w:rPr>
        <w:t>difference between the fair market value of the shares on the date of exercise and the fair market value on the date of grant by the number of shares subject to the award. The terms of any grant of stock appreciation rights generally are determined by the Compensation Committee. Stock appreciation rights may be granted in tandem with an option or alone. The grant price of a tandem stock appreciation right is equal to the exercise price of the related option, and the grant price of a freestanding stock appreciation right is equal to the fair market value of the common stock on the grant date. The 2016 Stock Incentive Plan provides that the Compensation Committee shall establish the term of each grant of stock appreciation rights, which in no case shall exceed a period of ten years from the date of grant.</w:t>
      </w:r>
    </w:p>
    <w:p>
      <w:pPr>
        <w:spacing w:after="0" w:line="18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i w:val="1"/>
          <w:iCs w:val="1"/>
          <w:color w:val="auto"/>
        </w:rPr>
        <w:t>Restricted Stock and Stock Units</w:t>
      </w:r>
      <w:r>
        <w:rPr>
          <w:rFonts w:ascii="Arial" w:cs="Arial" w:eastAsia="Arial" w:hAnsi="Arial"/>
          <w:sz w:val="17"/>
          <w:szCs w:val="17"/>
          <w:color w:val="auto"/>
        </w:rPr>
        <w:t>. Restricted stock and stock units reflect a right to receive shares of stock upon the satisfaction of certain terms, conditions</w:t>
      </w:r>
      <w:r>
        <w:rPr>
          <w:rFonts w:ascii="Arial" w:cs="Arial" w:eastAsia="Arial" w:hAnsi="Arial"/>
          <w:sz w:val="17"/>
          <w:szCs w:val="17"/>
          <w:i w:val="1"/>
          <w:iCs w:val="1"/>
          <w:color w:val="auto"/>
        </w:rPr>
        <w:t xml:space="preserve"> </w:t>
      </w:r>
      <w:r>
        <w:rPr>
          <w:rFonts w:ascii="Arial" w:cs="Arial" w:eastAsia="Arial" w:hAnsi="Arial"/>
          <w:sz w:val="17"/>
          <w:szCs w:val="17"/>
          <w:color w:val="auto"/>
        </w:rPr>
        <w:t>and restrictions. Both may be issued under the 2016 Stock Incentive Plan on such terms and conditions as the 2016 Stock Incentive Plan permits and generally are subject to terms determined by the Compensation Committee. Stock unit awards may be paid in cash, stock or a combination of cash and stock. Except as set forth below, participants holding restricted stock or stock units may be permitted to receive dividends paid with respect to underlying shares or dividend equivalents, subject to such terms and conditions as may be established by the Compensation Committee. Participants holding restricted stock or stock units that are subject to qualifying performance criteria under the 2016 Stock Incentive Plan are not entitled to dividends or dividend equivalents unless and until the applicable qualifying performance criteria have been met.</w:t>
      </w:r>
    </w:p>
    <w:p>
      <w:pPr>
        <w:spacing w:after="0" w:line="178" w:lineRule="exact"/>
        <w:rPr>
          <w:sz w:val="20"/>
          <w:szCs w:val="20"/>
          <w:color w:val="auto"/>
        </w:rPr>
      </w:pPr>
    </w:p>
    <w:p>
      <w:pPr>
        <w:jc w:val="both"/>
        <w:spacing w:after="0" w:line="312" w:lineRule="auto"/>
        <w:rPr>
          <w:sz w:val="20"/>
          <w:szCs w:val="20"/>
          <w:color w:val="auto"/>
        </w:rPr>
      </w:pPr>
      <w:r>
        <w:rPr>
          <w:rFonts w:ascii="Arial" w:cs="Arial" w:eastAsia="Arial" w:hAnsi="Arial"/>
          <w:sz w:val="16"/>
          <w:szCs w:val="16"/>
          <w:i w:val="1"/>
          <w:iCs w:val="1"/>
          <w:color w:val="auto"/>
        </w:rPr>
        <w:t>No Repricing</w:t>
      </w:r>
      <w:r>
        <w:rPr>
          <w:rFonts w:ascii="Arial" w:cs="Arial" w:eastAsia="Arial" w:hAnsi="Arial"/>
          <w:sz w:val="16"/>
          <w:szCs w:val="16"/>
          <w:color w:val="auto"/>
        </w:rPr>
        <w:t>. The repricing of stock options or stock appreciation rights is prohibited. The terms of outstanding stock options and stock appreciation rights</w:t>
      </w:r>
      <w:r>
        <w:rPr>
          <w:rFonts w:ascii="Arial" w:cs="Arial" w:eastAsia="Arial" w:hAnsi="Arial"/>
          <w:sz w:val="16"/>
          <w:szCs w:val="16"/>
          <w:i w:val="1"/>
          <w:iCs w:val="1"/>
          <w:color w:val="auto"/>
        </w:rPr>
        <w:t xml:space="preserve"> </w:t>
      </w:r>
      <w:r>
        <w:rPr>
          <w:rFonts w:ascii="Arial" w:cs="Arial" w:eastAsia="Arial" w:hAnsi="Arial"/>
          <w:sz w:val="16"/>
          <w:szCs w:val="16"/>
          <w:color w:val="auto"/>
        </w:rPr>
        <w:t>may not be amended to reduce the exercise price or cancel, exchange, substitute, buyout or surrender an outstanding stock option or stock appreciation right in exchange for cash or other awards with an exercise price that is less than the exercise price of the original award without stockholder approval.</w:t>
      </w:r>
    </w:p>
    <w:p>
      <w:pPr>
        <w:spacing w:after="0" w:line="14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Minimum Vesting Period</w:t>
      </w:r>
      <w:r>
        <w:rPr>
          <w:rFonts w:ascii="Arial" w:cs="Arial" w:eastAsia="Arial" w:hAnsi="Arial"/>
          <w:sz w:val="18"/>
          <w:szCs w:val="18"/>
          <w:color w:val="auto"/>
        </w:rPr>
        <w:t>. Except upon a change of control of the Company, the death or disability of the participant or awards granted to employees of the</w:t>
      </w:r>
      <w:r>
        <w:rPr>
          <w:rFonts w:ascii="Arial" w:cs="Arial" w:eastAsia="Arial" w:hAnsi="Arial"/>
          <w:sz w:val="18"/>
          <w:szCs w:val="18"/>
          <w:i w:val="1"/>
          <w:iCs w:val="1"/>
          <w:color w:val="auto"/>
        </w:rPr>
        <w:t xml:space="preserve"> </w:t>
      </w:r>
      <w:r>
        <w:rPr>
          <w:rFonts w:ascii="Arial" w:cs="Arial" w:eastAsia="Arial" w:hAnsi="Arial"/>
          <w:sz w:val="18"/>
          <w:szCs w:val="18"/>
          <w:color w:val="auto"/>
        </w:rPr>
        <w:t>Company or its subsidiaries in appreciation of past service to the Company or a subsidiary pursuant to a Company program or policy that applies to all such employees on an equal basis, no award of restricted stock or stock units payable in shares shall vest in full earlier than one year from the date of grant, except that an award of restricted stock or stock units that vests based solely on continued service (as opposed to attainment of performance goals) shall not vest in full earlier than three years from the date of grant.</w:t>
      </w:r>
    </w:p>
    <w:p>
      <w:pPr>
        <w:spacing w:after="0" w:line="188" w:lineRule="exact"/>
        <w:rPr>
          <w:sz w:val="20"/>
          <w:szCs w:val="20"/>
          <w:color w:val="auto"/>
        </w:rPr>
      </w:pPr>
    </w:p>
    <w:p>
      <w:pPr>
        <w:jc w:val="both"/>
        <w:spacing w:after="0" w:line="285" w:lineRule="auto"/>
        <w:rPr>
          <w:sz w:val="20"/>
          <w:szCs w:val="20"/>
          <w:color w:val="auto"/>
        </w:rPr>
      </w:pPr>
      <w:r>
        <w:rPr>
          <w:rFonts w:ascii="Arial" w:cs="Arial" w:eastAsia="Arial" w:hAnsi="Arial"/>
          <w:sz w:val="16"/>
          <w:szCs w:val="16"/>
          <w:i w:val="1"/>
          <w:iCs w:val="1"/>
          <w:color w:val="auto"/>
        </w:rPr>
        <w:t>Performance Goals</w:t>
      </w:r>
      <w:r>
        <w:rPr>
          <w:rFonts w:ascii="Arial" w:cs="Arial" w:eastAsia="Arial" w:hAnsi="Arial"/>
          <w:sz w:val="16"/>
          <w:szCs w:val="16"/>
          <w:color w:val="auto"/>
        </w:rPr>
        <w:t>. Awards under the 2016 Stock Incentive Plan may be made subject to the attainment of performance goals relating to one or more of the</w:t>
      </w:r>
      <w:r>
        <w:rPr>
          <w:rFonts w:ascii="Arial" w:cs="Arial" w:eastAsia="Arial" w:hAnsi="Arial"/>
          <w:sz w:val="16"/>
          <w:szCs w:val="16"/>
          <w:i w:val="1"/>
          <w:iCs w:val="1"/>
          <w:color w:val="auto"/>
        </w:rPr>
        <w:t xml:space="preserve"> </w:t>
      </w:r>
      <w:r>
        <w:rPr>
          <w:rFonts w:ascii="Arial" w:cs="Arial" w:eastAsia="Arial" w:hAnsi="Arial"/>
          <w:sz w:val="16"/>
          <w:szCs w:val="16"/>
          <w:color w:val="auto"/>
        </w:rPr>
        <w:t>following business criteria: (1) cash flow (before or after dividends), (2) earnings or earnings per share (including earnings before interest, taxes, depreciation and amortization), (3) stock price, (4) return on equity, (5) total stockholder return, (6) return on capital or investment (including return on total capital, return on invested capital, or return on investment), (7) return on assets or net assets, (8) market capitalization, (9) economic value added, (10) debt leverage (debt to capital), (11) revenue, (12) income or net income, (13) operating income, (14) operating profit or net operating profit, (15) operating margin or profit margin,</w:t>
      </w:r>
    </w:p>
    <w:p>
      <w:pPr>
        <w:spacing w:after="0" w:line="2" w:lineRule="exact"/>
        <w:rPr>
          <w:sz w:val="20"/>
          <w:szCs w:val="20"/>
          <w:color w:val="auto"/>
        </w:rPr>
      </w:pPr>
    </w:p>
    <w:p>
      <w:pPr>
        <w:ind w:firstLine="8"/>
        <w:spacing w:after="0" w:line="261" w:lineRule="auto"/>
        <w:tabs>
          <w:tab w:leader="none" w:pos="37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return on operating revenue, (17) cash from operations, (18) operating ratio, (19) operating revenue, (20) customer service, (21) sales, or (22) cost savings (collectively, the “Performance Criteria”).</w:t>
      </w:r>
    </w:p>
    <w:p>
      <w:pPr>
        <w:spacing w:after="0" w:line="18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Performance Criteria may be used to measure the performance of the Company as a whole or with respect to any business unit, subsidiary or business segment of the Company, either individually, alternatively or in any combination, and may be measured either annually or cumulatively over a period of years, on an absolute basis or relative to a pre-established target, to previous period results or to a designated comparison group, in each case as specified by the Compensation Committee. To the extent consistent with Section 162(m) of the Tax Code, the Compensation Committee</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584" w:right="239" w:bottom="1440" w:gutter="0" w:footer="0" w:header="0"/>
        </w:sectPr>
      </w:pPr>
    </w:p>
    <w:bookmarkStart w:id="18" w:name="page19"/>
    <w:bookmarkEnd w:id="18"/>
    <w:p>
      <w:pPr>
        <w:jc w:val="both"/>
        <w:ind w:firstLine="8"/>
        <w:spacing w:after="0" w:line="289" w:lineRule="auto"/>
        <w:tabs>
          <w:tab w:leader="none" w:pos="303" w:val="left"/>
        </w:tabs>
        <w:numPr>
          <w:ilvl w:val="0"/>
          <w:numId w:val="16"/>
        </w:numPr>
        <w:rPr>
          <w:rFonts w:ascii="Arial" w:cs="Arial" w:eastAsia="Arial" w:hAnsi="Arial"/>
          <w:sz w:val="16"/>
          <w:szCs w:val="16"/>
          <w:color w:val="auto"/>
        </w:rPr>
      </w:pPr>
      <w:r>
        <w:rPr>
          <w:rFonts w:ascii="Arial" w:cs="Arial" w:eastAsia="Arial" w:hAnsi="Arial"/>
          <w:sz w:val="16"/>
          <w:szCs w:val="16"/>
          <w:color w:val="auto"/>
        </w:rPr>
        <w:t>may appropriately adjust any evaluation of performance under a Performance Criteria to eliminate the effects of charges for restructurings, discontinued operations, and all items of gain, loss or expense determined to be unusual in nature or infrequently occurring or related to the acquisition or disposal of a segment of a business or related to a change in accounting principle all as determined in accordance with standards established by Accounting Standards Codification Topic 225, “Unusual or Infrequently Occurring Items,” or other applicable or successor accounting provisions, as well as the cumulative effect of accounting changes, in each case as determined in accordance with generally accepted accounting principles or identified in the Company’s financial statements or notes to the financial statements, and (B) may appropriately adjust any evaluation of performance under a Performance Criteria to exclude any of the following events that occurs during a performance period: (i) asset write-downs, (ii) litigation, claims, judgments or settlements, (iii) the effect of changes in tax law or other such laws or provisions affecting reported results, (iv) accruals for reorganization and restructuring programs and (v) accruals of any amounts for payment under this Plan or any other compensation arrangement maintained by the Company or any subsidiary.</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color w:val="auto"/>
        </w:rPr>
        <w:t>Approval of the 2016 Stock Incentive Plan will also include approval of the foregoing performance goals for purposes of Section 162(m) of the Tax Code.</w:t>
      </w:r>
    </w:p>
    <w:p>
      <w:pPr>
        <w:spacing w:after="0" w:line="24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Tax Withholding</w:t>
      </w:r>
      <w:r>
        <w:rPr>
          <w:rFonts w:ascii="Arial" w:cs="Arial" w:eastAsia="Arial" w:hAnsi="Arial"/>
          <w:sz w:val="18"/>
          <w:szCs w:val="18"/>
          <w:color w:val="auto"/>
        </w:rPr>
        <w:t>. The Company may specify the terms and conditions on which any award recipient must satisfy any tax obligations occurring under federal,</w:t>
      </w:r>
      <w:r>
        <w:rPr>
          <w:rFonts w:ascii="Arial" w:cs="Arial" w:eastAsia="Arial" w:hAnsi="Arial"/>
          <w:sz w:val="18"/>
          <w:szCs w:val="18"/>
          <w:i w:val="1"/>
          <w:iCs w:val="1"/>
          <w:color w:val="auto"/>
        </w:rPr>
        <w:t xml:space="preserve"> </w:t>
      </w:r>
      <w:r>
        <w:rPr>
          <w:rFonts w:ascii="Arial" w:cs="Arial" w:eastAsia="Arial" w:hAnsi="Arial"/>
          <w:sz w:val="18"/>
          <w:szCs w:val="18"/>
          <w:color w:val="auto"/>
        </w:rPr>
        <w:t>state, local or foreign law, and may withhold issuance of any shares of common stock until such terms and conditions are met.</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Assignability</w:t>
      </w:r>
      <w:r>
        <w:rPr>
          <w:rFonts w:ascii="Arial" w:cs="Arial" w:eastAsia="Arial" w:hAnsi="Arial"/>
          <w:sz w:val="18"/>
          <w:szCs w:val="18"/>
          <w:color w:val="auto"/>
        </w:rPr>
        <w:t>. Awards granted under the 2016 Stock Incentive Plan are generally not transferable or assignable, except by will or the laws of descent and</w:t>
      </w:r>
      <w:r>
        <w:rPr>
          <w:rFonts w:ascii="Arial" w:cs="Arial" w:eastAsia="Arial" w:hAnsi="Arial"/>
          <w:sz w:val="18"/>
          <w:szCs w:val="18"/>
          <w:i w:val="1"/>
          <w:iCs w:val="1"/>
          <w:color w:val="auto"/>
        </w:rPr>
        <w:t xml:space="preserve"> </w:t>
      </w:r>
      <w:r>
        <w:rPr>
          <w:rFonts w:ascii="Arial" w:cs="Arial" w:eastAsia="Arial" w:hAnsi="Arial"/>
          <w:sz w:val="18"/>
          <w:szCs w:val="18"/>
          <w:color w:val="auto"/>
        </w:rPr>
        <w:t>distribution. However, participants may be permitted to assign or transfer an award to the extent allowed by the Compensation Committee in its discretion and subject to Section 422 of the Tax Code.</w:t>
      </w:r>
    </w:p>
    <w:p>
      <w:pPr>
        <w:spacing w:after="0" w:line="181" w:lineRule="exact"/>
        <w:rPr>
          <w:sz w:val="20"/>
          <w:szCs w:val="20"/>
          <w:color w:val="auto"/>
        </w:rPr>
      </w:pPr>
    </w:p>
    <w:p>
      <w:pPr>
        <w:jc w:val="both"/>
        <w:spacing w:after="0" w:line="288" w:lineRule="auto"/>
        <w:rPr>
          <w:sz w:val="20"/>
          <w:szCs w:val="20"/>
          <w:color w:val="auto"/>
        </w:rPr>
      </w:pPr>
      <w:r>
        <w:rPr>
          <w:rFonts w:ascii="Arial" w:cs="Arial" w:eastAsia="Arial" w:hAnsi="Arial"/>
          <w:sz w:val="16"/>
          <w:szCs w:val="16"/>
          <w:i w:val="1"/>
          <w:iCs w:val="1"/>
          <w:color w:val="auto"/>
        </w:rPr>
        <w:t>Adjustments</w:t>
      </w:r>
      <w:r>
        <w:rPr>
          <w:rFonts w:ascii="Arial" w:cs="Arial" w:eastAsia="Arial" w:hAnsi="Arial"/>
          <w:sz w:val="16"/>
          <w:szCs w:val="16"/>
          <w:color w:val="auto"/>
        </w:rPr>
        <w:t>. The number and kind of securities available for issuance under the 2016 Stock Incentive Plan (including under any awards then outstanding),</w:t>
      </w:r>
      <w:r>
        <w:rPr>
          <w:rFonts w:ascii="Arial" w:cs="Arial" w:eastAsia="Arial" w:hAnsi="Arial"/>
          <w:sz w:val="16"/>
          <w:szCs w:val="16"/>
          <w:i w:val="1"/>
          <w:iCs w:val="1"/>
          <w:color w:val="auto"/>
        </w:rPr>
        <w:t xml:space="preserve"> </w:t>
      </w:r>
      <w:r>
        <w:rPr>
          <w:rFonts w:ascii="Arial" w:cs="Arial" w:eastAsia="Arial" w:hAnsi="Arial"/>
          <w:sz w:val="16"/>
          <w:szCs w:val="16"/>
          <w:color w:val="auto"/>
        </w:rPr>
        <w:t>and the number and kind of securities subject to the limits set forth in Section 5 of the 2016 Stock Incentive Plan, shall be equitably adjusted by the Compensation Committee to reflect any reorganization, reclassification, combination of shares, stock split, reverse stock split, spin-off, dividend or distribution of securities, property or cash (other than regular, quarterly cash dividends), or any other equity restructuring transaction, as that term is defined in ASC 718 Stock Compensation. Such adjustment may be designed to comply with Section 424 of the Tax Code or, except as otherwise expressly provided in Section 5(c) of the 2016 Stock Incentive Plan, may be designed to treat the securities available under the 2016 Stock Incentive Plan and subject to awards as if they were all outstanding on the record date for such event or transaction or to increase the number of such securities to reflect a deemed reinvestment in securities of the amount distributed to the Company’s stockholders. The terms of any outstanding award under the 2016 Stock Incentive Plan shall also be equitably adjusted by the Compensation Committee as to price, number or kind of securities subject to such award, vesting, and other terms to reflect the foregoing events, which adjustments need not be uniform as between different awards or different types of awards.</w:t>
      </w:r>
    </w:p>
    <w:p>
      <w:pPr>
        <w:spacing w:after="0" w:line="169"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In the event there are any other changes in the Company’s common stock, by reason of a change of control, other merger, consolidation or otherwise in circumstances that do not involve an equity restructuring transaction, as that term is defined in ASC 718 Stock Compensation, then the Compensation Committee shall determine the appropriate adjustment, if any, to be effected. In addition, in the event of a change described in this paragraph, the Compensation Committee may accelerate the time or times at which any award under the 2016 Stock Incentive Plan may be exercised and may provide for cancellation of such accelerated awards that are not exercised within a time prescribed by the Compensation Committee in its sole discretion.</w:t>
      </w:r>
    </w:p>
    <w:p>
      <w:pPr>
        <w:spacing w:after="0" w:line="15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There is no right to purchase fractional shares that result from any adjustment in awards under the 2016 Stock Incentive Plan. In case of any such adjustment, the shares of common stock subject to the award shall be rounded down to the nearest whole share.</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Change in Control</w:t>
      </w:r>
      <w:r>
        <w:rPr>
          <w:rFonts w:ascii="Arial" w:cs="Arial" w:eastAsia="Arial" w:hAnsi="Arial"/>
          <w:sz w:val="18"/>
          <w:szCs w:val="18"/>
          <w:color w:val="auto"/>
        </w:rPr>
        <w:t>. The Compensation Committee shall have the discretion, exercisable at any time before a sale, merger, consolidation, reorganization,</w:t>
      </w:r>
      <w:r>
        <w:rPr>
          <w:rFonts w:ascii="Arial" w:cs="Arial" w:eastAsia="Arial" w:hAnsi="Arial"/>
          <w:sz w:val="18"/>
          <w:szCs w:val="18"/>
          <w:i w:val="1"/>
          <w:iCs w:val="1"/>
          <w:color w:val="auto"/>
        </w:rPr>
        <w:t xml:space="preserve"> </w:t>
      </w:r>
      <w:r>
        <w:rPr>
          <w:rFonts w:ascii="Arial" w:cs="Arial" w:eastAsia="Arial" w:hAnsi="Arial"/>
          <w:sz w:val="18"/>
          <w:szCs w:val="18"/>
          <w:color w:val="auto"/>
        </w:rPr>
        <w:t>liquidation, dissolution or change in control of the Company, to take such action as it determines to be necessary or advisable with respect to awards under the 2016 Stock Incentive Plan.</w:t>
      </w:r>
    </w:p>
    <w:p>
      <w:pPr>
        <w:spacing w:after="0" w:line="18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i w:val="1"/>
          <w:iCs w:val="1"/>
          <w:color w:val="auto"/>
        </w:rPr>
        <w:t>Amendment and Termination</w:t>
      </w:r>
      <w:r>
        <w:rPr>
          <w:rFonts w:ascii="Arial" w:cs="Arial" w:eastAsia="Arial" w:hAnsi="Arial"/>
          <w:sz w:val="17"/>
          <w:szCs w:val="17"/>
          <w:color w:val="auto"/>
        </w:rPr>
        <w:t>. The Board may amend, alter or discontinue the 2016 Stock Incentive Plan and the Compensation Committee may amend, or</w:t>
      </w:r>
      <w:r>
        <w:rPr>
          <w:rFonts w:ascii="Arial" w:cs="Arial" w:eastAsia="Arial" w:hAnsi="Arial"/>
          <w:sz w:val="17"/>
          <w:szCs w:val="17"/>
          <w:i w:val="1"/>
          <w:iCs w:val="1"/>
          <w:color w:val="auto"/>
        </w:rPr>
        <w:t xml:space="preserve"> </w:t>
      </w:r>
      <w:r>
        <w:rPr>
          <w:rFonts w:ascii="Arial" w:cs="Arial" w:eastAsia="Arial" w:hAnsi="Arial"/>
          <w:sz w:val="17"/>
          <w:szCs w:val="17"/>
          <w:color w:val="auto"/>
        </w:rPr>
        <w:t>alter any agreement or other document evidencing an award made under the 2016 Stock Incentive Plan but, except as specifically provided for in the 2016 Stock Incentive Plan, no such amendment shall, without the approval of the stockholders of the Company (a) reduce the exercise price of outstanding options or stock appreciation rights, (b) reduce the price at which options may be granted below the price provided for in the 2016</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368" w:right="239" w:bottom="1440" w:gutter="0" w:footer="0" w:header="0"/>
        </w:sectPr>
      </w:pPr>
    </w:p>
    <w:bookmarkStart w:id="19" w:name="page20"/>
    <w:bookmarkEnd w:id="19"/>
    <w:p>
      <w:pPr>
        <w:jc w:val="both"/>
        <w:spacing w:after="0" w:line="255" w:lineRule="auto"/>
        <w:rPr>
          <w:sz w:val="20"/>
          <w:szCs w:val="20"/>
          <w:color w:val="auto"/>
        </w:rPr>
      </w:pPr>
      <w:r>
        <w:rPr>
          <w:rFonts w:ascii="Arial" w:cs="Arial" w:eastAsia="Arial" w:hAnsi="Arial"/>
          <w:sz w:val="18"/>
          <w:szCs w:val="18"/>
          <w:color w:val="auto"/>
        </w:rPr>
        <w:t>Stock Incentive Plan or (c) otherwise amend the 2016 Stock Incentive Plan in any manner requiring stockholder approval by law or under the Nasdaq listing rules. No amendment or alteration to the 2016 Stock Incentive Plan or an award or award agreement shall be made which would impair the rights of the holder of an award, without such holder’s consent, provided that no such consent shall be required if the Compensation Committee determines in its sole discretion and prior to the date of any change in control that such amendment or alteration either is required or advisable in order for the Company, the 2016 Stock Incentive Plan or the award to satisfy any law or regulation or to meet the requirements of or avoid adverse financial accounting consequences under any accounting standard.</w:t>
      </w:r>
    </w:p>
    <w:p>
      <w:pPr>
        <w:spacing w:after="0" w:line="19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Unless sooner terminated as provided in the 2016 Stock Incentive Plan, the 2016 Stock Incentive Plan shall terminate ten years after approval by the stockholders. Termination would not affect grants and awards then outstanding.</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Deferral</w:t>
      </w:r>
      <w:r>
        <w:rPr>
          <w:rFonts w:ascii="Arial" w:cs="Arial" w:eastAsia="Arial" w:hAnsi="Arial"/>
          <w:sz w:val="18"/>
          <w:szCs w:val="18"/>
          <w:color w:val="auto"/>
        </w:rPr>
        <w:t>. The Compensation Committee may permit or require a participant to defer receipt of the payment of any award of restricted stock or restricted stock</w:t>
      </w:r>
      <w:r>
        <w:rPr>
          <w:rFonts w:ascii="Arial" w:cs="Arial" w:eastAsia="Arial" w:hAnsi="Arial"/>
          <w:sz w:val="18"/>
          <w:szCs w:val="18"/>
          <w:i w:val="1"/>
          <w:iCs w:val="1"/>
          <w:color w:val="auto"/>
        </w:rPr>
        <w:t xml:space="preserve"> </w:t>
      </w:r>
      <w:r>
        <w:rPr>
          <w:rFonts w:ascii="Arial" w:cs="Arial" w:eastAsia="Arial" w:hAnsi="Arial"/>
          <w:sz w:val="18"/>
          <w:szCs w:val="18"/>
          <w:color w:val="auto"/>
        </w:rPr>
        <w:t>units to the extent permitted by Section 409A of the Tax Code.</w:t>
      </w:r>
    </w:p>
    <w:p>
      <w:pPr>
        <w:spacing w:after="0" w:line="16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U.S. FEDERAL INCOME TAX CONSEQUENCES</w:t>
      </w:r>
    </w:p>
    <w:p>
      <w:pPr>
        <w:spacing w:after="0" w:line="224"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following discussion summarizes certain federal income tax consequences of the issuance and receipt of options and other awards under the 2016 Stock Incentive Plan under the law as in effect on the date of this Proxy Statement. The summary does not purport to cover all federal employment tax or other federal tax consequences that may be associated with the 2016 Stock Incentive Plan, nor does it cover state, local, or non-U.S. taxes.</w:t>
      </w:r>
    </w:p>
    <w:p>
      <w:pPr>
        <w:spacing w:after="0" w:line="16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Non-Qualified Options (“NSOs”)</w:t>
      </w:r>
      <w:r>
        <w:rPr>
          <w:rFonts w:ascii="Arial" w:cs="Arial" w:eastAsia="Arial" w:hAnsi="Arial"/>
          <w:sz w:val="18"/>
          <w:szCs w:val="18"/>
          <w:color w:val="auto"/>
        </w:rPr>
        <w:t>. A participant will not have taxable income upon the grant of a NSO. Upon the exercise of a NSO, the participant will</w:t>
      </w:r>
      <w:r>
        <w:rPr>
          <w:rFonts w:ascii="Arial" w:cs="Arial" w:eastAsia="Arial" w:hAnsi="Arial"/>
          <w:sz w:val="18"/>
          <w:szCs w:val="18"/>
          <w:i w:val="1"/>
          <w:iCs w:val="1"/>
          <w:color w:val="auto"/>
        </w:rPr>
        <w:t xml:space="preserve"> </w:t>
      </w:r>
      <w:r>
        <w:rPr>
          <w:rFonts w:ascii="Arial" w:cs="Arial" w:eastAsia="Arial" w:hAnsi="Arial"/>
          <w:sz w:val="18"/>
          <w:szCs w:val="18"/>
          <w:color w:val="auto"/>
        </w:rPr>
        <w:t>recognize ordinary income equal to the difference between (i) one share of stock valued at the closing price on the day the option is exercised and (ii) the exercise price of one share, times the number of shares exercised.</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participant will be subject to income tax withholding at the time when the ordinary income is recognized. The Company will be entitled to a tax deduction at the same time and in the same amount.</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subsequent sale of the shares by a participant generally will give rise to capital gain or loss equal to the difference between the sale price and the sum of the exercise price paid for the shares plus the ordinary income recognized with respect to the shares, and the capital gains will be taxable as long-term capital gains if the participant held the shares for more than one year.</w:t>
      </w:r>
    </w:p>
    <w:p>
      <w:pPr>
        <w:spacing w:after="0" w:line="181" w:lineRule="exact"/>
        <w:rPr>
          <w:sz w:val="20"/>
          <w:szCs w:val="20"/>
          <w:color w:val="auto"/>
        </w:rPr>
      </w:pPr>
    </w:p>
    <w:p>
      <w:pPr>
        <w:jc w:val="both"/>
        <w:spacing w:after="0" w:line="276" w:lineRule="auto"/>
        <w:rPr>
          <w:sz w:val="20"/>
          <w:szCs w:val="20"/>
          <w:color w:val="auto"/>
        </w:rPr>
      </w:pPr>
      <w:r>
        <w:rPr>
          <w:rFonts w:ascii="Arial" w:cs="Arial" w:eastAsia="Arial" w:hAnsi="Arial"/>
          <w:sz w:val="17"/>
          <w:szCs w:val="17"/>
          <w:i w:val="1"/>
          <w:iCs w:val="1"/>
          <w:color w:val="auto"/>
        </w:rPr>
        <w:t>Incentive Stock Options (“ISOs”)</w:t>
      </w:r>
      <w:r>
        <w:rPr>
          <w:rFonts w:ascii="Arial" w:cs="Arial" w:eastAsia="Arial" w:hAnsi="Arial"/>
          <w:sz w:val="17"/>
          <w:szCs w:val="17"/>
          <w:color w:val="auto"/>
        </w:rPr>
        <w:t>. There generally are no tax consequences upon the grant or vesting of an ISO, provided that an option that is otherwise</w:t>
      </w:r>
      <w:r>
        <w:rPr>
          <w:rFonts w:ascii="Arial" w:cs="Arial" w:eastAsia="Arial" w:hAnsi="Arial"/>
          <w:sz w:val="17"/>
          <w:szCs w:val="17"/>
          <w:i w:val="1"/>
          <w:iCs w:val="1"/>
          <w:color w:val="auto"/>
        </w:rPr>
        <w:t xml:space="preserve"> </w:t>
      </w:r>
      <w:r>
        <w:rPr>
          <w:rFonts w:ascii="Arial" w:cs="Arial" w:eastAsia="Arial" w:hAnsi="Arial"/>
          <w:sz w:val="17"/>
          <w:szCs w:val="17"/>
          <w:color w:val="auto"/>
        </w:rPr>
        <w:t>intended to be an ISO will no longer qualify for ISO tax treatment (and instead will be taxed as an NSO) if the option is not exercised while the participant is an employee of the Company or within three months following termination of employment (one year in the case of termination due to total and permanent disability as defined in the Tax Code). If a participant sells or otherwise disposes of the shares acquired upon the exercise of an ISO at any time within one year after the date shares are transferred to the participant or two years after the date the ISO is granted to the participant, then:</w:t>
      </w:r>
    </w:p>
    <w:p>
      <w:pPr>
        <w:spacing w:after="0" w:line="173" w:lineRule="exact"/>
        <w:rPr>
          <w:sz w:val="20"/>
          <w:szCs w:val="20"/>
          <w:color w:val="auto"/>
        </w:rPr>
      </w:pPr>
    </w:p>
    <w:p>
      <w:pPr>
        <w:jc w:val="both"/>
        <w:ind w:left="660" w:hanging="328"/>
        <w:spacing w:after="0" w:line="271" w:lineRule="auto"/>
        <w:tabs>
          <w:tab w:leader="none" w:pos="660" w:val="left"/>
        </w:tabs>
        <w:numPr>
          <w:ilvl w:val="0"/>
          <w:numId w:val="17"/>
        </w:numPr>
        <w:rPr>
          <w:rFonts w:ascii="Arial" w:cs="Arial" w:eastAsia="Arial" w:hAnsi="Arial"/>
          <w:sz w:val="17"/>
          <w:szCs w:val="17"/>
          <w:color w:val="auto"/>
        </w:rPr>
      </w:pPr>
      <w:r>
        <w:rPr>
          <w:rFonts w:ascii="Arial" w:cs="Arial" w:eastAsia="Arial" w:hAnsi="Arial"/>
          <w:sz w:val="17"/>
          <w:szCs w:val="17"/>
          <w:color w:val="auto"/>
        </w:rPr>
        <w:t>If the sales price exceeds the exercise price of the ISO, the participant will recognize capital gain equal to the excess, if any, of the sales price over the fair market value of the shares on the date of exercise, and the participant will recognize ordinary income equal to the excess, if any, of the lesser of the sales price or the fair market value of the shares on the date of exercise over the exercise price of the ISO; or</w:t>
      </w:r>
    </w:p>
    <w:p>
      <w:pPr>
        <w:ind w:left="660" w:hanging="328"/>
        <w:spacing w:after="0" w:line="261"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If the participant’s sales price is less than the exercise price of the ISO, the participant will recognize a capital loss equal to the excess of the exercise price of the ISO over the sales price of the shares.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In this event, the Company will generally be entitled to a tax deduction equal to the ordinary income the participant recognizes.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If the participant sells or otherwise disposes of shares acquired upon exercise of an ISO at any time after the participant has held the shares for at least one year after the date the Company transfers the shares to the participant pursuant to the participant’s exercise of the ISO and at least two years after the date the Company grants the ISO to the participant, then the participant will recognize long-term capital gain or loss equal to the difference between the sales price and the exercise price of the ISO, and the Company will not be entitled to any deduction.</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368" w:right="239" w:bottom="1440" w:gutter="0" w:footer="0" w:header="0"/>
        </w:sectPr>
      </w:pPr>
    </w:p>
    <w:bookmarkStart w:id="20" w:name="page21"/>
    <w:bookmarkEnd w:id="20"/>
    <w:p>
      <w:pPr>
        <w:jc w:val="both"/>
        <w:spacing w:after="0" w:line="312" w:lineRule="auto"/>
        <w:rPr>
          <w:sz w:val="20"/>
          <w:szCs w:val="20"/>
          <w:color w:val="auto"/>
        </w:rPr>
      </w:pPr>
      <w:r>
        <w:rPr>
          <w:rFonts w:ascii="Arial" w:cs="Arial" w:eastAsia="Arial" w:hAnsi="Arial"/>
          <w:sz w:val="16"/>
          <w:szCs w:val="16"/>
          <w:color w:val="auto"/>
        </w:rPr>
        <w:t>The amount by which the fair market value of the shares the participant acquires upon exercise of an ISO exceeds the exercise price on the date of exercise will be included as a positive adjustment in the calculation of the participant’s “alternative minimum taxable income” in the year of exercise. Before exercising an ISO, a participant should determine whether and to what extent exercise of an ISO will result in alternative minimum tax in the year of exercise.</w:t>
      </w:r>
    </w:p>
    <w:p>
      <w:pPr>
        <w:spacing w:after="0" w:line="14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color w:val="auto"/>
        </w:rPr>
        <w:t>Stock Appreciation Rights (“SARs”)</w:t>
      </w:r>
      <w:r>
        <w:rPr>
          <w:rFonts w:ascii="Arial" w:cs="Arial" w:eastAsia="Arial" w:hAnsi="Arial"/>
          <w:sz w:val="18"/>
          <w:szCs w:val="18"/>
          <w:color w:val="auto"/>
        </w:rPr>
        <w:t>. The grant of a SAR is generally not a taxable event for a participant. Upon exercise of the SAR, the participant will</w:t>
      </w:r>
      <w:r>
        <w:rPr>
          <w:rFonts w:ascii="Arial" w:cs="Arial" w:eastAsia="Arial" w:hAnsi="Arial"/>
          <w:sz w:val="18"/>
          <w:szCs w:val="18"/>
          <w:i w:val="1"/>
          <w:iCs w:val="1"/>
          <w:color w:val="auto"/>
        </w:rPr>
        <w:t xml:space="preserve"> </w:t>
      </w:r>
      <w:r>
        <w:rPr>
          <w:rFonts w:ascii="Arial" w:cs="Arial" w:eastAsia="Arial" w:hAnsi="Arial"/>
          <w:sz w:val="18"/>
          <w:szCs w:val="18"/>
          <w:color w:val="auto"/>
        </w:rPr>
        <w:t>generally recognize ordinary income equal to the amount of cash and/or the fair market value of any shares received. The participant will be subject to income tax withholding at the time when the ordinary income is recognized. The Company will be entitled to a tax deduction at the same time for the same amount. If the SAR is settled in shares, the participant’s subsequent sale of the shares generally will give rise to capital gain or loss equal to the difference between the sale price and the ordinary income recognized when the participant received the shares, and these capital gains will be taxable as long-term capital gains if the participant held the shares for more than one year.</w:t>
      </w:r>
    </w:p>
    <w:p>
      <w:pPr>
        <w:spacing w:after="0" w:line="19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Restricted Stock</w:t>
      </w:r>
      <w:r>
        <w:rPr>
          <w:rFonts w:ascii="Arial" w:cs="Arial" w:eastAsia="Arial" w:hAnsi="Arial"/>
          <w:sz w:val="18"/>
          <w:szCs w:val="18"/>
          <w:color w:val="auto"/>
        </w:rPr>
        <w:t>. The tax consequences of a grant of restricted stock depends upon whether or not a participant elects under Section 83(b) of the Tax Code to</w:t>
      </w:r>
      <w:r>
        <w:rPr>
          <w:rFonts w:ascii="Arial" w:cs="Arial" w:eastAsia="Arial" w:hAnsi="Arial"/>
          <w:sz w:val="18"/>
          <w:szCs w:val="18"/>
          <w:i w:val="1"/>
          <w:iCs w:val="1"/>
          <w:color w:val="auto"/>
        </w:rPr>
        <w:t xml:space="preserve"> </w:t>
      </w:r>
      <w:r>
        <w:rPr>
          <w:rFonts w:ascii="Arial" w:cs="Arial" w:eastAsia="Arial" w:hAnsi="Arial"/>
          <w:sz w:val="18"/>
          <w:szCs w:val="18"/>
          <w:color w:val="auto"/>
        </w:rPr>
        <w:t>be taxed at the time of the grant.</w:t>
      </w:r>
    </w:p>
    <w:p>
      <w:pPr>
        <w:spacing w:after="0" w:line="170"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If no election is made, the participant will not recognize taxable income at the time of the grant of the restricted stock. When the restrictions on the restricted stock lapse, the participant will recognize ordinary income equal to the value (determined on the lapse date) of the restricted stock.</w:t>
      </w:r>
    </w:p>
    <w:p>
      <w:pPr>
        <w:spacing w:after="0" w:line="14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If the election is made, the participant will recognize ordinary income at the time of the grant of the restricted stock equal to the value of the stock at that time, determined without regard to any of the restrictions. If the restricted stock is forfeited before the restrictions lapse, the participant will generally not be entitled to a deduction on account thereof.</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participant will be subject to income tax withholding at the time when the ordinary income (including any dividends taxed as ordinary income) is recognized. Subject to the Section 162(m) restrictions discussed below, the Company will be entitled to a tax deduction at the same time and for the same amount.</w:t>
      </w:r>
    </w:p>
    <w:p>
      <w:pPr>
        <w:spacing w:after="0" w:line="18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 subsequent sale of restricted stock generally will give rise to capital gain or loss equal to the difference between the sale price and the ordinary income the participant recognized with respect to the stock. The capital gains will be taxable as long-term capital gains if the participant held the stock for more than one year. The holding period to determine whether a participant has long-term or short-term capital gain or loss on a subsequent sale generally begins when the stock restrictions lapse, or on the date of grant if the participant made a valid Section 83(b) election.</w:t>
      </w:r>
    </w:p>
    <w:p>
      <w:pPr>
        <w:spacing w:after="0" w:line="17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i w:val="1"/>
          <w:iCs w:val="1"/>
          <w:color w:val="auto"/>
        </w:rPr>
        <w:t>Stock Units</w:t>
      </w:r>
      <w:r>
        <w:rPr>
          <w:rFonts w:ascii="Arial" w:cs="Arial" w:eastAsia="Arial" w:hAnsi="Arial"/>
          <w:sz w:val="17"/>
          <w:szCs w:val="17"/>
          <w:color w:val="auto"/>
        </w:rPr>
        <w:t>. A participant will not have taxable income upon the grant of a stock unit. Rather, taxation will be postponed until the stock becomes payable,</w:t>
      </w:r>
      <w:r>
        <w:rPr>
          <w:rFonts w:ascii="Arial" w:cs="Arial" w:eastAsia="Arial" w:hAnsi="Arial"/>
          <w:sz w:val="17"/>
          <w:szCs w:val="17"/>
          <w:i w:val="1"/>
          <w:iCs w:val="1"/>
          <w:color w:val="auto"/>
        </w:rPr>
        <w:t xml:space="preserve"> </w:t>
      </w:r>
      <w:r>
        <w:rPr>
          <w:rFonts w:ascii="Arial" w:cs="Arial" w:eastAsia="Arial" w:hAnsi="Arial"/>
          <w:sz w:val="17"/>
          <w:szCs w:val="17"/>
          <w:color w:val="auto"/>
        </w:rPr>
        <w:t>which will be either immediately following the lapse of the restrictions on the stock units, or, if the participant has elected deferral to a later date, such later date. At that time, the participant will recognize ordinary income equal to the value of the amount then payable.</w:t>
      </w:r>
    </w:p>
    <w:p>
      <w:pPr>
        <w:spacing w:after="0" w:line="16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participant will be subject to income tax withholding at the time when the ordinary income (including any dividend equivalents taxed as ordinary income) is recognized. Subject to the Section 162(m) restrictions discussed below, the Company will be entitled to a tax deduction at the same time and for the same amount.</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If a stock unit is settled in shares, subsequent sale of the shares generally will give rise to capital gain or loss equal to the difference between the sale price and the ordinary income recognized when the participant received the shares, and these capital gains will be taxable as long-term capital gains if the participant held the shares for more than one year.</w:t>
      </w:r>
    </w:p>
    <w:p>
      <w:pPr>
        <w:spacing w:after="0" w:line="181" w:lineRule="exact"/>
        <w:rPr>
          <w:sz w:val="20"/>
          <w:szCs w:val="20"/>
          <w:color w:val="auto"/>
        </w:rPr>
      </w:pPr>
    </w:p>
    <w:p>
      <w:pPr>
        <w:jc w:val="both"/>
        <w:spacing w:after="0" w:line="271" w:lineRule="auto"/>
        <w:rPr>
          <w:sz w:val="20"/>
          <w:szCs w:val="20"/>
          <w:color w:val="auto"/>
        </w:rPr>
      </w:pPr>
      <w:r>
        <w:rPr>
          <w:rFonts w:ascii="Arial" w:cs="Arial" w:eastAsia="Arial" w:hAnsi="Arial"/>
          <w:sz w:val="17"/>
          <w:szCs w:val="17"/>
          <w:i w:val="1"/>
          <w:iCs w:val="1"/>
          <w:color w:val="auto"/>
        </w:rPr>
        <w:t>Other</w:t>
      </w:r>
      <w:r>
        <w:rPr>
          <w:rFonts w:ascii="Arial" w:cs="Arial" w:eastAsia="Arial" w:hAnsi="Arial"/>
          <w:sz w:val="17"/>
          <w:szCs w:val="17"/>
          <w:color w:val="auto"/>
        </w:rPr>
        <w:t>. In general, under Section 162(m), remuneration paid by a public corporation to its chief executive officer or any of its other top three named executive</w:t>
      </w:r>
      <w:r>
        <w:rPr>
          <w:rFonts w:ascii="Arial" w:cs="Arial" w:eastAsia="Arial" w:hAnsi="Arial"/>
          <w:sz w:val="17"/>
          <w:szCs w:val="17"/>
          <w:i w:val="1"/>
          <w:iCs w:val="1"/>
          <w:color w:val="auto"/>
        </w:rPr>
        <w:t xml:space="preserve"> </w:t>
      </w:r>
      <w:r>
        <w:rPr>
          <w:rFonts w:ascii="Arial" w:cs="Arial" w:eastAsia="Arial" w:hAnsi="Arial"/>
          <w:sz w:val="17"/>
          <w:szCs w:val="17"/>
          <w:color w:val="auto"/>
        </w:rPr>
        <w:t>officers other than the chief financial officer, ranked by pay, is not deductible to the extent it exceeds one million dollars ($1,000,000) for any year. Taxable payments or benefits under the 2016 Stock Incentive Plan may be subject to this deduction limit. However, under Section 162(m), qualifying performance-based compensation, including income from stock options and other performance-based awards that are made under stockholder-approved plans and that meets certain other requirements, is exempt from the deduction limitation. The 2016 Stock Incentive Plan has been designed so that the Compensation Committee in its discretion may grant qualifying exempt performance-based awards under the 2016 Stock Incentive Plan. The rules and regulations promulgated under Section 162(m) are complicated, however, and subject to change from time to time, sometimes with retroactive effect. In addition, a number of requirements must be met in order for particular compensation to so qualify. As such, there</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368" w:right="239" w:bottom="1440" w:gutter="0" w:footer="0" w:header="0"/>
        </w:sectPr>
      </w:pPr>
    </w:p>
    <w:bookmarkStart w:id="21" w:name="page22"/>
    <w:bookmarkEnd w:id="21"/>
    <w:p>
      <w:pPr>
        <w:spacing w:after="0"/>
        <w:rPr>
          <w:sz w:val="20"/>
          <w:szCs w:val="20"/>
          <w:color w:val="auto"/>
        </w:rPr>
      </w:pPr>
      <w:r>
        <w:rPr>
          <w:rFonts w:ascii="Arial" w:cs="Arial" w:eastAsia="Arial" w:hAnsi="Arial"/>
          <w:sz w:val="17"/>
          <w:szCs w:val="17"/>
          <w:color w:val="auto"/>
        </w:rPr>
        <w:t>can be no assurance that any compensation awarded or paid under the 2016 Stock Incentive Plan will be fully deductible under all circumstances.</w:t>
      </w:r>
    </w:p>
    <w:p>
      <w:pPr>
        <w:spacing w:after="0" w:line="23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Under the so-called “golden parachute” provisions of the Tax Code, the accelerated vesting of stock options and benefits paid under other awards in connection with a change in control of a corporation may be required to be valued and taken into account in determining whether participants have received compensatory payments, contingent on the change in control, in excess of certain limits. If these limits are exceeded, a portion of the amounts payable to the participant may be subject to an additional twenty percent (20%) federal tax and may be nondeductible to the Company.</w:t>
      </w:r>
    </w:p>
    <w:p>
      <w:pPr>
        <w:spacing w:after="0" w:line="16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PLAN BENEFITS</w:t>
      </w:r>
    </w:p>
    <w:p>
      <w:pPr>
        <w:spacing w:after="0" w:line="238"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The amount and timing of future awards granted under the 2016 Stock Incentive Plan are determined in the sole discretion of the Compensation Committee or the Board of Directors and therefore cannot be determined in advance. The future benefits or amounts that would be received under the 2016 Stock Incentive Plan by executive officers, non-executive directors and non-executive officer employees are discretionary and are therefore not determinable at this time.</w:t>
      </w:r>
    </w:p>
    <w:p>
      <w:pPr>
        <w:spacing w:after="0" w:line="13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REQUIRED VOTE</w:t>
      </w:r>
    </w:p>
    <w:p>
      <w:pPr>
        <w:spacing w:after="0" w:line="23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Approval of the 2016 Stock Incentive Plan requires the affirmative “FOR” vote of a majority of the votes cast on the proposal. Unless marked to the contrary, proxies received will be voted “FOR” approval of the 2016 Stock Incentive Plan.</w:t>
      </w:r>
    </w:p>
    <w:p>
      <w:pPr>
        <w:spacing w:after="0" w:line="16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RECOMMENDATION</w:t>
      </w:r>
    </w:p>
    <w:p>
      <w:pPr>
        <w:spacing w:after="0" w:line="23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strongly believe that approval of the 2016 Stock Incentive Plan is essential to our continued success. Our employees are one of our most valuable assets. Stock options and other incentive awards, such as those available under the 2016 Stock Incentive Plan, are critical for attracting and retaining outstanding and highly skilled individuals. These awards are also vital to our ability to motivate employees to achieve our goals. For the reasons stated above, stockholders are being asked to approve the 2016 Stock Incentive Plan.</w:t>
      </w:r>
    </w:p>
    <w:p>
      <w:pPr>
        <w:spacing w:after="0" w:line="17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THE BOARD RECOMMENDS A VOTE “FOR” APPROVAL OF THE 2016 STOCK INCENTIVE PLAN.</w:t>
      </w: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368" w:right="239" w:bottom="1440" w:gutter="0" w:footer="0" w:header="0"/>
        </w:sectPr>
      </w:pPr>
    </w:p>
    <w:bookmarkStart w:id="22" w:name="page23"/>
    <w:bookmarkEnd w:id="22"/>
    <w:p>
      <w:pPr>
        <w:ind w:left="5260"/>
        <w:spacing w:after="0"/>
        <w:rPr>
          <w:sz w:val="20"/>
          <w:szCs w:val="20"/>
          <w:color w:val="auto"/>
        </w:rPr>
      </w:pPr>
      <w:r>
        <w:rPr>
          <w:rFonts w:ascii="Arial" w:cs="Arial" w:eastAsia="Arial" w:hAnsi="Arial"/>
          <w:sz w:val="25"/>
          <w:szCs w:val="25"/>
          <w:b w:val="1"/>
          <w:bCs w:val="1"/>
          <w:color w:val="auto"/>
        </w:rPr>
        <w:t>ITEM 3</w:t>
      </w:r>
    </w:p>
    <w:p>
      <w:pPr>
        <w:spacing w:after="0" w:line="41" w:lineRule="exact"/>
        <w:rPr>
          <w:sz w:val="20"/>
          <w:szCs w:val="20"/>
          <w:color w:val="auto"/>
        </w:rPr>
      </w:pPr>
    </w:p>
    <w:p>
      <w:pPr>
        <w:ind w:left="4500"/>
        <w:spacing w:after="0"/>
        <w:rPr>
          <w:sz w:val="20"/>
          <w:szCs w:val="20"/>
          <w:color w:val="auto"/>
        </w:rPr>
      </w:pPr>
      <w:r>
        <w:rPr>
          <w:rFonts w:ascii="Arial" w:cs="Arial" w:eastAsia="Arial" w:hAnsi="Arial"/>
          <w:sz w:val="25"/>
          <w:szCs w:val="25"/>
          <w:b w:val="1"/>
          <w:bCs w:val="1"/>
          <w:color w:val="auto"/>
        </w:rPr>
        <w:t>APPROVAL OF THE</w:t>
      </w:r>
    </w:p>
    <w:p>
      <w:pPr>
        <w:spacing w:after="0" w:line="33"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COSTAR GROUP, INC. 2016 CASH INCENTIVE PLAN</w:t>
      </w:r>
    </w:p>
    <w:p>
      <w:pPr>
        <w:spacing w:after="0" w:line="20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April 2016, the Board, upon recommendation by the Compensation Committee of the Board (the “Compensation Committee”), approved and adopted the CoStar Group, Inc. 2016 Cash Incentive Plan (the “2016 Cash Incentive Plan”) to govern the award and payment of bonuses, commissions, and other cash incentive payments to certain Company executives, and directed that the 2016 Cash Incentive Plan be submitted to the stockholders for approval so that payments under the 2016 Cash Incentive Plan can qualify for deductibility by the Company for federal income tax purposes. The 2016 Cash Incentive Plan will be effective upon approval by the stockholders at the Annual Meeting. The purpose of the 2016 Cash Incentive Plan is to provide certain executives of the Company with incentive compensation based upon the level of achievement of financial, business and other performance criteria. The 2016 Cash Incentive Plan is designed to enhance the Company’s ability to attract and retain qualified executives and to provide financial performance incentives to those executives.</w:t>
      </w:r>
    </w:p>
    <w:p>
      <w:pPr>
        <w:spacing w:after="0" w:line="19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addition, the 2016 Cash Incentive Plan would permit the payment of cash incentives that may qualify as “performance-based compensation” within the meaning of Section 162(m) (“Section 162(m)”) of the Tax Code. The Board believes that it is in the best interests of the Company and its stockholders for the Company to have a stockholder-approved plan under which cash incentives paid to its executives can be deductible by the Company for federal income tax purposes.</w:t>
      </w:r>
    </w:p>
    <w:p>
      <w:pPr>
        <w:spacing w:after="0" w:line="187"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Accordingly, the 2016 Cash Incentive Plan is structured in a manner such that awards granted under it can satisfy the requirements for “performance-based” compensation within the meaning of Section 162(m). In general, under Section 162(m), in order for the Company to be able to deduct compensation in excess of $1,000,000 paid in any one year to the Company’s chief executive officer or any of the Company’s three other most highly compensated executive officers (other than the Company’s chief financial officer), such compensation must qualify as “performance-based.” One of the requirements of “performance-based” compensation for purposes of Section 162(m) is that the material terms of the performance goals under which compensation may be paid be disclosed to and approved by the Company’s stockholders every five years. For purposes of Section 162(m), the material terms include (i) the individuals eligible to receive compensation, (ii) a description of the business criteria on which the performance goal is based, and (iii) the maximum amount of compensation that can be paid to an individual under the performance goal. Each of these aspects is discussed below, and stockholder approval of this Item 3 constitutes approval of each of these aspects of the 2016 Cash Incentive Plan for purposes of the approval requirements of Section 162(m).</w:t>
      </w:r>
    </w:p>
    <w:p>
      <w:pPr>
        <w:spacing w:after="0" w:line="15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SUMMARY OF THE 2016 CASH INCENTIVE PLAN</w:t>
      </w:r>
    </w:p>
    <w:p>
      <w:pPr>
        <w:spacing w:after="0" w:line="22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 xml:space="preserve">The following summary of the 2016 Cash Incentive Plan is qualified in its entirety by the specific language of the 2016 Cash Incentive Plan, which is included in this Proxy Statement as </w:t>
      </w:r>
      <w:r>
        <w:rPr>
          <w:rFonts w:ascii="Arial" w:cs="Arial" w:eastAsia="Arial" w:hAnsi="Arial"/>
          <w:sz w:val="18"/>
          <w:szCs w:val="18"/>
          <w:u w:val="single" w:color="auto"/>
          <w:color w:val="auto"/>
        </w:rPr>
        <w:t>Appendix B</w:t>
      </w:r>
      <w:r>
        <w:rPr>
          <w:rFonts w:ascii="Arial" w:cs="Arial" w:eastAsia="Arial" w:hAnsi="Arial"/>
          <w:sz w:val="18"/>
          <w:szCs w:val="18"/>
          <w:color w:val="auto"/>
        </w:rPr>
        <w:t>.</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Administration</w:t>
      </w:r>
      <w:r>
        <w:rPr>
          <w:rFonts w:ascii="Arial" w:cs="Arial" w:eastAsia="Arial" w:hAnsi="Arial"/>
          <w:sz w:val="18"/>
          <w:szCs w:val="18"/>
          <w:color w:val="auto"/>
        </w:rPr>
        <w:t>. The 2016 Cash Incentive Plan will be administered by the Compensation Committee, which should consist of two or more “outside directors”</w:t>
      </w:r>
      <w:r>
        <w:rPr>
          <w:rFonts w:ascii="Arial" w:cs="Arial" w:eastAsia="Arial" w:hAnsi="Arial"/>
          <w:sz w:val="18"/>
          <w:szCs w:val="18"/>
          <w:i w:val="1"/>
          <w:iCs w:val="1"/>
          <w:color w:val="auto"/>
        </w:rPr>
        <w:t xml:space="preserve"> </w:t>
      </w:r>
      <w:r>
        <w:rPr>
          <w:rFonts w:ascii="Arial" w:cs="Arial" w:eastAsia="Arial" w:hAnsi="Arial"/>
          <w:sz w:val="18"/>
          <w:szCs w:val="18"/>
          <w:color w:val="auto"/>
        </w:rPr>
        <w:t>as such term is defined under Section 162(m). The Company believes that each of the directors serving on the Compensation Committee currently qualifies as an “outside director.”</w:t>
      </w:r>
    </w:p>
    <w:p>
      <w:pPr>
        <w:spacing w:after="0" w:line="18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Compensation Committee has complete authority to make any and all decisions regarding the administration of the 2016 Cash Incentive Plan, including interpreting the terms of the 2016 Cash Incentive Plan, selecting the participants to whom awards may from time to time be paid, determining the terms and conditions of awards made under the 2016 Cash Incentive Plan (including but not limited to determining the time when awards will be granted and paid and the performance period to which they relate), determining whether payment of awards may be deferred by participants, and making any other determination and taking any other action that the Compensation Committee deems necessary or desirable for administration of the 2016 Cash Incentive Plan. The Compensation Committee may delegate various functions to a subcommittee or certain officers of the Company to the extent such delegation is not inconsistent with Section 162(m).</w:t>
      </w:r>
    </w:p>
    <w:p>
      <w:pPr>
        <w:spacing w:after="0" w:line="18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i w:val="1"/>
          <w:iCs w:val="1"/>
          <w:color w:val="auto"/>
        </w:rPr>
        <w:t>Eligibility</w:t>
      </w:r>
      <w:r>
        <w:rPr>
          <w:rFonts w:ascii="Arial" w:cs="Arial" w:eastAsia="Arial" w:hAnsi="Arial"/>
          <w:sz w:val="18"/>
          <w:szCs w:val="18"/>
          <w:color w:val="auto"/>
        </w:rPr>
        <w:t>. Each officer of the Company and of its affiliates is eligible to participate in the 2016 Cash Incentive Plan. As of April 1, 2016, approximately 12</w:t>
      </w:r>
      <w:r>
        <w:rPr>
          <w:rFonts w:ascii="Arial" w:cs="Arial" w:eastAsia="Arial" w:hAnsi="Arial"/>
          <w:sz w:val="18"/>
          <w:szCs w:val="18"/>
          <w:i w:val="1"/>
          <w:iCs w:val="1"/>
          <w:color w:val="auto"/>
        </w:rPr>
        <w:t xml:space="preserve"> </w:t>
      </w:r>
      <w:r>
        <w:rPr>
          <w:rFonts w:ascii="Arial" w:cs="Arial" w:eastAsia="Arial" w:hAnsi="Arial"/>
          <w:sz w:val="18"/>
          <w:szCs w:val="18"/>
          <w:color w:val="auto"/>
        </w:rPr>
        <w:t>officers would have been eligible to participate in the 2016 Cash Incentive Plan.</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360" w:right="239" w:bottom="1440" w:gutter="0" w:footer="0" w:header="0"/>
        </w:sectPr>
      </w:pPr>
    </w:p>
    <w:bookmarkStart w:id="23" w:name="page24"/>
    <w:bookmarkEnd w:id="23"/>
    <w:p>
      <w:pPr>
        <w:jc w:val="both"/>
        <w:spacing w:after="0" w:line="291" w:lineRule="auto"/>
        <w:rPr>
          <w:sz w:val="20"/>
          <w:szCs w:val="20"/>
          <w:color w:val="auto"/>
        </w:rPr>
      </w:pPr>
      <w:r>
        <w:rPr>
          <w:rFonts w:ascii="Arial" w:cs="Arial" w:eastAsia="Arial" w:hAnsi="Arial"/>
          <w:sz w:val="16"/>
          <w:szCs w:val="16"/>
          <w:i w:val="1"/>
          <w:iCs w:val="1"/>
          <w:color w:val="auto"/>
        </w:rPr>
        <w:t>Performance Periods and Performance Measures</w:t>
      </w:r>
      <w:r>
        <w:rPr>
          <w:rFonts w:ascii="Arial" w:cs="Arial" w:eastAsia="Arial" w:hAnsi="Arial"/>
          <w:sz w:val="16"/>
          <w:szCs w:val="16"/>
          <w:color w:val="auto"/>
        </w:rPr>
        <w:t>. Not later than 90 days after the commencement of each fiscal year of the Company or other performance</w:t>
      </w:r>
      <w:r>
        <w:rPr>
          <w:rFonts w:ascii="Arial" w:cs="Arial" w:eastAsia="Arial" w:hAnsi="Arial"/>
          <w:sz w:val="16"/>
          <w:szCs w:val="16"/>
          <w:i w:val="1"/>
          <w:iCs w:val="1"/>
          <w:color w:val="auto"/>
        </w:rPr>
        <w:t xml:space="preserve"> </w:t>
      </w:r>
      <w:r>
        <w:rPr>
          <w:rFonts w:ascii="Arial" w:cs="Arial" w:eastAsia="Arial" w:hAnsi="Arial"/>
          <w:sz w:val="16"/>
          <w:szCs w:val="16"/>
          <w:color w:val="auto"/>
        </w:rPr>
        <w:t>period (or, if earlier, the expiration of 25% of the performance period), the Compensation Committee, in writing, will designate the performance period, the positions or names of employees who will be participants for the performance period, the targeted goals for selected performance measures during the performance period, and the applicable cash incentive formula for each participant under the 2016 Cash Incentive Plan, which may differ between participants or business groups. The cash incentive formula determines the cash incentive amounts, if any, to be paid to participants for the performance period based upon the level of achievement of the targeted goals for the selected performance measures. The 2016 Cash Incentive Plan defines “performance period” to mean the Company’s fiscal year or such other period that the Compensation Committee may establish.</w:t>
      </w:r>
    </w:p>
    <w:p>
      <w:pPr>
        <w:spacing w:after="0" w:line="167"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2016 Cash Incentive Plan defines “performance measure” as any one or more of the following performance criteria, either individually, alternatively or in any combination, applied to either Company as a whole or to a region, business unit, affiliate or business segment, either individually, alternatively or in any combination, and measured either on an absolute basis or relative to a pre-established target, to a previous period’s results or to a designated comparison group, in each case as specified by the Compensation Committee: (i) cash flow (before or after dividends), (ii) earnings or earnings per share (including earnings before interest, taxes, depreciation and amortization), (iii) stock price, (iv) return on equity, (v) total stockholder return, (vi) return on capital or investment (including return on total capital, return on invested capital, or return on investment), (vii) return on assets or net assets, (viii) market capitalization, (ix) economic value added, (x) debt leverage (debt to capital), (xi) revenue, (xii) income or net income, (xiii) operating income, (xiv) operating profit or net operating profit, (xv) operating margin or profit margin, (xvi) return on operating revenue, (xvii) cash from operations, (xviii) operating ratio, (xix) operating revenue, (xx) customer service, or (xxi) sales.</w:t>
      </w:r>
    </w:p>
    <w:p>
      <w:pPr>
        <w:spacing w:after="0" w:line="182"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To the extent consistent with Section 162(m), if so determined by the Compensation Committee at the time the applicable performance measure is adopted, the Compensation Committee (i) may appropriately adjust any evaluation of performance under the performance measure to eliminate the effects of charges for restructurings, discontinued operations, and all items of gain, loss or expense determined to be unusual in nature or infrequently occurring or related to the acquisition or disposal of a segment of a business or related to a change in accounting principle all as determined in accordance with standards established by Accounting Standards Codification Topic 225, “Unusual or Infrequently Occurring Items,” or other applicable or successor accounting provisions, as well as the cumulative effect of accounting changes, in each case as determined in accordance with generally accepted accounting principles or identified in the Company’s financial statements or notes to the financial statements, and (ii) may appropriately adjust any evaluation of performance under a performance measure to exclude any of the following events that occurs during a Performance Period: (a) asset write-downs, (b) litigation, claims, judgments or settlements, (c) the effect of changes in tax law or other such laws or provisions affecting reported results, (d) accruals for reorganization and restructuring programs and (e) accruals of any amounts for payment under the 2016 Cash Incentive Plan or any other compensation arrangement maintained by the Company or any affiliate.</w:t>
      </w:r>
    </w:p>
    <w:p>
      <w:pPr>
        <w:spacing w:after="0" w:line="183" w:lineRule="exact"/>
        <w:rPr>
          <w:sz w:val="20"/>
          <w:szCs w:val="20"/>
          <w:color w:val="auto"/>
        </w:rPr>
      </w:pPr>
    </w:p>
    <w:p>
      <w:pPr>
        <w:jc w:val="both"/>
        <w:spacing w:after="0" w:line="276" w:lineRule="auto"/>
        <w:rPr>
          <w:sz w:val="20"/>
          <w:szCs w:val="20"/>
          <w:color w:val="auto"/>
        </w:rPr>
      </w:pPr>
      <w:r>
        <w:rPr>
          <w:rFonts w:ascii="Arial" w:cs="Arial" w:eastAsia="Arial" w:hAnsi="Arial"/>
          <w:sz w:val="17"/>
          <w:szCs w:val="17"/>
          <w:i w:val="1"/>
          <w:iCs w:val="1"/>
          <w:color w:val="auto"/>
        </w:rPr>
        <w:t>Compensation Committee Certification and Determination of Awards</w:t>
      </w:r>
      <w:r>
        <w:rPr>
          <w:rFonts w:ascii="Arial" w:cs="Arial" w:eastAsia="Arial" w:hAnsi="Arial"/>
          <w:sz w:val="17"/>
          <w:szCs w:val="17"/>
          <w:color w:val="auto"/>
        </w:rPr>
        <w:t>. After the conclusion of each performance period, the Compensation Committee will</w:t>
      </w:r>
      <w:r>
        <w:rPr>
          <w:rFonts w:ascii="Arial" w:cs="Arial" w:eastAsia="Arial" w:hAnsi="Arial"/>
          <w:sz w:val="17"/>
          <w:szCs w:val="17"/>
          <w:i w:val="1"/>
          <w:iCs w:val="1"/>
          <w:color w:val="auto"/>
        </w:rPr>
        <w:t xml:space="preserve"> </w:t>
      </w:r>
      <w:r>
        <w:rPr>
          <w:rFonts w:ascii="Arial" w:cs="Arial" w:eastAsia="Arial" w:hAnsi="Arial"/>
          <w:sz w:val="17"/>
          <w:szCs w:val="17"/>
          <w:color w:val="auto"/>
        </w:rPr>
        <w:t>certify, in writing, the extent to which the targeted goals for the performance measures applicable to each participant were achieved or exceeded. The payment amount under an award, if any, shall be determined by applying the cash incentive formula to the level of actual performance that has been certified by the Compensation Committee. The Compensation Committee has the authority under the 2016 Cash Incentive Plan to eliminate or reduce any cash incentive payment below that which otherwise would be payable under the applicable formula.</w:t>
      </w:r>
    </w:p>
    <w:p>
      <w:pPr>
        <w:spacing w:after="0" w:line="173" w:lineRule="exact"/>
        <w:rPr>
          <w:sz w:val="20"/>
          <w:szCs w:val="20"/>
          <w:color w:val="auto"/>
        </w:rPr>
      </w:pPr>
    </w:p>
    <w:p>
      <w:pPr>
        <w:jc w:val="both"/>
        <w:ind w:right="20"/>
        <w:spacing w:after="0" w:line="255" w:lineRule="auto"/>
        <w:rPr>
          <w:sz w:val="20"/>
          <w:szCs w:val="20"/>
          <w:color w:val="auto"/>
        </w:rPr>
      </w:pPr>
      <w:r>
        <w:rPr>
          <w:rFonts w:ascii="Arial" w:cs="Arial" w:eastAsia="Arial" w:hAnsi="Arial"/>
          <w:sz w:val="18"/>
          <w:szCs w:val="18"/>
          <w:color w:val="auto"/>
        </w:rPr>
        <w:t>The payment of a cash incentive, if any, requires that the employee be an active employee of the Company or an affiliate on the last day of the applicable performance period, subject to the terms of any employment agreements in effect prior to the effective date of the 2016 Cash Incentive Plan. In the event that the participant is on an approved leave of absence or non-pay status, experiences a change in status that results in the participant being ineligible to participate in the 2016 Cash Incentive Plan or eligible to participate in more than one variable pay plan, or experiences a termination due to disability, workforce restructuring, voluntary severance incentive program, divestiture, retirement or death, the participant may receive a prorated bonus, as determined by the Compensation Committee in its discretion.</w:t>
      </w:r>
    </w:p>
    <w:p>
      <w:pPr>
        <w:spacing w:after="0" w:line="193"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i w:val="1"/>
          <w:iCs w:val="1"/>
          <w:color w:val="auto"/>
        </w:rPr>
        <w:t>Maximum Amount of Compensation Payable under the 2016 Cash Incentive Plan</w:t>
      </w:r>
      <w:r>
        <w:rPr>
          <w:rFonts w:ascii="Arial" w:cs="Arial" w:eastAsia="Arial" w:hAnsi="Arial"/>
          <w:sz w:val="18"/>
          <w:szCs w:val="18"/>
          <w:color w:val="auto"/>
        </w:rPr>
        <w:t>. The aggregate cash incentive payable under the 2016 Cash Incentive Plan</w:t>
      </w:r>
      <w:r>
        <w:rPr>
          <w:rFonts w:ascii="Arial" w:cs="Arial" w:eastAsia="Arial" w:hAnsi="Arial"/>
          <w:sz w:val="18"/>
          <w:szCs w:val="18"/>
          <w:i w:val="1"/>
          <w:iCs w:val="1"/>
          <w:color w:val="auto"/>
        </w:rPr>
        <w:t xml:space="preserve"> </w:t>
      </w:r>
      <w:r>
        <w:rPr>
          <w:rFonts w:ascii="Arial" w:cs="Arial" w:eastAsia="Arial" w:hAnsi="Arial"/>
          <w:sz w:val="18"/>
          <w:szCs w:val="18"/>
          <w:color w:val="auto"/>
        </w:rPr>
        <w:t>to any participant during any fiscal year may not exceed $10 million.</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Payment of Bonuses</w:t>
      </w:r>
      <w:r>
        <w:rPr>
          <w:rFonts w:ascii="Arial" w:cs="Arial" w:eastAsia="Arial" w:hAnsi="Arial"/>
          <w:sz w:val="18"/>
          <w:szCs w:val="18"/>
          <w:color w:val="auto"/>
        </w:rPr>
        <w:t>. Following the Compensation Committee’s determination and written certification of cash incentives to be paid to participants, such</w:t>
      </w:r>
      <w:r>
        <w:rPr>
          <w:rFonts w:ascii="Arial" w:cs="Arial" w:eastAsia="Arial" w:hAnsi="Arial"/>
          <w:sz w:val="18"/>
          <w:szCs w:val="18"/>
          <w:i w:val="1"/>
          <w:iCs w:val="1"/>
          <w:color w:val="auto"/>
        </w:rPr>
        <w:t xml:space="preserve"> </w:t>
      </w:r>
      <w:r>
        <w:rPr>
          <w:rFonts w:ascii="Arial" w:cs="Arial" w:eastAsia="Arial" w:hAnsi="Arial"/>
          <w:sz w:val="18"/>
          <w:szCs w:val="18"/>
          <w:color w:val="auto"/>
        </w:rPr>
        <w:t>awards will be paid in cash as soon as administratively practicable but no</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368" w:right="239" w:bottom="1440" w:gutter="0" w:footer="0" w:header="0"/>
        </w:sectPr>
      </w:pPr>
    </w:p>
    <w:bookmarkStart w:id="24" w:name="page25"/>
    <w:bookmarkEnd w:id="24"/>
    <w:p>
      <w:pPr>
        <w:jc w:val="both"/>
        <w:spacing w:after="0" w:line="216" w:lineRule="auto"/>
        <w:rPr>
          <w:sz w:val="20"/>
          <w:szCs w:val="20"/>
          <w:color w:val="auto"/>
        </w:rPr>
      </w:pPr>
      <w:r>
        <w:rPr>
          <w:rFonts w:ascii="Arial" w:cs="Arial" w:eastAsia="Arial" w:hAnsi="Arial"/>
          <w:sz w:val="18"/>
          <w:szCs w:val="18"/>
          <w:color w:val="auto"/>
        </w:rPr>
        <w:t>later than March 15</w:t>
      </w:r>
      <w:r>
        <w:rPr>
          <w:rFonts w:ascii="Arial" w:cs="Arial" w:eastAsia="Arial" w:hAnsi="Arial"/>
          <w:sz w:val="25"/>
          <w:szCs w:val="25"/>
          <w:color w:val="auto"/>
          <w:vertAlign w:val="superscript"/>
        </w:rPr>
        <w:t>th</w:t>
      </w:r>
      <w:r>
        <w:rPr>
          <w:rFonts w:ascii="Arial" w:cs="Arial" w:eastAsia="Arial" w:hAnsi="Arial"/>
          <w:sz w:val="18"/>
          <w:szCs w:val="18"/>
          <w:color w:val="auto"/>
        </w:rPr>
        <w:t xml:space="preserve"> after the end of the calendar year in which the performance period ends, subject to a timely election by a participant to defer payment of all or a portion of the bonus.</w:t>
      </w:r>
    </w:p>
    <w:p>
      <w:pPr>
        <w:spacing w:after="0" w:line="203"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i w:val="1"/>
          <w:iCs w:val="1"/>
          <w:color w:val="auto"/>
        </w:rPr>
        <w:t>Duration and Amendment</w:t>
      </w:r>
      <w:r>
        <w:rPr>
          <w:rFonts w:ascii="Arial" w:cs="Arial" w:eastAsia="Arial" w:hAnsi="Arial"/>
          <w:sz w:val="16"/>
          <w:szCs w:val="16"/>
          <w:color w:val="auto"/>
        </w:rPr>
        <w:t>. The Compensation Committee may, from time to time, amend, modify, suspend or terminate the 2016 Cash Incentive Plan or any</w:t>
      </w:r>
      <w:r>
        <w:rPr>
          <w:rFonts w:ascii="Arial" w:cs="Arial" w:eastAsia="Arial" w:hAnsi="Arial"/>
          <w:sz w:val="16"/>
          <w:szCs w:val="16"/>
          <w:i w:val="1"/>
          <w:iCs w:val="1"/>
          <w:color w:val="auto"/>
        </w:rPr>
        <w:t xml:space="preserve"> </w:t>
      </w:r>
      <w:r>
        <w:rPr>
          <w:rFonts w:ascii="Arial" w:cs="Arial" w:eastAsia="Arial" w:hAnsi="Arial"/>
          <w:sz w:val="16"/>
          <w:szCs w:val="16"/>
          <w:color w:val="auto"/>
        </w:rPr>
        <w:t>cash incentive thereunder as it deems advisable, except to the extent that it would increase the amount of compensation payable pursuant to a cash incentive.</w:t>
      </w:r>
    </w:p>
    <w:p>
      <w:pPr>
        <w:spacing w:after="0" w:line="12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Upon stockholder approval of the 2016 Cash Incentive Plan, the 2016 Cash Incentive Plan will continue until the earlier of its termination by the Compensation Committee, the date on which any stockholder approval requirement under Section 162(m) ceases to be met, or the date that is five years after the Annual Meeting.</w:t>
      </w:r>
    </w:p>
    <w:p>
      <w:pPr>
        <w:spacing w:after="0" w:line="17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U.S. FEDERAL INCOME TAX CONSEQUENCES</w:t>
      </w:r>
    </w:p>
    <w:p>
      <w:pPr>
        <w:spacing w:after="0" w:line="22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following discussion summarizes certain federal income tax consequences of the awards under the 2016 Cash Incentive Plan under the law as in effect on the date of this Proxy Statement. The summary does not purport to cover all federal employment tax or other federal tax consequences that may be associated with the 2016 Cash Incentive Plan, nor does it cover state, local, or non-U.S. taxes.</w:t>
      </w:r>
    </w:p>
    <w:p>
      <w:pPr>
        <w:spacing w:after="0" w:line="18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Under present federal income tax law, a 2016 Cash Incentive Plan participant will be taxed at ordinary income rates on an award in the year in which cash payment under the award, if any, is received, unless such cash is subject to deferral under a Company plan or a substantial risk of forfeiture. If a participant elects to defer a portion of the cash incentive, the participant may be entitled to defer the recognition of income. Generally, and subject to Section 162(m), the Company will receive a federal income tax deduction on the amount of income recognized by the participants, and at the same time such income is recognized by participants. Subject to stockholder approval of the 2016 Cash Incentive Plan, the failure of any aspect of the 2016 Cash Incentive Plan to satisfy Section 162(m) shall not void any action taken by the Compensation Committee under the 2016 Cash Incentive Plan.</w:t>
      </w:r>
    </w:p>
    <w:p>
      <w:pPr>
        <w:spacing w:after="0" w:line="17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PLAN BENEFITS</w:t>
      </w:r>
    </w:p>
    <w:p>
      <w:pPr>
        <w:spacing w:after="0" w:line="224"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Cash incentives, if any, paid to executives for the current fiscal year were awarded under the Company’s 2011 Incentive Bonus Plan. Cash incentive awards payable for any subsequent performance periods may be paid under the 2016 Cash Incentive Plan, subject to stockholder approval of the 2016 Cash Incentive Plan, and are, as described above, subject to the discretion of the Compensation Committee and therefore are not determinable at this time.</w:t>
      </w:r>
    </w:p>
    <w:p>
      <w:pPr>
        <w:jc w:val="both"/>
        <w:spacing w:after="0" w:line="253" w:lineRule="auto"/>
        <w:rPr>
          <w:sz w:val="20"/>
          <w:szCs w:val="20"/>
          <w:color w:val="auto"/>
        </w:rPr>
      </w:pPr>
      <w:r>
        <w:rPr>
          <w:rFonts w:ascii="Arial" w:cs="Arial" w:eastAsia="Arial" w:hAnsi="Arial"/>
          <w:sz w:val="18"/>
          <w:szCs w:val="18"/>
          <w:color w:val="auto"/>
        </w:rPr>
        <w:t>If the 2016 Cash Incentive Plan is not approved by the stockholders, the Company currently contemplates that any compensation paid to the Company’s executive officers that is in excess of $1 million that was not awarded under the Company’s 2011 Incentive Bonus Plan would not be deductible under Section 162(m) to the extent that it exceeds the $1 million limit, unless such compensation is deferred pursuant to the Company’s compensation programs or paid under another stockholder-approved plan of the Company and otherwise satisfies the conditions for “performance-based” compensation under, or other exemptions from, Section 162(m).</w:t>
      </w:r>
    </w:p>
    <w:p>
      <w:pPr>
        <w:spacing w:after="0" w:line="18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MISCELLANEOUS</w:t>
      </w:r>
    </w:p>
    <w:p>
      <w:pPr>
        <w:spacing w:after="0" w:line="22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2016 Cash Incentive Plan is not exclusive and does not limit the authority of the Board or its committees to grant awards or authorize any other compensation, whether or not deductible under Section 162(m), under any other plan or authority.</w:t>
      </w:r>
    </w:p>
    <w:p>
      <w:pPr>
        <w:spacing w:after="0" w:line="16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REQUIRED VOTE</w:t>
      </w:r>
    </w:p>
    <w:p>
      <w:pPr>
        <w:spacing w:after="0" w:line="22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Approval of the 2016 Cash Incentive Plan requires the affirmative vote of a majority of the votes cast “FOR” the proposal. Unless marked to the contrary, proxies received will be voted “FOR” approval of the 2016 Cash Incentive Plan.</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368" w:right="239" w:bottom="1440" w:gutter="0" w:footer="0" w:header="0"/>
        </w:sectPr>
      </w:pPr>
    </w:p>
    <w:bookmarkStart w:id="25" w:name="page26"/>
    <w:bookmarkEnd w:id="25"/>
    <w:p>
      <w:pPr>
        <w:spacing w:after="0"/>
        <w:rPr>
          <w:sz w:val="20"/>
          <w:szCs w:val="20"/>
          <w:color w:val="auto"/>
        </w:rPr>
      </w:pPr>
      <w:r>
        <w:rPr>
          <w:rFonts w:ascii="Arial" w:cs="Arial" w:eastAsia="Arial" w:hAnsi="Arial"/>
          <w:sz w:val="20"/>
          <w:szCs w:val="20"/>
          <w:b w:val="1"/>
          <w:bCs w:val="1"/>
          <w:color w:val="auto"/>
        </w:rPr>
        <w:t>RECOMMENDATION</w:t>
      </w:r>
    </w:p>
    <w:p>
      <w:pPr>
        <w:spacing w:after="0" w:line="22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believe that approval of the 2016 Cash Incentive Plan is an important part of our continued success. Our officers are among our most valuable assets, and incentive plans reward their performance and motivate them to achieve our goals. For the reasons stated above, stockholders are being asked to approve the 2016 Cash Incentive Plan.</w:t>
      </w:r>
    </w:p>
    <w:p>
      <w:pPr>
        <w:spacing w:after="0" w:line="17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THE BOARD RECOMMENDS THAT YOU VOTE “FOR” THE APPROVAL OF THE 2016 CASH INCENTIVE PLAN.</w:t>
      </w:r>
    </w:p>
    <w:p>
      <w:pPr>
        <w:spacing w:after="0" w:line="200" w:lineRule="exact"/>
        <w:rPr>
          <w:sz w:val="20"/>
          <w:szCs w:val="20"/>
          <w:color w:val="auto"/>
        </w:rPr>
      </w:pPr>
    </w:p>
    <w:p>
      <w:pPr>
        <w:spacing w:after="0" w:line="2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1022" w:right="239" w:bottom="1440" w:gutter="0" w:footer="0" w:header="0"/>
        </w:sectPr>
      </w:pPr>
    </w:p>
    <w:bookmarkStart w:id="26" w:name="page27"/>
    <w:bookmarkEnd w:id="26"/>
    <w:p>
      <w:pPr>
        <w:jc w:val="center"/>
        <w:spacing w:after="0"/>
        <w:rPr>
          <w:sz w:val="20"/>
          <w:szCs w:val="20"/>
          <w:color w:val="auto"/>
        </w:rPr>
      </w:pPr>
      <w:r>
        <w:rPr>
          <w:rFonts w:ascii="Arial" w:cs="Arial" w:eastAsia="Arial" w:hAnsi="Arial"/>
          <w:sz w:val="25"/>
          <w:szCs w:val="25"/>
          <w:b w:val="1"/>
          <w:bCs w:val="1"/>
          <w:color w:val="auto"/>
        </w:rPr>
        <w:t>ITEM 4</w:t>
      </w:r>
    </w:p>
    <w:p>
      <w:pPr>
        <w:spacing w:after="0" w:line="38"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RATIFICATION OF THE APPOINTMENT OF INDEPENDENT REGISTERED PUBLIC</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ACCOUNTING FIRM</w:t>
      </w:r>
    </w:p>
    <w:p>
      <w:pPr>
        <w:spacing w:after="0" w:line="20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Audit Committee has recommended and the Board has approved the appointment of Ernst &amp; Young LLP as the independent registered public accounting firm for the Company for 2016. As a matter of good corporate governance, the Board is asking stockholders to ratify this appointment, even though ratification is not required. If stockholders do not ratify this appointment, the Board may, but is not required to, reconsider such appointment. Even if stockholders ratify this appointment, the Board may direct the appointment of a different independent auditor at any time during 2016 if, in its discretion, it determines that such a change would be in the Company’s best interests.</w:t>
      </w:r>
    </w:p>
    <w:p>
      <w:pPr>
        <w:spacing w:after="0" w:line="18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Ernst &amp; Young LLP has served as the independent registered public accounting firm for the Company, its subsidiaries, and its predecessors since 1994. A representative from Ernst &amp; Young LLP is expected to attend the Annual Meeting, will have the opportunity to make a statement if he or she desires to do so and is expected to be available to respond to appropriate questions.</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For the years ended December 31, 2014 and 2015, Ernst &amp; Young LLP billed CoStar the fees set forth below, including expenses, in connection with services rendered to CoStar: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203200</wp:posOffset>
            </wp:positionV>
            <wp:extent cx="7220585" cy="108902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20585" cy="1089025"/>
                    </a:xfrm>
                    <a:prstGeom prst="rect">
                      <a:avLst/>
                    </a:prstGeom>
                    <a:noFill/>
                  </pic:spPr>
                </pic:pic>
              </a:graphicData>
            </a:graphic>
          </wp:anchor>
        </w:drawing>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2300" w:type="dxa"/>
            <w:vAlign w:val="bottom"/>
            <w:tcBorders>
              <w:bottom w:val="single" w:sz="8" w:color="B8CCE4"/>
            </w:tcBorders>
            <w:shd w:val="clear" w:color="auto" w:fill="B8CCE4"/>
          </w:tcPr>
          <w:p>
            <w:pPr>
              <w:spacing w:after="0"/>
              <w:rPr>
                <w:sz w:val="22"/>
                <w:szCs w:val="22"/>
                <w:color w:val="auto"/>
              </w:rPr>
            </w:pPr>
          </w:p>
        </w:tc>
        <w:tc>
          <w:tcPr>
            <w:tcW w:w="4540" w:type="dxa"/>
            <w:vAlign w:val="bottom"/>
            <w:tcBorders>
              <w:bottom w:val="single" w:sz="8" w:color="B8CCE4"/>
            </w:tcBorders>
            <w:shd w:val="clear" w:color="auto" w:fill="B8CCE4"/>
          </w:tcPr>
          <w:p>
            <w:pPr>
              <w:jc w:val="right"/>
              <w:ind w:right="13"/>
              <w:spacing w:after="0"/>
              <w:rPr>
                <w:sz w:val="20"/>
                <w:szCs w:val="20"/>
                <w:color w:val="auto"/>
              </w:rPr>
            </w:pPr>
            <w:r>
              <w:rPr>
                <w:rFonts w:ascii="Arial" w:cs="Arial" w:eastAsia="Arial" w:hAnsi="Arial"/>
                <w:sz w:val="18"/>
                <w:szCs w:val="18"/>
                <w:b w:val="1"/>
                <w:bCs w:val="1"/>
                <w:color w:val="auto"/>
              </w:rPr>
              <w:t>Year Ended December 31, 2014</w:t>
            </w:r>
          </w:p>
        </w:tc>
        <w:tc>
          <w:tcPr>
            <w:tcW w:w="4520" w:type="dxa"/>
            <w:vAlign w:val="bottom"/>
            <w:tcBorders>
              <w:bottom w:val="single" w:sz="8" w:color="B8CCE4"/>
            </w:tcBorders>
            <w:shd w:val="clear" w:color="auto" w:fill="B8CCE4"/>
          </w:tcPr>
          <w:p>
            <w:pPr>
              <w:jc w:val="right"/>
              <w:ind w:right="17"/>
              <w:spacing w:after="0"/>
              <w:rPr>
                <w:sz w:val="20"/>
                <w:szCs w:val="20"/>
                <w:color w:val="auto"/>
              </w:rPr>
            </w:pPr>
            <w:r>
              <w:rPr>
                <w:rFonts w:ascii="Arial" w:cs="Arial" w:eastAsia="Arial" w:hAnsi="Arial"/>
                <w:sz w:val="18"/>
                <w:szCs w:val="18"/>
                <w:b w:val="1"/>
                <w:bCs w:val="1"/>
                <w:color w:val="auto"/>
              </w:rPr>
              <w:t>Year Ended December 31, 2015</w:t>
            </w:r>
          </w:p>
        </w:tc>
      </w:tr>
      <w:tr>
        <w:trPr>
          <w:trHeight w:val="257"/>
        </w:trPr>
        <w:tc>
          <w:tcPr>
            <w:tcW w:w="2300" w:type="dxa"/>
            <w:vAlign w:val="bottom"/>
            <w:shd w:val="clear" w:color="auto" w:fill="DBE5F1"/>
          </w:tcPr>
          <w:p>
            <w:pPr>
              <w:ind w:left="40"/>
              <w:spacing w:after="0"/>
              <w:rPr>
                <w:sz w:val="20"/>
                <w:szCs w:val="20"/>
                <w:color w:val="auto"/>
              </w:rPr>
            </w:pPr>
            <w:r>
              <w:rPr>
                <w:rFonts w:ascii="Arial" w:cs="Arial" w:eastAsia="Arial" w:hAnsi="Arial"/>
                <w:sz w:val="18"/>
                <w:szCs w:val="18"/>
                <w:b w:val="1"/>
                <w:bCs w:val="1"/>
                <w:color w:val="auto"/>
              </w:rPr>
              <w:t>Audit Fees</w:t>
            </w:r>
          </w:p>
        </w:tc>
        <w:tc>
          <w:tcPr>
            <w:tcW w:w="4540" w:type="dxa"/>
            <w:vAlign w:val="bottom"/>
            <w:shd w:val="clear" w:color="auto" w:fill="DBE5F1"/>
          </w:tcPr>
          <w:p>
            <w:pPr>
              <w:jc w:val="right"/>
              <w:ind w:right="13"/>
              <w:spacing w:after="0"/>
              <w:rPr>
                <w:sz w:val="20"/>
                <w:szCs w:val="20"/>
                <w:color w:val="auto"/>
              </w:rPr>
            </w:pPr>
            <w:r>
              <w:rPr>
                <w:rFonts w:ascii="Arial" w:cs="Arial" w:eastAsia="Arial" w:hAnsi="Arial"/>
                <w:sz w:val="18"/>
                <w:szCs w:val="18"/>
                <w:color w:val="auto"/>
              </w:rPr>
              <w:t>$1,790,293</w:t>
            </w:r>
          </w:p>
        </w:tc>
        <w:tc>
          <w:tcPr>
            <w:tcW w:w="4520" w:type="dxa"/>
            <w:vAlign w:val="bottom"/>
            <w:shd w:val="clear" w:color="auto" w:fill="DBE5F1"/>
          </w:tcPr>
          <w:p>
            <w:pPr>
              <w:jc w:val="right"/>
              <w:ind w:right="17"/>
              <w:spacing w:after="0"/>
              <w:rPr>
                <w:sz w:val="20"/>
                <w:szCs w:val="20"/>
                <w:color w:val="auto"/>
              </w:rPr>
            </w:pPr>
            <w:r>
              <w:rPr>
                <w:rFonts w:ascii="Arial" w:cs="Arial" w:eastAsia="Arial" w:hAnsi="Arial"/>
                <w:sz w:val="18"/>
                <w:szCs w:val="18"/>
                <w:color w:val="auto"/>
              </w:rPr>
              <w:t>$1,809,128</w:t>
            </w:r>
          </w:p>
        </w:tc>
      </w:tr>
      <w:tr>
        <w:trPr>
          <w:trHeight w:val="284"/>
        </w:trPr>
        <w:tc>
          <w:tcPr>
            <w:tcW w:w="2300" w:type="dxa"/>
            <w:vAlign w:val="bottom"/>
            <w:shd w:val="clear" w:color="auto" w:fill="DBE5F1"/>
          </w:tcPr>
          <w:p>
            <w:pPr>
              <w:ind w:left="40"/>
              <w:spacing w:after="0"/>
              <w:rPr>
                <w:sz w:val="20"/>
                <w:szCs w:val="20"/>
                <w:color w:val="auto"/>
              </w:rPr>
            </w:pPr>
            <w:r>
              <w:rPr>
                <w:rFonts w:ascii="Arial" w:cs="Arial" w:eastAsia="Arial" w:hAnsi="Arial"/>
                <w:sz w:val="18"/>
                <w:szCs w:val="18"/>
                <w:b w:val="1"/>
                <w:bCs w:val="1"/>
                <w:color w:val="auto"/>
              </w:rPr>
              <w:t>Audit Related Fees</w:t>
            </w:r>
          </w:p>
        </w:tc>
        <w:tc>
          <w:tcPr>
            <w:tcW w:w="4540" w:type="dxa"/>
            <w:vAlign w:val="bottom"/>
            <w:shd w:val="clear" w:color="auto" w:fill="DBE5F1"/>
          </w:tcPr>
          <w:p>
            <w:pPr>
              <w:jc w:val="right"/>
              <w:ind w:right="13"/>
              <w:spacing w:after="0"/>
              <w:rPr>
                <w:sz w:val="20"/>
                <w:szCs w:val="20"/>
                <w:color w:val="auto"/>
              </w:rPr>
            </w:pPr>
            <w:r>
              <w:rPr>
                <w:rFonts w:ascii="Arial" w:cs="Arial" w:eastAsia="Arial" w:hAnsi="Arial"/>
                <w:sz w:val="18"/>
                <w:szCs w:val="18"/>
                <w:color w:val="auto"/>
              </w:rPr>
              <w:t>30,000</w:t>
            </w:r>
          </w:p>
        </w:tc>
        <w:tc>
          <w:tcPr>
            <w:tcW w:w="4520" w:type="dxa"/>
            <w:vAlign w:val="bottom"/>
            <w:shd w:val="clear" w:color="auto" w:fill="DBE5F1"/>
          </w:tcPr>
          <w:p>
            <w:pPr>
              <w:jc w:val="right"/>
              <w:ind w:right="17"/>
              <w:spacing w:after="0"/>
              <w:rPr>
                <w:sz w:val="20"/>
                <w:szCs w:val="20"/>
                <w:color w:val="auto"/>
              </w:rPr>
            </w:pPr>
            <w:r>
              <w:rPr>
                <w:rFonts w:ascii="Arial" w:cs="Arial" w:eastAsia="Arial" w:hAnsi="Arial"/>
                <w:sz w:val="14"/>
                <w:szCs w:val="14"/>
                <w:color w:val="auto"/>
              </w:rPr>
              <w:t>—</w:t>
            </w:r>
          </w:p>
        </w:tc>
      </w:tr>
      <w:tr>
        <w:trPr>
          <w:trHeight w:val="284"/>
        </w:trPr>
        <w:tc>
          <w:tcPr>
            <w:tcW w:w="2300" w:type="dxa"/>
            <w:vAlign w:val="bottom"/>
            <w:shd w:val="clear" w:color="auto" w:fill="DBE5F1"/>
          </w:tcPr>
          <w:p>
            <w:pPr>
              <w:ind w:left="40"/>
              <w:spacing w:after="0"/>
              <w:rPr>
                <w:sz w:val="20"/>
                <w:szCs w:val="20"/>
                <w:color w:val="auto"/>
              </w:rPr>
            </w:pPr>
            <w:r>
              <w:rPr>
                <w:rFonts w:ascii="Arial" w:cs="Arial" w:eastAsia="Arial" w:hAnsi="Arial"/>
                <w:sz w:val="18"/>
                <w:szCs w:val="18"/>
                <w:b w:val="1"/>
                <w:bCs w:val="1"/>
                <w:color w:val="auto"/>
              </w:rPr>
              <w:t>Tax Fees</w:t>
            </w:r>
          </w:p>
        </w:tc>
        <w:tc>
          <w:tcPr>
            <w:tcW w:w="4540" w:type="dxa"/>
            <w:vAlign w:val="bottom"/>
            <w:shd w:val="clear" w:color="auto" w:fill="DBE5F1"/>
          </w:tcPr>
          <w:p>
            <w:pPr>
              <w:jc w:val="right"/>
              <w:ind w:right="13"/>
              <w:spacing w:after="0"/>
              <w:rPr>
                <w:sz w:val="20"/>
                <w:szCs w:val="20"/>
                <w:color w:val="auto"/>
              </w:rPr>
            </w:pPr>
            <w:r>
              <w:rPr>
                <w:rFonts w:ascii="Arial" w:cs="Arial" w:eastAsia="Arial" w:hAnsi="Arial"/>
                <w:sz w:val="18"/>
                <w:szCs w:val="18"/>
                <w:color w:val="auto"/>
              </w:rPr>
              <w:t>34,500</w:t>
            </w:r>
          </w:p>
        </w:tc>
        <w:tc>
          <w:tcPr>
            <w:tcW w:w="4520" w:type="dxa"/>
            <w:vAlign w:val="bottom"/>
            <w:shd w:val="clear" w:color="auto" w:fill="DBE5F1"/>
          </w:tcPr>
          <w:p>
            <w:pPr>
              <w:jc w:val="right"/>
              <w:ind w:right="17"/>
              <w:spacing w:after="0"/>
              <w:rPr>
                <w:sz w:val="20"/>
                <w:szCs w:val="20"/>
                <w:color w:val="auto"/>
              </w:rPr>
            </w:pPr>
            <w:r>
              <w:rPr>
                <w:rFonts w:ascii="Arial" w:cs="Arial" w:eastAsia="Arial" w:hAnsi="Arial"/>
                <w:sz w:val="16"/>
                <w:szCs w:val="16"/>
                <w:color w:val="auto"/>
              </w:rPr>
              <w:t>64,687</w:t>
            </w:r>
          </w:p>
        </w:tc>
      </w:tr>
      <w:tr>
        <w:trPr>
          <w:trHeight w:val="284"/>
        </w:trPr>
        <w:tc>
          <w:tcPr>
            <w:tcW w:w="2300" w:type="dxa"/>
            <w:vAlign w:val="bottom"/>
            <w:shd w:val="clear" w:color="auto" w:fill="DBE5F1"/>
          </w:tcPr>
          <w:p>
            <w:pPr>
              <w:ind w:left="40"/>
              <w:spacing w:after="0"/>
              <w:rPr>
                <w:sz w:val="20"/>
                <w:szCs w:val="20"/>
                <w:color w:val="auto"/>
              </w:rPr>
            </w:pPr>
            <w:r>
              <w:rPr>
                <w:rFonts w:ascii="Arial" w:cs="Arial" w:eastAsia="Arial" w:hAnsi="Arial"/>
                <w:sz w:val="18"/>
                <w:szCs w:val="18"/>
                <w:b w:val="1"/>
                <w:bCs w:val="1"/>
                <w:color w:val="auto"/>
              </w:rPr>
              <w:t>All Other Fees</w:t>
            </w:r>
          </w:p>
        </w:tc>
        <w:tc>
          <w:tcPr>
            <w:tcW w:w="4540" w:type="dxa"/>
            <w:vAlign w:val="bottom"/>
            <w:shd w:val="clear" w:color="auto" w:fill="DBE5F1"/>
          </w:tcPr>
          <w:p>
            <w:pPr>
              <w:jc w:val="right"/>
              <w:ind w:right="13"/>
              <w:spacing w:after="0"/>
              <w:rPr>
                <w:sz w:val="20"/>
                <w:szCs w:val="20"/>
                <w:color w:val="auto"/>
              </w:rPr>
            </w:pPr>
            <w:r>
              <w:rPr>
                <w:rFonts w:ascii="Arial" w:cs="Arial" w:eastAsia="Arial" w:hAnsi="Arial"/>
                <w:sz w:val="14"/>
                <w:szCs w:val="14"/>
                <w:color w:val="auto"/>
              </w:rPr>
              <w:t>—</w:t>
            </w:r>
          </w:p>
        </w:tc>
        <w:tc>
          <w:tcPr>
            <w:tcW w:w="4520" w:type="dxa"/>
            <w:vAlign w:val="bottom"/>
            <w:shd w:val="clear" w:color="auto" w:fill="DBE5F1"/>
          </w:tcPr>
          <w:p>
            <w:pPr>
              <w:jc w:val="right"/>
              <w:ind w:right="17"/>
              <w:spacing w:after="0"/>
              <w:rPr>
                <w:sz w:val="20"/>
                <w:szCs w:val="20"/>
                <w:color w:val="auto"/>
              </w:rPr>
            </w:pPr>
            <w:r>
              <w:rPr>
                <w:rFonts w:ascii="Arial" w:cs="Arial" w:eastAsia="Arial" w:hAnsi="Arial"/>
                <w:sz w:val="14"/>
                <w:szCs w:val="14"/>
                <w:color w:val="auto"/>
              </w:rPr>
              <w:t>—</w:t>
            </w:r>
          </w:p>
        </w:tc>
      </w:tr>
      <w:tr>
        <w:trPr>
          <w:trHeight w:val="284"/>
        </w:trPr>
        <w:tc>
          <w:tcPr>
            <w:tcW w:w="2300" w:type="dxa"/>
            <w:vAlign w:val="bottom"/>
            <w:shd w:val="clear" w:color="auto" w:fill="DBE5F1"/>
          </w:tcPr>
          <w:p>
            <w:pPr>
              <w:ind w:left="40"/>
              <w:spacing w:after="0"/>
              <w:rPr>
                <w:sz w:val="20"/>
                <w:szCs w:val="20"/>
                <w:color w:val="auto"/>
              </w:rPr>
            </w:pPr>
            <w:r>
              <w:rPr>
                <w:rFonts w:ascii="Arial" w:cs="Arial" w:eastAsia="Arial" w:hAnsi="Arial"/>
                <w:sz w:val="18"/>
                <w:szCs w:val="18"/>
                <w:b w:val="1"/>
                <w:bCs w:val="1"/>
                <w:color w:val="auto"/>
              </w:rPr>
              <w:t>Total</w:t>
            </w:r>
          </w:p>
        </w:tc>
        <w:tc>
          <w:tcPr>
            <w:tcW w:w="4540" w:type="dxa"/>
            <w:vAlign w:val="bottom"/>
            <w:shd w:val="clear" w:color="auto" w:fill="DBE5F1"/>
          </w:tcPr>
          <w:p>
            <w:pPr>
              <w:jc w:val="right"/>
              <w:ind w:right="13"/>
              <w:spacing w:after="0"/>
              <w:rPr>
                <w:sz w:val="20"/>
                <w:szCs w:val="20"/>
                <w:color w:val="auto"/>
              </w:rPr>
            </w:pPr>
            <w:r>
              <w:rPr>
                <w:rFonts w:ascii="Arial" w:cs="Arial" w:eastAsia="Arial" w:hAnsi="Arial"/>
                <w:sz w:val="18"/>
                <w:szCs w:val="18"/>
                <w:color w:val="auto"/>
              </w:rPr>
              <w:t>$1,854,793</w:t>
            </w:r>
          </w:p>
        </w:tc>
        <w:tc>
          <w:tcPr>
            <w:tcW w:w="4520" w:type="dxa"/>
            <w:vAlign w:val="bottom"/>
            <w:shd w:val="clear" w:color="auto" w:fill="DBE5F1"/>
          </w:tcPr>
          <w:p>
            <w:pPr>
              <w:jc w:val="right"/>
              <w:ind w:right="17"/>
              <w:spacing w:after="0"/>
              <w:rPr>
                <w:sz w:val="20"/>
                <w:szCs w:val="20"/>
                <w:color w:val="auto"/>
              </w:rPr>
            </w:pPr>
            <w:r>
              <w:rPr>
                <w:rFonts w:ascii="Arial" w:cs="Arial" w:eastAsia="Arial" w:hAnsi="Arial"/>
                <w:sz w:val="18"/>
                <w:szCs w:val="18"/>
                <w:color w:val="auto"/>
              </w:rPr>
              <w:t>$1,873,815</w:t>
            </w:r>
          </w:p>
        </w:tc>
      </w:tr>
      <w:tr>
        <w:trPr>
          <w:trHeight w:val="27"/>
        </w:trPr>
        <w:tc>
          <w:tcPr>
            <w:tcW w:w="2300" w:type="dxa"/>
            <w:vAlign w:val="bottom"/>
            <w:shd w:val="clear" w:color="auto" w:fill="DBE5F1"/>
          </w:tcPr>
          <w:p>
            <w:pPr>
              <w:spacing w:after="0"/>
              <w:rPr>
                <w:sz w:val="2"/>
                <w:szCs w:val="2"/>
                <w:color w:val="auto"/>
              </w:rPr>
            </w:pPr>
          </w:p>
        </w:tc>
        <w:tc>
          <w:tcPr>
            <w:tcW w:w="4540" w:type="dxa"/>
            <w:vAlign w:val="bottom"/>
            <w:shd w:val="clear" w:color="auto" w:fill="DBE5F1"/>
          </w:tcPr>
          <w:p>
            <w:pPr>
              <w:spacing w:after="0"/>
              <w:rPr>
                <w:sz w:val="2"/>
                <w:szCs w:val="2"/>
                <w:color w:val="auto"/>
              </w:rPr>
            </w:pPr>
          </w:p>
        </w:tc>
        <w:tc>
          <w:tcPr>
            <w:tcW w:w="4520" w:type="dxa"/>
            <w:vAlign w:val="bottom"/>
            <w:shd w:val="clear" w:color="auto" w:fill="DBE5F1"/>
          </w:tcPr>
          <w:p>
            <w:pPr>
              <w:spacing w:after="0"/>
              <w:rPr>
                <w:sz w:val="2"/>
                <w:szCs w:val="2"/>
                <w:color w:val="auto"/>
              </w:rPr>
            </w:pPr>
          </w:p>
        </w:tc>
      </w:tr>
    </w:tbl>
    <w:p>
      <w:pPr>
        <w:spacing w:after="0" w:line="21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Audit Fees include fees for services performed for the audit of CoStar’s annual financial statements, review of financial statements included in CoStar’s periodic filings with the SEC, audit of CoStar’s internal control over financial reporting and statutory audits required internationally. Included in the services performed for the audit of CoStar’s 2014 annual financial statements is $205,000 related to the acquisition of certain assets and liabilities related to the Apartments.com business (collectively referred to as “Apartments.com”). The fees for services performed for the audit of CoStar’s 2015 annual financial statements include $331,000 related to the acquisitions of (i) the stock of Network Communications, Inc. and the related Apartment Finder business (collectively referred to as “Apartment Finder”), and (ii) the assets of Belbex Corporate, S.L., a small commercial real estate information provider operating in Madrid, Spain. This category also includes fees for consents and assistance with and review of documents filed with the SEC.</w:t>
      </w:r>
    </w:p>
    <w:p>
      <w:pPr>
        <w:spacing w:after="0" w:line="17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Audit Related Fees include fees associated with assurance and related services that are reasonably related to the performance of the audit or review of CoStar’s financial statements. For fiscal year 2014, the reported audit related fees represent fees for accounting services billed by Ernst &amp; Young LLP primarily in connection with accounting consultations about the application of generally accepted accounting principles to proposed transactions as well as due diligence for the acquisition of the Apartments.com business.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Tax Fees primarily include fees associated with tax return preparation, tax compliance, tax advice and tax planning.</w:t>
      </w:r>
    </w:p>
    <w:p>
      <w:pPr>
        <w:spacing w:after="0" w:line="21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AUDIT COMMITTEE PRE-APPROVAL POLICY</w:t>
      </w:r>
    </w:p>
    <w:p>
      <w:pPr>
        <w:spacing w:after="0" w:line="224"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Audit Committee’s policy is that all audit and non-audit services provided by CoStar’s independent registered public accounting firm shall either be approved before the independent registered public accounting firm is engaged for the particular services or shall be rendered pursuant to pre-approval procedures established by the Audit Committee. These services may include audit services and permissible audit-related services, tax services and other services. Pre-approval spending limits for services to be performed by CoStar’s independent registered public accounting firm are established on an annual (for audit services) or periodic (for permissible non-audit services) basis, detailed as to a particular service or category of services to be performed and implemented by CoStar’s financial officers. Any audit or non-audit service fees that may be incurred by CoStar that fall outside the limits pre-approved by the Audit Committee for a particular service or category of services must be reviewed and approved by the Chairperson of the Audit Committee or the Audit Committee as a whole prior to the performance of services. CoStar’s Chief Financial Officer or General</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360" w:right="239" w:bottom="1440" w:gutter="0" w:footer="0" w:header="0"/>
        </w:sectPr>
      </w:pPr>
    </w:p>
    <w:bookmarkStart w:id="27" w:name="page28"/>
    <w:bookmarkEnd w:id="27"/>
    <w:p>
      <w:pPr>
        <w:jc w:val="both"/>
        <w:spacing w:after="0" w:line="264" w:lineRule="auto"/>
        <w:rPr>
          <w:sz w:val="20"/>
          <w:szCs w:val="20"/>
          <w:color w:val="auto"/>
        </w:rPr>
      </w:pPr>
      <w:r>
        <w:rPr>
          <w:rFonts w:ascii="Arial" w:cs="Arial" w:eastAsia="Arial" w:hAnsi="Arial"/>
          <w:sz w:val="18"/>
          <w:szCs w:val="18"/>
          <w:color w:val="auto"/>
        </w:rPr>
        <w:t>Counsel reports to the Audit Committee on a quarterly basis on all services rendered by the independent registered public accounting firm for which pre-approval has been granted and all fees paid to the independent registered public accounting firm for such services since the previous quarter’s Audit Committee meeting. The Audit Committee may revise its pre-approval spending limits and policies at any time.</w:t>
      </w:r>
    </w:p>
    <w:p>
      <w:pPr>
        <w:spacing w:after="0" w:line="181"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 xml:space="preserve">All fees paid to the independent registered public accounting firm in 2015 were pre-approved by the Audit Committee, and therefore no services were approved after the services were rendered pursuant to the </w:t>
      </w:r>
      <w:r>
        <w:rPr>
          <w:rFonts w:ascii="Arial" w:cs="Arial" w:eastAsia="Arial" w:hAnsi="Arial"/>
          <w:sz w:val="17"/>
          <w:szCs w:val="17"/>
          <w:i w:val="1"/>
          <w:iCs w:val="1"/>
          <w:color w:val="auto"/>
        </w:rPr>
        <w:t>“de minimis”</w:t>
      </w:r>
      <w:r>
        <w:rPr>
          <w:rFonts w:ascii="Arial" w:cs="Arial" w:eastAsia="Arial" w:hAnsi="Arial"/>
          <w:sz w:val="17"/>
          <w:szCs w:val="17"/>
          <w:color w:val="auto"/>
        </w:rPr>
        <w:t xml:space="preserve"> exception established by the SEC for the provision of non-audit services.</w:t>
      </w:r>
    </w:p>
    <w:p>
      <w:pPr>
        <w:spacing w:after="0" w:line="138" w:lineRule="exact"/>
        <w:rPr>
          <w:sz w:val="20"/>
          <w:szCs w:val="20"/>
          <w:color w:val="auto"/>
        </w:rPr>
      </w:pPr>
    </w:p>
    <w:p>
      <w:pPr>
        <w:jc w:val="both"/>
        <w:spacing w:after="0" w:line="267" w:lineRule="auto"/>
        <w:rPr>
          <w:sz w:val="20"/>
          <w:szCs w:val="20"/>
          <w:color w:val="auto"/>
        </w:rPr>
      </w:pPr>
      <w:r>
        <w:rPr>
          <w:rFonts w:ascii="Arial" w:cs="Arial" w:eastAsia="Arial" w:hAnsi="Arial"/>
          <w:sz w:val="20"/>
          <w:szCs w:val="20"/>
          <w:b w:val="1"/>
          <w:bCs w:val="1"/>
          <w:color w:val="auto"/>
        </w:rPr>
        <w:t>THE BOARD RECOMMENDS THAT YOU VOTE “FOR” RATIFYING THE APPOINTMENT OF ERNST &amp; YOUNG LLP AS INDEPENDENT REGISTERED PUBLIC ACCOUNTING FIRM FOR THE COMPANY FOR 2016.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368" w:right="239" w:bottom="1440" w:gutter="0" w:footer="0" w:header="0"/>
        </w:sectPr>
      </w:pPr>
    </w:p>
    <w:bookmarkStart w:id="28" w:name="page29"/>
    <w:bookmarkEnd w:id="28"/>
    <w:p>
      <w:pPr>
        <w:jc w:val="center"/>
        <w:spacing w:after="0"/>
        <w:rPr>
          <w:sz w:val="20"/>
          <w:szCs w:val="20"/>
          <w:color w:val="auto"/>
        </w:rPr>
      </w:pPr>
      <w:r>
        <w:rPr>
          <w:rFonts w:ascii="Arial" w:cs="Arial" w:eastAsia="Arial" w:hAnsi="Arial"/>
          <w:sz w:val="25"/>
          <w:szCs w:val="25"/>
          <w:b w:val="1"/>
          <w:bCs w:val="1"/>
          <w:color w:val="auto"/>
        </w:rPr>
        <w:t>ITEM 5</w:t>
      </w:r>
    </w:p>
    <w:p>
      <w:pPr>
        <w:spacing w:after="0" w:line="38"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ADVISORY RESOLUTION TO APPROVE</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EXECUTIVE COMPENSATION</w:t>
      </w:r>
    </w:p>
    <w:p>
      <w:pPr>
        <w:spacing w:after="0" w:line="20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are asking stockholders to approve, on an advisory basis, a resolution on the Company’s executive compensation as reported in this Proxy Statement. As described below in the “Compensation Discussion and Analysis” section of this Proxy Statement, the Compensation Committee has structured our executive compensation program to achieve the following key objectives:</w:t>
      </w:r>
    </w:p>
    <w:p>
      <w:pPr>
        <w:spacing w:after="0" w:line="181" w:lineRule="exact"/>
        <w:rPr>
          <w:sz w:val="20"/>
          <w:szCs w:val="20"/>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Link executive compensation with the achievement of overall corporate goals,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Encourage and reward superior performance,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Assist the Company in attracting, motivating and retaining talented executives.</w:t>
      </w:r>
    </w:p>
    <w:p>
      <w:pPr>
        <w:spacing w:after="0" w:line="21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Compensation Committee supports a pay-for-performance approach to executive compensation, coupled with the key objectives set forth above. Our executive compensation program has a number of features designed to promote these objectives and is designed to motivate our executives to successfully manage and grow our business. Some of the key features of our current executive compensation program include:</w:t>
      </w:r>
    </w:p>
    <w:p>
      <w:pPr>
        <w:spacing w:after="0" w:line="181" w:lineRule="exact"/>
        <w:rPr>
          <w:sz w:val="20"/>
          <w:szCs w:val="20"/>
          <w:color w:val="auto"/>
        </w:rPr>
      </w:pPr>
    </w:p>
    <w:p>
      <w:pPr>
        <w:jc w:val="both"/>
        <w:ind w:left="340" w:hanging="332"/>
        <w:spacing w:after="0" w:line="269" w:lineRule="auto"/>
        <w:tabs>
          <w:tab w:leader="none" w:pos="340" w:val="left"/>
        </w:tabs>
        <w:numPr>
          <w:ilvl w:val="0"/>
          <w:numId w:val="19"/>
        </w:numPr>
        <w:rPr>
          <w:rFonts w:ascii="Arial" w:cs="Arial" w:eastAsia="Arial" w:hAnsi="Arial"/>
          <w:sz w:val="17"/>
          <w:szCs w:val="17"/>
          <w:color w:val="auto"/>
        </w:rPr>
      </w:pPr>
      <w:r>
        <w:rPr>
          <w:rFonts w:ascii="Arial" w:cs="Arial" w:eastAsia="Arial" w:hAnsi="Arial"/>
          <w:sz w:val="17"/>
          <w:szCs w:val="17"/>
          <w:b w:val="1"/>
          <w:bCs w:val="1"/>
          <w:i w:val="1"/>
          <w:iCs w:val="1"/>
          <w:color w:val="auto"/>
        </w:rPr>
        <w:t>Performance Focus and Multi-Year Performance Metric</w:t>
      </w:r>
      <w:r>
        <w:rPr>
          <w:rFonts w:ascii="Arial" w:cs="Arial" w:eastAsia="Arial" w:hAnsi="Arial"/>
          <w:sz w:val="17"/>
          <w:szCs w:val="17"/>
          <w:color w:val="auto"/>
        </w:rPr>
        <w:t>. The executive compensation program consists of annual grants of restricted stock (with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value of grant determined based on the achievement of a financial goal over the prior fiscal year) and options that vest over time and a grant of performance-based restricted stock that vests based on achievement of a three-year cumulative financial goal that is subject to adjustment based on the Company’s total stockholder return (“TSR”) over the three-year period. The performance-based restricted stock grant provides for:</w:t>
      </w:r>
    </w:p>
    <w:p>
      <w:pPr>
        <w:spacing w:after="0" w:line="2" w:lineRule="exact"/>
        <w:rPr>
          <w:rFonts w:ascii="Arial" w:cs="Arial" w:eastAsia="Arial" w:hAnsi="Arial"/>
          <w:sz w:val="17"/>
          <w:szCs w:val="17"/>
          <w:color w:val="auto"/>
        </w:rPr>
      </w:pPr>
    </w:p>
    <w:p>
      <w:pPr>
        <w:ind w:left="980" w:hanging="324"/>
        <w:spacing w:after="0"/>
        <w:tabs>
          <w:tab w:leader="none" w:pos="980" w:val="left"/>
        </w:tabs>
        <w:numPr>
          <w:ilvl w:val="1"/>
          <w:numId w:val="19"/>
        </w:numPr>
        <w:rPr>
          <w:rFonts w:ascii="Arial" w:cs="Arial" w:eastAsia="Arial" w:hAnsi="Arial"/>
          <w:sz w:val="18"/>
          <w:szCs w:val="18"/>
          <w:color w:val="auto"/>
        </w:rPr>
      </w:pPr>
      <w:r>
        <w:rPr>
          <w:rFonts w:ascii="Arial" w:cs="Arial" w:eastAsia="Arial" w:hAnsi="Arial"/>
          <w:sz w:val="18"/>
          <w:szCs w:val="18"/>
          <w:color w:val="auto"/>
        </w:rPr>
        <w:t>A three-year, cumulative revenue goal in order to align executive compensation with long-term stockholder value; and</w:t>
      </w:r>
    </w:p>
    <w:p>
      <w:pPr>
        <w:spacing w:after="0" w:line="9" w:lineRule="exact"/>
        <w:rPr>
          <w:rFonts w:ascii="Arial" w:cs="Arial" w:eastAsia="Arial" w:hAnsi="Arial"/>
          <w:sz w:val="18"/>
          <w:szCs w:val="18"/>
          <w:color w:val="auto"/>
        </w:rPr>
      </w:pPr>
    </w:p>
    <w:p>
      <w:pPr>
        <w:jc w:val="both"/>
        <w:ind w:left="980" w:hanging="324"/>
        <w:spacing w:after="0" w:line="250" w:lineRule="auto"/>
        <w:tabs>
          <w:tab w:leader="none" w:pos="980" w:val="left"/>
        </w:tabs>
        <w:numPr>
          <w:ilvl w:val="1"/>
          <w:numId w:val="19"/>
        </w:numPr>
        <w:rPr>
          <w:rFonts w:ascii="Arial" w:cs="Arial" w:eastAsia="Arial" w:hAnsi="Arial"/>
          <w:sz w:val="18"/>
          <w:szCs w:val="18"/>
          <w:color w:val="auto"/>
        </w:rPr>
      </w:pPr>
      <w:r>
        <w:rPr>
          <w:rFonts w:ascii="Arial" w:cs="Arial" w:eastAsia="Arial" w:hAnsi="Arial"/>
          <w:sz w:val="18"/>
          <w:szCs w:val="18"/>
          <w:color w:val="auto"/>
        </w:rPr>
        <w:t>A measure of stockholder return, whereby the shares earned, if any, as a result of the Company’s Achievement of the revenue goal will be positively or negatively adjusted based on the Company’s three-year TSR relative to the three-year TSR of the companies included within the Russell 1000 index, in order to align executive compensation with long-term stockholder returns.</w:t>
      </w:r>
    </w:p>
    <w:p>
      <w:pPr>
        <w:spacing w:after="0" w:line="1" w:lineRule="exact"/>
        <w:rPr>
          <w:rFonts w:ascii="Arial" w:cs="Arial" w:eastAsia="Arial" w:hAnsi="Arial"/>
          <w:sz w:val="18"/>
          <w:szCs w:val="18"/>
          <w:color w:val="auto"/>
        </w:rPr>
      </w:pPr>
    </w:p>
    <w:p>
      <w:pPr>
        <w:ind w:left="340" w:hanging="332"/>
        <w:spacing w:after="0" w:line="281" w:lineRule="auto"/>
        <w:tabs>
          <w:tab w:leader="none" w:pos="340" w:val="left"/>
        </w:tabs>
        <w:numPr>
          <w:ilvl w:val="0"/>
          <w:numId w:val="19"/>
        </w:numPr>
        <w:rPr>
          <w:rFonts w:ascii="Arial" w:cs="Arial" w:eastAsia="Arial" w:hAnsi="Arial"/>
          <w:sz w:val="16"/>
          <w:szCs w:val="16"/>
          <w:color w:val="auto"/>
        </w:rPr>
      </w:pPr>
      <w:r>
        <w:rPr>
          <w:rFonts w:ascii="Arial" w:cs="Arial" w:eastAsia="Arial" w:hAnsi="Arial"/>
          <w:sz w:val="16"/>
          <w:szCs w:val="16"/>
          <w:b w:val="1"/>
          <w:bCs w:val="1"/>
          <w:i w:val="1"/>
          <w:iCs w:val="1"/>
          <w:color w:val="auto"/>
        </w:rPr>
        <w:t>Distinct Performance Metrics for the Annual and Long-Term Incentive Plans</w:t>
      </w:r>
      <w:r>
        <w:rPr>
          <w:rFonts w:ascii="Arial" w:cs="Arial" w:eastAsia="Arial" w:hAnsi="Arial"/>
          <w:sz w:val="16"/>
          <w:szCs w:val="16"/>
          <w:color w:val="auto"/>
        </w:rPr>
        <w:t>. The annual awards of cash incentives and restricted stock are based 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distinct earnings metrics. Further, the three-year performance-based restricted stock awards are based on a separate and distinct revenue metric.</w:t>
      </w:r>
    </w:p>
    <w:p>
      <w:pPr>
        <w:spacing w:after="0" w:line="1" w:lineRule="exact"/>
        <w:rPr>
          <w:rFonts w:ascii="Arial" w:cs="Arial" w:eastAsia="Arial" w:hAnsi="Arial"/>
          <w:sz w:val="16"/>
          <w:szCs w:val="16"/>
          <w:color w:val="auto"/>
        </w:rPr>
      </w:pPr>
    </w:p>
    <w:p>
      <w:pPr>
        <w:ind w:left="340" w:hanging="332"/>
        <w:spacing w:after="0" w:line="323" w:lineRule="auto"/>
        <w:tabs>
          <w:tab w:leader="none" w:pos="340" w:val="left"/>
        </w:tabs>
        <w:numPr>
          <w:ilvl w:val="0"/>
          <w:numId w:val="19"/>
        </w:numPr>
        <w:rPr>
          <w:rFonts w:ascii="Arial" w:cs="Arial" w:eastAsia="Arial" w:hAnsi="Arial"/>
          <w:sz w:val="16"/>
          <w:szCs w:val="16"/>
          <w:color w:val="auto"/>
        </w:rPr>
      </w:pPr>
      <w:r>
        <w:rPr>
          <w:rFonts w:ascii="Arial" w:cs="Arial" w:eastAsia="Arial" w:hAnsi="Arial"/>
          <w:sz w:val="16"/>
          <w:szCs w:val="16"/>
          <w:b w:val="1"/>
          <w:bCs w:val="1"/>
          <w:i w:val="1"/>
          <w:iCs w:val="1"/>
          <w:color w:val="auto"/>
        </w:rPr>
        <w:t>Equity Grant Values Evaluated Against Peer Companies</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Compensation Committee generally strives to set target equity award values within +/-15% of the median peer values to avoid potential payouts that could be multiple times higher than the median of the executives’ respective peers.</w:t>
      </w:r>
    </w:p>
    <w:p>
      <w:pPr>
        <w:spacing w:after="0" w:line="139" w:lineRule="exact"/>
        <w:rPr>
          <w:sz w:val="20"/>
          <w:szCs w:val="20"/>
          <w:color w:val="auto"/>
        </w:rPr>
      </w:pPr>
    </w:p>
    <w:p>
      <w:pPr>
        <w:spacing w:after="0"/>
        <w:rPr>
          <w:sz w:val="20"/>
          <w:szCs w:val="20"/>
          <w:color w:val="auto"/>
        </w:rPr>
      </w:pPr>
      <w:r>
        <w:rPr>
          <w:rFonts w:ascii="Arial" w:cs="Arial" w:eastAsia="Arial" w:hAnsi="Arial"/>
          <w:sz w:val="17"/>
          <w:szCs w:val="17"/>
          <w:color w:val="auto"/>
        </w:rPr>
        <w:t>We believe that stockholders’ interests are further served by other executive compensation-related practices and policies that we have adopted:</w:t>
      </w:r>
    </w:p>
    <w:p>
      <w:pPr>
        <w:spacing w:after="0" w:line="237" w:lineRule="exact"/>
        <w:rPr>
          <w:sz w:val="20"/>
          <w:szCs w:val="20"/>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We do not have guaranteed minimum payment levels for executives’ cash incentives or performance-based equity awards.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We do not provide material perquisites to our executive officers.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We do not have the ability to reprice options without stockholder approval.</w:t>
      </w:r>
    </w:p>
    <w:p>
      <w:pPr>
        <w:spacing w:after="0" w:line="9"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executive officers and directors are subject to rigorous stock ownership policies, which require them to own no less than a minimum value of Company common stock.</w:t>
      </w:r>
    </w:p>
    <w:p>
      <w:pPr>
        <w:ind w:left="660" w:hanging="328"/>
        <w:spacing w:after="0" w:line="250"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We have a clawback policy that allows the Company to recover incentive awards from executives in certain circumstances if the Company has to restate its financial results.</w:t>
      </w:r>
    </w:p>
    <w:p>
      <w:pPr>
        <w:ind w:left="660" w:hanging="328"/>
        <w:spacing w:after="0" w:line="250"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Compensation Committee regularly retains an independent compensation consultant to advise the Compensation Committee on evolving best practices on executive compensation and with respect to the Company’s compensation peer group.</w:t>
      </w: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We seek and value stockholder feedback on our executive compensation program.</w:t>
      </w:r>
    </w:p>
    <w:p>
      <w:pPr>
        <w:spacing w:after="0" w:line="21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Many of the current program features are a result of the Company proactively reaching out to stockholders to discuss the Company’s executive compensation program. In response to those discussions, in early 2014 the Compensation</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360" w:right="239" w:bottom="1440" w:gutter="0" w:footer="0" w:header="0"/>
        </w:sectPr>
      </w:pPr>
    </w:p>
    <w:bookmarkStart w:id="29" w:name="page30"/>
    <w:bookmarkEnd w:id="29"/>
    <w:p>
      <w:pPr>
        <w:jc w:val="both"/>
        <w:spacing w:after="0" w:line="291" w:lineRule="auto"/>
        <w:rPr>
          <w:sz w:val="20"/>
          <w:szCs w:val="20"/>
          <w:color w:val="auto"/>
        </w:rPr>
      </w:pPr>
      <w:r>
        <w:rPr>
          <w:rFonts w:ascii="Arial" w:cs="Arial" w:eastAsia="Arial" w:hAnsi="Arial"/>
          <w:sz w:val="16"/>
          <w:szCs w:val="16"/>
          <w:color w:val="auto"/>
        </w:rPr>
        <w:t>Committee implemented and approved the long-term performance component within the current executive compensation program, distinct financial metrics on which the annual awards of cash incentives and restricted stock awards are based, the performance goal used to determine the value of the three-year performance-based restricted stock awards, the executive stock ownership policy and the clawback policy. In 2015, the Company continued to proactively reach out to stockholders to discuss the Company’s executive compensation program. The Company spoke with stockholders holding approximately 90% of the outstanding common stock of the Company, including the top 20 stockholders, which hold approximately 66% of the outstanding common stock of the Company. In conversations between the Company and these stockholders during 2015, in addition to expressing positive views regarding the Company’s management team and TSR, these stockholders expressed their approval of the executive compensation program.</w:t>
      </w:r>
    </w:p>
    <w:p>
      <w:pPr>
        <w:spacing w:after="0" w:line="167"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We urge stockholders to read the “Compensation Discussion and Analysis” section of this Proxy Statement, which describes in more detail how our executive compensation policies and procedures operate and are designed to achieve our compensation objectives, as well as the Summary Compensation Table and other related compensation tables and narrative, appearing in the sections titled “Executive Compensation Tables and Discussion” and “Narratives to Summary Compensation Table and Grants of Plan-Based Awards Table” in this Proxy Statement, which provide detailed information on the compensation of our named executive officers. The Compensation Committee and the Board of Directors believe that the policies and procedures articulated in the “Compensation Discussion and Analysis” are effective in achieving our goals and that the compensation of our named executive officers reported in this Proxy Statement has supported and contributed to the Company’s recent and long-term success.</w:t>
      </w:r>
    </w:p>
    <w:p>
      <w:pPr>
        <w:spacing w:after="0" w:line="17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accordance with Section 14A of the Exchange Act, and as a matter of good corporate governance, we are asking stockholders to approve the following advisory resolution at the Annual Meeting:</w:t>
      </w:r>
    </w:p>
    <w:p>
      <w:pPr>
        <w:spacing w:after="0" w:line="170" w:lineRule="exact"/>
        <w:rPr>
          <w:sz w:val="20"/>
          <w:szCs w:val="20"/>
          <w:color w:val="auto"/>
        </w:rPr>
      </w:pPr>
    </w:p>
    <w:p>
      <w:pPr>
        <w:jc w:val="both"/>
        <w:ind w:left="660"/>
        <w:spacing w:after="0" w:line="264" w:lineRule="auto"/>
        <w:rPr>
          <w:sz w:val="20"/>
          <w:szCs w:val="20"/>
          <w:color w:val="auto"/>
        </w:rPr>
      </w:pPr>
      <w:r>
        <w:rPr>
          <w:rFonts w:ascii="Arial" w:cs="Arial" w:eastAsia="Arial" w:hAnsi="Arial"/>
          <w:sz w:val="18"/>
          <w:szCs w:val="18"/>
          <w:color w:val="auto"/>
        </w:rPr>
        <w:t>RESOLVED, that the stockholders of CoStar Group, Inc. (the “Company”) approve, on an advisory basis, the compensation of the Company’s named executive officers disclosed in the Compensation Discussion and Analysis, the Summary Compensation Table and the related compensation tables, notes and narrative in the Proxy Statement for the Company’s 2016 Annual Meeting of Stockholders.</w:t>
      </w:r>
    </w:p>
    <w:p>
      <w:pPr>
        <w:spacing w:after="0" w:line="18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This advisory resolution, commonly referred to as a “say-on-pay” resolution, is non-binding on the Board. Although non-binding, the Board and the Compensation Committee will review and consider the voting results when making future decisions regarding our executive compensation program. The Company provided its stockholders a “say-on-pay” advisory vote to approve its executive compensation in 2015. At the 2015 Annual Meeting, approximately 97% of the votes cast were for approval of the “say-on-pay” advisory vote. The Compensation Committee believes these results demonstrate that our stockholders support our compensation approach. We retained these executive performance-based compensation programs throughout 2015 and continue to maintain performance-based executive compensation programs in 2016.</w:t>
      </w:r>
    </w:p>
    <w:p>
      <w:pPr>
        <w:spacing w:after="0" w:line="19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At our annual meeting of stockholders held on June 2, 2011, our stockholders voted to adopt the recommendation of our Board to vote on the say-on-pay proposal every year at our annual meeting. As a result, we expect to continue to submit our say-on-pay proposal to our stockholders at each annual meeting. We expect to ask our stockholders to vote on a proposal regarding the frequency of the vote on the say-on-pay proposal at our 2017 Annual Meeting, as required by the Dodd-Frank Act.</w:t>
      </w:r>
    </w:p>
    <w:p>
      <w:pPr>
        <w:spacing w:after="0" w:line="178" w:lineRule="exact"/>
        <w:rPr>
          <w:sz w:val="20"/>
          <w:szCs w:val="20"/>
          <w:color w:val="auto"/>
        </w:rPr>
      </w:pPr>
    </w:p>
    <w:p>
      <w:pPr>
        <w:jc w:val="both"/>
        <w:spacing w:after="0" w:line="267" w:lineRule="auto"/>
        <w:rPr>
          <w:sz w:val="20"/>
          <w:szCs w:val="20"/>
          <w:color w:val="auto"/>
        </w:rPr>
      </w:pPr>
      <w:r>
        <w:rPr>
          <w:rFonts w:ascii="Arial" w:cs="Arial" w:eastAsia="Arial" w:hAnsi="Arial"/>
          <w:sz w:val="20"/>
          <w:szCs w:val="20"/>
          <w:b w:val="1"/>
          <w:bCs w:val="1"/>
          <w:color w:val="auto"/>
        </w:rPr>
        <w:t>THE BOARD RECOMMENDS THAT YOU VOTE “FOR” THE APPROVAL OF THE ADVISORY RESOLUTION ON EXECUTIVE COMPENSATION.</w:t>
      </w:r>
    </w:p>
    <w:p>
      <w:pPr>
        <w:spacing w:after="0" w:line="1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368" w:right="239" w:bottom="1440" w:gutter="0" w:footer="0" w:header="0"/>
        </w:sectPr>
      </w:pPr>
    </w:p>
    <w:bookmarkStart w:id="30" w:name="page31"/>
    <w:bookmarkEnd w:id="30"/>
    <w:p>
      <w:pPr>
        <w:jc w:val="center"/>
        <w:spacing w:after="0"/>
        <w:rPr>
          <w:sz w:val="20"/>
          <w:szCs w:val="20"/>
          <w:color w:val="auto"/>
        </w:rPr>
      </w:pPr>
      <w:r>
        <w:rPr>
          <w:rFonts w:ascii="Arial" w:cs="Arial" w:eastAsia="Arial" w:hAnsi="Arial"/>
          <w:sz w:val="25"/>
          <w:szCs w:val="25"/>
          <w:b w:val="1"/>
          <w:bCs w:val="1"/>
          <w:color w:val="auto"/>
        </w:rPr>
        <w:t>OTHER MATTERS</w:t>
      </w:r>
    </w:p>
    <w:p>
      <w:pPr>
        <w:spacing w:after="0" w:line="23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do not know of any other matter that will be presented for consideration at the Annual Meeting. If any other matter does properly come before the Annual Meeting, the proxy holders will, unless otherwise specified in the proxy, vote on it as they think best in their discretion.</w:t>
      </w:r>
    </w:p>
    <w:p>
      <w:pPr>
        <w:spacing w:after="0" w:line="162" w:lineRule="exact"/>
        <w:rPr>
          <w:sz w:val="20"/>
          <w:szCs w:val="20"/>
          <w:color w:val="auto"/>
        </w:rPr>
      </w:pPr>
    </w:p>
    <w:p>
      <w:pPr>
        <w:jc w:val="center"/>
        <w:spacing w:after="0" w:line="282" w:lineRule="auto"/>
        <w:rPr>
          <w:sz w:val="20"/>
          <w:szCs w:val="20"/>
          <w:color w:val="auto"/>
        </w:rPr>
      </w:pPr>
      <w:r>
        <w:rPr>
          <w:rFonts w:ascii="Arial" w:cs="Arial" w:eastAsia="Arial" w:hAnsi="Arial"/>
          <w:sz w:val="25"/>
          <w:szCs w:val="25"/>
          <w:b w:val="1"/>
          <w:bCs w:val="1"/>
          <w:color w:val="auto"/>
        </w:rPr>
        <w:t>STOCKHOLDER PROPOSALS AND NOMINATIONS FOR DIRECTORS FOR THE 2017 ANNUAL MEETING</w:t>
      </w:r>
    </w:p>
    <w:p>
      <w:pPr>
        <w:spacing w:after="0" w:line="143"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A stockholder who intends to introduce a proposal for consideration at our 2017 Annual Meeting of Stockholders may seek to have that proposal and a statement in support of the proposal included in our Proxy Statement if the proposal relates to a subject that is permitted under Rule 14a-8 under the Exchange Act. Additionally, in order to be eligible for inclusion in our Proxy Statement, the stockholder must submit the proposal and supporting statement to our Corporate Secretary in writing not later than December 26, 2016, and must satisfy the other requirements of Rule 14a-8. Stockholders interested in submitting such a proposal are advised to contact knowledgeable counsel with regard to the detailed requirements of applicable securities laws. The submission of a stockholder proposal does not guarantee that it will be included in our Proxy Statement.</w:t>
      </w:r>
    </w:p>
    <w:p>
      <w:pPr>
        <w:spacing w:after="0" w:line="178" w:lineRule="exact"/>
        <w:rPr>
          <w:sz w:val="20"/>
          <w:szCs w:val="20"/>
          <w:color w:val="auto"/>
        </w:rPr>
      </w:pPr>
    </w:p>
    <w:p>
      <w:pPr>
        <w:jc w:val="both"/>
        <w:spacing w:after="0" w:line="255" w:lineRule="auto"/>
        <w:rPr>
          <w:sz w:val="20"/>
          <w:szCs w:val="20"/>
          <w:color w:val="auto"/>
        </w:rPr>
      </w:pPr>
      <w:r>
        <w:rPr>
          <w:rFonts w:ascii="Arial" w:cs="Arial" w:eastAsia="Arial" w:hAnsi="Arial"/>
          <w:sz w:val="16"/>
          <w:szCs w:val="16"/>
          <w:color w:val="auto"/>
        </w:rPr>
        <w:t>A stockholder may otherwise propose business for consideration or nominate persons for election to the Board, in compliance with federal proxy rules, applicable state law and other legal requirements and without seeking to have the proposal included in our Proxy Statement pursuant to Rule 14a-8. Our Amended and Restated Bylaws provide that any such proposals or nominations must be submitted to us not later than the close of business on the 75</w:t>
      </w:r>
      <w:r>
        <w:rPr>
          <w:rFonts w:ascii="Arial" w:cs="Arial" w:eastAsia="Arial" w:hAnsi="Arial"/>
          <w:sz w:val="22"/>
          <w:szCs w:val="22"/>
          <w:color w:val="auto"/>
          <w:vertAlign w:val="superscript"/>
        </w:rPr>
        <w:t>th</w:t>
      </w:r>
      <w:r>
        <w:rPr>
          <w:rFonts w:ascii="Arial" w:cs="Arial" w:eastAsia="Arial" w:hAnsi="Arial"/>
          <w:sz w:val="16"/>
          <w:szCs w:val="16"/>
          <w:color w:val="auto"/>
        </w:rPr>
        <w:t xml:space="preserve"> day and not earlier than the close of business on the 105</w:t>
      </w:r>
      <w:r>
        <w:rPr>
          <w:rFonts w:ascii="Arial" w:cs="Arial" w:eastAsia="Arial" w:hAnsi="Arial"/>
          <w:sz w:val="22"/>
          <w:szCs w:val="22"/>
          <w:color w:val="auto"/>
          <w:vertAlign w:val="superscript"/>
        </w:rPr>
        <w:t>th</w:t>
      </w:r>
      <w:r>
        <w:rPr>
          <w:rFonts w:ascii="Arial" w:cs="Arial" w:eastAsia="Arial" w:hAnsi="Arial"/>
          <w:sz w:val="16"/>
          <w:szCs w:val="16"/>
          <w:color w:val="auto"/>
        </w:rPr>
        <w:t xml:space="preserve"> day before the first anniversary date of the preceding year’s annual meeting. In the event that the date of the Company’s annual meeting is more than 30 days before or more than 70 days after the first anniversary of the preceding year’s annual meeting (other than as a result of adjournment or postponement), then, to be timely, such stockholder’s notice must be submitted in writing not earlier than the close of business on the 105</w:t>
      </w:r>
      <w:r>
        <w:rPr>
          <w:rFonts w:ascii="Arial" w:cs="Arial" w:eastAsia="Arial" w:hAnsi="Arial"/>
          <w:sz w:val="22"/>
          <w:szCs w:val="22"/>
          <w:color w:val="auto"/>
          <w:vertAlign w:val="superscript"/>
        </w:rPr>
        <w:t>th</w:t>
      </w:r>
      <w:r>
        <w:rPr>
          <w:rFonts w:ascii="Arial" w:cs="Arial" w:eastAsia="Arial" w:hAnsi="Arial"/>
          <w:sz w:val="16"/>
          <w:szCs w:val="16"/>
          <w:color w:val="auto"/>
        </w:rPr>
        <w:t xml:space="preserve"> day prior to such annual meeting and not later than the close of business on the later of the 75</w:t>
      </w:r>
      <w:r>
        <w:rPr>
          <w:rFonts w:ascii="Arial" w:cs="Arial" w:eastAsia="Arial" w:hAnsi="Arial"/>
          <w:sz w:val="22"/>
          <w:szCs w:val="22"/>
          <w:color w:val="auto"/>
          <w:vertAlign w:val="superscript"/>
        </w:rPr>
        <w:t>th</w:t>
      </w:r>
      <w:r>
        <w:rPr>
          <w:rFonts w:ascii="Arial" w:cs="Arial" w:eastAsia="Arial" w:hAnsi="Arial"/>
          <w:sz w:val="16"/>
          <w:szCs w:val="16"/>
          <w:color w:val="auto"/>
        </w:rPr>
        <w:t xml:space="preserve"> day prior to such annual meeting or the 10</w:t>
      </w:r>
      <w:r>
        <w:rPr>
          <w:rFonts w:ascii="Arial" w:cs="Arial" w:eastAsia="Arial" w:hAnsi="Arial"/>
          <w:sz w:val="22"/>
          <w:szCs w:val="22"/>
          <w:color w:val="auto"/>
          <w:vertAlign w:val="superscript"/>
        </w:rPr>
        <w:t>th</w:t>
      </w:r>
      <w:r>
        <w:rPr>
          <w:rFonts w:ascii="Arial" w:cs="Arial" w:eastAsia="Arial" w:hAnsi="Arial"/>
          <w:sz w:val="16"/>
          <w:szCs w:val="16"/>
          <w:color w:val="auto"/>
        </w:rPr>
        <w:t xml:space="preserve"> day following the date on which the public announcement of the date of such meeting is first made by the Company. Accordingly, stockholders who wish to nominate persons for election as directors or bring forth other proposals outside of Rule 14a-8 at the 2017 Annual Meeting must give notice of their intention to do so in writing to our Corporate Secretary on or before the close of business on March 26, 2017, but no sooner than the close of business on February 24, 2017. The stockholder’s submission must include certain specified information concerning the proposal or nominee, as the case may be, and information as to the stockholder’s ownership of common stock as required by the Company’s Amended and Restated Bylaws. Stockholder proposals or nominations not meeting these requirements will not be entertained at the 2017 Annual Meeting.</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ADDITIONAL INFORMATION</w:t>
      </w:r>
    </w:p>
    <w:p>
      <w:pPr>
        <w:spacing w:after="0" w:line="22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CORPORATE GOVERNANCE MATTERS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5978A5"/>
        </w:rPr>
        <w:t>Corporate Governance Guidelines</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Board, on the recommendation of the Nominating &amp; Corporate Governance Committee, has adopted the Company’s Principles of Corporate Governance to assist the Board in carrying out its responsibilities and to set forth the Board’s current views with respect to selected corporate governance matters considered to be of significance to our stockholders. The Company’s Principles of Corporate Governance direct our Board’s actions with respect to, among other things, Board composition, director membership criteria, composition of the Board’s standing committees, and the Board’s performance evaluations. The Company’s Principles of Corporate Governance can be found on the “Investors” section of the Company’s corporate website at http://www.costargroup.com/investors/governance.</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5978A5"/>
        </w:rPr>
        <w:t>Identifying and Evaluating Nominees</w:t>
      </w:r>
    </w:p>
    <w:p>
      <w:pPr>
        <w:spacing w:after="0" w:line="22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Nominating &amp; Corporate Governance Committee identifies nominees for director on its own as well as by considering recommendations from other members of the Board, officers and employees of CoStar, and other sources that the Nominating &amp; Corporate Governance Committee deems appropriate. The Nominating &amp; Corporate Governance Committee will also consider Board nominees suggested by stockholders, subject to such recommendations being submitted during the period and including the required information specified in CoStar’s Amended and Restated Bylaws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360" w:right="239" w:bottom="1440" w:gutter="0" w:footer="0" w:header="0"/>
        </w:sectPr>
      </w:pPr>
    </w:p>
    <w:bookmarkStart w:id="31" w:name="page32"/>
    <w:bookmarkEnd w:id="31"/>
    <w:p>
      <w:pPr>
        <w:jc w:val="both"/>
        <w:spacing w:after="0" w:line="264" w:lineRule="auto"/>
        <w:rPr>
          <w:sz w:val="20"/>
          <w:szCs w:val="20"/>
          <w:color w:val="auto"/>
        </w:rPr>
      </w:pPr>
      <w:r>
        <w:rPr>
          <w:rFonts w:ascii="Arial" w:cs="Arial" w:eastAsia="Arial" w:hAnsi="Arial"/>
          <w:sz w:val="18"/>
          <w:szCs w:val="18"/>
          <w:color w:val="auto"/>
        </w:rPr>
        <w:t>for stockholders to nominate directors, as described under “Stockholder Proposals and Nominations for Directors for the 2017 Annual Meeting” above. The Company may require any proposed nominee to furnish other information as reasonably required to determine eligibility to serve as a director of the Company, including information regarding the proposed nominee’s independence.</w:t>
      </w:r>
    </w:p>
    <w:p>
      <w:pPr>
        <w:spacing w:after="0" w:line="181"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When evaluating nominees for director, the Nominating &amp; Corporate Governance Committee considers, among other things, an individual’s business experience and skills, background, independence, judgment, integrity and ability to commit sufficient time and attention to the activities of the Board, as well as the absence of any potential conflicts with the Company’s interests. When considering a director standing for reelection as a nominee, in addition to the attributes described above, the Nominating &amp; Corporate Governance Committee also considers that individual’s past contribution and future commitment to CoStar. The Nominating &amp; Corporate Governance Committee evaluates the totality of the merits of each prospective nominee that it considers and does not restrict itself by establishing minimum qualifications or attributes. The Nominating &amp; Corporate Governance Committee evaluates candidates within the context of the perceived needs of the Board as a whole, so that the members of the Board collectively will possess the necessary skills, experience and background. While the Nominating &amp; Corporate Governance Committee does not have a formal policy with respect to diversity, the Nominating &amp; Corporate Governance Committee believes that it is important that Board members represent diverse viewpoints. There is no difference in the manner by which the Nominating &amp; Corporate Governance Committee evaluates prospective nominees for director based on the source from which the individual was first identified.</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5978A5"/>
        </w:rPr>
        <w:t>Board Leadership Structure</w:t>
      </w:r>
    </w:p>
    <w:p>
      <w:pPr>
        <w:spacing w:after="0" w:line="229"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Currently, an independent director, Mr. Klein, serves as Chairman of the Board and a separate director, Mr. Florance, serves as Chief Executive Officer. Mr. Klein has served on the Company’s Board of Directors since inception and is well positioned to serve as Chairman of the Board. The Board does not have a policy regarding the separation of the roles of Chief Executive Officer and Chairman of the Board, as the Board believes it is in the best interests of the Company to make that determination based on the position and direction of the Company and the membership of the Board at the particular time. The Board has determined that this leadership structure, under which the roles of Chairman and CEO are separate and an independent director serves as Chairman, currently is in the best interest of the Company’s stockholders. This structure provides a greater role for the independent directors in the oversight of the Company and in setting agendas and establishing Board priorities and procedures. In addition, this structure permits the Chief Executive Officer to focus on the management of the Company’s day-to-day operations.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5978A5"/>
        </w:rPr>
        <w:t>Independent Directors and Executive Sessions</w:t>
      </w:r>
    </w:p>
    <w:p>
      <w:pPr>
        <w:spacing w:after="0" w:line="229"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CoStar’s Board has determined that Messrs. Klein, Glosserman, Haber, Hill, Nassetta, and Steinberg and Ms. Kaplan are each independent as defined under Rule 5605(a)(2) of the NASDAQ listing rules. As part of the Board’s determination of each member’s independence, the Board was presented with information regarding Mr. Klein’s position as Chairman of the Shakespeare Theatre Company, a non-profit organization, and Mr. Hill’s position on the board of trustees of the Shakespeare Theatre Company. The Company expensed contributions to The Shakespeare Theatre Company of $55,000 in each of 2013 and 2014 and $118,000 in 2015. In addition, in 2015, the Company paid approximately $37,000 to The Shakespeare Theatre Company for promotional and hospitality services promoting the Company’s Apartments.com and CoStar services, as well as season-long benefits, which aggregate amount is less than one percent of the consolidated gross annual revenues of The Shakespeare Theatre Company. In addition, the Board considered that Messrs. Glosserman and Nassetta each serve as executive officers of companies that subscribe to the Company’s services and that in each case the payments to the Company were less than one percent of the consolidated gross annual revenues of the Company in each of the last three fiscal years. Further, the Board considered that the services provided to those companies by the Company are on terms no less favorable than terms generally available to an unaffiliated third-party under the same or similar circumstances.</w:t>
      </w:r>
    </w:p>
    <w:p>
      <w:pPr>
        <w:spacing w:after="0" w:line="183"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The independent directors of the Board of Directors meet in regularly scheduled executive sessions, which are typically run by the Chairman of the Board, Mr. Klein. In 2015, the independent directors met in executive session at one quarter of the regularly scheduled meetings of the Board of Directors (one time).</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5978A5"/>
        </w:rPr>
        <w:t>The Board’s Role in Risk Oversight</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One of the Board’s functions is oversight of risk management at CoStar. This risk oversight function is administered both through the full Board and through individual Board Committees that are tasked by the Board with oversight of specific risks, as described below.</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368" w:right="239" w:bottom="1440" w:gutter="0" w:footer="0" w:header="0"/>
        </w:sectPr>
      </w:pPr>
    </w:p>
    <w:bookmarkStart w:id="32" w:name="page33"/>
    <w:bookmarkEnd w:id="32"/>
    <w:p>
      <w:pPr>
        <w:jc w:val="both"/>
        <w:spacing w:after="0" w:line="264" w:lineRule="auto"/>
        <w:rPr>
          <w:sz w:val="20"/>
          <w:szCs w:val="20"/>
          <w:color w:val="auto"/>
        </w:rPr>
      </w:pPr>
      <w:r>
        <w:rPr>
          <w:rFonts w:ascii="Arial" w:cs="Arial" w:eastAsia="Arial" w:hAnsi="Arial"/>
          <w:sz w:val="18"/>
          <w:szCs w:val="18"/>
          <w:color w:val="auto"/>
        </w:rPr>
        <w:t>Companies face a variety of risks, including macro-economic risks, such as inflation, economic downturns, or recession; business-specific risks related to strategic position, operations, financial structure, legal and regulatory compliance and corporate governance; and event-specific risks, such as natural disasters or wars. The Company believes that an effective risk management system will:</w:t>
      </w:r>
    </w:p>
    <w:p>
      <w:pPr>
        <w:spacing w:after="0" w:line="181" w:lineRule="exact"/>
        <w:rPr>
          <w:sz w:val="20"/>
          <w:szCs w:val="20"/>
          <w:color w:val="auto"/>
        </w:rPr>
      </w:pPr>
    </w:p>
    <w:p>
      <w:pPr>
        <w:ind w:left="520" w:hanging="323"/>
        <w:spacing w:after="0"/>
        <w:tabs>
          <w:tab w:leader="none" w:pos="5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Timely identify the material risks that the Company faces,</w:t>
      </w:r>
    </w:p>
    <w:p>
      <w:pPr>
        <w:spacing w:after="0" w:line="23" w:lineRule="exact"/>
        <w:rPr>
          <w:rFonts w:ascii="Arial" w:cs="Arial" w:eastAsia="Arial" w:hAnsi="Arial"/>
          <w:sz w:val="18"/>
          <w:szCs w:val="18"/>
          <w:color w:val="auto"/>
        </w:rPr>
      </w:pPr>
    </w:p>
    <w:p>
      <w:pPr>
        <w:ind w:left="520" w:hanging="323"/>
        <w:spacing w:after="0"/>
        <w:tabs>
          <w:tab w:leader="none" w:pos="520" w:val="left"/>
        </w:tabs>
        <w:numPr>
          <w:ilvl w:val="0"/>
          <w:numId w:val="21"/>
        </w:numPr>
        <w:rPr>
          <w:rFonts w:ascii="Arial" w:cs="Arial" w:eastAsia="Arial" w:hAnsi="Arial"/>
          <w:sz w:val="16"/>
          <w:szCs w:val="16"/>
          <w:color w:val="auto"/>
        </w:rPr>
      </w:pPr>
      <w:r>
        <w:rPr>
          <w:rFonts w:ascii="Arial" w:cs="Arial" w:eastAsia="Arial" w:hAnsi="Arial"/>
          <w:sz w:val="16"/>
          <w:szCs w:val="16"/>
          <w:color w:val="auto"/>
        </w:rPr>
        <w:t>Communicate necessary information with respect to material risks to senior executives and, as appropriate, to the Board or relevant Board Committee,</w:t>
      </w:r>
    </w:p>
    <w:p>
      <w:pPr>
        <w:spacing w:after="0" w:line="32" w:lineRule="exact"/>
        <w:rPr>
          <w:rFonts w:ascii="Arial" w:cs="Arial" w:eastAsia="Arial" w:hAnsi="Arial"/>
          <w:sz w:val="16"/>
          <w:szCs w:val="16"/>
          <w:color w:val="auto"/>
        </w:rPr>
      </w:pPr>
    </w:p>
    <w:p>
      <w:pPr>
        <w:ind w:left="520" w:hanging="323"/>
        <w:spacing w:after="0"/>
        <w:tabs>
          <w:tab w:leader="none" w:pos="5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Implement appropriate and responsive risk management strategies consistent with the Company’s risk profile, and</w:t>
      </w:r>
    </w:p>
    <w:p>
      <w:pPr>
        <w:spacing w:after="0" w:line="9" w:lineRule="exact"/>
        <w:rPr>
          <w:rFonts w:ascii="Arial" w:cs="Arial" w:eastAsia="Arial" w:hAnsi="Arial"/>
          <w:sz w:val="18"/>
          <w:szCs w:val="18"/>
          <w:color w:val="auto"/>
        </w:rPr>
      </w:pPr>
    </w:p>
    <w:p>
      <w:pPr>
        <w:ind w:left="520" w:hanging="323"/>
        <w:spacing w:after="0"/>
        <w:tabs>
          <w:tab w:leader="none" w:pos="5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Integrate risk management into Company decision-making.</w:t>
      </w:r>
    </w:p>
    <w:p>
      <w:pPr>
        <w:spacing w:after="0" w:line="21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Board believes that our leadership structure, discussed under “Board Leadership Structure” above, supports the risk oversight function of the Board. We have an independent director serving as Chairman of the Board and a separate director serving as Chief Executive Officer. In addition, independent directors chair and serve on the various committees involved with risk oversight.</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Board encourages management to promote a corporate culture that incorporates risk management into the Company’s corporate strategy and day-to-day business operations. Management is responsible for identifying risk and risk controls related to significant business activities and developing programs and recommendations to determine the sufficiency of risk identification, the balance of potential risk to potential reward, and the appropriate manner in which to control risk.</w:t>
      </w:r>
    </w:p>
    <w:p>
      <w:pPr>
        <w:spacing w:after="0" w:line="187"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The Board implements its risk oversight responsibilities by having management, typically the Chief Financial Officer or General Counsel, provide periodic briefing and informational sessions on the significant voluntary and involuntary risks that the Company faces and how the Company is seeking to control risk if and when appropriate. When appropriate, other members of management will provide information to the Board or one of its committees with respect to a specific area of potential risk and how the Company manages or seeks to control the identified risk. In some cases, as with risks related to product or service acceptance, risk oversight is addressed as part of the full Board’s engagement with the Chief Executive Officer and management. In other cases, a Board Committee is responsible for oversight of specific risk topics, in which case management meets directly with the Board Committee. For example, the Audit Committee oversees issues related to internal control over financial reporting and issues related to the Company’s risk tolerance in cash-management investments, and the Compensation Committee oversees risks related to compensation plans and programs, as discussed in greater detail below. The Company’s Audit Committee meets regularly and the Compensation and Nominating &amp; Corporate Governance Committees meet at least annually, and each Committee reports back to the full Board. The Board also works with the Company’s management to assess, analyze and address the most likely areas of future risk for the Company.</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5978A5"/>
        </w:rPr>
        <w:t>Risk Assessment in Compensation Programs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have assessed the Company’s compensation programs. Management assessed the Company’s executive and broad-based compensation and benefits programs to determine if the programs’ provisions and operations encourage or create undesired or unintentional risk of a material nature. This risk assessment process included:</w:t>
      </w:r>
    </w:p>
    <w:p>
      <w:pPr>
        <w:spacing w:after="0" w:line="181" w:lineRule="exact"/>
        <w:rPr>
          <w:sz w:val="20"/>
          <w:szCs w:val="20"/>
          <w:color w:val="auto"/>
        </w:rPr>
      </w:pPr>
    </w:p>
    <w:p>
      <w:pPr>
        <w:ind w:left="520" w:hanging="323"/>
        <w:spacing w:after="0"/>
        <w:tabs>
          <w:tab w:leader="none" w:pos="5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 review of CoStar’s compensation programs, policies and practices;</w:t>
      </w:r>
    </w:p>
    <w:p>
      <w:pPr>
        <w:spacing w:after="0" w:line="23" w:lineRule="exact"/>
        <w:rPr>
          <w:rFonts w:ascii="Arial" w:cs="Arial" w:eastAsia="Arial" w:hAnsi="Arial"/>
          <w:sz w:val="18"/>
          <w:szCs w:val="18"/>
          <w:color w:val="auto"/>
        </w:rPr>
      </w:pPr>
    </w:p>
    <w:p>
      <w:pPr>
        <w:ind w:left="520" w:hanging="323"/>
        <w:spacing w:after="0"/>
        <w:tabs>
          <w:tab w:leader="none" w:pos="5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Program analysis to identify risk and risk control related to the programs; and</w:t>
      </w:r>
    </w:p>
    <w:p>
      <w:pPr>
        <w:spacing w:after="0" w:line="9" w:lineRule="exact"/>
        <w:rPr>
          <w:rFonts w:ascii="Arial" w:cs="Arial" w:eastAsia="Arial" w:hAnsi="Arial"/>
          <w:sz w:val="18"/>
          <w:szCs w:val="18"/>
          <w:color w:val="auto"/>
        </w:rPr>
      </w:pPr>
    </w:p>
    <w:p>
      <w:pPr>
        <w:ind w:left="520" w:hanging="323"/>
        <w:spacing w:after="0"/>
        <w:tabs>
          <w:tab w:leader="none" w:pos="5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Determinations as to the sufficiency of risk identification, the balance of potential risk to potential reward and risk control.</w:t>
      </w:r>
    </w:p>
    <w:p>
      <w:pPr>
        <w:spacing w:after="0" w:line="211"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Although we reviewed all compensation programs, we focused on the programs with variability of payout, with the ability of a participant to directly affect payout and the controls on participant action and payout. The Company supports the use of base salary, performance-based compensation, and retirement plans that are generally uniform in design and operation throughout the Company. In most cases, the compensation policies and practices are centrally designed and administered, and are substantially identical at each business unit, except that sales personnel are also eligible to receive sales commissions depending upon performance. Programs may differ by country due to variations in local laws and customs.</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584" w:right="239" w:bottom="1440" w:gutter="0" w:footer="0" w:header="0"/>
        </w:sectPr>
      </w:pPr>
    </w:p>
    <w:bookmarkStart w:id="33" w:name="page34"/>
    <w:bookmarkEnd w:id="33"/>
    <w:p>
      <w:pPr>
        <w:jc w:val="both"/>
        <w:spacing w:after="0" w:line="302" w:lineRule="auto"/>
        <w:rPr>
          <w:sz w:val="20"/>
          <w:szCs w:val="20"/>
          <w:color w:val="auto"/>
        </w:rPr>
      </w:pPr>
      <w:r>
        <w:rPr>
          <w:rFonts w:ascii="Arial" w:cs="Arial" w:eastAsia="Arial" w:hAnsi="Arial"/>
          <w:sz w:val="16"/>
          <w:szCs w:val="16"/>
          <w:color w:val="auto"/>
        </w:rPr>
        <w:t>Based on the foregoing, we believe that our compensation policies and practices do not create risks that are reasonably likely to have a material adverse effect on the Company. We also believe that our incentive compensation arrangements provide incentives that do not encourage risk-taking beyond the organization’s ability to effectively identify and manage significant risks; are compatible with effective internal controls and the risk management practices of the Company; and are supported by the oversight and administration of the Compensation Committee with regard to executive compensation programs.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5978A5"/>
        </w:rPr>
        <w:t>Stockholder Communications with the Board</w:t>
      </w:r>
    </w:p>
    <w:p>
      <w:pPr>
        <w:spacing w:after="0" w:line="12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Stockholders may communicate with our Board by sending written correspondence to CoStar Group, Inc., Attention: Corporate Secretary, 1331 L Street N.W., Washington, DC 20005. Such communications will be opened by the Corporate Secretary. A copy of the contents will be made and retained by the Corporate Secretary and the contents will be promptly forwarded to the Chairman of the Nominating &amp; Corporate Governance Committee and, if addressed to a particular committee or Board member, to that committee’s Chairman or the particular Board member. The Corporate Secretary together with the Chairman of the Nominating &amp; Corporate Governance Committee and his duly authorized agents are responsible for collecting and organizing stockholder communications. Absent a conflict of interest, the Chairman of the Nominating &amp; Corporate Governance Committee is responsible for evaluating the materiality of each stockholder communication and determining which stockholder communications are to be presented to the full Board, individual directors or other appropriate body.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5978A5"/>
        </w:rPr>
        <w:t>Policy Regarding Attendance at Annual Meetings</w:t>
      </w:r>
    </w:p>
    <w:p>
      <w:pPr>
        <w:spacing w:after="0" w:line="12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CoStar Group encourages, but does not require, directors to attend the Annual Meetings of Stockholders. In 2015, one director attended the Annual Meeting of Stockholders.</w:t>
      </w:r>
    </w:p>
    <w:p>
      <w:pPr>
        <w:spacing w:after="0" w:line="16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BOARD MEETINGS AND COMMITTEES</w:t>
      </w:r>
    </w:p>
    <w:p>
      <w:pPr>
        <w:spacing w:after="0" w:line="22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accordance with applicable Delaware law and the Company’s Amended and Restated Bylaws, the business and affairs of the Company are managed under the direction of its Board. The Board, which is elected by the Company’s stockholders, is the ultimate decision-making body of the Company except with respect to those matters reserved to the stockholders. The Board selects, advises and monitors the performance of the Company’s senior management team, which is charged with the conduct of the Company’s business. The Board has established certain standing committees to assist it in fulfilling its responsibilities as described below.</w:t>
      </w:r>
    </w:p>
    <w:p>
      <w:pPr>
        <w:spacing w:after="0" w:line="188"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During 2015, the Board of Directors held four meetings. During 2015, each director attended at least 75% of the aggregate of the total number of meetings of the Board and the total number of meetings held by each committee of the Board on which the director served, during the period in which the director so served.</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5978A5"/>
        </w:rPr>
        <w:t>Board Committees</w:t>
      </w:r>
    </w:p>
    <w:p>
      <w:pPr>
        <w:spacing w:after="0" w:line="12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Board has Audit, Compensation and Nominating &amp; Corporate Governance committees. The following table sets forth the composition of each of our Board committees as of the date of this Proxy Statement as well as the number of meetings held by each committee in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7254875" cy="253873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4875" cy="2538730"/>
                    </a:xfrm>
                    <a:prstGeom prst="rect">
                      <a:avLst/>
                    </a:prstGeom>
                    <a:noFill/>
                  </pic:spPr>
                </pic:pic>
              </a:graphicData>
            </a:graphic>
          </wp:anchor>
        </w:drawing>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279"/>
        </w:trPr>
        <w:tc>
          <w:tcPr>
            <w:tcW w:w="20" w:type="dxa"/>
            <w:vAlign w:val="bottom"/>
          </w:tcPr>
          <w:p>
            <w:pPr>
              <w:spacing w:after="0"/>
              <w:rPr>
                <w:sz w:val="24"/>
                <w:szCs w:val="24"/>
                <w:color w:val="auto"/>
              </w:rPr>
            </w:pPr>
          </w:p>
        </w:tc>
        <w:tc>
          <w:tcPr>
            <w:tcW w:w="2500" w:type="dxa"/>
            <w:vAlign w:val="bottom"/>
            <w:shd w:val="clear" w:color="auto" w:fill="B8CCE4"/>
          </w:tcPr>
          <w:p>
            <w:pPr>
              <w:spacing w:after="0"/>
              <w:rPr>
                <w:sz w:val="24"/>
                <w:szCs w:val="24"/>
                <w:color w:val="auto"/>
              </w:rPr>
            </w:pPr>
          </w:p>
        </w:tc>
        <w:tc>
          <w:tcPr>
            <w:tcW w:w="2640" w:type="dxa"/>
            <w:vAlign w:val="bottom"/>
            <w:shd w:val="clear" w:color="auto" w:fill="B8CCE4"/>
          </w:tcPr>
          <w:p>
            <w:pPr>
              <w:spacing w:after="0"/>
              <w:rPr>
                <w:sz w:val="24"/>
                <w:szCs w:val="24"/>
                <w:color w:val="auto"/>
              </w:rPr>
            </w:pPr>
          </w:p>
        </w:tc>
        <w:tc>
          <w:tcPr>
            <w:tcW w:w="2500" w:type="dxa"/>
            <w:vAlign w:val="bottom"/>
            <w:shd w:val="clear" w:color="auto" w:fill="B8CCE4"/>
          </w:tcPr>
          <w:p>
            <w:pPr>
              <w:spacing w:after="0"/>
              <w:rPr>
                <w:sz w:val="24"/>
                <w:szCs w:val="24"/>
                <w:color w:val="auto"/>
              </w:rPr>
            </w:pPr>
          </w:p>
        </w:tc>
        <w:tc>
          <w:tcPr>
            <w:tcW w:w="3760" w:type="dxa"/>
            <w:vAlign w:val="bottom"/>
            <w:shd w:val="clear" w:color="auto" w:fill="B8CCE4"/>
          </w:tcPr>
          <w:p>
            <w:pPr>
              <w:jc w:val="center"/>
              <w:spacing w:after="0"/>
              <w:rPr>
                <w:sz w:val="20"/>
                <w:szCs w:val="20"/>
                <w:color w:val="auto"/>
              </w:rPr>
            </w:pPr>
            <w:r>
              <w:rPr>
                <w:rFonts w:ascii="Arial" w:cs="Arial" w:eastAsia="Arial" w:hAnsi="Arial"/>
                <w:sz w:val="18"/>
                <w:szCs w:val="18"/>
                <w:b w:val="1"/>
                <w:bCs w:val="1"/>
                <w:color w:val="auto"/>
                <w:w w:val="92"/>
              </w:rPr>
              <w:t>Nominating &amp; Corporate Governance</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500" w:type="dxa"/>
            <w:vAlign w:val="bottom"/>
            <w:vMerge w:val="restart"/>
            <w:shd w:val="clear" w:color="auto" w:fill="B8CCE4"/>
          </w:tcPr>
          <w:p>
            <w:pPr>
              <w:ind w:left="1020"/>
              <w:spacing w:after="0"/>
              <w:rPr>
                <w:sz w:val="20"/>
                <w:szCs w:val="20"/>
                <w:color w:val="auto"/>
              </w:rPr>
            </w:pPr>
            <w:r>
              <w:rPr>
                <w:rFonts w:ascii="Arial" w:cs="Arial" w:eastAsia="Arial" w:hAnsi="Arial"/>
                <w:sz w:val="18"/>
                <w:szCs w:val="18"/>
                <w:b w:val="1"/>
                <w:bCs w:val="1"/>
                <w:color w:val="auto"/>
              </w:rPr>
              <w:t>Name</w:t>
            </w:r>
          </w:p>
        </w:tc>
        <w:tc>
          <w:tcPr>
            <w:tcW w:w="2640" w:type="dxa"/>
            <w:vAlign w:val="bottom"/>
            <w:shd w:val="clear" w:color="auto" w:fill="B8CCE4"/>
          </w:tcPr>
          <w:p>
            <w:pPr>
              <w:ind w:left="660"/>
              <w:spacing w:after="0"/>
              <w:rPr>
                <w:sz w:val="20"/>
                <w:szCs w:val="20"/>
                <w:color w:val="auto"/>
              </w:rPr>
            </w:pPr>
            <w:r>
              <w:rPr>
                <w:rFonts w:ascii="Arial" w:cs="Arial" w:eastAsia="Arial" w:hAnsi="Arial"/>
                <w:sz w:val="18"/>
                <w:szCs w:val="18"/>
                <w:b w:val="1"/>
                <w:bCs w:val="1"/>
                <w:color w:val="auto"/>
              </w:rPr>
              <w:t>Audit Committee</w:t>
            </w:r>
          </w:p>
        </w:tc>
        <w:tc>
          <w:tcPr>
            <w:tcW w:w="2500" w:type="dxa"/>
            <w:vAlign w:val="bottom"/>
            <w:vMerge w:val="restart"/>
            <w:shd w:val="clear" w:color="auto" w:fill="B8CCE4"/>
          </w:tcPr>
          <w:p>
            <w:pPr>
              <w:ind w:left="260"/>
              <w:spacing w:after="0"/>
              <w:rPr>
                <w:sz w:val="20"/>
                <w:szCs w:val="20"/>
                <w:color w:val="auto"/>
              </w:rPr>
            </w:pPr>
            <w:r>
              <w:rPr>
                <w:rFonts w:ascii="Arial" w:cs="Arial" w:eastAsia="Arial" w:hAnsi="Arial"/>
                <w:sz w:val="18"/>
                <w:szCs w:val="18"/>
                <w:b w:val="1"/>
                <w:bCs w:val="1"/>
                <w:color w:val="auto"/>
                <w:w w:val="99"/>
              </w:rPr>
              <w:t>Compensation Committee</w:t>
            </w:r>
          </w:p>
        </w:tc>
        <w:tc>
          <w:tcPr>
            <w:tcW w:w="3760" w:type="dxa"/>
            <w:vAlign w:val="bottom"/>
            <w:shd w:val="clear" w:color="auto" w:fill="B8CCE4"/>
          </w:tcPr>
          <w:p>
            <w:pPr>
              <w:jc w:val="center"/>
              <w:spacing w:after="0"/>
              <w:rPr>
                <w:sz w:val="20"/>
                <w:szCs w:val="20"/>
                <w:color w:val="auto"/>
              </w:rPr>
            </w:pPr>
            <w:r>
              <w:rPr>
                <w:rFonts w:ascii="Arial" w:cs="Arial" w:eastAsia="Arial" w:hAnsi="Arial"/>
                <w:sz w:val="18"/>
                <w:szCs w:val="18"/>
                <w:b w:val="1"/>
                <w:bCs w:val="1"/>
                <w:color w:val="auto"/>
                <w:w w:val="90"/>
              </w:rPr>
              <w:t>Committee</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2500" w:type="dxa"/>
            <w:vAlign w:val="bottom"/>
            <w:tcBorders>
              <w:bottom w:val="single" w:sz="8" w:color="B8CCE4"/>
            </w:tcBorders>
            <w:vMerge w:val="continue"/>
            <w:shd w:val="clear" w:color="auto" w:fill="B8CCE4"/>
          </w:tcPr>
          <w:p>
            <w:pPr>
              <w:spacing w:after="0"/>
              <w:rPr>
                <w:sz w:val="10"/>
                <w:szCs w:val="10"/>
                <w:color w:val="auto"/>
              </w:rPr>
            </w:pPr>
          </w:p>
        </w:tc>
        <w:tc>
          <w:tcPr>
            <w:tcW w:w="2640" w:type="dxa"/>
            <w:vAlign w:val="bottom"/>
            <w:tcBorders>
              <w:bottom w:val="single" w:sz="8" w:color="B8CCE4"/>
            </w:tcBorders>
            <w:shd w:val="clear" w:color="auto" w:fill="B8CCE4"/>
          </w:tcPr>
          <w:p>
            <w:pPr>
              <w:spacing w:after="0"/>
              <w:rPr>
                <w:sz w:val="10"/>
                <w:szCs w:val="10"/>
                <w:color w:val="auto"/>
              </w:rPr>
            </w:pPr>
          </w:p>
        </w:tc>
        <w:tc>
          <w:tcPr>
            <w:tcW w:w="2500" w:type="dxa"/>
            <w:vAlign w:val="bottom"/>
            <w:tcBorders>
              <w:bottom w:val="single" w:sz="8" w:color="B8CCE4"/>
            </w:tcBorders>
            <w:vMerge w:val="continue"/>
            <w:shd w:val="clear" w:color="auto" w:fill="B8CCE4"/>
          </w:tcPr>
          <w:p>
            <w:pPr>
              <w:spacing w:after="0"/>
              <w:rPr>
                <w:sz w:val="10"/>
                <w:szCs w:val="10"/>
                <w:color w:val="auto"/>
              </w:rPr>
            </w:pPr>
          </w:p>
        </w:tc>
        <w:tc>
          <w:tcPr>
            <w:tcW w:w="3760" w:type="dxa"/>
            <w:vAlign w:val="bottom"/>
            <w:tcBorders>
              <w:bottom w:val="single" w:sz="8" w:color="B8CCE4"/>
            </w:tcBorders>
            <w:shd w:val="clear" w:color="auto" w:fill="B8CCE4"/>
          </w:tcPr>
          <w:p>
            <w:pPr>
              <w:spacing w:after="0"/>
              <w:rPr>
                <w:sz w:val="10"/>
                <w:szCs w:val="10"/>
                <w:color w:val="auto"/>
              </w:rPr>
            </w:pPr>
          </w:p>
        </w:tc>
        <w:tc>
          <w:tcPr>
            <w:tcW w:w="0" w:type="dxa"/>
            <w:vAlign w:val="bottom"/>
          </w:tcPr>
          <w:p>
            <w:pPr>
              <w:spacing w:after="0"/>
              <w:rPr>
                <w:sz w:val="1"/>
                <w:szCs w:val="1"/>
                <w:color w:val="auto"/>
              </w:rPr>
            </w:pPr>
          </w:p>
        </w:tc>
      </w:tr>
      <w:tr>
        <w:trPr>
          <w:trHeight w:val="278"/>
        </w:trPr>
        <w:tc>
          <w:tcPr>
            <w:tcW w:w="20" w:type="dxa"/>
            <w:vAlign w:val="bottom"/>
          </w:tcPr>
          <w:p>
            <w:pPr>
              <w:spacing w:after="0"/>
              <w:rPr>
                <w:sz w:val="24"/>
                <w:szCs w:val="24"/>
                <w:color w:val="auto"/>
              </w:rPr>
            </w:pPr>
          </w:p>
        </w:tc>
        <w:tc>
          <w:tcPr>
            <w:tcW w:w="2500" w:type="dxa"/>
            <w:vAlign w:val="bottom"/>
            <w:shd w:val="clear" w:color="auto" w:fill="DBE5F1"/>
          </w:tcPr>
          <w:p>
            <w:pPr>
              <w:ind w:left="20"/>
              <w:spacing w:after="0"/>
              <w:rPr>
                <w:sz w:val="20"/>
                <w:szCs w:val="20"/>
                <w:color w:val="auto"/>
              </w:rPr>
            </w:pPr>
            <w:r>
              <w:rPr>
                <w:rFonts w:ascii="Arial" w:cs="Arial" w:eastAsia="Arial" w:hAnsi="Arial"/>
                <w:sz w:val="16"/>
                <w:szCs w:val="16"/>
                <w:b w:val="1"/>
                <w:bCs w:val="1"/>
                <w:color w:val="auto"/>
              </w:rPr>
              <w:t>Michael R. Klein</w:t>
            </w:r>
          </w:p>
        </w:tc>
        <w:tc>
          <w:tcPr>
            <w:tcW w:w="2640" w:type="dxa"/>
            <w:vAlign w:val="bottom"/>
            <w:shd w:val="clear" w:color="auto" w:fill="DBE5F1"/>
          </w:tcPr>
          <w:p>
            <w:pPr>
              <w:spacing w:after="0"/>
              <w:rPr>
                <w:sz w:val="24"/>
                <w:szCs w:val="24"/>
                <w:color w:val="auto"/>
              </w:rPr>
            </w:pPr>
          </w:p>
        </w:tc>
        <w:tc>
          <w:tcPr>
            <w:tcW w:w="2500" w:type="dxa"/>
            <w:vAlign w:val="bottom"/>
            <w:shd w:val="clear" w:color="auto" w:fill="DBE5F1"/>
          </w:tcPr>
          <w:p>
            <w:pPr>
              <w:ind w:left="1200"/>
              <w:spacing w:after="0"/>
              <w:rPr>
                <w:sz w:val="20"/>
                <w:szCs w:val="20"/>
                <w:color w:val="auto"/>
              </w:rPr>
            </w:pPr>
            <w:r>
              <w:rPr>
                <w:rFonts w:ascii="Arial" w:cs="Arial" w:eastAsia="Arial" w:hAnsi="Arial"/>
                <w:sz w:val="16"/>
                <w:szCs w:val="16"/>
                <w:color w:val="auto"/>
              </w:rPr>
              <w:t>X*</w:t>
            </w:r>
          </w:p>
        </w:tc>
        <w:tc>
          <w:tcPr>
            <w:tcW w:w="3760" w:type="dxa"/>
            <w:vAlign w:val="bottom"/>
            <w:shd w:val="clear" w:color="auto" w:fill="DBE5F1"/>
          </w:tcPr>
          <w:p>
            <w:pPr>
              <w:jc w:val="center"/>
              <w:spacing w:after="0"/>
              <w:rPr>
                <w:sz w:val="20"/>
                <w:szCs w:val="20"/>
                <w:color w:val="auto"/>
              </w:rPr>
            </w:pPr>
            <w:r>
              <w:rPr>
                <w:rFonts w:ascii="Arial" w:cs="Arial" w:eastAsia="Arial" w:hAnsi="Arial"/>
                <w:sz w:val="16"/>
                <w:szCs w:val="16"/>
                <w:color w:val="auto"/>
              </w:rPr>
              <w:t>X</w:t>
            </w:r>
          </w:p>
        </w:tc>
        <w:tc>
          <w:tcPr>
            <w:tcW w:w="0" w:type="dxa"/>
            <w:vAlign w:val="bottom"/>
          </w:tcPr>
          <w:p>
            <w:pPr>
              <w:spacing w:after="0"/>
              <w:rPr>
                <w:sz w:val="1"/>
                <w:szCs w:val="1"/>
                <w:color w:val="auto"/>
              </w:rPr>
            </w:pPr>
          </w:p>
        </w:tc>
      </w:tr>
      <w:tr>
        <w:trPr>
          <w:trHeight w:val="378"/>
        </w:trPr>
        <w:tc>
          <w:tcPr>
            <w:tcW w:w="20" w:type="dxa"/>
            <w:vAlign w:val="bottom"/>
          </w:tcPr>
          <w:p>
            <w:pPr>
              <w:spacing w:after="0"/>
              <w:rPr>
                <w:sz w:val="24"/>
                <w:szCs w:val="24"/>
                <w:color w:val="auto"/>
              </w:rPr>
            </w:pPr>
          </w:p>
        </w:tc>
        <w:tc>
          <w:tcPr>
            <w:tcW w:w="2500" w:type="dxa"/>
            <w:vAlign w:val="bottom"/>
            <w:shd w:val="clear" w:color="auto" w:fill="DBE5F1"/>
          </w:tcPr>
          <w:p>
            <w:pPr>
              <w:ind w:left="20"/>
              <w:spacing w:after="0"/>
              <w:rPr>
                <w:sz w:val="20"/>
                <w:szCs w:val="20"/>
                <w:color w:val="auto"/>
              </w:rPr>
            </w:pPr>
            <w:r>
              <w:rPr>
                <w:rFonts w:ascii="Arial" w:cs="Arial" w:eastAsia="Arial" w:hAnsi="Arial"/>
                <w:sz w:val="16"/>
                <w:szCs w:val="16"/>
                <w:b w:val="1"/>
                <w:bCs w:val="1"/>
                <w:color w:val="auto"/>
              </w:rPr>
              <w:t>Andrew C. Florance</w:t>
            </w:r>
          </w:p>
        </w:tc>
        <w:tc>
          <w:tcPr>
            <w:tcW w:w="2640" w:type="dxa"/>
            <w:vAlign w:val="bottom"/>
            <w:shd w:val="clear" w:color="auto" w:fill="DBE5F1"/>
          </w:tcPr>
          <w:p>
            <w:pPr>
              <w:spacing w:after="0"/>
              <w:rPr>
                <w:sz w:val="24"/>
                <w:szCs w:val="24"/>
                <w:color w:val="auto"/>
              </w:rPr>
            </w:pPr>
          </w:p>
        </w:tc>
        <w:tc>
          <w:tcPr>
            <w:tcW w:w="2500" w:type="dxa"/>
            <w:vAlign w:val="bottom"/>
            <w:shd w:val="clear" w:color="auto" w:fill="DBE5F1"/>
          </w:tcPr>
          <w:p>
            <w:pPr>
              <w:spacing w:after="0"/>
              <w:rPr>
                <w:sz w:val="24"/>
                <w:szCs w:val="24"/>
                <w:color w:val="auto"/>
              </w:rPr>
            </w:pPr>
          </w:p>
        </w:tc>
        <w:tc>
          <w:tcPr>
            <w:tcW w:w="3760" w:type="dxa"/>
            <w:vAlign w:val="bottom"/>
            <w:shd w:val="clear" w:color="auto" w:fill="DBE5F1"/>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20" w:type="dxa"/>
            <w:vAlign w:val="bottom"/>
          </w:tcPr>
          <w:p>
            <w:pPr>
              <w:spacing w:after="0"/>
              <w:rPr>
                <w:sz w:val="24"/>
                <w:szCs w:val="24"/>
                <w:color w:val="auto"/>
              </w:rPr>
            </w:pPr>
          </w:p>
        </w:tc>
        <w:tc>
          <w:tcPr>
            <w:tcW w:w="2500" w:type="dxa"/>
            <w:vAlign w:val="bottom"/>
            <w:shd w:val="clear" w:color="auto" w:fill="DBE5F1"/>
          </w:tcPr>
          <w:p>
            <w:pPr>
              <w:ind w:left="20"/>
              <w:spacing w:after="0"/>
              <w:rPr>
                <w:sz w:val="20"/>
                <w:szCs w:val="20"/>
                <w:color w:val="auto"/>
              </w:rPr>
            </w:pPr>
            <w:r>
              <w:rPr>
                <w:rFonts w:ascii="Arial" w:cs="Arial" w:eastAsia="Arial" w:hAnsi="Arial"/>
                <w:sz w:val="16"/>
                <w:szCs w:val="16"/>
                <w:b w:val="1"/>
                <w:bCs w:val="1"/>
                <w:color w:val="auto"/>
              </w:rPr>
              <w:t>Michael J. Glosserman</w:t>
            </w:r>
          </w:p>
        </w:tc>
        <w:tc>
          <w:tcPr>
            <w:tcW w:w="2640" w:type="dxa"/>
            <w:vAlign w:val="bottom"/>
            <w:shd w:val="clear" w:color="auto" w:fill="DBE5F1"/>
          </w:tcPr>
          <w:p>
            <w:pPr>
              <w:ind w:left="1280"/>
              <w:spacing w:after="0"/>
              <w:rPr>
                <w:sz w:val="20"/>
                <w:szCs w:val="20"/>
                <w:color w:val="auto"/>
              </w:rPr>
            </w:pPr>
            <w:r>
              <w:rPr>
                <w:rFonts w:ascii="Arial" w:cs="Arial" w:eastAsia="Arial" w:hAnsi="Arial"/>
                <w:sz w:val="16"/>
                <w:szCs w:val="16"/>
                <w:color w:val="auto"/>
              </w:rPr>
              <w:t>X</w:t>
            </w:r>
          </w:p>
        </w:tc>
        <w:tc>
          <w:tcPr>
            <w:tcW w:w="2500" w:type="dxa"/>
            <w:vAlign w:val="bottom"/>
            <w:shd w:val="clear" w:color="auto" w:fill="DBE5F1"/>
          </w:tcPr>
          <w:p>
            <w:pPr>
              <w:spacing w:after="0"/>
              <w:rPr>
                <w:sz w:val="24"/>
                <w:szCs w:val="24"/>
                <w:color w:val="auto"/>
              </w:rPr>
            </w:pPr>
          </w:p>
        </w:tc>
        <w:tc>
          <w:tcPr>
            <w:tcW w:w="3760" w:type="dxa"/>
            <w:vAlign w:val="bottom"/>
            <w:shd w:val="clear" w:color="auto" w:fill="DBE5F1"/>
          </w:tcPr>
          <w:p>
            <w:pPr>
              <w:jc w:val="center"/>
              <w:spacing w:after="0"/>
              <w:rPr>
                <w:sz w:val="20"/>
                <w:szCs w:val="20"/>
                <w:color w:val="auto"/>
              </w:rPr>
            </w:pPr>
            <w:r>
              <w:rPr>
                <w:rFonts w:ascii="Arial" w:cs="Arial" w:eastAsia="Arial" w:hAnsi="Arial"/>
                <w:sz w:val="16"/>
                <w:szCs w:val="16"/>
                <w:color w:val="auto"/>
              </w:rPr>
              <w:t>X</w:t>
            </w:r>
          </w:p>
        </w:tc>
        <w:tc>
          <w:tcPr>
            <w:tcW w:w="0" w:type="dxa"/>
            <w:vAlign w:val="bottom"/>
          </w:tcPr>
          <w:p>
            <w:pPr>
              <w:spacing w:after="0"/>
              <w:rPr>
                <w:sz w:val="1"/>
                <w:szCs w:val="1"/>
                <w:color w:val="auto"/>
              </w:rPr>
            </w:pPr>
          </w:p>
        </w:tc>
      </w:tr>
      <w:tr>
        <w:trPr>
          <w:trHeight w:val="419"/>
        </w:trPr>
        <w:tc>
          <w:tcPr>
            <w:tcW w:w="20" w:type="dxa"/>
            <w:vAlign w:val="bottom"/>
          </w:tcPr>
          <w:p>
            <w:pPr>
              <w:spacing w:after="0"/>
              <w:rPr>
                <w:sz w:val="24"/>
                <w:szCs w:val="24"/>
                <w:color w:val="auto"/>
              </w:rPr>
            </w:pPr>
          </w:p>
        </w:tc>
        <w:tc>
          <w:tcPr>
            <w:tcW w:w="2500" w:type="dxa"/>
            <w:vAlign w:val="bottom"/>
            <w:shd w:val="clear" w:color="auto" w:fill="DBE5F1"/>
          </w:tcPr>
          <w:p>
            <w:pPr>
              <w:ind w:left="20"/>
              <w:spacing w:after="0"/>
              <w:rPr>
                <w:sz w:val="20"/>
                <w:szCs w:val="20"/>
                <w:color w:val="auto"/>
              </w:rPr>
            </w:pPr>
            <w:r>
              <w:rPr>
                <w:rFonts w:ascii="Arial" w:cs="Arial" w:eastAsia="Arial" w:hAnsi="Arial"/>
                <w:sz w:val="16"/>
                <w:szCs w:val="16"/>
                <w:b w:val="1"/>
                <w:bCs w:val="1"/>
                <w:color w:val="auto"/>
              </w:rPr>
              <w:t>Warren H. Haber</w:t>
            </w:r>
          </w:p>
        </w:tc>
        <w:tc>
          <w:tcPr>
            <w:tcW w:w="2640" w:type="dxa"/>
            <w:vAlign w:val="bottom"/>
            <w:shd w:val="clear" w:color="auto" w:fill="DBE5F1"/>
          </w:tcPr>
          <w:p>
            <w:pPr>
              <w:ind w:left="1280"/>
              <w:spacing w:after="0"/>
              <w:rPr>
                <w:sz w:val="20"/>
                <w:szCs w:val="20"/>
                <w:color w:val="auto"/>
              </w:rPr>
            </w:pPr>
            <w:r>
              <w:rPr>
                <w:rFonts w:ascii="Arial" w:cs="Arial" w:eastAsia="Arial" w:hAnsi="Arial"/>
                <w:sz w:val="16"/>
                <w:szCs w:val="16"/>
                <w:color w:val="auto"/>
              </w:rPr>
              <w:t>X</w:t>
            </w:r>
          </w:p>
        </w:tc>
        <w:tc>
          <w:tcPr>
            <w:tcW w:w="2500" w:type="dxa"/>
            <w:vAlign w:val="bottom"/>
            <w:shd w:val="clear" w:color="auto" w:fill="DBE5F1"/>
          </w:tcPr>
          <w:p>
            <w:pPr>
              <w:spacing w:after="0"/>
              <w:rPr>
                <w:sz w:val="24"/>
                <w:szCs w:val="24"/>
                <w:color w:val="auto"/>
              </w:rPr>
            </w:pPr>
          </w:p>
        </w:tc>
        <w:tc>
          <w:tcPr>
            <w:tcW w:w="3760" w:type="dxa"/>
            <w:vAlign w:val="bottom"/>
            <w:shd w:val="clear" w:color="auto" w:fill="DBE5F1"/>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20" w:type="dxa"/>
            <w:vAlign w:val="bottom"/>
          </w:tcPr>
          <w:p>
            <w:pPr>
              <w:spacing w:after="0"/>
              <w:rPr>
                <w:sz w:val="24"/>
                <w:szCs w:val="24"/>
                <w:color w:val="auto"/>
              </w:rPr>
            </w:pPr>
          </w:p>
        </w:tc>
        <w:tc>
          <w:tcPr>
            <w:tcW w:w="2500" w:type="dxa"/>
            <w:vAlign w:val="bottom"/>
            <w:shd w:val="clear" w:color="auto" w:fill="DBE5F1"/>
          </w:tcPr>
          <w:p>
            <w:pPr>
              <w:ind w:left="20"/>
              <w:spacing w:after="0"/>
              <w:rPr>
                <w:sz w:val="20"/>
                <w:szCs w:val="20"/>
                <w:color w:val="auto"/>
              </w:rPr>
            </w:pPr>
            <w:r>
              <w:rPr>
                <w:rFonts w:ascii="Arial" w:cs="Arial" w:eastAsia="Arial" w:hAnsi="Arial"/>
                <w:sz w:val="16"/>
                <w:szCs w:val="16"/>
                <w:b w:val="1"/>
                <w:bCs w:val="1"/>
                <w:color w:val="auto"/>
              </w:rPr>
              <w:t>John W. Hill</w:t>
            </w:r>
          </w:p>
        </w:tc>
        <w:tc>
          <w:tcPr>
            <w:tcW w:w="2640" w:type="dxa"/>
            <w:vAlign w:val="bottom"/>
            <w:shd w:val="clear" w:color="auto" w:fill="DBE5F1"/>
          </w:tcPr>
          <w:p>
            <w:pPr>
              <w:ind w:left="1280"/>
              <w:spacing w:after="0"/>
              <w:rPr>
                <w:sz w:val="20"/>
                <w:szCs w:val="20"/>
                <w:color w:val="auto"/>
              </w:rPr>
            </w:pPr>
            <w:r>
              <w:rPr>
                <w:rFonts w:ascii="Arial" w:cs="Arial" w:eastAsia="Arial" w:hAnsi="Arial"/>
                <w:sz w:val="16"/>
                <w:szCs w:val="16"/>
                <w:color w:val="auto"/>
              </w:rPr>
              <w:t>X*</w:t>
            </w:r>
          </w:p>
        </w:tc>
        <w:tc>
          <w:tcPr>
            <w:tcW w:w="2500" w:type="dxa"/>
            <w:vAlign w:val="bottom"/>
            <w:shd w:val="clear" w:color="auto" w:fill="DBE5F1"/>
          </w:tcPr>
          <w:p>
            <w:pPr>
              <w:spacing w:after="0"/>
              <w:rPr>
                <w:sz w:val="24"/>
                <w:szCs w:val="24"/>
                <w:color w:val="auto"/>
              </w:rPr>
            </w:pPr>
          </w:p>
        </w:tc>
        <w:tc>
          <w:tcPr>
            <w:tcW w:w="3760" w:type="dxa"/>
            <w:vAlign w:val="bottom"/>
            <w:shd w:val="clear" w:color="auto" w:fill="DBE5F1"/>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20" w:type="dxa"/>
            <w:vAlign w:val="bottom"/>
          </w:tcPr>
          <w:p>
            <w:pPr>
              <w:spacing w:after="0"/>
              <w:rPr>
                <w:sz w:val="24"/>
                <w:szCs w:val="24"/>
                <w:color w:val="auto"/>
              </w:rPr>
            </w:pPr>
          </w:p>
        </w:tc>
        <w:tc>
          <w:tcPr>
            <w:tcW w:w="2500" w:type="dxa"/>
            <w:vAlign w:val="bottom"/>
            <w:shd w:val="clear" w:color="auto" w:fill="DBE5F1"/>
          </w:tcPr>
          <w:p>
            <w:pPr>
              <w:ind w:left="20"/>
              <w:spacing w:after="0"/>
              <w:rPr>
                <w:sz w:val="20"/>
                <w:szCs w:val="20"/>
                <w:color w:val="auto"/>
              </w:rPr>
            </w:pPr>
            <w:r>
              <w:rPr>
                <w:rFonts w:ascii="Arial" w:cs="Arial" w:eastAsia="Arial" w:hAnsi="Arial"/>
                <w:sz w:val="16"/>
                <w:szCs w:val="16"/>
                <w:b w:val="1"/>
                <w:bCs w:val="1"/>
                <w:color w:val="auto"/>
              </w:rPr>
              <w:t>Laura Cox Kaplan</w:t>
            </w:r>
          </w:p>
        </w:tc>
        <w:tc>
          <w:tcPr>
            <w:tcW w:w="2640" w:type="dxa"/>
            <w:vAlign w:val="bottom"/>
            <w:shd w:val="clear" w:color="auto" w:fill="DBE5F1"/>
          </w:tcPr>
          <w:p>
            <w:pPr>
              <w:spacing w:after="0"/>
              <w:rPr>
                <w:sz w:val="24"/>
                <w:szCs w:val="24"/>
                <w:color w:val="auto"/>
              </w:rPr>
            </w:pPr>
          </w:p>
        </w:tc>
        <w:tc>
          <w:tcPr>
            <w:tcW w:w="2500" w:type="dxa"/>
            <w:vAlign w:val="bottom"/>
            <w:shd w:val="clear" w:color="auto" w:fill="DBE5F1"/>
          </w:tcPr>
          <w:p>
            <w:pPr>
              <w:spacing w:after="0"/>
              <w:rPr>
                <w:sz w:val="24"/>
                <w:szCs w:val="24"/>
                <w:color w:val="auto"/>
              </w:rPr>
            </w:pPr>
          </w:p>
        </w:tc>
        <w:tc>
          <w:tcPr>
            <w:tcW w:w="3760" w:type="dxa"/>
            <w:vAlign w:val="bottom"/>
            <w:shd w:val="clear" w:color="auto" w:fill="DBE5F1"/>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2500" w:type="dxa"/>
            <w:vAlign w:val="bottom"/>
            <w:shd w:val="clear" w:color="auto" w:fill="DBE5F1"/>
          </w:tcPr>
          <w:p>
            <w:pPr>
              <w:ind w:left="20"/>
              <w:spacing w:after="0"/>
              <w:rPr>
                <w:sz w:val="20"/>
                <w:szCs w:val="20"/>
                <w:color w:val="auto"/>
              </w:rPr>
            </w:pPr>
            <w:r>
              <w:rPr>
                <w:rFonts w:ascii="Arial" w:cs="Arial" w:eastAsia="Arial" w:hAnsi="Arial"/>
                <w:sz w:val="16"/>
                <w:szCs w:val="16"/>
                <w:b w:val="1"/>
                <w:bCs w:val="1"/>
                <w:color w:val="auto"/>
              </w:rPr>
              <w:t>Christopher J. Nassetta</w:t>
            </w:r>
          </w:p>
        </w:tc>
        <w:tc>
          <w:tcPr>
            <w:tcW w:w="2640" w:type="dxa"/>
            <w:vAlign w:val="bottom"/>
            <w:shd w:val="clear" w:color="auto" w:fill="DBE5F1"/>
          </w:tcPr>
          <w:p>
            <w:pPr>
              <w:spacing w:after="0"/>
              <w:rPr>
                <w:sz w:val="24"/>
                <w:szCs w:val="24"/>
                <w:color w:val="auto"/>
              </w:rPr>
            </w:pPr>
          </w:p>
        </w:tc>
        <w:tc>
          <w:tcPr>
            <w:tcW w:w="2500" w:type="dxa"/>
            <w:vAlign w:val="bottom"/>
            <w:shd w:val="clear" w:color="auto" w:fill="DBE5F1"/>
          </w:tcPr>
          <w:p>
            <w:pPr>
              <w:ind w:left="1200"/>
              <w:spacing w:after="0"/>
              <w:rPr>
                <w:sz w:val="20"/>
                <w:szCs w:val="20"/>
                <w:color w:val="auto"/>
              </w:rPr>
            </w:pPr>
            <w:r>
              <w:rPr>
                <w:rFonts w:ascii="Arial" w:cs="Arial" w:eastAsia="Arial" w:hAnsi="Arial"/>
                <w:sz w:val="16"/>
                <w:szCs w:val="16"/>
                <w:color w:val="auto"/>
              </w:rPr>
              <w:t>X</w:t>
            </w:r>
          </w:p>
        </w:tc>
        <w:tc>
          <w:tcPr>
            <w:tcW w:w="3760" w:type="dxa"/>
            <w:vAlign w:val="bottom"/>
            <w:shd w:val="clear" w:color="auto" w:fill="DBE5F1"/>
          </w:tcPr>
          <w:p>
            <w:pPr>
              <w:ind w:left="1840"/>
              <w:spacing w:after="0"/>
              <w:rPr>
                <w:sz w:val="20"/>
                <w:szCs w:val="20"/>
                <w:color w:val="auto"/>
              </w:rPr>
            </w:pPr>
            <w:r>
              <w:rPr>
                <w:rFonts w:ascii="Arial" w:cs="Arial" w:eastAsia="Arial" w:hAnsi="Arial"/>
                <w:sz w:val="16"/>
                <w:szCs w:val="16"/>
                <w:color w:val="auto"/>
              </w:rPr>
              <w:t>X*</w:t>
            </w:r>
          </w:p>
        </w:tc>
        <w:tc>
          <w:tcPr>
            <w:tcW w:w="0" w:type="dxa"/>
            <w:vAlign w:val="bottom"/>
          </w:tcPr>
          <w:p>
            <w:pPr>
              <w:spacing w:after="0"/>
              <w:rPr>
                <w:sz w:val="1"/>
                <w:szCs w:val="1"/>
                <w:color w:val="auto"/>
              </w:rPr>
            </w:pPr>
          </w:p>
        </w:tc>
      </w:tr>
      <w:tr>
        <w:trPr>
          <w:trHeight w:val="378"/>
        </w:trPr>
        <w:tc>
          <w:tcPr>
            <w:tcW w:w="20" w:type="dxa"/>
            <w:vAlign w:val="bottom"/>
          </w:tcPr>
          <w:p>
            <w:pPr>
              <w:spacing w:after="0"/>
              <w:rPr>
                <w:sz w:val="24"/>
                <w:szCs w:val="24"/>
                <w:color w:val="auto"/>
              </w:rPr>
            </w:pPr>
          </w:p>
        </w:tc>
        <w:tc>
          <w:tcPr>
            <w:tcW w:w="2500" w:type="dxa"/>
            <w:vAlign w:val="bottom"/>
            <w:shd w:val="clear" w:color="auto" w:fill="DBE5F1"/>
          </w:tcPr>
          <w:p>
            <w:pPr>
              <w:ind w:left="20"/>
              <w:spacing w:after="0"/>
              <w:rPr>
                <w:sz w:val="20"/>
                <w:szCs w:val="20"/>
                <w:color w:val="auto"/>
              </w:rPr>
            </w:pPr>
            <w:r>
              <w:rPr>
                <w:rFonts w:ascii="Arial" w:cs="Arial" w:eastAsia="Arial" w:hAnsi="Arial"/>
                <w:sz w:val="16"/>
                <w:szCs w:val="16"/>
                <w:b w:val="1"/>
                <w:bCs w:val="1"/>
                <w:color w:val="auto"/>
              </w:rPr>
              <w:t>David J. Steinberg</w:t>
            </w:r>
          </w:p>
        </w:tc>
        <w:tc>
          <w:tcPr>
            <w:tcW w:w="2640" w:type="dxa"/>
            <w:vAlign w:val="bottom"/>
            <w:shd w:val="clear" w:color="auto" w:fill="DBE5F1"/>
          </w:tcPr>
          <w:p>
            <w:pPr>
              <w:ind w:left="1280"/>
              <w:spacing w:after="0"/>
              <w:rPr>
                <w:sz w:val="20"/>
                <w:szCs w:val="20"/>
                <w:color w:val="auto"/>
              </w:rPr>
            </w:pPr>
            <w:r>
              <w:rPr>
                <w:rFonts w:ascii="Arial" w:cs="Arial" w:eastAsia="Arial" w:hAnsi="Arial"/>
                <w:sz w:val="16"/>
                <w:szCs w:val="16"/>
                <w:color w:val="auto"/>
              </w:rPr>
              <w:t>X</w:t>
            </w:r>
          </w:p>
        </w:tc>
        <w:tc>
          <w:tcPr>
            <w:tcW w:w="2500" w:type="dxa"/>
            <w:vAlign w:val="bottom"/>
            <w:shd w:val="clear" w:color="auto" w:fill="DBE5F1"/>
          </w:tcPr>
          <w:p>
            <w:pPr>
              <w:spacing w:after="0"/>
              <w:rPr>
                <w:sz w:val="24"/>
                <w:szCs w:val="24"/>
                <w:color w:val="auto"/>
              </w:rPr>
            </w:pPr>
          </w:p>
        </w:tc>
        <w:tc>
          <w:tcPr>
            <w:tcW w:w="3760" w:type="dxa"/>
            <w:vAlign w:val="bottom"/>
            <w:shd w:val="clear" w:color="auto" w:fill="DBE5F1"/>
          </w:tcPr>
          <w:p>
            <w:pPr>
              <w:spacing w:after="0"/>
              <w:rPr>
                <w:sz w:val="24"/>
                <w:szCs w:val="24"/>
                <w:color w:val="auto"/>
              </w:rPr>
            </w:pPr>
          </w:p>
        </w:tc>
        <w:tc>
          <w:tcPr>
            <w:tcW w:w="0" w:type="dxa"/>
            <w:vAlign w:val="bottom"/>
          </w:tcPr>
          <w:p>
            <w:pPr>
              <w:spacing w:after="0"/>
              <w:rPr>
                <w:sz w:val="1"/>
                <w:szCs w:val="1"/>
                <w:color w:val="auto"/>
              </w:rPr>
            </w:pPr>
          </w:p>
        </w:tc>
      </w:tr>
      <w:tr>
        <w:trPr>
          <w:trHeight w:val="419"/>
        </w:trPr>
        <w:tc>
          <w:tcPr>
            <w:tcW w:w="20" w:type="dxa"/>
            <w:vAlign w:val="bottom"/>
          </w:tcPr>
          <w:p>
            <w:pPr>
              <w:spacing w:after="0"/>
              <w:rPr>
                <w:sz w:val="24"/>
                <w:szCs w:val="24"/>
                <w:color w:val="auto"/>
              </w:rPr>
            </w:pPr>
          </w:p>
        </w:tc>
        <w:tc>
          <w:tcPr>
            <w:tcW w:w="2500" w:type="dxa"/>
            <w:vAlign w:val="bottom"/>
            <w:shd w:val="clear" w:color="auto" w:fill="DBE5F1"/>
          </w:tcPr>
          <w:p>
            <w:pPr>
              <w:ind w:left="20"/>
              <w:spacing w:after="0"/>
              <w:rPr>
                <w:sz w:val="20"/>
                <w:szCs w:val="20"/>
                <w:color w:val="auto"/>
              </w:rPr>
            </w:pPr>
            <w:r>
              <w:rPr>
                <w:rFonts w:ascii="Arial" w:cs="Arial" w:eastAsia="Arial" w:hAnsi="Arial"/>
                <w:sz w:val="16"/>
                <w:szCs w:val="16"/>
                <w:b w:val="1"/>
                <w:bCs w:val="1"/>
                <w:color w:val="auto"/>
              </w:rPr>
              <w:t>Number of Meetings</w:t>
            </w:r>
          </w:p>
        </w:tc>
        <w:tc>
          <w:tcPr>
            <w:tcW w:w="2640" w:type="dxa"/>
            <w:vAlign w:val="bottom"/>
            <w:shd w:val="clear" w:color="auto" w:fill="DBE5F1"/>
          </w:tcPr>
          <w:p>
            <w:pPr>
              <w:ind w:left="1300"/>
              <w:spacing w:after="0"/>
              <w:rPr>
                <w:sz w:val="20"/>
                <w:szCs w:val="20"/>
                <w:color w:val="auto"/>
              </w:rPr>
            </w:pPr>
            <w:r>
              <w:rPr>
                <w:rFonts w:ascii="Arial" w:cs="Arial" w:eastAsia="Arial" w:hAnsi="Arial"/>
                <w:sz w:val="16"/>
                <w:szCs w:val="16"/>
                <w:color w:val="auto"/>
              </w:rPr>
              <w:t>4</w:t>
            </w:r>
          </w:p>
        </w:tc>
        <w:tc>
          <w:tcPr>
            <w:tcW w:w="2500" w:type="dxa"/>
            <w:vAlign w:val="bottom"/>
            <w:shd w:val="clear" w:color="auto" w:fill="DBE5F1"/>
          </w:tcPr>
          <w:p>
            <w:pPr>
              <w:ind w:left="1220"/>
              <w:spacing w:after="0"/>
              <w:rPr>
                <w:sz w:val="20"/>
                <w:szCs w:val="20"/>
                <w:color w:val="auto"/>
              </w:rPr>
            </w:pPr>
            <w:r>
              <w:rPr>
                <w:rFonts w:ascii="Arial" w:cs="Arial" w:eastAsia="Arial" w:hAnsi="Arial"/>
                <w:sz w:val="16"/>
                <w:szCs w:val="16"/>
                <w:color w:val="auto"/>
              </w:rPr>
              <w:t>2</w:t>
            </w:r>
          </w:p>
        </w:tc>
        <w:tc>
          <w:tcPr>
            <w:tcW w:w="3760" w:type="dxa"/>
            <w:vAlign w:val="bottom"/>
            <w:shd w:val="clear" w:color="auto" w:fill="DBE5F1"/>
          </w:tcPr>
          <w:p>
            <w:pPr>
              <w:jc w:val="center"/>
              <w:spacing w:after="0"/>
              <w:rPr>
                <w:sz w:val="20"/>
                <w:szCs w:val="20"/>
                <w:color w:val="auto"/>
              </w:rPr>
            </w:pPr>
            <w:r>
              <w:rPr>
                <w:rFonts w:ascii="Arial" w:cs="Arial" w:eastAsia="Arial" w:hAnsi="Arial"/>
                <w:sz w:val="16"/>
                <w:szCs w:val="16"/>
                <w:color w:val="auto"/>
                <w:w w:val="89"/>
              </w:rPr>
              <w:t>2</w:t>
            </w:r>
          </w:p>
        </w:tc>
        <w:tc>
          <w:tcPr>
            <w:tcW w:w="0" w:type="dxa"/>
            <w:vAlign w:val="bottom"/>
          </w:tcPr>
          <w:p>
            <w:pPr>
              <w:spacing w:after="0"/>
              <w:rPr>
                <w:sz w:val="1"/>
                <w:szCs w:val="1"/>
                <w:color w:val="auto"/>
              </w:rPr>
            </w:pPr>
          </w:p>
        </w:tc>
      </w:tr>
      <w:tr>
        <w:trPr>
          <w:trHeight w:val="141"/>
        </w:trPr>
        <w:tc>
          <w:tcPr>
            <w:tcW w:w="20" w:type="dxa"/>
            <w:vAlign w:val="bottom"/>
            <w:vMerge w:val="restart"/>
          </w:tcPr>
          <w:p>
            <w:pPr>
              <w:spacing w:after="0"/>
              <w:rPr>
                <w:sz w:val="12"/>
                <w:szCs w:val="12"/>
                <w:color w:val="auto"/>
              </w:rPr>
            </w:pPr>
          </w:p>
        </w:tc>
        <w:tc>
          <w:tcPr>
            <w:tcW w:w="2500" w:type="dxa"/>
            <w:vAlign w:val="bottom"/>
            <w:shd w:val="clear" w:color="auto" w:fill="DBE5F1"/>
          </w:tcPr>
          <w:p>
            <w:pPr>
              <w:spacing w:after="0"/>
              <w:rPr>
                <w:sz w:val="12"/>
                <w:szCs w:val="12"/>
                <w:color w:val="auto"/>
              </w:rPr>
            </w:pPr>
          </w:p>
        </w:tc>
        <w:tc>
          <w:tcPr>
            <w:tcW w:w="2640" w:type="dxa"/>
            <w:vAlign w:val="bottom"/>
            <w:shd w:val="clear" w:color="auto" w:fill="DBE5F1"/>
          </w:tcPr>
          <w:p>
            <w:pPr>
              <w:spacing w:after="0"/>
              <w:rPr>
                <w:sz w:val="12"/>
                <w:szCs w:val="12"/>
                <w:color w:val="auto"/>
              </w:rPr>
            </w:pPr>
          </w:p>
        </w:tc>
        <w:tc>
          <w:tcPr>
            <w:tcW w:w="2500" w:type="dxa"/>
            <w:vAlign w:val="bottom"/>
            <w:shd w:val="clear" w:color="auto" w:fill="DBE5F1"/>
          </w:tcPr>
          <w:p>
            <w:pPr>
              <w:spacing w:after="0"/>
              <w:rPr>
                <w:sz w:val="12"/>
                <w:szCs w:val="12"/>
                <w:color w:val="auto"/>
              </w:rPr>
            </w:pPr>
          </w:p>
        </w:tc>
        <w:tc>
          <w:tcPr>
            <w:tcW w:w="3760" w:type="dxa"/>
            <w:vAlign w:val="bottom"/>
            <w:shd w:val="clear" w:color="auto" w:fill="DBE5F1"/>
          </w:tcPr>
          <w:p>
            <w:pPr>
              <w:spacing w:after="0"/>
              <w:rPr>
                <w:sz w:val="12"/>
                <w:szCs w:val="12"/>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20"/>
                <w:szCs w:val="20"/>
                <w:color w:val="auto"/>
              </w:rPr>
            </w:pPr>
          </w:p>
        </w:tc>
        <w:tc>
          <w:tcPr>
            <w:tcW w:w="2500" w:type="dxa"/>
            <w:vAlign w:val="bottom"/>
          </w:tcPr>
          <w:p>
            <w:pPr>
              <w:spacing w:after="0"/>
              <w:rPr>
                <w:sz w:val="20"/>
                <w:szCs w:val="20"/>
                <w:color w:val="auto"/>
              </w:rPr>
            </w:pPr>
            <w:r>
              <w:rPr>
                <w:rFonts w:ascii="Arial" w:cs="Arial" w:eastAsia="Arial" w:hAnsi="Arial"/>
                <w:sz w:val="18"/>
                <w:szCs w:val="18"/>
                <w:color w:val="auto"/>
              </w:rPr>
              <w:t>___________</w:t>
            </w:r>
          </w:p>
        </w:tc>
        <w:tc>
          <w:tcPr>
            <w:tcW w:w="264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3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9"/>
        </w:trPr>
        <w:tc>
          <w:tcPr>
            <w:tcW w:w="2520" w:type="dxa"/>
            <w:vAlign w:val="bottom"/>
            <w:gridSpan w:val="2"/>
          </w:tcPr>
          <w:p>
            <w:pPr>
              <w:spacing w:after="0"/>
              <w:rPr>
                <w:sz w:val="20"/>
                <w:szCs w:val="20"/>
                <w:color w:val="auto"/>
              </w:rPr>
            </w:pPr>
            <w:r>
              <w:rPr>
                <w:rFonts w:ascii="Arial" w:cs="Arial" w:eastAsia="Arial" w:hAnsi="Arial"/>
                <w:sz w:val="18"/>
                <w:szCs w:val="18"/>
                <w:color w:val="auto"/>
              </w:rPr>
              <w:t>*Chairman of the Committee</w:t>
            </w:r>
          </w:p>
        </w:tc>
        <w:tc>
          <w:tcPr>
            <w:tcW w:w="2640" w:type="dxa"/>
            <w:vAlign w:val="bottom"/>
          </w:tcPr>
          <w:p>
            <w:pPr>
              <w:spacing w:after="0"/>
              <w:rPr>
                <w:sz w:val="23"/>
                <w:szCs w:val="23"/>
                <w:color w:val="auto"/>
              </w:rPr>
            </w:pPr>
          </w:p>
        </w:tc>
        <w:tc>
          <w:tcPr>
            <w:tcW w:w="2500" w:type="dxa"/>
            <w:vAlign w:val="bottom"/>
          </w:tcPr>
          <w:p>
            <w:pPr>
              <w:spacing w:after="0"/>
              <w:rPr>
                <w:sz w:val="23"/>
                <w:szCs w:val="23"/>
                <w:color w:val="auto"/>
              </w:rPr>
            </w:pPr>
          </w:p>
        </w:tc>
        <w:tc>
          <w:tcPr>
            <w:tcW w:w="37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75"/>
        </w:trPr>
        <w:tc>
          <w:tcPr>
            <w:tcW w:w="2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2500" w:type="dxa"/>
            <w:vAlign w:val="bottom"/>
          </w:tcPr>
          <w:p>
            <w:pPr>
              <w:ind w:left="460"/>
              <w:spacing w:after="0"/>
              <w:rPr>
                <w:sz w:val="20"/>
                <w:szCs w:val="20"/>
                <w:color w:val="auto"/>
              </w:rPr>
            </w:pPr>
            <w:r>
              <w:rPr>
                <w:rFonts w:ascii="Arial" w:cs="Arial" w:eastAsia="Arial" w:hAnsi="Arial"/>
                <w:sz w:val="18"/>
                <w:szCs w:val="18"/>
                <w:color w:val="auto"/>
              </w:rPr>
              <w:t>28</w:t>
            </w:r>
          </w:p>
        </w:tc>
        <w:tc>
          <w:tcPr>
            <w:tcW w:w="37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368" w:right="239" w:bottom="1440" w:gutter="0" w:footer="0" w:header="0"/>
        </w:sectPr>
      </w:pPr>
    </w:p>
    <w:bookmarkStart w:id="34" w:name="page35"/>
    <w:bookmarkEnd w:id="34"/>
    <w:p>
      <w:pPr>
        <w:jc w:val="both"/>
        <w:spacing w:after="0" w:line="272" w:lineRule="auto"/>
        <w:rPr>
          <w:sz w:val="20"/>
          <w:szCs w:val="20"/>
          <w:color w:val="auto"/>
        </w:rPr>
      </w:pPr>
      <w:r>
        <w:rPr>
          <w:rFonts w:ascii="Arial" w:cs="Arial" w:eastAsia="Arial" w:hAnsi="Arial"/>
          <w:sz w:val="17"/>
          <w:szCs w:val="17"/>
          <w:i w:val="1"/>
          <w:iCs w:val="1"/>
          <w:color w:val="auto"/>
        </w:rPr>
        <w:t xml:space="preserve">Audit Committee. </w:t>
      </w:r>
      <w:r>
        <w:rPr>
          <w:rFonts w:ascii="Arial" w:cs="Arial" w:eastAsia="Arial" w:hAnsi="Arial"/>
          <w:sz w:val="17"/>
          <w:szCs w:val="17"/>
          <w:color w:val="auto"/>
        </w:rPr>
        <w:t>The Board has determined that each of the current members of our Audit Committee is independent as defined under Rule 5605(a)(2) of</w:t>
      </w:r>
      <w:r>
        <w:rPr>
          <w:rFonts w:ascii="Arial" w:cs="Arial" w:eastAsia="Arial" w:hAnsi="Arial"/>
          <w:sz w:val="17"/>
          <w:szCs w:val="17"/>
          <w:i w:val="1"/>
          <w:iCs w:val="1"/>
          <w:color w:val="auto"/>
        </w:rPr>
        <w:t xml:space="preserve"> </w:t>
      </w:r>
      <w:r>
        <w:rPr>
          <w:rFonts w:ascii="Arial" w:cs="Arial" w:eastAsia="Arial" w:hAnsi="Arial"/>
          <w:sz w:val="17"/>
          <w:szCs w:val="17"/>
          <w:color w:val="auto"/>
        </w:rPr>
        <w:t>the NASDAQ listing rules. In addition, the Board has determined that Audit Committee members Haber, Hill, Glosserman and Steinberg are “audit committee financial experts,” as defined by regulations promulgated by the SEC, based on, among other things, the experience, qualifications and skills described above under “Item 1 – Election of Directors – Nominees’ Business Experience, Qualifications and Directorships.” The Audit Committee’s responsibility is to assist the Board in fulfilling its oversight responsibilities as to accounting policies, internal controls, audit activities and reporting practices of the Company. The Audit Committee is also responsible for producing the report of the Audit Committee for inclusion in the Company’s Proxy Statement. The Audit Committee operates under a written charter adopted by the Board and reviewed annually by the Audit Committee.</w:t>
      </w:r>
    </w:p>
    <w:p>
      <w:pPr>
        <w:spacing w:after="0" w:line="17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 xml:space="preserve">Compensation Committee. </w:t>
      </w:r>
      <w:r>
        <w:rPr>
          <w:rFonts w:ascii="Arial" w:cs="Arial" w:eastAsia="Arial" w:hAnsi="Arial"/>
          <w:sz w:val="18"/>
          <w:szCs w:val="18"/>
          <w:color w:val="auto"/>
        </w:rPr>
        <w:t>The Board has determined that each of the current members of our Compensation Committee is independent as defined under</w:t>
      </w:r>
      <w:r>
        <w:rPr>
          <w:rFonts w:ascii="Arial" w:cs="Arial" w:eastAsia="Arial" w:hAnsi="Arial"/>
          <w:sz w:val="18"/>
          <w:szCs w:val="18"/>
          <w:i w:val="1"/>
          <w:iCs w:val="1"/>
          <w:color w:val="auto"/>
        </w:rPr>
        <w:t xml:space="preserve"> </w:t>
      </w:r>
      <w:r>
        <w:rPr>
          <w:rFonts w:ascii="Arial" w:cs="Arial" w:eastAsia="Arial" w:hAnsi="Arial"/>
          <w:sz w:val="18"/>
          <w:szCs w:val="18"/>
          <w:color w:val="auto"/>
        </w:rPr>
        <w:t>Rule 5605(a)(2) of the NASDAQ listing rules. The Compensation Committee operates under a written charter adopted by the Board and reviewed annually by the Compensation Committee.</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purpose of the Compensation Committee is to discharge the responsibilities of the Board relating to compensation of the Company’s executive officers and directors, as well as to oversee production of the Compensation Committee report on executive compensation for inclusion in the Company’s Proxy Statement. The Compensation Committee’s authority and responsibilities include:</w:t>
      </w:r>
    </w:p>
    <w:p>
      <w:pPr>
        <w:spacing w:after="0" w:line="181" w:lineRule="exact"/>
        <w:rPr>
          <w:sz w:val="20"/>
          <w:szCs w:val="20"/>
          <w:color w:val="auto"/>
        </w:rPr>
      </w:pPr>
    </w:p>
    <w:p>
      <w:pPr>
        <w:ind w:left="520" w:hanging="323"/>
        <w:spacing w:after="0" w:line="258" w:lineRule="auto"/>
        <w:tabs>
          <w:tab w:leader="none" w:pos="5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Overseeing the Company’s compensation structure, policies and programs for executive officers and assessing whether the compensation structure establishes appropriate incentives for the executive officers;</w:t>
      </w:r>
    </w:p>
    <w:p>
      <w:pPr>
        <w:spacing w:after="0" w:line="1" w:lineRule="exact"/>
        <w:rPr>
          <w:rFonts w:ascii="Arial" w:cs="Arial" w:eastAsia="Arial" w:hAnsi="Arial"/>
          <w:sz w:val="18"/>
          <w:szCs w:val="18"/>
          <w:color w:val="auto"/>
        </w:rPr>
      </w:pPr>
    </w:p>
    <w:p>
      <w:pPr>
        <w:jc w:val="both"/>
        <w:ind w:left="520" w:hanging="323"/>
        <w:spacing w:after="0" w:line="265" w:lineRule="auto"/>
        <w:tabs>
          <w:tab w:leader="none" w:pos="520" w:val="left"/>
        </w:tabs>
        <w:numPr>
          <w:ilvl w:val="0"/>
          <w:numId w:val="23"/>
        </w:numPr>
        <w:rPr>
          <w:rFonts w:ascii="Arial" w:cs="Arial" w:eastAsia="Arial" w:hAnsi="Arial"/>
          <w:sz w:val="17"/>
          <w:szCs w:val="17"/>
          <w:color w:val="auto"/>
        </w:rPr>
      </w:pPr>
      <w:r>
        <w:rPr>
          <w:rFonts w:ascii="Arial" w:cs="Arial" w:eastAsia="Arial" w:hAnsi="Arial"/>
          <w:sz w:val="17"/>
          <w:szCs w:val="17"/>
          <w:color w:val="auto"/>
        </w:rPr>
        <w:t>Reviewing and approving corporate goals and objectives relevant to the compensation of the Chief Executive Officer and other executive officers of the Company, evaluating those executive officers’ performance in light of their goals and setting their compensation levels based on the Compensation Committee’s evaluation and, with respect to the other executives, the recommendations of the CEO and CFO;</w:t>
      </w:r>
    </w:p>
    <w:p>
      <w:pPr>
        <w:ind w:left="520" w:hanging="323"/>
        <w:spacing w:after="0"/>
        <w:tabs>
          <w:tab w:leader="none" w:pos="5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Approving stock options and other stock incentive awards for executive officers;</w:t>
      </w:r>
    </w:p>
    <w:p>
      <w:pPr>
        <w:spacing w:after="0" w:line="9" w:lineRule="exact"/>
        <w:rPr>
          <w:rFonts w:ascii="Arial" w:cs="Arial" w:eastAsia="Arial" w:hAnsi="Arial"/>
          <w:sz w:val="18"/>
          <w:szCs w:val="18"/>
          <w:color w:val="auto"/>
        </w:rPr>
      </w:pPr>
    </w:p>
    <w:p>
      <w:pPr>
        <w:ind w:left="520" w:hanging="323"/>
        <w:spacing w:after="0"/>
        <w:tabs>
          <w:tab w:leader="none" w:pos="5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Reviewing and approving the design of benefit plans pertaining to executive officers;</w:t>
      </w:r>
    </w:p>
    <w:p>
      <w:pPr>
        <w:spacing w:after="0" w:line="9" w:lineRule="exact"/>
        <w:rPr>
          <w:rFonts w:ascii="Arial" w:cs="Arial" w:eastAsia="Arial" w:hAnsi="Arial"/>
          <w:sz w:val="18"/>
          <w:szCs w:val="18"/>
          <w:color w:val="auto"/>
        </w:rPr>
      </w:pPr>
    </w:p>
    <w:p>
      <w:pPr>
        <w:ind w:left="520" w:hanging="323"/>
        <w:spacing w:after="0"/>
        <w:tabs>
          <w:tab w:leader="none" w:pos="5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Reviewing and recommending employment agreements for executive officers;</w:t>
      </w:r>
    </w:p>
    <w:p>
      <w:pPr>
        <w:spacing w:after="0" w:line="9" w:lineRule="exact"/>
        <w:rPr>
          <w:rFonts w:ascii="Arial" w:cs="Arial" w:eastAsia="Arial" w:hAnsi="Arial"/>
          <w:sz w:val="18"/>
          <w:szCs w:val="18"/>
          <w:color w:val="auto"/>
        </w:rPr>
      </w:pPr>
    </w:p>
    <w:p>
      <w:pPr>
        <w:ind w:left="520" w:hanging="323"/>
        <w:spacing w:after="0"/>
        <w:tabs>
          <w:tab w:leader="none" w:pos="5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Approving, amending or modifying the terms of any compensation or benefit plan that does not require stockholder approval;</w:t>
      </w:r>
    </w:p>
    <w:p>
      <w:pPr>
        <w:spacing w:after="0" w:line="9" w:lineRule="exact"/>
        <w:rPr>
          <w:rFonts w:ascii="Arial" w:cs="Arial" w:eastAsia="Arial" w:hAnsi="Arial"/>
          <w:sz w:val="18"/>
          <w:szCs w:val="18"/>
          <w:color w:val="auto"/>
        </w:rPr>
      </w:pPr>
    </w:p>
    <w:p>
      <w:pPr>
        <w:ind w:left="520" w:hanging="323"/>
        <w:spacing w:after="0"/>
        <w:tabs>
          <w:tab w:leader="none" w:pos="520" w:val="left"/>
        </w:tabs>
        <w:numPr>
          <w:ilvl w:val="0"/>
          <w:numId w:val="23"/>
        </w:numPr>
        <w:rPr>
          <w:rFonts w:ascii="Arial" w:cs="Arial" w:eastAsia="Arial" w:hAnsi="Arial"/>
          <w:sz w:val="16"/>
          <w:szCs w:val="16"/>
          <w:color w:val="auto"/>
        </w:rPr>
      </w:pPr>
      <w:r>
        <w:rPr>
          <w:rFonts w:ascii="Arial" w:cs="Arial" w:eastAsia="Arial" w:hAnsi="Arial"/>
          <w:sz w:val="16"/>
          <w:szCs w:val="16"/>
          <w:color w:val="auto"/>
        </w:rPr>
        <w:t>Reviewing the compensation of directors for service on the Board and its committees and recommending changes in compensation to the Board; and</w:t>
      </w:r>
    </w:p>
    <w:p>
      <w:pPr>
        <w:spacing w:after="0" w:line="32" w:lineRule="exact"/>
        <w:rPr>
          <w:rFonts w:ascii="Arial" w:cs="Arial" w:eastAsia="Arial" w:hAnsi="Arial"/>
          <w:sz w:val="16"/>
          <w:szCs w:val="16"/>
          <w:color w:val="auto"/>
        </w:rPr>
      </w:pPr>
    </w:p>
    <w:p>
      <w:pPr>
        <w:jc w:val="both"/>
        <w:ind w:left="520" w:hanging="323"/>
        <w:spacing w:after="0" w:line="254" w:lineRule="auto"/>
        <w:tabs>
          <w:tab w:leader="none" w:pos="5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Reviewing and discussing with management the Company’s compensation discussion and analysis and related disclosures required to be included in the Company’s annual report and proxy statement, recommending to the Board whether the compensation discussion and analysis should be included in the annual report and proxy statement, and overseeing publication of an annual executive compensation report in the Company’s annual report and proxy statement.</w:t>
      </w:r>
    </w:p>
    <w:p>
      <w:pPr>
        <w:spacing w:after="0" w:line="19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addition, the Board has designated the Compensation Committee as the Administrator of the Company’s 1998 Stock Incentive Plan, as amended (the “1998 Plan”), the Company’s 2007 Stock Incentive Plan, as amended (the “2007 Plan”), the Company’s 2011 Incentive Bonus Plan, the Company’s 2016 Stock Incentive Plan and the Company’s 2016 Cash Incentive Plan. The Compensation Committee may delegate its duties or responsibilities to a subcommittee of the Compensation Committee, and it has authority to retain and to direct management to retain outside advisors and experts that it determines appropriate to assist with performance of its functions.</w:t>
      </w:r>
    </w:p>
    <w:p>
      <w:pPr>
        <w:spacing w:after="0" w:line="188"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Our Chief Executive Officer and Chief Financial Officer make recommendations to the Compensation Committee for each element of compensation awarded to executives, but the Compensation Committee must approve each element of (and any changes to) executive compensation. Periodically, the Compensation Committee also retains independent compensation consulting firms to assist it in gathering market data and to provide it with information about trends in compensation among comparable companies, determined based on factors such as market capitalization, annual revenues, service offerings, and potential competition for talent or business. The Compensation Committee retained Towers Watson (now known as Willis Towers Watson) in early 2015 and again in late 2015, and utilized the findings from its studies in connection with the Company’s executive compensation decisions for 2015 and 2016, as discussed below in the section titled “Compensation Discussion and Analysis” of this Proxy Statement. Willis Towers Watson reported directly to the Compensation Committee through its chair and, at the direction of the Compensation Committee chair, also worked directly with the Company’s management to develop materials and proposals with respect to executive officer compensation. In future years, the Compensation Committee may at its discretion retain Willis Towers Watson (or another consulting firm) to update or perform new studies to be used in connection with its executive compensation decisions.</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368" w:right="239" w:bottom="1440" w:gutter="0" w:footer="0" w:header="0"/>
        </w:sectPr>
      </w:pPr>
    </w:p>
    <w:bookmarkStart w:id="35" w:name="page36"/>
    <w:bookmarkEnd w:id="35"/>
    <w:p>
      <w:pPr>
        <w:jc w:val="both"/>
        <w:spacing w:after="0" w:line="255" w:lineRule="auto"/>
        <w:rPr>
          <w:sz w:val="20"/>
          <w:szCs w:val="20"/>
          <w:color w:val="auto"/>
        </w:rPr>
      </w:pPr>
      <w:r>
        <w:rPr>
          <w:rFonts w:ascii="Arial" w:cs="Arial" w:eastAsia="Arial" w:hAnsi="Arial"/>
          <w:sz w:val="18"/>
          <w:szCs w:val="18"/>
          <w:color w:val="auto"/>
        </w:rPr>
        <w:t>Our Compensation Committee has reviewed an assessment of the independence of, and any potential conflicts of interest raised by, Willis Towers Watson’s work for the Compensation Committee by considering the following six factors (i) the provision of other services to us by Willis Towers Watson; (ii) the amount of fees received from us by Willis Towers Watson, as a percentage of the total revenue of Willis Towers Watson; (iii) the policies and procedures of Willis Towers Watson that are designed to prevent conflicts of interest; (iv) any business or personal relationship of the Willis Towers Watson consultant with a member of the Compensation Committee; (v) any Company stock owned by the Willis Towers Watson consultant; and (vi) any business or personal relationship of the Willis Towers Watson consultant or Willis Towers Watson with any of our executive officers, and concluded that Willis Towers Watson is independent and there are no such conflicts of interest.</w:t>
      </w:r>
    </w:p>
    <w:p>
      <w:pPr>
        <w:spacing w:after="0" w:line="189" w:lineRule="exact"/>
        <w:rPr>
          <w:sz w:val="20"/>
          <w:szCs w:val="20"/>
          <w:color w:val="auto"/>
        </w:rPr>
      </w:pPr>
    </w:p>
    <w:p>
      <w:pPr>
        <w:jc w:val="both"/>
        <w:spacing w:after="0" w:line="297" w:lineRule="auto"/>
        <w:rPr>
          <w:sz w:val="20"/>
          <w:szCs w:val="20"/>
          <w:color w:val="auto"/>
        </w:rPr>
      </w:pPr>
      <w:r>
        <w:rPr>
          <w:rFonts w:ascii="Arial" w:cs="Arial" w:eastAsia="Arial" w:hAnsi="Arial"/>
          <w:sz w:val="16"/>
          <w:szCs w:val="16"/>
          <w:i w:val="1"/>
          <w:iCs w:val="1"/>
          <w:color w:val="auto"/>
        </w:rPr>
        <w:t xml:space="preserve">Nominating &amp; Corporate Governance Committee. </w:t>
      </w:r>
      <w:r>
        <w:rPr>
          <w:rFonts w:ascii="Arial" w:cs="Arial" w:eastAsia="Arial" w:hAnsi="Arial"/>
          <w:sz w:val="16"/>
          <w:szCs w:val="16"/>
          <w:color w:val="auto"/>
        </w:rPr>
        <w:t>The Board has determined that each of the current members of our Nominating &amp; Corporate Governance</w:t>
      </w:r>
      <w:r>
        <w:rPr>
          <w:rFonts w:ascii="Arial" w:cs="Arial" w:eastAsia="Arial" w:hAnsi="Arial"/>
          <w:sz w:val="16"/>
          <w:szCs w:val="16"/>
          <w:i w:val="1"/>
          <w:iCs w:val="1"/>
          <w:color w:val="auto"/>
        </w:rPr>
        <w:t xml:space="preserve"> </w:t>
      </w:r>
      <w:r>
        <w:rPr>
          <w:rFonts w:ascii="Arial" w:cs="Arial" w:eastAsia="Arial" w:hAnsi="Arial"/>
          <w:sz w:val="16"/>
          <w:szCs w:val="16"/>
          <w:color w:val="auto"/>
        </w:rPr>
        <w:t>Committee is independent as defined under Rule 5605(a)(2) of the NASDAQ listing rules. The purpose of the Nominating &amp; Corporate Governance Committee is to identify individuals qualified to become Board members, recommend to the Board director candidates to be nominated for election at the Annual Meeting of Stockholders and perform a leadership role in shaping the Company’s corporate governance. The Nominating &amp; Corporate Governance Committee operates under a written charter adopted by the Board and reviewed annually by the Nominating &amp; Corporate Governance Committee.</w:t>
      </w:r>
    </w:p>
    <w:p>
      <w:pPr>
        <w:spacing w:after="0" w:line="15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All of the charters for the Company’s Board committees are available in the “Investors” section of the Company’s corporate website at http://www.costargroup.com/investors/governance.</w:t>
      </w:r>
    </w:p>
    <w:p>
      <w:pPr>
        <w:spacing w:after="0" w:line="16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REPORT OF THE AUDIT COMMITTEE</w:t>
      </w:r>
    </w:p>
    <w:p>
      <w:pPr>
        <w:spacing w:after="0" w:line="22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Audit Committee reviews the Company’s financial reporting process on behalf of the Board. Management has the primary responsibility for the financial statements and the reporting process. The Company’s independent registered public accounting firm is responsible for expressing an opinion on the conformity of the Company’s audited consolidated financial statements to generally accepted accounting principles.</w:t>
      </w:r>
    </w:p>
    <w:p>
      <w:pPr>
        <w:spacing w:after="0" w:line="18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this context, the Audit Committee has reviewed and discussed with management and the independent registered public accounting firm the Company’s audited consolidated financial statements for 2015. The Audit Committee has discussed with the independent registered public accounting firm the matters required to be discussed by applicable standards of the Public Company Accounting Oversight Board (the “PCAOB”). In addition, the Audit Committee has received from the independent registered public accounting firm the written disclosures and the letter required by applicable requirements of the PCAOB regarding the independent registered public accounting firm’s communications with the Audit Committee concerning independence, and the Audit Committee has discussed with the independent registered public accounting firm its independence from the Company and management. The Audit Committee has also considered whether the independent registered public accounting firm’s provision of non-audit services to the Company is compatible with the auditors’ independence.</w:t>
      </w:r>
    </w:p>
    <w:p>
      <w:pPr>
        <w:spacing w:after="0" w:line="19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In reliance on the reviews and discussions referred to above, the Audit Committee recommended to the Board that the audited consolidated financial statements be included in the Company’s annual report on Form 10-K for the year ended December 31, 2015, for filing with the SEC.</w:t>
      </w:r>
    </w:p>
    <w:p>
      <w:pPr>
        <w:spacing w:after="0" w:line="170"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By the Audit Committee</w:t>
      </w:r>
    </w:p>
    <w:p>
      <w:pPr>
        <w:spacing w:after="0" w:line="23"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of the Board of Directors</w:t>
      </w:r>
    </w:p>
    <w:p>
      <w:pPr>
        <w:spacing w:after="0" w:line="211"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John W. Hill, Chairman</w:t>
      </w:r>
    </w:p>
    <w:p>
      <w:pPr>
        <w:spacing w:after="0" w:line="23"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Warren H. Haber</w:t>
      </w:r>
    </w:p>
    <w:p>
      <w:pPr>
        <w:spacing w:after="0" w:line="9"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Michael J. Glosserman</w:t>
      </w:r>
    </w:p>
    <w:p>
      <w:pPr>
        <w:spacing w:after="0" w:line="9"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David J. Steinberg</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584" w:right="239" w:bottom="1440" w:gutter="0" w:footer="0" w:header="0"/>
        </w:sectPr>
      </w:pPr>
    </w:p>
    <w:bookmarkStart w:id="36" w:name="page37"/>
    <w:bookmarkEnd w:id="36"/>
    <w:p>
      <w:pPr>
        <w:spacing w:after="0"/>
        <w:rPr>
          <w:sz w:val="20"/>
          <w:szCs w:val="20"/>
          <w:color w:val="auto"/>
        </w:rPr>
      </w:pPr>
      <w:r>
        <w:rPr>
          <w:rFonts w:ascii="Arial" w:cs="Arial" w:eastAsia="Arial" w:hAnsi="Arial"/>
          <w:sz w:val="20"/>
          <w:szCs w:val="20"/>
          <w:b w:val="1"/>
          <w:bCs w:val="1"/>
          <w:color w:val="auto"/>
        </w:rPr>
        <w:t>DIRECTOR COMPENSATION</w:t>
      </w:r>
    </w:p>
    <w:p>
      <w:pPr>
        <w:spacing w:after="0" w:line="224"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 Compensation Committee of the Board annually reviews director compensation for service on the Board and for service on any Board committees and recommends director compensation and any changes to such compensation to the Board for approval. The Board annually reviews and approves director compensation for Board and committee service based on the recommendations of the Compensation Committee. Non-employee director compensation for 2015, which remained unchanged from the non-employee director compensation for 2014, is set out below. Directors who are also employees of the Company do not receive any compensation for service on the Board in addition to their regular employee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56515</wp:posOffset>
            </wp:positionH>
            <wp:positionV relativeFrom="paragraph">
              <wp:posOffset>67310</wp:posOffset>
            </wp:positionV>
            <wp:extent cx="7178040" cy="19812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8040" cy="1981200"/>
                    </a:xfrm>
                    <a:prstGeom prst="rect">
                      <a:avLst/>
                    </a:prstGeom>
                    <a:noFill/>
                  </pic:spPr>
                </pic:pic>
              </a:graphicData>
            </a:graphic>
          </wp:anchor>
        </w:drawing>
      </w:r>
    </w:p>
    <w:p>
      <w:pPr>
        <w:spacing w:after="0" w:line="82" w:lineRule="exact"/>
        <w:rPr>
          <w:sz w:val="20"/>
          <w:szCs w:val="20"/>
          <w:color w:val="auto"/>
        </w:rPr>
      </w:pPr>
    </w:p>
    <w:tbl>
      <w:tblPr>
        <w:tblLayout w:type="fixed"/>
        <w:tblInd w:w="80" w:type="dxa"/>
        <w:tblCellMar>
          <w:top w:w="0" w:type="dxa"/>
          <w:left w:w="0" w:type="dxa"/>
          <w:bottom w:w="0" w:type="dxa"/>
          <w:right w:w="0" w:type="dxa"/>
        </w:tblCellMar>
      </w:tblPr>
      <w:tr>
        <w:trPr>
          <w:trHeight w:val="287"/>
        </w:trPr>
        <w:tc>
          <w:tcPr>
            <w:tcW w:w="8100" w:type="dxa"/>
            <w:vAlign w:val="bottom"/>
            <w:shd w:val="clear" w:color="auto" w:fill="DBE5F1"/>
          </w:tcPr>
          <w:p>
            <w:pPr>
              <w:ind w:left="40"/>
              <w:spacing w:after="0"/>
              <w:rPr>
                <w:sz w:val="20"/>
                <w:szCs w:val="20"/>
                <w:color w:val="auto"/>
              </w:rPr>
            </w:pPr>
            <w:r>
              <w:rPr>
                <w:rFonts w:ascii="Arial" w:cs="Arial" w:eastAsia="Arial" w:hAnsi="Arial"/>
                <w:sz w:val="18"/>
                <w:szCs w:val="18"/>
                <w:color w:val="auto"/>
              </w:rPr>
              <w:t>Annual Cash Retainers</w:t>
            </w:r>
            <w:r>
              <w:rPr>
                <w:rFonts w:ascii="Arial" w:cs="Arial" w:eastAsia="Arial" w:hAnsi="Arial"/>
                <w:sz w:val="25"/>
                <w:szCs w:val="25"/>
                <w:color w:val="auto"/>
                <w:vertAlign w:val="superscript"/>
              </w:rPr>
              <w:t>(1)</w:t>
            </w:r>
          </w:p>
        </w:tc>
        <w:tc>
          <w:tcPr>
            <w:tcW w:w="3220" w:type="dxa"/>
            <w:vAlign w:val="bottom"/>
            <w:shd w:val="clear" w:color="auto" w:fill="DBE5F1"/>
          </w:tcPr>
          <w:p>
            <w:pPr>
              <w:spacing w:after="0"/>
              <w:rPr>
                <w:sz w:val="24"/>
                <w:szCs w:val="24"/>
                <w:color w:val="auto"/>
              </w:rPr>
            </w:pPr>
          </w:p>
        </w:tc>
      </w:tr>
      <w:tr>
        <w:trPr>
          <w:trHeight w:val="257"/>
        </w:trPr>
        <w:tc>
          <w:tcPr>
            <w:tcW w:w="8100" w:type="dxa"/>
            <w:vAlign w:val="bottom"/>
            <w:shd w:val="clear" w:color="auto" w:fill="DBE5F1"/>
          </w:tcPr>
          <w:p>
            <w:pPr>
              <w:ind w:left="360"/>
              <w:spacing w:after="0"/>
              <w:rPr>
                <w:sz w:val="20"/>
                <w:szCs w:val="20"/>
                <w:color w:val="auto"/>
              </w:rPr>
            </w:pPr>
            <w:r>
              <w:rPr>
                <w:rFonts w:ascii="Arial" w:cs="Arial" w:eastAsia="Arial" w:hAnsi="Arial"/>
                <w:sz w:val="18"/>
                <w:szCs w:val="18"/>
                <w:color w:val="auto"/>
              </w:rPr>
              <w:t>Board Members (other than Chairman)</w:t>
            </w:r>
          </w:p>
        </w:tc>
        <w:tc>
          <w:tcPr>
            <w:tcW w:w="3220" w:type="dxa"/>
            <w:vAlign w:val="bottom"/>
            <w:shd w:val="clear" w:color="auto" w:fill="DBE5F1"/>
          </w:tcPr>
          <w:p>
            <w:pPr>
              <w:jc w:val="right"/>
              <w:ind w:right="30"/>
              <w:spacing w:after="0"/>
              <w:rPr>
                <w:sz w:val="20"/>
                <w:szCs w:val="20"/>
                <w:color w:val="auto"/>
              </w:rPr>
            </w:pPr>
            <w:r>
              <w:rPr>
                <w:rFonts w:ascii="Arial" w:cs="Arial" w:eastAsia="Arial" w:hAnsi="Arial"/>
                <w:sz w:val="18"/>
                <w:szCs w:val="18"/>
                <w:color w:val="auto"/>
              </w:rPr>
              <w:t>$50,000</w:t>
            </w:r>
          </w:p>
        </w:tc>
      </w:tr>
      <w:tr>
        <w:trPr>
          <w:trHeight w:val="284"/>
        </w:trPr>
        <w:tc>
          <w:tcPr>
            <w:tcW w:w="8100" w:type="dxa"/>
            <w:vAlign w:val="bottom"/>
            <w:shd w:val="clear" w:color="auto" w:fill="DBE5F1"/>
          </w:tcPr>
          <w:p>
            <w:pPr>
              <w:ind w:left="360"/>
              <w:spacing w:after="0"/>
              <w:rPr>
                <w:sz w:val="20"/>
                <w:szCs w:val="20"/>
                <w:color w:val="auto"/>
              </w:rPr>
            </w:pPr>
            <w:r>
              <w:rPr>
                <w:rFonts w:ascii="Arial" w:cs="Arial" w:eastAsia="Arial" w:hAnsi="Arial"/>
                <w:sz w:val="18"/>
                <w:szCs w:val="18"/>
                <w:color w:val="auto"/>
              </w:rPr>
              <w:t>Chairman of the Board</w:t>
            </w:r>
          </w:p>
        </w:tc>
        <w:tc>
          <w:tcPr>
            <w:tcW w:w="3220" w:type="dxa"/>
            <w:vAlign w:val="bottom"/>
            <w:shd w:val="clear" w:color="auto" w:fill="DBE5F1"/>
          </w:tcPr>
          <w:p>
            <w:pPr>
              <w:jc w:val="right"/>
              <w:ind w:right="30"/>
              <w:spacing w:after="0"/>
              <w:rPr>
                <w:sz w:val="20"/>
                <w:szCs w:val="20"/>
                <w:color w:val="auto"/>
              </w:rPr>
            </w:pPr>
            <w:r>
              <w:rPr>
                <w:rFonts w:ascii="Arial" w:cs="Arial" w:eastAsia="Arial" w:hAnsi="Arial"/>
                <w:sz w:val="18"/>
                <w:szCs w:val="18"/>
                <w:color w:val="auto"/>
              </w:rPr>
              <w:t>$120,000</w:t>
            </w:r>
          </w:p>
        </w:tc>
      </w:tr>
      <w:tr>
        <w:trPr>
          <w:trHeight w:val="311"/>
        </w:trPr>
        <w:tc>
          <w:tcPr>
            <w:tcW w:w="8100" w:type="dxa"/>
            <w:vAlign w:val="bottom"/>
            <w:shd w:val="clear" w:color="auto" w:fill="DBE5F1"/>
          </w:tcPr>
          <w:p>
            <w:pPr>
              <w:ind w:left="40"/>
              <w:spacing w:after="0"/>
              <w:rPr>
                <w:sz w:val="20"/>
                <w:szCs w:val="20"/>
                <w:color w:val="auto"/>
              </w:rPr>
            </w:pPr>
            <w:r>
              <w:rPr>
                <w:rFonts w:ascii="Arial" w:cs="Arial" w:eastAsia="Arial" w:hAnsi="Arial"/>
                <w:sz w:val="18"/>
                <w:szCs w:val="18"/>
                <w:color w:val="auto"/>
              </w:rPr>
              <w:t>Annual Equity Awards</w:t>
            </w:r>
            <w:r>
              <w:rPr>
                <w:rFonts w:ascii="Arial" w:cs="Arial" w:eastAsia="Arial" w:hAnsi="Arial"/>
                <w:sz w:val="25"/>
                <w:szCs w:val="25"/>
                <w:color w:val="auto"/>
                <w:vertAlign w:val="superscript"/>
              </w:rPr>
              <w:t>(2)</w:t>
            </w:r>
          </w:p>
        </w:tc>
        <w:tc>
          <w:tcPr>
            <w:tcW w:w="3220" w:type="dxa"/>
            <w:vAlign w:val="bottom"/>
            <w:shd w:val="clear" w:color="auto" w:fill="DBE5F1"/>
          </w:tcPr>
          <w:p>
            <w:pPr>
              <w:spacing w:after="0"/>
              <w:rPr>
                <w:sz w:val="24"/>
                <w:szCs w:val="24"/>
                <w:color w:val="auto"/>
              </w:rPr>
            </w:pPr>
          </w:p>
        </w:tc>
      </w:tr>
      <w:tr>
        <w:trPr>
          <w:trHeight w:val="257"/>
        </w:trPr>
        <w:tc>
          <w:tcPr>
            <w:tcW w:w="8100" w:type="dxa"/>
            <w:vAlign w:val="bottom"/>
            <w:shd w:val="clear" w:color="auto" w:fill="DBE5F1"/>
          </w:tcPr>
          <w:p>
            <w:pPr>
              <w:ind w:left="360"/>
              <w:spacing w:after="0"/>
              <w:rPr>
                <w:sz w:val="20"/>
                <w:szCs w:val="20"/>
                <w:color w:val="auto"/>
              </w:rPr>
            </w:pPr>
            <w:r>
              <w:rPr>
                <w:rFonts w:ascii="Arial" w:cs="Arial" w:eastAsia="Arial" w:hAnsi="Arial"/>
                <w:sz w:val="18"/>
                <w:szCs w:val="18"/>
                <w:color w:val="auto"/>
              </w:rPr>
              <w:t>Board Members (including Chairman)</w:t>
            </w:r>
          </w:p>
        </w:tc>
        <w:tc>
          <w:tcPr>
            <w:tcW w:w="3220" w:type="dxa"/>
            <w:vAlign w:val="bottom"/>
            <w:shd w:val="clear" w:color="auto" w:fill="DBE5F1"/>
          </w:tcPr>
          <w:p>
            <w:pPr>
              <w:jc w:val="right"/>
              <w:ind w:right="30"/>
              <w:spacing w:after="0"/>
              <w:rPr>
                <w:sz w:val="20"/>
                <w:szCs w:val="20"/>
                <w:color w:val="auto"/>
              </w:rPr>
            </w:pPr>
            <w:r>
              <w:rPr>
                <w:rFonts w:ascii="Arial" w:cs="Arial" w:eastAsia="Arial" w:hAnsi="Arial"/>
                <w:sz w:val="18"/>
                <w:szCs w:val="18"/>
                <w:color w:val="auto"/>
              </w:rPr>
              <w:t>$175,000</w:t>
            </w:r>
          </w:p>
        </w:tc>
      </w:tr>
      <w:tr>
        <w:trPr>
          <w:trHeight w:val="284"/>
        </w:trPr>
        <w:tc>
          <w:tcPr>
            <w:tcW w:w="8100" w:type="dxa"/>
            <w:vAlign w:val="bottom"/>
            <w:shd w:val="clear" w:color="auto" w:fill="DBE5F1"/>
          </w:tcPr>
          <w:p>
            <w:pPr>
              <w:ind w:left="360"/>
              <w:spacing w:after="0"/>
              <w:rPr>
                <w:sz w:val="20"/>
                <w:szCs w:val="20"/>
                <w:color w:val="auto"/>
              </w:rPr>
            </w:pPr>
            <w:r>
              <w:rPr>
                <w:rFonts w:ascii="Arial" w:cs="Arial" w:eastAsia="Arial" w:hAnsi="Arial"/>
                <w:sz w:val="18"/>
                <w:szCs w:val="18"/>
                <w:color w:val="auto"/>
              </w:rPr>
              <w:t>Audit Committee Chairman</w:t>
            </w:r>
          </w:p>
        </w:tc>
        <w:tc>
          <w:tcPr>
            <w:tcW w:w="3220" w:type="dxa"/>
            <w:vAlign w:val="bottom"/>
            <w:shd w:val="clear" w:color="auto" w:fill="DBE5F1"/>
          </w:tcPr>
          <w:p>
            <w:pPr>
              <w:jc w:val="right"/>
              <w:ind w:right="30"/>
              <w:spacing w:after="0"/>
              <w:rPr>
                <w:sz w:val="20"/>
                <w:szCs w:val="20"/>
                <w:color w:val="auto"/>
              </w:rPr>
            </w:pPr>
            <w:r>
              <w:rPr>
                <w:rFonts w:ascii="Arial" w:cs="Arial" w:eastAsia="Arial" w:hAnsi="Arial"/>
                <w:sz w:val="18"/>
                <w:szCs w:val="18"/>
                <w:color w:val="auto"/>
              </w:rPr>
              <w:t>$30,000</w:t>
            </w:r>
          </w:p>
        </w:tc>
      </w:tr>
      <w:tr>
        <w:trPr>
          <w:trHeight w:val="284"/>
        </w:trPr>
        <w:tc>
          <w:tcPr>
            <w:tcW w:w="8100" w:type="dxa"/>
            <w:vAlign w:val="bottom"/>
            <w:shd w:val="clear" w:color="auto" w:fill="DBE5F1"/>
          </w:tcPr>
          <w:p>
            <w:pPr>
              <w:ind w:left="360"/>
              <w:spacing w:after="0"/>
              <w:rPr>
                <w:sz w:val="20"/>
                <w:szCs w:val="20"/>
                <w:color w:val="auto"/>
              </w:rPr>
            </w:pPr>
            <w:r>
              <w:rPr>
                <w:rFonts w:ascii="Arial" w:cs="Arial" w:eastAsia="Arial" w:hAnsi="Arial"/>
                <w:sz w:val="18"/>
                <w:szCs w:val="18"/>
                <w:color w:val="auto"/>
              </w:rPr>
              <w:t>Compensation Committee Chairman</w:t>
            </w:r>
          </w:p>
        </w:tc>
        <w:tc>
          <w:tcPr>
            <w:tcW w:w="3220" w:type="dxa"/>
            <w:vAlign w:val="bottom"/>
            <w:shd w:val="clear" w:color="auto" w:fill="DBE5F1"/>
          </w:tcPr>
          <w:p>
            <w:pPr>
              <w:jc w:val="right"/>
              <w:ind w:right="30"/>
              <w:spacing w:after="0"/>
              <w:rPr>
                <w:sz w:val="20"/>
                <w:szCs w:val="20"/>
                <w:color w:val="auto"/>
              </w:rPr>
            </w:pPr>
            <w:r>
              <w:rPr>
                <w:rFonts w:ascii="Arial" w:cs="Arial" w:eastAsia="Arial" w:hAnsi="Arial"/>
                <w:sz w:val="18"/>
                <w:szCs w:val="18"/>
                <w:color w:val="auto"/>
              </w:rPr>
              <w:t>$15,000</w:t>
            </w:r>
          </w:p>
        </w:tc>
      </w:tr>
      <w:tr>
        <w:trPr>
          <w:trHeight w:val="284"/>
        </w:trPr>
        <w:tc>
          <w:tcPr>
            <w:tcW w:w="8100" w:type="dxa"/>
            <w:vAlign w:val="bottom"/>
            <w:shd w:val="clear" w:color="auto" w:fill="DBE5F1"/>
          </w:tcPr>
          <w:p>
            <w:pPr>
              <w:ind w:left="360"/>
              <w:spacing w:after="0"/>
              <w:rPr>
                <w:sz w:val="20"/>
                <w:szCs w:val="20"/>
                <w:color w:val="auto"/>
              </w:rPr>
            </w:pPr>
            <w:r>
              <w:rPr>
                <w:rFonts w:ascii="Arial" w:cs="Arial" w:eastAsia="Arial" w:hAnsi="Arial"/>
                <w:sz w:val="18"/>
                <w:szCs w:val="18"/>
                <w:color w:val="auto"/>
              </w:rPr>
              <w:t>Nominating &amp; Corporate Governance Committee Chairman</w:t>
            </w:r>
          </w:p>
        </w:tc>
        <w:tc>
          <w:tcPr>
            <w:tcW w:w="3220" w:type="dxa"/>
            <w:vAlign w:val="bottom"/>
            <w:shd w:val="clear" w:color="auto" w:fill="DBE5F1"/>
          </w:tcPr>
          <w:p>
            <w:pPr>
              <w:jc w:val="right"/>
              <w:ind w:right="30"/>
              <w:spacing w:after="0"/>
              <w:rPr>
                <w:sz w:val="20"/>
                <w:szCs w:val="20"/>
                <w:color w:val="auto"/>
              </w:rPr>
            </w:pPr>
            <w:r>
              <w:rPr>
                <w:rFonts w:ascii="Arial" w:cs="Arial" w:eastAsia="Arial" w:hAnsi="Arial"/>
                <w:sz w:val="18"/>
                <w:szCs w:val="18"/>
                <w:color w:val="auto"/>
              </w:rPr>
              <w:t>$15,000</w:t>
            </w:r>
          </w:p>
        </w:tc>
      </w:tr>
      <w:tr>
        <w:trPr>
          <w:trHeight w:val="284"/>
        </w:trPr>
        <w:tc>
          <w:tcPr>
            <w:tcW w:w="8100" w:type="dxa"/>
            <w:vAlign w:val="bottom"/>
            <w:shd w:val="clear" w:color="auto" w:fill="DBE5F1"/>
          </w:tcPr>
          <w:p>
            <w:pPr>
              <w:ind w:left="360"/>
              <w:spacing w:after="0"/>
              <w:rPr>
                <w:sz w:val="20"/>
                <w:szCs w:val="20"/>
                <w:color w:val="auto"/>
              </w:rPr>
            </w:pPr>
            <w:r>
              <w:rPr>
                <w:rFonts w:ascii="Arial" w:cs="Arial" w:eastAsia="Arial" w:hAnsi="Arial"/>
                <w:sz w:val="18"/>
                <w:szCs w:val="18"/>
                <w:color w:val="auto"/>
              </w:rPr>
              <w:t>Audit Committee Member</w:t>
            </w:r>
          </w:p>
        </w:tc>
        <w:tc>
          <w:tcPr>
            <w:tcW w:w="3220" w:type="dxa"/>
            <w:vAlign w:val="bottom"/>
            <w:shd w:val="clear" w:color="auto" w:fill="DBE5F1"/>
          </w:tcPr>
          <w:p>
            <w:pPr>
              <w:jc w:val="right"/>
              <w:ind w:right="30"/>
              <w:spacing w:after="0"/>
              <w:rPr>
                <w:sz w:val="20"/>
                <w:szCs w:val="20"/>
                <w:color w:val="auto"/>
              </w:rPr>
            </w:pPr>
            <w:r>
              <w:rPr>
                <w:rFonts w:ascii="Arial" w:cs="Arial" w:eastAsia="Arial" w:hAnsi="Arial"/>
                <w:sz w:val="18"/>
                <w:szCs w:val="18"/>
                <w:color w:val="auto"/>
              </w:rPr>
              <w:t>$15,000</w:t>
            </w:r>
          </w:p>
        </w:tc>
      </w:tr>
      <w:tr>
        <w:trPr>
          <w:trHeight w:val="284"/>
        </w:trPr>
        <w:tc>
          <w:tcPr>
            <w:tcW w:w="8100" w:type="dxa"/>
            <w:vAlign w:val="bottom"/>
            <w:shd w:val="clear" w:color="auto" w:fill="DBE5F1"/>
          </w:tcPr>
          <w:p>
            <w:pPr>
              <w:ind w:left="360"/>
              <w:spacing w:after="0"/>
              <w:rPr>
                <w:sz w:val="20"/>
                <w:szCs w:val="20"/>
                <w:color w:val="auto"/>
              </w:rPr>
            </w:pPr>
            <w:r>
              <w:rPr>
                <w:rFonts w:ascii="Arial" w:cs="Arial" w:eastAsia="Arial" w:hAnsi="Arial"/>
                <w:sz w:val="18"/>
                <w:szCs w:val="18"/>
                <w:color w:val="auto"/>
              </w:rPr>
              <w:t>Compensation Committee Member</w:t>
            </w:r>
          </w:p>
        </w:tc>
        <w:tc>
          <w:tcPr>
            <w:tcW w:w="3220" w:type="dxa"/>
            <w:vAlign w:val="bottom"/>
            <w:shd w:val="clear" w:color="auto" w:fill="DBE5F1"/>
          </w:tcPr>
          <w:p>
            <w:pPr>
              <w:jc w:val="right"/>
              <w:ind w:right="30"/>
              <w:spacing w:after="0"/>
              <w:rPr>
                <w:sz w:val="20"/>
                <w:szCs w:val="20"/>
                <w:color w:val="auto"/>
              </w:rPr>
            </w:pPr>
            <w:r>
              <w:rPr>
                <w:rFonts w:ascii="Arial" w:cs="Arial" w:eastAsia="Arial" w:hAnsi="Arial"/>
                <w:sz w:val="18"/>
                <w:szCs w:val="18"/>
                <w:color w:val="auto"/>
              </w:rPr>
              <w:t>$8,000</w:t>
            </w:r>
          </w:p>
        </w:tc>
      </w:tr>
      <w:tr>
        <w:trPr>
          <w:trHeight w:val="284"/>
        </w:trPr>
        <w:tc>
          <w:tcPr>
            <w:tcW w:w="8100" w:type="dxa"/>
            <w:vAlign w:val="bottom"/>
            <w:shd w:val="clear" w:color="auto" w:fill="DBE5F1"/>
          </w:tcPr>
          <w:p>
            <w:pPr>
              <w:ind w:left="360"/>
              <w:spacing w:after="0"/>
              <w:rPr>
                <w:sz w:val="20"/>
                <w:szCs w:val="20"/>
                <w:color w:val="auto"/>
              </w:rPr>
            </w:pPr>
            <w:r>
              <w:rPr>
                <w:rFonts w:ascii="Arial" w:cs="Arial" w:eastAsia="Arial" w:hAnsi="Arial"/>
                <w:sz w:val="18"/>
                <w:szCs w:val="18"/>
                <w:color w:val="auto"/>
              </w:rPr>
              <w:t>Nominating &amp; Corporate Governance Committee Member</w:t>
            </w:r>
          </w:p>
        </w:tc>
        <w:tc>
          <w:tcPr>
            <w:tcW w:w="3220" w:type="dxa"/>
            <w:vAlign w:val="bottom"/>
            <w:shd w:val="clear" w:color="auto" w:fill="DBE5F1"/>
          </w:tcPr>
          <w:p>
            <w:pPr>
              <w:jc w:val="right"/>
              <w:ind w:right="30"/>
              <w:spacing w:after="0"/>
              <w:rPr>
                <w:sz w:val="20"/>
                <w:szCs w:val="20"/>
                <w:color w:val="auto"/>
              </w:rPr>
            </w:pPr>
            <w:r>
              <w:rPr>
                <w:rFonts w:ascii="Arial" w:cs="Arial" w:eastAsia="Arial" w:hAnsi="Arial"/>
                <w:sz w:val="18"/>
                <w:szCs w:val="18"/>
                <w:color w:val="auto"/>
              </w:rPr>
              <w:t>$6,000</w:t>
            </w:r>
          </w:p>
        </w:tc>
      </w:tr>
      <w:tr>
        <w:trPr>
          <w:trHeight w:val="27"/>
        </w:trPr>
        <w:tc>
          <w:tcPr>
            <w:tcW w:w="8100" w:type="dxa"/>
            <w:vAlign w:val="bottom"/>
            <w:shd w:val="clear" w:color="auto" w:fill="DBE5F1"/>
          </w:tcPr>
          <w:p>
            <w:pPr>
              <w:spacing w:after="0"/>
              <w:rPr>
                <w:sz w:val="2"/>
                <w:szCs w:val="2"/>
                <w:color w:val="auto"/>
              </w:rPr>
            </w:pPr>
          </w:p>
        </w:tc>
        <w:tc>
          <w:tcPr>
            <w:tcW w:w="3220" w:type="dxa"/>
            <w:vAlign w:val="bottom"/>
            <w:shd w:val="clear" w:color="auto" w:fill="DBE5F1"/>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982980</wp:posOffset>
            </wp:positionH>
            <wp:positionV relativeFrom="paragraph">
              <wp:posOffset>111760</wp:posOffset>
            </wp:positionV>
            <wp:extent cx="22860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28600" cy="8890"/>
                    </a:xfrm>
                    <a:prstGeom prst="rect">
                      <a:avLst/>
                    </a:prstGeom>
                    <a:noFill/>
                  </pic:spPr>
                </pic:pic>
              </a:graphicData>
            </a:graphic>
          </wp:anchor>
        </w:drawing>
      </w:r>
    </w:p>
    <w:p>
      <w:pPr>
        <w:spacing w:after="0" w:line="186" w:lineRule="exact"/>
        <w:rPr>
          <w:sz w:val="20"/>
          <w:szCs w:val="20"/>
          <w:color w:val="auto"/>
        </w:rPr>
      </w:pPr>
    </w:p>
    <w:p>
      <w:pPr>
        <w:ind w:left="340" w:hanging="332"/>
        <w:spacing w:after="0" w:line="255" w:lineRule="auto"/>
        <w:tabs>
          <w:tab w:leader="none" w:pos="340" w:val="left"/>
        </w:tabs>
        <w:numPr>
          <w:ilvl w:val="0"/>
          <w:numId w:val="24"/>
        </w:numPr>
        <w:rPr>
          <w:rFonts w:ascii="Arial" w:cs="Arial" w:eastAsia="Arial" w:hAnsi="Arial"/>
          <w:sz w:val="16"/>
          <w:szCs w:val="16"/>
          <w:color w:val="auto"/>
        </w:rPr>
      </w:pPr>
      <w:r>
        <w:rPr>
          <w:rFonts w:ascii="Arial" w:cs="Arial" w:eastAsia="Arial" w:hAnsi="Arial"/>
          <w:sz w:val="16"/>
          <w:szCs w:val="16"/>
          <w:color w:val="auto"/>
        </w:rPr>
        <w:t>The Company reimburses all directors for reasonable travel and out-of-pocket expenses incurred in connection with their duties as directors, including attendance at meetings.</w:t>
      </w:r>
    </w:p>
    <w:p>
      <w:pPr>
        <w:spacing w:after="0" w:line="1" w:lineRule="exact"/>
        <w:rPr>
          <w:rFonts w:ascii="Arial" w:cs="Arial" w:eastAsia="Arial" w:hAnsi="Arial"/>
          <w:sz w:val="16"/>
          <w:szCs w:val="16"/>
          <w:color w:val="auto"/>
        </w:rPr>
      </w:pPr>
    </w:p>
    <w:p>
      <w:pPr>
        <w:jc w:val="both"/>
        <w:ind w:left="340" w:hanging="332"/>
        <w:spacing w:after="0" w:line="250" w:lineRule="auto"/>
        <w:tabs>
          <w:tab w:leader="none" w:pos="340" w:val="left"/>
        </w:tabs>
        <w:numPr>
          <w:ilvl w:val="0"/>
          <w:numId w:val="24"/>
        </w:numPr>
        <w:rPr>
          <w:rFonts w:ascii="Arial" w:cs="Arial" w:eastAsia="Arial" w:hAnsi="Arial"/>
          <w:sz w:val="16"/>
          <w:szCs w:val="16"/>
          <w:color w:val="auto"/>
        </w:rPr>
      </w:pPr>
      <w:r>
        <w:rPr>
          <w:rFonts w:ascii="Arial" w:cs="Arial" w:eastAsia="Arial" w:hAnsi="Arial"/>
          <w:sz w:val="16"/>
          <w:szCs w:val="16"/>
          <w:color w:val="auto"/>
        </w:rPr>
        <w:t>Annual equity awards are granted on the date of the first regular Board meeting following the date of the annual meeting of stockholders, are payable in the form of restricted stock, are valued at the grant date, and vest in equal, annual installments over a 4-year period from the date of grant as long as the director is still serving on our Board on the respective vesting date. The number of shares of restricted stock granted pursuant to each such restricted stock grant to the directors is determined by dividing the total dollar amount awarded by the closing price of the Company’s common stock on the date of grant.</w:t>
      </w:r>
    </w:p>
    <w:p>
      <w:pPr>
        <w:spacing w:after="0" w:line="18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Pursuant to the Company’s 2007 Plan and related award agreements, upon a change of control, all restrictions on stock grants will lapse. For more detailed information, see “Change of Control Provisions under the Company’s 1998 and 2007 Plans” in the section titled “Potential Payments Upon Termination or Change of Control” in this Proxy Statement. In addition, under the 2007 Plan, recipients of restricted stock are entitled to receive dividends and other distributions, if any, paid with respect to the common stock. The Compensation Committee will determine if any such dividends or distributions will be automatically reinvested in additional shares of restricted stock and subject to the same restrictions as the restricted stock or whether the dividend or distribution will be paid in cash.</w:t>
      </w:r>
    </w:p>
    <w:p>
      <w:pPr>
        <w:spacing w:after="0" w:line="18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DIRECTOR STOCK OWNERSHIP POLICY</w:t>
      </w:r>
    </w:p>
    <w:p>
      <w:pPr>
        <w:spacing w:after="0" w:line="22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Compensation Committee adopted stock ownership requirements for the Company’s non-employee directors as set forth in the Company’s Director Stock Ownership Policy. Each non-employee director is required to own shares of the Company’s common stock with a value equal to five times the annual, standard director cash retainer. The current directors have until December 31, 2018 to meet the ownership requirement.</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576" w:right="239" w:bottom="1440" w:gutter="0" w:footer="0" w:header="0"/>
        </w:sectPr>
      </w:pPr>
    </w:p>
    <w:bookmarkStart w:id="37" w:name="page38"/>
    <w:bookmarkEnd w:id="37"/>
    <w:p>
      <w:pPr>
        <w:spacing w:after="0"/>
        <w:rPr>
          <w:sz w:val="20"/>
          <w:szCs w:val="20"/>
          <w:color w:val="auto"/>
        </w:rPr>
      </w:pPr>
      <w:r>
        <w:rPr>
          <w:rFonts w:ascii="Arial" w:cs="Arial" w:eastAsia="Arial" w:hAnsi="Arial"/>
          <w:sz w:val="18"/>
          <w:szCs w:val="18"/>
          <w:b w:val="1"/>
          <w:bCs w:val="1"/>
          <w:color w:val="5978A5"/>
        </w:rPr>
        <w:t>Director Compensation Table for Fiscal Year 2015</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Director Compensation table shows the compensation we paid in 2015 to our non-employee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238125</wp:posOffset>
            </wp:positionV>
            <wp:extent cx="7229475" cy="157797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29475" cy="1577975"/>
                    </a:xfrm>
                    <a:prstGeom prst="rect">
                      <a:avLst/>
                    </a:prstGeom>
                    <a:noFill/>
                  </pic:spPr>
                </pic:pic>
              </a:graphicData>
            </a:graphic>
          </wp:anchor>
        </w:drawing>
      </w:r>
    </w:p>
    <w:p>
      <w:pPr>
        <w:spacing w:after="0" w:line="355"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40" w:type="dxa"/>
            <w:vAlign w:val="bottom"/>
          </w:tcPr>
          <w:p>
            <w:pPr>
              <w:spacing w:after="0"/>
              <w:rPr>
                <w:sz w:val="19"/>
                <w:szCs w:val="19"/>
                <w:color w:val="auto"/>
              </w:rPr>
            </w:pPr>
          </w:p>
        </w:tc>
        <w:tc>
          <w:tcPr>
            <w:tcW w:w="5920" w:type="dxa"/>
            <w:vAlign w:val="bottom"/>
            <w:shd w:val="clear" w:color="auto" w:fill="B8CCE4"/>
          </w:tcPr>
          <w:p>
            <w:pPr>
              <w:spacing w:after="0"/>
              <w:rPr>
                <w:sz w:val="19"/>
                <w:szCs w:val="19"/>
                <w:color w:val="auto"/>
              </w:rPr>
            </w:pPr>
          </w:p>
        </w:tc>
        <w:tc>
          <w:tcPr>
            <w:tcW w:w="1840" w:type="dxa"/>
            <w:vAlign w:val="bottom"/>
            <w:shd w:val="clear" w:color="auto" w:fill="B8CCE4"/>
          </w:tcPr>
          <w:p>
            <w:pPr>
              <w:jc w:val="center"/>
              <w:spacing w:after="0"/>
              <w:rPr>
                <w:sz w:val="20"/>
                <w:szCs w:val="20"/>
                <w:color w:val="auto"/>
              </w:rPr>
            </w:pPr>
            <w:r>
              <w:rPr>
                <w:rFonts w:ascii="Arial" w:cs="Arial" w:eastAsia="Arial" w:hAnsi="Arial"/>
                <w:sz w:val="18"/>
                <w:szCs w:val="18"/>
                <w:b w:val="1"/>
                <w:bCs w:val="1"/>
                <w:color w:val="auto"/>
                <w:w w:val="90"/>
              </w:rPr>
              <w:t>Fees Earned or</w:t>
            </w:r>
          </w:p>
        </w:tc>
        <w:tc>
          <w:tcPr>
            <w:tcW w:w="2120" w:type="dxa"/>
            <w:vAlign w:val="bottom"/>
            <w:shd w:val="clear" w:color="auto" w:fill="B8CCE4"/>
          </w:tcPr>
          <w:p>
            <w:pPr>
              <w:jc w:val="center"/>
              <w:ind w:right="210"/>
              <w:spacing w:after="0"/>
              <w:rPr>
                <w:sz w:val="20"/>
                <w:szCs w:val="20"/>
                <w:color w:val="auto"/>
              </w:rPr>
            </w:pPr>
            <w:r>
              <w:rPr>
                <w:rFonts w:ascii="Arial" w:cs="Arial" w:eastAsia="Arial" w:hAnsi="Arial"/>
                <w:sz w:val="18"/>
                <w:szCs w:val="18"/>
                <w:b w:val="1"/>
                <w:bCs w:val="1"/>
                <w:color w:val="auto"/>
                <w:w w:val="85"/>
              </w:rPr>
              <w:t>Stock</w:t>
            </w:r>
          </w:p>
        </w:tc>
        <w:tc>
          <w:tcPr>
            <w:tcW w:w="1500" w:type="dxa"/>
            <w:vAlign w:val="bottom"/>
            <w:shd w:val="clear" w:color="auto" w:fill="B8CCE4"/>
          </w:tcPr>
          <w:p>
            <w:pPr>
              <w:spacing w:after="0"/>
              <w:rPr>
                <w:sz w:val="19"/>
                <w:szCs w:val="19"/>
                <w:color w:val="auto"/>
              </w:rPr>
            </w:pPr>
          </w:p>
        </w:tc>
      </w:tr>
      <w:tr>
        <w:trPr>
          <w:trHeight w:val="216"/>
        </w:trPr>
        <w:tc>
          <w:tcPr>
            <w:tcW w:w="40" w:type="dxa"/>
            <w:vAlign w:val="bottom"/>
          </w:tcPr>
          <w:p>
            <w:pPr>
              <w:spacing w:after="0"/>
              <w:rPr>
                <w:sz w:val="18"/>
                <w:szCs w:val="18"/>
                <w:color w:val="auto"/>
              </w:rPr>
            </w:pPr>
          </w:p>
        </w:tc>
        <w:tc>
          <w:tcPr>
            <w:tcW w:w="5920" w:type="dxa"/>
            <w:vAlign w:val="bottom"/>
            <w:shd w:val="clear" w:color="auto" w:fill="B8CCE4"/>
          </w:tcPr>
          <w:p>
            <w:pPr>
              <w:spacing w:after="0"/>
              <w:rPr>
                <w:sz w:val="18"/>
                <w:szCs w:val="18"/>
                <w:color w:val="auto"/>
              </w:rPr>
            </w:pPr>
          </w:p>
        </w:tc>
        <w:tc>
          <w:tcPr>
            <w:tcW w:w="1840" w:type="dxa"/>
            <w:vAlign w:val="bottom"/>
            <w:shd w:val="clear" w:color="auto" w:fill="B8CCE4"/>
          </w:tcPr>
          <w:p>
            <w:pPr>
              <w:jc w:val="center"/>
              <w:spacing w:after="0" w:line="216" w:lineRule="exact"/>
              <w:rPr>
                <w:sz w:val="20"/>
                <w:szCs w:val="20"/>
                <w:color w:val="auto"/>
              </w:rPr>
            </w:pPr>
            <w:r>
              <w:rPr>
                <w:rFonts w:ascii="Arial" w:cs="Arial" w:eastAsia="Arial" w:hAnsi="Arial"/>
                <w:sz w:val="18"/>
                <w:szCs w:val="18"/>
                <w:b w:val="1"/>
                <w:bCs w:val="1"/>
                <w:color w:val="auto"/>
                <w:w w:val="88"/>
              </w:rPr>
              <w:t>Paid in Cash</w:t>
            </w:r>
            <w:r>
              <w:rPr>
                <w:rFonts w:ascii="Arial" w:cs="Arial" w:eastAsia="Arial" w:hAnsi="Arial"/>
                <w:sz w:val="25"/>
                <w:szCs w:val="25"/>
                <w:b w:val="1"/>
                <w:bCs w:val="1"/>
                <w:color w:val="auto"/>
                <w:w w:val="88"/>
                <w:vertAlign w:val="superscript"/>
              </w:rPr>
              <w:t>(1)</w:t>
            </w:r>
          </w:p>
        </w:tc>
        <w:tc>
          <w:tcPr>
            <w:tcW w:w="2120" w:type="dxa"/>
            <w:vAlign w:val="bottom"/>
            <w:shd w:val="clear" w:color="auto" w:fill="B8CCE4"/>
          </w:tcPr>
          <w:p>
            <w:pPr>
              <w:jc w:val="center"/>
              <w:ind w:right="210"/>
              <w:spacing w:after="0" w:line="216" w:lineRule="exact"/>
              <w:rPr>
                <w:sz w:val="20"/>
                <w:szCs w:val="20"/>
                <w:color w:val="auto"/>
              </w:rPr>
            </w:pPr>
            <w:r>
              <w:rPr>
                <w:rFonts w:ascii="Arial" w:cs="Arial" w:eastAsia="Arial" w:hAnsi="Arial"/>
                <w:sz w:val="18"/>
                <w:szCs w:val="18"/>
                <w:b w:val="1"/>
                <w:bCs w:val="1"/>
                <w:color w:val="auto"/>
                <w:w w:val="86"/>
              </w:rPr>
              <w:t>Awards</w:t>
            </w:r>
            <w:r>
              <w:rPr>
                <w:rFonts w:ascii="Arial" w:cs="Arial" w:eastAsia="Arial" w:hAnsi="Arial"/>
                <w:sz w:val="25"/>
                <w:szCs w:val="25"/>
                <w:b w:val="1"/>
                <w:bCs w:val="1"/>
                <w:color w:val="auto"/>
                <w:w w:val="86"/>
                <w:vertAlign w:val="superscript"/>
              </w:rPr>
              <w:t>(2)</w:t>
            </w:r>
          </w:p>
        </w:tc>
        <w:tc>
          <w:tcPr>
            <w:tcW w:w="1500" w:type="dxa"/>
            <w:vAlign w:val="bottom"/>
            <w:shd w:val="clear" w:color="auto" w:fill="B8CCE4"/>
          </w:tcPr>
          <w:p>
            <w:pPr>
              <w:jc w:val="right"/>
              <w:ind w:right="610"/>
              <w:spacing w:after="0"/>
              <w:rPr>
                <w:sz w:val="20"/>
                <w:szCs w:val="20"/>
                <w:color w:val="auto"/>
              </w:rPr>
            </w:pPr>
            <w:r>
              <w:rPr>
                <w:rFonts w:ascii="Arial" w:cs="Arial" w:eastAsia="Arial" w:hAnsi="Arial"/>
                <w:sz w:val="18"/>
                <w:szCs w:val="18"/>
                <w:b w:val="1"/>
                <w:bCs w:val="1"/>
                <w:color w:val="auto"/>
              </w:rPr>
              <w:t>Total</w:t>
            </w:r>
          </w:p>
        </w:tc>
      </w:tr>
      <w:tr>
        <w:trPr>
          <w:trHeight w:val="255"/>
        </w:trPr>
        <w:tc>
          <w:tcPr>
            <w:tcW w:w="40" w:type="dxa"/>
            <w:vAlign w:val="bottom"/>
          </w:tcPr>
          <w:p>
            <w:pPr>
              <w:spacing w:after="0"/>
              <w:rPr>
                <w:sz w:val="22"/>
                <w:szCs w:val="22"/>
                <w:color w:val="auto"/>
              </w:rPr>
            </w:pPr>
          </w:p>
        </w:tc>
        <w:tc>
          <w:tcPr>
            <w:tcW w:w="5920" w:type="dxa"/>
            <w:vAlign w:val="bottom"/>
            <w:tcBorders>
              <w:bottom w:val="single" w:sz="8" w:color="B8CCE4"/>
            </w:tcBorders>
            <w:shd w:val="clear" w:color="auto" w:fill="B8CCE4"/>
          </w:tcPr>
          <w:p>
            <w:pPr>
              <w:ind w:left="2740"/>
              <w:spacing w:after="0"/>
              <w:rPr>
                <w:sz w:val="20"/>
                <w:szCs w:val="20"/>
                <w:color w:val="auto"/>
              </w:rPr>
            </w:pPr>
            <w:r>
              <w:rPr>
                <w:rFonts w:ascii="Arial" w:cs="Arial" w:eastAsia="Arial" w:hAnsi="Arial"/>
                <w:sz w:val="18"/>
                <w:szCs w:val="18"/>
                <w:b w:val="1"/>
                <w:bCs w:val="1"/>
                <w:color w:val="auto"/>
              </w:rPr>
              <w:t>Name</w:t>
            </w:r>
          </w:p>
        </w:tc>
        <w:tc>
          <w:tcPr>
            <w:tcW w:w="1840" w:type="dxa"/>
            <w:vAlign w:val="bottom"/>
            <w:tcBorders>
              <w:bottom w:val="single" w:sz="8" w:color="B8CCE4"/>
            </w:tcBorders>
            <w:shd w:val="clear" w:color="auto" w:fill="B8CCE4"/>
          </w:tcPr>
          <w:p>
            <w:pPr>
              <w:jc w:val="center"/>
              <w:spacing w:after="0"/>
              <w:rPr>
                <w:sz w:val="20"/>
                <w:szCs w:val="20"/>
                <w:color w:val="auto"/>
              </w:rPr>
            </w:pPr>
            <w:r>
              <w:rPr>
                <w:rFonts w:ascii="Arial" w:cs="Arial" w:eastAsia="Arial" w:hAnsi="Arial"/>
                <w:sz w:val="18"/>
                <w:szCs w:val="18"/>
                <w:b w:val="1"/>
                <w:bCs w:val="1"/>
                <w:color w:val="auto"/>
                <w:w w:val="99"/>
              </w:rPr>
              <w:t>($)</w:t>
            </w:r>
          </w:p>
        </w:tc>
        <w:tc>
          <w:tcPr>
            <w:tcW w:w="2120" w:type="dxa"/>
            <w:vAlign w:val="bottom"/>
            <w:tcBorders>
              <w:bottom w:val="single" w:sz="8" w:color="B8CCE4"/>
            </w:tcBorders>
            <w:shd w:val="clear" w:color="auto" w:fill="B8CCE4"/>
          </w:tcPr>
          <w:p>
            <w:pPr>
              <w:jc w:val="center"/>
              <w:ind w:right="210"/>
              <w:spacing w:after="0"/>
              <w:rPr>
                <w:sz w:val="20"/>
                <w:szCs w:val="20"/>
                <w:color w:val="auto"/>
              </w:rPr>
            </w:pPr>
            <w:r>
              <w:rPr>
                <w:rFonts w:ascii="Arial" w:cs="Arial" w:eastAsia="Arial" w:hAnsi="Arial"/>
                <w:sz w:val="18"/>
                <w:szCs w:val="18"/>
                <w:b w:val="1"/>
                <w:bCs w:val="1"/>
                <w:color w:val="auto"/>
                <w:w w:val="99"/>
              </w:rPr>
              <w:t>($)</w:t>
            </w:r>
          </w:p>
        </w:tc>
        <w:tc>
          <w:tcPr>
            <w:tcW w:w="1500" w:type="dxa"/>
            <w:vAlign w:val="bottom"/>
            <w:tcBorders>
              <w:bottom w:val="single" w:sz="8" w:color="B8CCE4"/>
            </w:tcBorders>
            <w:shd w:val="clear" w:color="auto" w:fill="B8CCE4"/>
          </w:tcPr>
          <w:p>
            <w:pPr>
              <w:jc w:val="right"/>
              <w:ind w:right="710"/>
              <w:spacing w:after="0"/>
              <w:rPr>
                <w:sz w:val="20"/>
                <w:szCs w:val="20"/>
                <w:color w:val="auto"/>
              </w:rPr>
            </w:pPr>
            <w:r>
              <w:rPr>
                <w:rFonts w:ascii="Arial" w:cs="Arial" w:eastAsia="Arial" w:hAnsi="Arial"/>
                <w:sz w:val="18"/>
                <w:szCs w:val="18"/>
                <w:b w:val="1"/>
                <w:bCs w:val="1"/>
                <w:color w:val="auto"/>
              </w:rPr>
              <w:t>($)</w:t>
            </w:r>
          </w:p>
        </w:tc>
      </w:tr>
      <w:tr>
        <w:trPr>
          <w:trHeight w:val="257"/>
        </w:trPr>
        <w:tc>
          <w:tcPr>
            <w:tcW w:w="40" w:type="dxa"/>
            <w:vAlign w:val="bottom"/>
          </w:tcPr>
          <w:p>
            <w:pPr>
              <w:spacing w:after="0"/>
              <w:rPr>
                <w:sz w:val="22"/>
                <w:szCs w:val="22"/>
                <w:color w:val="auto"/>
              </w:rPr>
            </w:pPr>
          </w:p>
        </w:tc>
        <w:tc>
          <w:tcPr>
            <w:tcW w:w="5920" w:type="dxa"/>
            <w:vAlign w:val="bottom"/>
            <w:shd w:val="clear" w:color="auto" w:fill="DBE5F1"/>
          </w:tcPr>
          <w:p>
            <w:pPr>
              <w:ind w:left="20"/>
              <w:spacing w:after="0"/>
              <w:rPr>
                <w:sz w:val="20"/>
                <w:szCs w:val="20"/>
                <w:color w:val="auto"/>
              </w:rPr>
            </w:pPr>
            <w:r>
              <w:rPr>
                <w:rFonts w:ascii="Arial" w:cs="Arial" w:eastAsia="Arial" w:hAnsi="Arial"/>
                <w:sz w:val="18"/>
                <w:szCs w:val="18"/>
                <w:b w:val="1"/>
                <w:bCs w:val="1"/>
                <w:color w:val="auto"/>
              </w:rPr>
              <w:t>Michael R. Klein, Chairman</w:t>
            </w:r>
          </w:p>
        </w:tc>
        <w:tc>
          <w:tcPr>
            <w:tcW w:w="1840" w:type="dxa"/>
            <w:vAlign w:val="bottom"/>
            <w:shd w:val="clear" w:color="auto" w:fill="DBE5F1"/>
          </w:tcPr>
          <w:p>
            <w:pPr>
              <w:jc w:val="right"/>
              <w:ind w:right="10"/>
              <w:spacing w:after="0"/>
              <w:rPr>
                <w:sz w:val="20"/>
                <w:szCs w:val="20"/>
                <w:color w:val="auto"/>
              </w:rPr>
            </w:pPr>
            <w:r>
              <w:rPr>
                <w:rFonts w:ascii="Arial" w:cs="Arial" w:eastAsia="Arial" w:hAnsi="Arial"/>
                <w:sz w:val="18"/>
                <w:szCs w:val="18"/>
                <w:color w:val="auto"/>
              </w:rPr>
              <w:t>$120,000</w:t>
            </w:r>
          </w:p>
        </w:tc>
        <w:tc>
          <w:tcPr>
            <w:tcW w:w="2120" w:type="dxa"/>
            <w:vAlign w:val="bottom"/>
            <w:shd w:val="clear" w:color="auto" w:fill="DBE5F1"/>
          </w:tcPr>
          <w:p>
            <w:pPr>
              <w:jc w:val="right"/>
              <w:ind w:right="330"/>
              <w:spacing w:after="0"/>
              <w:rPr>
                <w:sz w:val="20"/>
                <w:szCs w:val="20"/>
                <w:color w:val="auto"/>
              </w:rPr>
            </w:pPr>
            <w:r>
              <w:rPr>
                <w:rFonts w:ascii="Arial" w:cs="Arial" w:eastAsia="Arial" w:hAnsi="Arial"/>
                <w:sz w:val="18"/>
                <w:szCs w:val="18"/>
                <w:color w:val="auto"/>
              </w:rPr>
              <w:t>$196,016</w:t>
            </w:r>
          </w:p>
        </w:tc>
        <w:tc>
          <w:tcPr>
            <w:tcW w:w="1500" w:type="dxa"/>
            <w:vAlign w:val="bottom"/>
            <w:shd w:val="clear" w:color="auto" w:fill="DBE5F1"/>
          </w:tcPr>
          <w:p>
            <w:pPr>
              <w:jc w:val="right"/>
              <w:ind w:right="10"/>
              <w:spacing w:after="0"/>
              <w:rPr>
                <w:sz w:val="20"/>
                <w:szCs w:val="20"/>
                <w:color w:val="auto"/>
              </w:rPr>
            </w:pPr>
            <w:r>
              <w:rPr>
                <w:rFonts w:ascii="Arial" w:cs="Arial" w:eastAsia="Arial" w:hAnsi="Arial"/>
                <w:sz w:val="18"/>
                <w:szCs w:val="18"/>
                <w:color w:val="auto"/>
              </w:rPr>
              <w:t>$316,016</w:t>
            </w:r>
          </w:p>
        </w:tc>
      </w:tr>
      <w:tr>
        <w:trPr>
          <w:trHeight w:val="297"/>
        </w:trPr>
        <w:tc>
          <w:tcPr>
            <w:tcW w:w="40" w:type="dxa"/>
            <w:vAlign w:val="bottom"/>
          </w:tcPr>
          <w:p>
            <w:pPr>
              <w:spacing w:after="0"/>
              <w:rPr>
                <w:sz w:val="24"/>
                <w:szCs w:val="24"/>
                <w:color w:val="auto"/>
              </w:rPr>
            </w:pPr>
          </w:p>
        </w:tc>
        <w:tc>
          <w:tcPr>
            <w:tcW w:w="5920" w:type="dxa"/>
            <w:vAlign w:val="bottom"/>
            <w:shd w:val="clear" w:color="auto" w:fill="DBE5F1"/>
          </w:tcPr>
          <w:p>
            <w:pPr>
              <w:ind w:left="20"/>
              <w:spacing w:after="0"/>
              <w:rPr>
                <w:sz w:val="20"/>
                <w:szCs w:val="20"/>
                <w:color w:val="auto"/>
              </w:rPr>
            </w:pPr>
            <w:r>
              <w:rPr>
                <w:rFonts w:ascii="Arial" w:cs="Arial" w:eastAsia="Arial" w:hAnsi="Arial"/>
                <w:sz w:val="18"/>
                <w:szCs w:val="18"/>
                <w:b w:val="1"/>
                <w:bCs w:val="1"/>
                <w:color w:val="auto"/>
              </w:rPr>
              <w:t>Michael J. Glosserman</w:t>
            </w:r>
          </w:p>
        </w:tc>
        <w:tc>
          <w:tcPr>
            <w:tcW w:w="1840" w:type="dxa"/>
            <w:vAlign w:val="bottom"/>
            <w:shd w:val="clear" w:color="auto" w:fill="DBE5F1"/>
          </w:tcPr>
          <w:p>
            <w:pPr>
              <w:jc w:val="right"/>
              <w:ind w:right="10"/>
              <w:spacing w:after="0"/>
              <w:rPr>
                <w:sz w:val="20"/>
                <w:szCs w:val="20"/>
                <w:color w:val="auto"/>
              </w:rPr>
            </w:pPr>
            <w:r>
              <w:rPr>
                <w:rFonts w:ascii="Arial" w:cs="Arial" w:eastAsia="Arial" w:hAnsi="Arial"/>
                <w:sz w:val="18"/>
                <w:szCs w:val="18"/>
                <w:color w:val="auto"/>
              </w:rPr>
              <w:t>$50,000</w:t>
            </w:r>
          </w:p>
        </w:tc>
        <w:tc>
          <w:tcPr>
            <w:tcW w:w="2120" w:type="dxa"/>
            <w:vAlign w:val="bottom"/>
            <w:shd w:val="clear" w:color="auto" w:fill="DBE5F1"/>
          </w:tcPr>
          <w:p>
            <w:pPr>
              <w:jc w:val="right"/>
              <w:ind w:right="330"/>
              <w:spacing w:after="0"/>
              <w:rPr>
                <w:sz w:val="20"/>
                <w:szCs w:val="20"/>
                <w:color w:val="auto"/>
              </w:rPr>
            </w:pPr>
            <w:r>
              <w:rPr>
                <w:rFonts w:ascii="Arial" w:cs="Arial" w:eastAsia="Arial" w:hAnsi="Arial"/>
                <w:sz w:val="18"/>
                <w:szCs w:val="18"/>
                <w:color w:val="auto"/>
              </w:rPr>
              <w:t>$196,016</w:t>
            </w:r>
          </w:p>
        </w:tc>
        <w:tc>
          <w:tcPr>
            <w:tcW w:w="1500" w:type="dxa"/>
            <w:vAlign w:val="bottom"/>
            <w:shd w:val="clear" w:color="auto" w:fill="DBE5F1"/>
          </w:tcPr>
          <w:p>
            <w:pPr>
              <w:jc w:val="right"/>
              <w:ind w:right="10"/>
              <w:spacing w:after="0"/>
              <w:rPr>
                <w:sz w:val="20"/>
                <w:szCs w:val="20"/>
                <w:color w:val="auto"/>
              </w:rPr>
            </w:pPr>
            <w:r>
              <w:rPr>
                <w:rFonts w:ascii="Arial" w:cs="Arial" w:eastAsia="Arial" w:hAnsi="Arial"/>
                <w:sz w:val="18"/>
                <w:szCs w:val="18"/>
                <w:color w:val="auto"/>
              </w:rPr>
              <w:t>$246,016</w:t>
            </w:r>
          </w:p>
        </w:tc>
      </w:tr>
      <w:tr>
        <w:trPr>
          <w:trHeight w:val="297"/>
        </w:trPr>
        <w:tc>
          <w:tcPr>
            <w:tcW w:w="40" w:type="dxa"/>
            <w:vAlign w:val="bottom"/>
          </w:tcPr>
          <w:p>
            <w:pPr>
              <w:spacing w:after="0"/>
              <w:rPr>
                <w:sz w:val="24"/>
                <w:szCs w:val="24"/>
                <w:color w:val="auto"/>
              </w:rPr>
            </w:pPr>
          </w:p>
        </w:tc>
        <w:tc>
          <w:tcPr>
            <w:tcW w:w="5920" w:type="dxa"/>
            <w:vAlign w:val="bottom"/>
            <w:shd w:val="clear" w:color="auto" w:fill="DBE5F1"/>
          </w:tcPr>
          <w:p>
            <w:pPr>
              <w:ind w:left="20"/>
              <w:spacing w:after="0"/>
              <w:rPr>
                <w:sz w:val="20"/>
                <w:szCs w:val="20"/>
                <w:color w:val="auto"/>
              </w:rPr>
            </w:pPr>
            <w:r>
              <w:rPr>
                <w:rFonts w:ascii="Arial" w:cs="Arial" w:eastAsia="Arial" w:hAnsi="Arial"/>
                <w:sz w:val="18"/>
                <w:szCs w:val="18"/>
                <w:b w:val="1"/>
                <w:bCs w:val="1"/>
                <w:color w:val="auto"/>
              </w:rPr>
              <w:t>Warren H. Haber</w:t>
            </w:r>
          </w:p>
        </w:tc>
        <w:tc>
          <w:tcPr>
            <w:tcW w:w="1840" w:type="dxa"/>
            <w:vAlign w:val="bottom"/>
            <w:shd w:val="clear" w:color="auto" w:fill="DBE5F1"/>
          </w:tcPr>
          <w:p>
            <w:pPr>
              <w:jc w:val="right"/>
              <w:ind w:right="10"/>
              <w:spacing w:after="0"/>
              <w:rPr>
                <w:sz w:val="20"/>
                <w:szCs w:val="20"/>
                <w:color w:val="auto"/>
              </w:rPr>
            </w:pPr>
            <w:r>
              <w:rPr>
                <w:rFonts w:ascii="Arial" w:cs="Arial" w:eastAsia="Arial" w:hAnsi="Arial"/>
                <w:sz w:val="18"/>
                <w:szCs w:val="18"/>
                <w:color w:val="auto"/>
              </w:rPr>
              <w:t>$50,000</w:t>
            </w:r>
          </w:p>
        </w:tc>
        <w:tc>
          <w:tcPr>
            <w:tcW w:w="2120" w:type="dxa"/>
            <w:vAlign w:val="bottom"/>
            <w:shd w:val="clear" w:color="auto" w:fill="DBE5F1"/>
          </w:tcPr>
          <w:p>
            <w:pPr>
              <w:jc w:val="right"/>
              <w:ind w:right="330"/>
              <w:spacing w:after="0"/>
              <w:rPr>
                <w:sz w:val="20"/>
                <w:szCs w:val="20"/>
                <w:color w:val="auto"/>
              </w:rPr>
            </w:pPr>
            <w:r>
              <w:rPr>
                <w:rFonts w:ascii="Arial" w:cs="Arial" w:eastAsia="Arial" w:hAnsi="Arial"/>
                <w:sz w:val="18"/>
                <w:szCs w:val="18"/>
                <w:color w:val="auto"/>
              </w:rPr>
              <w:t>$190,162</w:t>
            </w:r>
          </w:p>
        </w:tc>
        <w:tc>
          <w:tcPr>
            <w:tcW w:w="1500" w:type="dxa"/>
            <w:vAlign w:val="bottom"/>
            <w:shd w:val="clear" w:color="auto" w:fill="DBE5F1"/>
          </w:tcPr>
          <w:p>
            <w:pPr>
              <w:jc w:val="right"/>
              <w:ind w:right="10"/>
              <w:spacing w:after="0"/>
              <w:rPr>
                <w:sz w:val="20"/>
                <w:szCs w:val="20"/>
                <w:color w:val="auto"/>
              </w:rPr>
            </w:pPr>
            <w:r>
              <w:rPr>
                <w:rFonts w:ascii="Arial" w:cs="Arial" w:eastAsia="Arial" w:hAnsi="Arial"/>
                <w:sz w:val="18"/>
                <w:szCs w:val="18"/>
                <w:color w:val="auto"/>
              </w:rPr>
              <w:t>$240,162</w:t>
            </w:r>
          </w:p>
        </w:tc>
      </w:tr>
      <w:tr>
        <w:trPr>
          <w:trHeight w:val="297"/>
        </w:trPr>
        <w:tc>
          <w:tcPr>
            <w:tcW w:w="40" w:type="dxa"/>
            <w:vAlign w:val="bottom"/>
          </w:tcPr>
          <w:p>
            <w:pPr>
              <w:spacing w:after="0"/>
              <w:rPr>
                <w:sz w:val="24"/>
                <w:szCs w:val="24"/>
                <w:color w:val="auto"/>
              </w:rPr>
            </w:pPr>
          </w:p>
        </w:tc>
        <w:tc>
          <w:tcPr>
            <w:tcW w:w="5920" w:type="dxa"/>
            <w:vAlign w:val="bottom"/>
            <w:shd w:val="clear" w:color="auto" w:fill="DBE5F1"/>
          </w:tcPr>
          <w:p>
            <w:pPr>
              <w:ind w:left="20"/>
              <w:spacing w:after="0"/>
              <w:rPr>
                <w:sz w:val="20"/>
                <w:szCs w:val="20"/>
                <w:color w:val="auto"/>
              </w:rPr>
            </w:pPr>
            <w:r>
              <w:rPr>
                <w:rFonts w:ascii="Arial" w:cs="Arial" w:eastAsia="Arial" w:hAnsi="Arial"/>
                <w:sz w:val="18"/>
                <w:szCs w:val="18"/>
                <w:b w:val="1"/>
                <w:bCs w:val="1"/>
                <w:color w:val="auto"/>
              </w:rPr>
              <w:t>John W. Hill</w:t>
            </w:r>
          </w:p>
        </w:tc>
        <w:tc>
          <w:tcPr>
            <w:tcW w:w="1840" w:type="dxa"/>
            <w:vAlign w:val="bottom"/>
            <w:shd w:val="clear" w:color="auto" w:fill="DBE5F1"/>
          </w:tcPr>
          <w:p>
            <w:pPr>
              <w:jc w:val="right"/>
              <w:ind w:right="10"/>
              <w:spacing w:after="0"/>
              <w:rPr>
                <w:sz w:val="20"/>
                <w:szCs w:val="20"/>
                <w:color w:val="auto"/>
              </w:rPr>
            </w:pPr>
            <w:r>
              <w:rPr>
                <w:rFonts w:ascii="Arial" w:cs="Arial" w:eastAsia="Arial" w:hAnsi="Arial"/>
                <w:sz w:val="18"/>
                <w:szCs w:val="18"/>
                <w:color w:val="auto"/>
              </w:rPr>
              <w:t>$50,000</w:t>
            </w:r>
          </w:p>
        </w:tc>
        <w:tc>
          <w:tcPr>
            <w:tcW w:w="2120" w:type="dxa"/>
            <w:vAlign w:val="bottom"/>
            <w:shd w:val="clear" w:color="auto" w:fill="DBE5F1"/>
          </w:tcPr>
          <w:p>
            <w:pPr>
              <w:jc w:val="right"/>
              <w:ind w:right="330"/>
              <w:spacing w:after="0"/>
              <w:rPr>
                <w:sz w:val="20"/>
                <w:szCs w:val="20"/>
                <w:color w:val="auto"/>
              </w:rPr>
            </w:pPr>
            <w:r>
              <w:rPr>
                <w:rFonts w:ascii="Arial" w:cs="Arial" w:eastAsia="Arial" w:hAnsi="Arial"/>
                <w:sz w:val="18"/>
                <w:szCs w:val="18"/>
                <w:color w:val="auto"/>
              </w:rPr>
              <w:t>$205,063</w:t>
            </w:r>
          </w:p>
        </w:tc>
        <w:tc>
          <w:tcPr>
            <w:tcW w:w="1500" w:type="dxa"/>
            <w:vAlign w:val="bottom"/>
            <w:shd w:val="clear" w:color="auto" w:fill="DBE5F1"/>
          </w:tcPr>
          <w:p>
            <w:pPr>
              <w:jc w:val="right"/>
              <w:ind w:right="10"/>
              <w:spacing w:after="0"/>
              <w:rPr>
                <w:sz w:val="20"/>
                <w:szCs w:val="20"/>
                <w:color w:val="auto"/>
              </w:rPr>
            </w:pPr>
            <w:r>
              <w:rPr>
                <w:rFonts w:ascii="Arial" w:cs="Arial" w:eastAsia="Arial" w:hAnsi="Arial"/>
                <w:sz w:val="18"/>
                <w:szCs w:val="18"/>
                <w:color w:val="auto"/>
              </w:rPr>
              <w:t>$255,063</w:t>
            </w:r>
          </w:p>
        </w:tc>
      </w:tr>
      <w:tr>
        <w:trPr>
          <w:trHeight w:val="297"/>
        </w:trPr>
        <w:tc>
          <w:tcPr>
            <w:tcW w:w="40" w:type="dxa"/>
            <w:vAlign w:val="bottom"/>
          </w:tcPr>
          <w:p>
            <w:pPr>
              <w:spacing w:after="0"/>
              <w:rPr>
                <w:sz w:val="24"/>
                <w:szCs w:val="24"/>
                <w:color w:val="auto"/>
              </w:rPr>
            </w:pPr>
          </w:p>
        </w:tc>
        <w:tc>
          <w:tcPr>
            <w:tcW w:w="5920" w:type="dxa"/>
            <w:vAlign w:val="bottom"/>
            <w:shd w:val="clear" w:color="auto" w:fill="DBE5F1"/>
          </w:tcPr>
          <w:p>
            <w:pPr>
              <w:ind w:left="20"/>
              <w:spacing w:after="0"/>
              <w:rPr>
                <w:sz w:val="20"/>
                <w:szCs w:val="20"/>
                <w:color w:val="auto"/>
              </w:rPr>
            </w:pPr>
            <w:r>
              <w:rPr>
                <w:rFonts w:ascii="Arial" w:cs="Arial" w:eastAsia="Arial" w:hAnsi="Arial"/>
                <w:sz w:val="18"/>
                <w:szCs w:val="18"/>
                <w:b w:val="1"/>
                <w:bCs w:val="1"/>
                <w:color w:val="auto"/>
              </w:rPr>
              <w:t>Christopher J. Nassetta</w:t>
            </w:r>
          </w:p>
        </w:tc>
        <w:tc>
          <w:tcPr>
            <w:tcW w:w="1840" w:type="dxa"/>
            <w:vAlign w:val="bottom"/>
            <w:shd w:val="clear" w:color="auto" w:fill="DBE5F1"/>
          </w:tcPr>
          <w:p>
            <w:pPr>
              <w:jc w:val="right"/>
              <w:ind w:right="10"/>
              <w:spacing w:after="0"/>
              <w:rPr>
                <w:sz w:val="20"/>
                <w:szCs w:val="20"/>
                <w:color w:val="auto"/>
              </w:rPr>
            </w:pPr>
            <w:r>
              <w:rPr>
                <w:rFonts w:ascii="Arial" w:cs="Arial" w:eastAsia="Arial" w:hAnsi="Arial"/>
                <w:sz w:val="18"/>
                <w:szCs w:val="18"/>
                <w:color w:val="auto"/>
              </w:rPr>
              <w:t>$50,000</w:t>
            </w:r>
          </w:p>
        </w:tc>
        <w:tc>
          <w:tcPr>
            <w:tcW w:w="2120" w:type="dxa"/>
            <w:vAlign w:val="bottom"/>
            <w:shd w:val="clear" w:color="auto" w:fill="DBE5F1"/>
          </w:tcPr>
          <w:p>
            <w:pPr>
              <w:jc w:val="right"/>
              <w:ind w:right="330"/>
              <w:spacing w:after="0"/>
              <w:rPr>
                <w:sz w:val="20"/>
                <w:szCs w:val="20"/>
                <w:color w:val="auto"/>
              </w:rPr>
            </w:pPr>
            <w:r>
              <w:rPr>
                <w:rFonts w:ascii="Arial" w:cs="Arial" w:eastAsia="Arial" w:hAnsi="Arial"/>
                <w:sz w:val="18"/>
                <w:szCs w:val="18"/>
                <w:color w:val="auto"/>
              </w:rPr>
              <w:t>$198,145</w:t>
            </w:r>
          </w:p>
        </w:tc>
        <w:tc>
          <w:tcPr>
            <w:tcW w:w="1500" w:type="dxa"/>
            <w:vAlign w:val="bottom"/>
            <w:shd w:val="clear" w:color="auto" w:fill="DBE5F1"/>
          </w:tcPr>
          <w:p>
            <w:pPr>
              <w:jc w:val="right"/>
              <w:ind w:right="10"/>
              <w:spacing w:after="0"/>
              <w:rPr>
                <w:sz w:val="20"/>
                <w:szCs w:val="20"/>
                <w:color w:val="auto"/>
              </w:rPr>
            </w:pPr>
            <w:r>
              <w:rPr>
                <w:rFonts w:ascii="Arial" w:cs="Arial" w:eastAsia="Arial" w:hAnsi="Arial"/>
                <w:sz w:val="18"/>
                <w:szCs w:val="18"/>
                <w:color w:val="auto"/>
              </w:rPr>
              <w:t>$248,145</w:t>
            </w:r>
          </w:p>
        </w:tc>
      </w:tr>
      <w:tr>
        <w:trPr>
          <w:trHeight w:val="304"/>
        </w:trPr>
        <w:tc>
          <w:tcPr>
            <w:tcW w:w="40" w:type="dxa"/>
            <w:vAlign w:val="bottom"/>
          </w:tcPr>
          <w:p>
            <w:pPr>
              <w:spacing w:after="0"/>
              <w:rPr>
                <w:sz w:val="24"/>
                <w:szCs w:val="24"/>
                <w:color w:val="auto"/>
              </w:rPr>
            </w:pPr>
          </w:p>
        </w:tc>
        <w:tc>
          <w:tcPr>
            <w:tcW w:w="5920" w:type="dxa"/>
            <w:vAlign w:val="bottom"/>
            <w:tcBorders>
              <w:bottom w:val="single" w:sz="8" w:color="DBE5F1"/>
            </w:tcBorders>
            <w:shd w:val="clear" w:color="auto" w:fill="DBE5F1"/>
          </w:tcPr>
          <w:p>
            <w:pPr>
              <w:ind w:left="20"/>
              <w:spacing w:after="0"/>
              <w:rPr>
                <w:sz w:val="20"/>
                <w:szCs w:val="20"/>
                <w:color w:val="auto"/>
              </w:rPr>
            </w:pPr>
            <w:r>
              <w:rPr>
                <w:rFonts w:ascii="Arial" w:cs="Arial" w:eastAsia="Arial" w:hAnsi="Arial"/>
                <w:sz w:val="18"/>
                <w:szCs w:val="18"/>
                <w:b w:val="1"/>
                <w:bCs w:val="1"/>
                <w:color w:val="auto"/>
              </w:rPr>
              <w:t>David J. Steinberg</w:t>
            </w:r>
          </w:p>
        </w:tc>
        <w:tc>
          <w:tcPr>
            <w:tcW w:w="1840" w:type="dxa"/>
            <w:vAlign w:val="bottom"/>
            <w:tcBorders>
              <w:bottom w:val="single" w:sz="8" w:color="DBE5F1"/>
            </w:tcBorders>
            <w:shd w:val="clear" w:color="auto" w:fill="DBE5F1"/>
          </w:tcPr>
          <w:p>
            <w:pPr>
              <w:jc w:val="right"/>
              <w:ind w:right="10"/>
              <w:spacing w:after="0"/>
              <w:rPr>
                <w:sz w:val="20"/>
                <w:szCs w:val="20"/>
                <w:color w:val="auto"/>
              </w:rPr>
            </w:pPr>
            <w:r>
              <w:rPr>
                <w:rFonts w:ascii="Arial" w:cs="Arial" w:eastAsia="Arial" w:hAnsi="Arial"/>
                <w:sz w:val="18"/>
                <w:szCs w:val="18"/>
                <w:color w:val="auto"/>
              </w:rPr>
              <w:t>$50,000</w:t>
            </w:r>
          </w:p>
        </w:tc>
        <w:tc>
          <w:tcPr>
            <w:tcW w:w="2120" w:type="dxa"/>
            <w:vAlign w:val="bottom"/>
            <w:tcBorders>
              <w:bottom w:val="single" w:sz="8" w:color="DBE5F1"/>
            </w:tcBorders>
            <w:shd w:val="clear" w:color="auto" w:fill="DBE5F1"/>
          </w:tcPr>
          <w:p>
            <w:pPr>
              <w:jc w:val="right"/>
              <w:ind w:right="330"/>
              <w:spacing w:after="0"/>
              <w:rPr>
                <w:sz w:val="20"/>
                <w:szCs w:val="20"/>
                <w:color w:val="auto"/>
              </w:rPr>
            </w:pPr>
            <w:r>
              <w:rPr>
                <w:rFonts w:ascii="Arial" w:cs="Arial" w:eastAsia="Arial" w:hAnsi="Arial"/>
                <w:sz w:val="18"/>
                <w:szCs w:val="18"/>
                <w:color w:val="auto"/>
              </w:rPr>
              <w:t>$190,162</w:t>
            </w:r>
          </w:p>
        </w:tc>
        <w:tc>
          <w:tcPr>
            <w:tcW w:w="1500" w:type="dxa"/>
            <w:vAlign w:val="bottom"/>
            <w:tcBorders>
              <w:bottom w:val="single" w:sz="8" w:color="DBE5F1"/>
            </w:tcBorders>
            <w:shd w:val="clear" w:color="auto" w:fill="DBE5F1"/>
          </w:tcPr>
          <w:p>
            <w:pPr>
              <w:jc w:val="right"/>
              <w:ind w:right="10"/>
              <w:spacing w:after="0"/>
              <w:rPr>
                <w:sz w:val="20"/>
                <w:szCs w:val="20"/>
                <w:color w:val="auto"/>
              </w:rPr>
            </w:pPr>
            <w:r>
              <w:rPr>
                <w:rFonts w:ascii="Arial" w:cs="Arial" w:eastAsia="Arial" w:hAnsi="Arial"/>
                <w:sz w:val="18"/>
                <w:szCs w:val="18"/>
                <w:color w:val="auto"/>
              </w:rPr>
              <w:t>$240,162</w:t>
            </w:r>
          </w:p>
        </w:tc>
      </w:tr>
      <w:tr>
        <w:trPr>
          <w:trHeight w:val="230"/>
        </w:trPr>
        <w:tc>
          <w:tcPr>
            <w:tcW w:w="40" w:type="dxa"/>
            <w:vAlign w:val="bottom"/>
          </w:tcPr>
          <w:p>
            <w:pPr>
              <w:spacing w:after="0"/>
              <w:rPr>
                <w:sz w:val="20"/>
                <w:szCs w:val="20"/>
                <w:color w:val="auto"/>
              </w:rPr>
            </w:pPr>
          </w:p>
        </w:tc>
        <w:tc>
          <w:tcPr>
            <w:tcW w:w="5920" w:type="dxa"/>
            <w:vAlign w:val="bottom"/>
          </w:tcPr>
          <w:p>
            <w:pPr>
              <w:spacing w:after="0"/>
              <w:rPr>
                <w:sz w:val="20"/>
                <w:szCs w:val="20"/>
                <w:color w:val="auto"/>
              </w:rPr>
            </w:pPr>
            <w:r>
              <w:rPr>
                <w:rFonts w:ascii="Arial" w:cs="Arial" w:eastAsia="Arial" w:hAnsi="Arial"/>
                <w:sz w:val="18"/>
                <w:szCs w:val="18"/>
                <w:color w:val="auto"/>
              </w:rPr>
              <w:t>__________</w:t>
            </w:r>
          </w:p>
        </w:tc>
        <w:tc>
          <w:tcPr>
            <w:tcW w:w="184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1500" w:type="dxa"/>
            <w:vAlign w:val="bottom"/>
          </w:tcPr>
          <w:p>
            <w:pPr>
              <w:spacing w:after="0"/>
              <w:rPr>
                <w:sz w:val="20"/>
                <w:szCs w:val="20"/>
                <w:color w:val="auto"/>
              </w:rPr>
            </w:pPr>
          </w:p>
        </w:tc>
      </w:tr>
    </w:tbl>
    <w:p>
      <w:pPr>
        <w:spacing w:after="0" w:line="30" w:lineRule="exact"/>
        <w:rPr>
          <w:sz w:val="20"/>
          <w:szCs w:val="20"/>
          <w:color w:val="auto"/>
        </w:rPr>
      </w:pPr>
    </w:p>
    <w:p>
      <w:pPr>
        <w:ind w:left="340" w:hanging="318"/>
        <w:spacing w:after="0"/>
        <w:tabs>
          <w:tab w:leader="none" w:pos="340" w:val="left"/>
        </w:tabs>
        <w:numPr>
          <w:ilvl w:val="0"/>
          <w:numId w:val="25"/>
        </w:numPr>
        <w:rPr>
          <w:rFonts w:ascii="Arial" w:cs="Arial" w:eastAsia="Arial" w:hAnsi="Arial"/>
          <w:sz w:val="16"/>
          <w:szCs w:val="16"/>
          <w:color w:val="auto"/>
        </w:rPr>
      </w:pPr>
      <w:r>
        <w:rPr>
          <w:rFonts w:ascii="Arial" w:cs="Arial" w:eastAsia="Arial" w:hAnsi="Arial"/>
          <w:sz w:val="16"/>
          <w:szCs w:val="16"/>
          <w:color w:val="auto"/>
        </w:rPr>
        <w:t>This column shows the amount of cash compensation earned in 2015 for Board and Committee service.</w:t>
      </w:r>
    </w:p>
    <w:p>
      <w:pPr>
        <w:spacing w:after="0" w:line="19" w:lineRule="exact"/>
        <w:rPr>
          <w:rFonts w:ascii="Arial" w:cs="Arial" w:eastAsia="Arial" w:hAnsi="Arial"/>
          <w:sz w:val="16"/>
          <w:szCs w:val="16"/>
          <w:color w:val="auto"/>
        </w:rPr>
      </w:pPr>
    </w:p>
    <w:p>
      <w:pPr>
        <w:jc w:val="both"/>
        <w:ind w:left="340" w:hanging="318"/>
        <w:spacing w:after="0" w:line="249" w:lineRule="auto"/>
        <w:tabs>
          <w:tab w:leader="none" w:pos="340" w:val="left"/>
        </w:tabs>
        <w:numPr>
          <w:ilvl w:val="0"/>
          <w:numId w:val="25"/>
        </w:numPr>
        <w:rPr>
          <w:rFonts w:ascii="Arial" w:cs="Arial" w:eastAsia="Arial" w:hAnsi="Arial"/>
          <w:sz w:val="16"/>
          <w:szCs w:val="16"/>
          <w:color w:val="auto"/>
        </w:rPr>
      </w:pPr>
      <w:r>
        <w:rPr>
          <w:rFonts w:ascii="Arial" w:cs="Arial" w:eastAsia="Arial" w:hAnsi="Arial"/>
          <w:sz w:val="16"/>
          <w:szCs w:val="16"/>
          <w:color w:val="auto"/>
        </w:rPr>
        <w:t>This column shows the aggregate grant date fair value of shares of restricted stock granted in 2015 to each non-employee director, computed in accordance with Financial Accounting Standards Board (FASB) Accounting Standards Codification Topic 718, “Compensation – Stock Compensation”. Each non-employee director received one grant of restricted stock on September 9, 2015 for his service on the Board and any committees, as applicable. Generally, the grant date fair value is the amount the Company expenses in its financial statements over the awards’ vesting period and is based on the closing price of our common stock on the date of grant, which was $177.39 on September 9, 2015.</w:t>
      </w:r>
    </w:p>
    <w:p>
      <w:pPr>
        <w:spacing w:after="0" w:line="189"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following table shows the number of shares of restricted stock granted to each non-employee director during 2015, as well as the aggregate number of shares of restricted stock and stock options held by each non-employee director as of December 31,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203200</wp:posOffset>
            </wp:positionV>
            <wp:extent cx="7246620" cy="153479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534795"/>
                    </a:xfrm>
                    <a:prstGeom prst="rect">
                      <a:avLst/>
                    </a:prstGeom>
                    <a:noFill/>
                  </pic:spPr>
                </pic:pic>
              </a:graphicData>
            </a:graphic>
          </wp:anchor>
        </w:drawing>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4420" w:type="dxa"/>
            <w:vAlign w:val="bottom"/>
            <w:shd w:val="clear" w:color="auto" w:fill="B8CCE4"/>
          </w:tcPr>
          <w:p>
            <w:pPr>
              <w:spacing w:after="0"/>
              <w:rPr>
                <w:sz w:val="19"/>
                <w:szCs w:val="19"/>
                <w:color w:val="auto"/>
              </w:rPr>
            </w:pPr>
          </w:p>
        </w:tc>
        <w:tc>
          <w:tcPr>
            <w:tcW w:w="1540" w:type="dxa"/>
            <w:vAlign w:val="bottom"/>
            <w:shd w:val="clear" w:color="auto" w:fill="B8CCE4"/>
          </w:tcPr>
          <w:p>
            <w:pPr>
              <w:spacing w:after="0"/>
              <w:rPr>
                <w:sz w:val="19"/>
                <w:szCs w:val="19"/>
                <w:color w:val="auto"/>
              </w:rPr>
            </w:pPr>
          </w:p>
        </w:tc>
        <w:tc>
          <w:tcPr>
            <w:tcW w:w="2740" w:type="dxa"/>
            <w:vAlign w:val="bottom"/>
            <w:shd w:val="clear" w:color="auto" w:fill="B8CCE4"/>
          </w:tcPr>
          <w:p>
            <w:pPr>
              <w:jc w:val="center"/>
              <w:spacing w:after="0"/>
              <w:rPr>
                <w:sz w:val="20"/>
                <w:szCs w:val="20"/>
                <w:color w:val="auto"/>
              </w:rPr>
            </w:pPr>
            <w:r>
              <w:rPr>
                <w:rFonts w:ascii="Arial" w:cs="Arial" w:eastAsia="Arial" w:hAnsi="Arial"/>
                <w:sz w:val="18"/>
                <w:szCs w:val="18"/>
                <w:b w:val="1"/>
                <w:bCs w:val="1"/>
                <w:color w:val="auto"/>
                <w:w w:val="89"/>
              </w:rPr>
              <w:t>Number of Shares of Restricted</w:t>
            </w:r>
          </w:p>
        </w:tc>
        <w:tc>
          <w:tcPr>
            <w:tcW w:w="2720" w:type="dxa"/>
            <w:vAlign w:val="bottom"/>
            <w:shd w:val="clear" w:color="auto" w:fill="B8CCE4"/>
          </w:tcPr>
          <w:p>
            <w:pPr>
              <w:jc w:val="center"/>
              <w:spacing w:after="0"/>
              <w:rPr>
                <w:sz w:val="20"/>
                <w:szCs w:val="20"/>
                <w:color w:val="auto"/>
              </w:rPr>
            </w:pPr>
            <w:r>
              <w:rPr>
                <w:rFonts w:ascii="Arial" w:cs="Arial" w:eastAsia="Arial" w:hAnsi="Arial"/>
                <w:sz w:val="18"/>
                <w:szCs w:val="18"/>
                <w:b w:val="1"/>
                <w:bCs w:val="1"/>
                <w:color w:val="auto"/>
                <w:w w:val="87"/>
              </w:rPr>
              <w:t>Aggregate Shares of Unvested</w:t>
            </w:r>
          </w:p>
        </w:tc>
      </w:tr>
      <w:tr>
        <w:trPr>
          <w:trHeight w:val="216"/>
        </w:trPr>
        <w:tc>
          <w:tcPr>
            <w:tcW w:w="4420" w:type="dxa"/>
            <w:vAlign w:val="bottom"/>
            <w:shd w:val="clear" w:color="auto" w:fill="B8CCE4"/>
          </w:tcPr>
          <w:p>
            <w:pPr>
              <w:spacing w:after="0"/>
              <w:rPr>
                <w:sz w:val="18"/>
                <w:szCs w:val="18"/>
                <w:color w:val="auto"/>
              </w:rPr>
            </w:pPr>
          </w:p>
        </w:tc>
        <w:tc>
          <w:tcPr>
            <w:tcW w:w="1540" w:type="dxa"/>
            <w:vAlign w:val="bottom"/>
            <w:shd w:val="clear" w:color="auto" w:fill="B8CCE4"/>
          </w:tcPr>
          <w:p>
            <w:pPr>
              <w:spacing w:after="0"/>
              <w:rPr>
                <w:sz w:val="18"/>
                <w:szCs w:val="18"/>
                <w:color w:val="auto"/>
              </w:rPr>
            </w:pPr>
          </w:p>
        </w:tc>
        <w:tc>
          <w:tcPr>
            <w:tcW w:w="2740" w:type="dxa"/>
            <w:vAlign w:val="bottom"/>
            <w:shd w:val="clear" w:color="auto" w:fill="B8CCE4"/>
          </w:tcPr>
          <w:p>
            <w:pPr>
              <w:jc w:val="center"/>
              <w:spacing w:after="0"/>
              <w:rPr>
                <w:sz w:val="20"/>
                <w:szCs w:val="20"/>
                <w:color w:val="auto"/>
              </w:rPr>
            </w:pPr>
            <w:r>
              <w:rPr>
                <w:rFonts w:ascii="Arial" w:cs="Arial" w:eastAsia="Arial" w:hAnsi="Arial"/>
                <w:sz w:val="18"/>
                <w:szCs w:val="18"/>
                <w:b w:val="1"/>
                <w:bCs w:val="1"/>
                <w:color w:val="auto"/>
                <w:w w:val="85"/>
              </w:rPr>
              <w:t>Stock</w:t>
            </w:r>
          </w:p>
        </w:tc>
        <w:tc>
          <w:tcPr>
            <w:tcW w:w="2720" w:type="dxa"/>
            <w:vAlign w:val="bottom"/>
            <w:shd w:val="clear" w:color="auto" w:fill="B8CCE4"/>
          </w:tcPr>
          <w:p>
            <w:pPr>
              <w:jc w:val="center"/>
              <w:spacing w:after="0"/>
              <w:rPr>
                <w:sz w:val="20"/>
                <w:szCs w:val="20"/>
                <w:color w:val="auto"/>
              </w:rPr>
            </w:pPr>
            <w:r>
              <w:rPr>
                <w:rFonts w:ascii="Arial" w:cs="Arial" w:eastAsia="Arial" w:hAnsi="Arial"/>
                <w:sz w:val="18"/>
                <w:szCs w:val="18"/>
                <w:b w:val="1"/>
                <w:bCs w:val="1"/>
                <w:color w:val="auto"/>
                <w:w w:val="90"/>
              </w:rPr>
              <w:t>Restricted Stock Held</w:t>
            </w:r>
          </w:p>
        </w:tc>
      </w:tr>
      <w:tr>
        <w:trPr>
          <w:trHeight w:val="255"/>
        </w:trPr>
        <w:tc>
          <w:tcPr>
            <w:tcW w:w="4420" w:type="dxa"/>
            <w:vAlign w:val="bottom"/>
            <w:tcBorders>
              <w:bottom w:val="single" w:sz="8" w:color="B8CCE4"/>
            </w:tcBorders>
            <w:shd w:val="clear" w:color="auto" w:fill="B8CCE4"/>
          </w:tcPr>
          <w:p>
            <w:pPr>
              <w:ind w:left="2760"/>
              <w:spacing w:after="0"/>
              <w:rPr>
                <w:sz w:val="20"/>
                <w:szCs w:val="20"/>
                <w:color w:val="auto"/>
              </w:rPr>
            </w:pPr>
            <w:r>
              <w:rPr>
                <w:rFonts w:ascii="Arial" w:cs="Arial" w:eastAsia="Arial" w:hAnsi="Arial"/>
                <w:sz w:val="18"/>
                <w:szCs w:val="18"/>
                <w:b w:val="1"/>
                <w:bCs w:val="1"/>
                <w:color w:val="auto"/>
              </w:rPr>
              <w:t>Name</w:t>
            </w:r>
          </w:p>
        </w:tc>
        <w:tc>
          <w:tcPr>
            <w:tcW w:w="1540" w:type="dxa"/>
            <w:vAlign w:val="bottom"/>
            <w:tcBorders>
              <w:bottom w:val="single" w:sz="8" w:color="B8CCE4"/>
            </w:tcBorders>
            <w:shd w:val="clear" w:color="auto" w:fill="B8CCE4"/>
          </w:tcPr>
          <w:p>
            <w:pPr>
              <w:spacing w:after="0"/>
              <w:rPr>
                <w:sz w:val="22"/>
                <w:szCs w:val="22"/>
                <w:color w:val="auto"/>
              </w:rPr>
            </w:pPr>
          </w:p>
        </w:tc>
        <w:tc>
          <w:tcPr>
            <w:tcW w:w="2740" w:type="dxa"/>
            <w:vAlign w:val="bottom"/>
            <w:tcBorders>
              <w:bottom w:val="single" w:sz="8" w:color="B8CCE4"/>
            </w:tcBorders>
            <w:shd w:val="clear" w:color="auto" w:fill="B8CCE4"/>
          </w:tcPr>
          <w:p>
            <w:pPr>
              <w:jc w:val="center"/>
              <w:spacing w:after="0"/>
              <w:rPr>
                <w:sz w:val="20"/>
                <w:szCs w:val="20"/>
                <w:color w:val="auto"/>
              </w:rPr>
            </w:pPr>
            <w:r>
              <w:rPr>
                <w:rFonts w:ascii="Arial" w:cs="Arial" w:eastAsia="Arial" w:hAnsi="Arial"/>
                <w:sz w:val="18"/>
                <w:szCs w:val="18"/>
                <w:b w:val="1"/>
                <w:bCs w:val="1"/>
                <w:color w:val="auto"/>
                <w:w w:val="91"/>
              </w:rPr>
              <w:t>Granted 9/9/15</w:t>
            </w:r>
          </w:p>
        </w:tc>
        <w:tc>
          <w:tcPr>
            <w:tcW w:w="2720" w:type="dxa"/>
            <w:vAlign w:val="bottom"/>
            <w:tcBorders>
              <w:bottom w:val="single" w:sz="8" w:color="B8CCE4"/>
            </w:tcBorders>
            <w:shd w:val="clear" w:color="auto" w:fill="B8CCE4"/>
          </w:tcPr>
          <w:p>
            <w:pPr>
              <w:jc w:val="center"/>
              <w:spacing w:after="0"/>
              <w:rPr>
                <w:sz w:val="20"/>
                <w:szCs w:val="20"/>
                <w:color w:val="auto"/>
              </w:rPr>
            </w:pPr>
            <w:r>
              <w:rPr>
                <w:rFonts w:ascii="Arial" w:cs="Arial" w:eastAsia="Arial" w:hAnsi="Arial"/>
                <w:sz w:val="18"/>
                <w:szCs w:val="18"/>
                <w:b w:val="1"/>
                <w:bCs w:val="1"/>
                <w:color w:val="auto"/>
                <w:w w:val="88"/>
              </w:rPr>
              <w:t>as of 12/31/15</w:t>
            </w:r>
          </w:p>
        </w:tc>
      </w:tr>
      <w:tr>
        <w:trPr>
          <w:trHeight w:val="257"/>
        </w:trPr>
        <w:tc>
          <w:tcPr>
            <w:tcW w:w="4420" w:type="dxa"/>
            <w:vAlign w:val="bottom"/>
            <w:shd w:val="clear" w:color="auto" w:fill="DBE5F1"/>
          </w:tcPr>
          <w:p>
            <w:pPr>
              <w:ind w:left="40"/>
              <w:spacing w:after="0"/>
              <w:rPr>
                <w:sz w:val="20"/>
                <w:szCs w:val="20"/>
                <w:color w:val="auto"/>
              </w:rPr>
            </w:pPr>
            <w:r>
              <w:rPr>
                <w:rFonts w:ascii="Arial" w:cs="Arial" w:eastAsia="Arial" w:hAnsi="Arial"/>
                <w:sz w:val="18"/>
                <w:szCs w:val="18"/>
                <w:b w:val="1"/>
                <w:bCs w:val="1"/>
                <w:color w:val="auto"/>
              </w:rPr>
              <w:t>Michael R. Klein, Chairman</w:t>
            </w:r>
          </w:p>
        </w:tc>
        <w:tc>
          <w:tcPr>
            <w:tcW w:w="1540" w:type="dxa"/>
            <w:vAlign w:val="bottom"/>
            <w:shd w:val="clear" w:color="auto" w:fill="DBE5F1"/>
          </w:tcPr>
          <w:p>
            <w:pPr>
              <w:spacing w:after="0"/>
              <w:rPr>
                <w:sz w:val="22"/>
                <w:szCs w:val="22"/>
                <w:color w:val="auto"/>
              </w:rPr>
            </w:pPr>
          </w:p>
        </w:tc>
        <w:tc>
          <w:tcPr>
            <w:tcW w:w="2740" w:type="dxa"/>
            <w:vAlign w:val="bottom"/>
            <w:shd w:val="clear" w:color="auto" w:fill="DBE5F1"/>
          </w:tcPr>
          <w:p>
            <w:pPr>
              <w:jc w:val="right"/>
              <w:spacing w:after="0"/>
              <w:rPr>
                <w:sz w:val="20"/>
                <w:szCs w:val="20"/>
                <w:color w:val="auto"/>
              </w:rPr>
            </w:pPr>
            <w:r>
              <w:rPr>
                <w:rFonts w:ascii="Arial" w:cs="Arial" w:eastAsia="Arial" w:hAnsi="Arial"/>
                <w:sz w:val="18"/>
                <w:szCs w:val="18"/>
                <w:color w:val="auto"/>
              </w:rPr>
              <w:t>1,105</w:t>
            </w:r>
          </w:p>
        </w:tc>
        <w:tc>
          <w:tcPr>
            <w:tcW w:w="2720" w:type="dxa"/>
            <w:vAlign w:val="bottom"/>
            <w:shd w:val="clear" w:color="auto" w:fill="DBE5F1"/>
          </w:tcPr>
          <w:p>
            <w:pPr>
              <w:jc w:val="right"/>
              <w:spacing w:after="0"/>
              <w:rPr>
                <w:sz w:val="20"/>
                <w:szCs w:val="20"/>
                <w:color w:val="auto"/>
              </w:rPr>
            </w:pPr>
            <w:r>
              <w:rPr>
                <w:rFonts w:ascii="Arial" w:cs="Arial" w:eastAsia="Arial" w:hAnsi="Arial"/>
                <w:sz w:val="18"/>
                <w:szCs w:val="18"/>
                <w:color w:val="auto"/>
              </w:rPr>
              <w:t>2,882</w:t>
            </w:r>
          </w:p>
        </w:tc>
      </w:tr>
      <w:tr>
        <w:trPr>
          <w:trHeight w:val="284"/>
        </w:trPr>
        <w:tc>
          <w:tcPr>
            <w:tcW w:w="4420" w:type="dxa"/>
            <w:vAlign w:val="bottom"/>
            <w:shd w:val="clear" w:color="auto" w:fill="DBE5F1"/>
          </w:tcPr>
          <w:p>
            <w:pPr>
              <w:ind w:left="40"/>
              <w:spacing w:after="0"/>
              <w:rPr>
                <w:sz w:val="20"/>
                <w:szCs w:val="20"/>
                <w:color w:val="auto"/>
              </w:rPr>
            </w:pPr>
            <w:r>
              <w:rPr>
                <w:rFonts w:ascii="Arial" w:cs="Arial" w:eastAsia="Arial" w:hAnsi="Arial"/>
                <w:sz w:val="18"/>
                <w:szCs w:val="18"/>
                <w:b w:val="1"/>
                <w:bCs w:val="1"/>
                <w:color w:val="auto"/>
              </w:rPr>
              <w:t>Michael J. Glosserman</w:t>
            </w:r>
          </w:p>
        </w:tc>
        <w:tc>
          <w:tcPr>
            <w:tcW w:w="1540" w:type="dxa"/>
            <w:vAlign w:val="bottom"/>
            <w:shd w:val="clear" w:color="auto" w:fill="DBE5F1"/>
          </w:tcPr>
          <w:p>
            <w:pPr>
              <w:spacing w:after="0"/>
              <w:rPr>
                <w:sz w:val="24"/>
                <w:szCs w:val="24"/>
                <w:color w:val="auto"/>
              </w:rPr>
            </w:pPr>
          </w:p>
        </w:tc>
        <w:tc>
          <w:tcPr>
            <w:tcW w:w="2740" w:type="dxa"/>
            <w:vAlign w:val="bottom"/>
            <w:shd w:val="clear" w:color="auto" w:fill="DBE5F1"/>
          </w:tcPr>
          <w:p>
            <w:pPr>
              <w:jc w:val="right"/>
              <w:spacing w:after="0"/>
              <w:rPr>
                <w:sz w:val="20"/>
                <w:szCs w:val="20"/>
                <w:color w:val="auto"/>
              </w:rPr>
            </w:pPr>
            <w:r>
              <w:rPr>
                <w:rFonts w:ascii="Arial" w:cs="Arial" w:eastAsia="Arial" w:hAnsi="Arial"/>
                <w:sz w:val="18"/>
                <w:szCs w:val="18"/>
                <w:color w:val="auto"/>
              </w:rPr>
              <w:t>1,105</w:t>
            </w:r>
          </w:p>
        </w:tc>
        <w:tc>
          <w:tcPr>
            <w:tcW w:w="2720" w:type="dxa"/>
            <w:vAlign w:val="bottom"/>
            <w:shd w:val="clear" w:color="auto" w:fill="DBE5F1"/>
          </w:tcPr>
          <w:p>
            <w:pPr>
              <w:jc w:val="right"/>
              <w:spacing w:after="0"/>
              <w:rPr>
                <w:sz w:val="20"/>
                <w:szCs w:val="20"/>
                <w:color w:val="auto"/>
              </w:rPr>
            </w:pPr>
            <w:r>
              <w:rPr>
                <w:rFonts w:ascii="Arial" w:cs="Arial" w:eastAsia="Arial" w:hAnsi="Arial"/>
                <w:sz w:val="18"/>
                <w:szCs w:val="18"/>
                <w:color w:val="auto"/>
              </w:rPr>
              <w:t>2,882</w:t>
            </w:r>
          </w:p>
        </w:tc>
      </w:tr>
      <w:tr>
        <w:trPr>
          <w:trHeight w:val="284"/>
        </w:trPr>
        <w:tc>
          <w:tcPr>
            <w:tcW w:w="4420" w:type="dxa"/>
            <w:vAlign w:val="bottom"/>
            <w:shd w:val="clear" w:color="auto" w:fill="DBE5F1"/>
          </w:tcPr>
          <w:p>
            <w:pPr>
              <w:ind w:left="40"/>
              <w:spacing w:after="0"/>
              <w:rPr>
                <w:sz w:val="20"/>
                <w:szCs w:val="20"/>
                <w:color w:val="auto"/>
              </w:rPr>
            </w:pPr>
            <w:r>
              <w:rPr>
                <w:rFonts w:ascii="Arial" w:cs="Arial" w:eastAsia="Arial" w:hAnsi="Arial"/>
                <w:sz w:val="18"/>
                <w:szCs w:val="18"/>
                <w:b w:val="1"/>
                <w:bCs w:val="1"/>
                <w:color w:val="auto"/>
              </w:rPr>
              <w:t>Warren H. Haber</w:t>
            </w:r>
          </w:p>
        </w:tc>
        <w:tc>
          <w:tcPr>
            <w:tcW w:w="1540" w:type="dxa"/>
            <w:vAlign w:val="bottom"/>
            <w:shd w:val="clear" w:color="auto" w:fill="DBE5F1"/>
          </w:tcPr>
          <w:p>
            <w:pPr>
              <w:spacing w:after="0"/>
              <w:rPr>
                <w:sz w:val="24"/>
                <w:szCs w:val="24"/>
                <w:color w:val="auto"/>
              </w:rPr>
            </w:pPr>
          </w:p>
        </w:tc>
        <w:tc>
          <w:tcPr>
            <w:tcW w:w="2740" w:type="dxa"/>
            <w:vAlign w:val="bottom"/>
            <w:shd w:val="clear" w:color="auto" w:fill="DBE5F1"/>
          </w:tcPr>
          <w:p>
            <w:pPr>
              <w:jc w:val="right"/>
              <w:spacing w:after="0"/>
              <w:rPr>
                <w:sz w:val="20"/>
                <w:szCs w:val="20"/>
                <w:color w:val="auto"/>
              </w:rPr>
            </w:pPr>
            <w:r>
              <w:rPr>
                <w:rFonts w:ascii="Arial" w:cs="Arial" w:eastAsia="Arial" w:hAnsi="Arial"/>
                <w:sz w:val="18"/>
                <w:szCs w:val="18"/>
                <w:color w:val="auto"/>
              </w:rPr>
              <w:t>1,072</w:t>
            </w:r>
          </w:p>
        </w:tc>
        <w:tc>
          <w:tcPr>
            <w:tcW w:w="2720" w:type="dxa"/>
            <w:vAlign w:val="bottom"/>
            <w:shd w:val="clear" w:color="auto" w:fill="DBE5F1"/>
          </w:tcPr>
          <w:p>
            <w:pPr>
              <w:jc w:val="right"/>
              <w:spacing w:after="0"/>
              <w:rPr>
                <w:sz w:val="20"/>
                <w:szCs w:val="20"/>
                <w:color w:val="auto"/>
              </w:rPr>
            </w:pPr>
            <w:r>
              <w:rPr>
                <w:rFonts w:ascii="Arial" w:cs="Arial" w:eastAsia="Arial" w:hAnsi="Arial"/>
                <w:sz w:val="18"/>
                <w:szCs w:val="18"/>
                <w:color w:val="auto"/>
              </w:rPr>
              <w:t>2,848</w:t>
            </w:r>
          </w:p>
        </w:tc>
      </w:tr>
      <w:tr>
        <w:trPr>
          <w:trHeight w:val="284"/>
        </w:trPr>
        <w:tc>
          <w:tcPr>
            <w:tcW w:w="4420" w:type="dxa"/>
            <w:vAlign w:val="bottom"/>
            <w:shd w:val="clear" w:color="auto" w:fill="DBE5F1"/>
          </w:tcPr>
          <w:p>
            <w:pPr>
              <w:ind w:left="40"/>
              <w:spacing w:after="0"/>
              <w:rPr>
                <w:sz w:val="20"/>
                <w:szCs w:val="20"/>
                <w:color w:val="auto"/>
              </w:rPr>
            </w:pPr>
            <w:r>
              <w:rPr>
                <w:rFonts w:ascii="Arial" w:cs="Arial" w:eastAsia="Arial" w:hAnsi="Arial"/>
                <w:sz w:val="18"/>
                <w:szCs w:val="18"/>
                <w:b w:val="1"/>
                <w:bCs w:val="1"/>
                <w:color w:val="auto"/>
              </w:rPr>
              <w:t>John W. Hill</w:t>
            </w:r>
          </w:p>
        </w:tc>
        <w:tc>
          <w:tcPr>
            <w:tcW w:w="1540" w:type="dxa"/>
            <w:vAlign w:val="bottom"/>
            <w:shd w:val="clear" w:color="auto" w:fill="DBE5F1"/>
          </w:tcPr>
          <w:p>
            <w:pPr>
              <w:spacing w:after="0"/>
              <w:rPr>
                <w:sz w:val="24"/>
                <w:szCs w:val="24"/>
                <w:color w:val="auto"/>
              </w:rPr>
            </w:pPr>
          </w:p>
        </w:tc>
        <w:tc>
          <w:tcPr>
            <w:tcW w:w="2740" w:type="dxa"/>
            <w:vAlign w:val="bottom"/>
            <w:shd w:val="clear" w:color="auto" w:fill="DBE5F1"/>
          </w:tcPr>
          <w:p>
            <w:pPr>
              <w:jc w:val="right"/>
              <w:spacing w:after="0"/>
              <w:rPr>
                <w:sz w:val="20"/>
                <w:szCs w:val="20"/>
                <w:color w:val="auto"/>
              </w:rPr>
            </w:pPr>
            <w:r>
              <w:rPr>
                <w:rFonts w:ascii="Arial" w:cs="Arial" w:eastAsia="Arial" w:hAnsi="Arial"/>
                <w:sz w:val="18"/>
                <w:szCs w:val="18"/>
                <w:color w:val="auto"/>
              </w:rPr>
              <w:t>1,156</w:t>
            </w:r>
          </w:p>
        </w:tc>
        <w:tc>
          <w:tcPr>
            <w:tcW w:w="2720" w:type="dxa"/>
            <w:vAlign w:val="bottom"/>
            <w:shd w:val="clear" w:color="auto" w:fill="DBE5F1"/>
          </w:tcPr>
          <w:p>
            <w:pPr>
              <w:jc w:val="right"/>
              <w:spacing w:after="0"/>
              <w:rPr>
                <w:sz w:val="20"/>
                <w:szCs w:val="20"/>
                <w:color w:val="auto"/>
              </w:rPr>
            </w:pPr>
            <w:r>
              <w:rPr>
                <w:rFonts w:ascii="Arial" w:cs="Arial" w:eastAsia="Arial" w:hAnsi="Arial"/>
                <w:sz w:val="18"/>
                <w:szCs w:val="18"/>
                <w:color w:val="auto"/>
              </w:rPr>
              <w:t>3,003</w:t>
            </w:r>
          </w:p>
        </w:tc>
      </w:tr>
      <w:tr>
        <w:trPr>
          <w:trHeight w:val="284"/>
        </w:trPr>
        <w:tc>
          <w:tcPr>
            <w:tcW w:w="4420" w:type="dxa"/>
            <w:vAlign w:val="bottom"/>
            <w:shd w:val="clear" w:color="auto" w:fill="DBE5F1"/>
          </w:tcPr>
          <w:p>
            <w:pPr>
              <w:ind w:left="40"/>
              <w:spacing w:after="0"/>
              <w:rPr>
                <w:sz w:val="20"/>
                <w:szCs w:val="20"/>
                <w:color w:val="auto"/>
              </w:rPr>
            </w:pPr>
            <w:r>
              <w:rPr>
                <w:rFonts w:ascii="Arial" w:cs="Arial" w:eastAsia="Arial" w:hAnsi="Arial"/>
                <w:sz w:val="18"/>
                <w:szCs w:val="18"/>
                <w:b w:val="1"/>
                <w:bCs w:val="1"/>
                <w:color w:val="auto"/>
              </w:rPr>
              <w:t>Christopher J. Nassetta</w:t>
            </w:r>
          </w:p>
        </w:tc>
        <w:tc>
          <w:tcPr>
            <w:tcW w:w="1540" w:type="dxa"/>
            <w:vAlign w:val="bottom"/>
            <w:shd w:val="clear" w:color="auto" w:fill="DBE5F1"/>
          </w:tcPr>
          <w:p>
            <w:pPr>
              <w:spacing w:after="0"/>
              <w:rPr>
                <w:sz w:val="24"/>
                <w:szCs w:val="24"/>
                <w:color w:val="auto"/>
              </w:rPr>
            </w:pPr>
          </w:p>
        </w:tc>
        <w:tc>
          <w:tcPr>
            <w:tcW w:w="2740" w:type="dxa"/>
            <w:vAlign w:val="bottom"/>
            <w:shd w:val="clear" w:color="auto" w:fill="DBE5F1"/>
          </w:tcPr>
          <w:p>
            <w:pPr>
              <w:jc w:val="right"/>
              <w:spacing w:after="0"/>
              <w:rPr>
                <w:sz w:val="20"/>
                <w:szCs w:val="20"/>
                <w:color w:val="auto"/>
              </w:rPr>
            </w:pPr>
            <w:r>
              <w:rPr>
                <w:rFonts w:ascii="Arial" w:cs="Arial" w:eastAsia="Arial" w:hAnsi="Arial"/>
                <w:sz w:val="18"/>
                <w:szCs w:val="18"/>
                <w:color w:val="auto"/>
              </w:rPr>
              <w:t>1,117</w:t>
            </w:r>
          </w:p>
        </w:tc>
        <w:tc>
          <w:tcPr>
            <w:tcW w:w="2720" w:type="dxa"/>
            <w:vAlign w:val="bottom"/>
            <w:shd w:val="clear" w:color="auto" w:fill="DBE5F1"/>
          </w:tcPr>
          <w:p>
            <w:pPr>
              <w:jc w:val="right"/>
              <w:spacing w:after="0"/>
              <w:rPr>
                <w:sz w:val="20"/>
                <w:szCs w:val="20"/>
                <w:color w:val="auto"/>
              </w:rPr>
            </w:pPr>
            <w:r>
              <w:rPr>
                <w:rFonts w:ascii="Arial" w:cs="Arial" w:eastAsia="Arial" w:hAnsi="Arial"/>
                <w:sz w:val="18"/>
                <w:szCs w:val="18"/>
                <w:color w:val="auto"/>
              </w:rPr>
              <w:t>2,910</w:t>
            </w:r>
          </w:p>
        </w:tc>
      </w:tr>
      <w:tr>
        <w:trPr>
          <w:trHeight w:val="291"/>
        </w:trPr>
        <w:tc>
          <w:tcPr>
            <w:tcW w:w="4420" w:type="dxa"/>
            <w:vAlign w:val="bottom"/>
            <w:tcBorders>
              <w:bottom w:val="single" w:sz="8" w:color="DBE5F1"/>
            </w:tcBorders>
            <w:shd w:val="clear" w:color="auto" w:fill="DBE5F1"/>
          </w:tcPr>
          <w:p>
            <w:pPr>
              <w:ind w:left="40"/>
              <w:spacing w:after="0"/>
              <w:rPr>
                <w:sz w:val="20"/>
                <w:szCs w:val="20"/>
                <w:color w:val="auto"/>
              </w:rPr>
            </w:pPr>
            <w:r>
              <w:rPr>
                <w:rFonts w:ascii="Arial" w:cs="Arial" w:eastAsia="Arial" w:hAnsi="Arial"/>
                <w:sz w:val="18"/>
                <w:szCs w:val="18"/>
                <w:b w:val="1"/>
                <w:bCs w:val="1"/>
                <w:color w:val="auto"/>
              </w:rPr>
              <w:t>David J. Steinberg</w:t>
            </w:r>
          </w:p>
        </w:tc>
        <w:tc>
          <w:tcPr>
            <w:tcW w:w="1540" w:type="dxa"/>
            <w:vAlign w:val="bottom"/>
            <w:tcBorders>
              <w:bottom w:val="single" w:sz="8" w:color="DBE5F1"/>
            </w:tcBorders>
            <w:shd w:val="clear" w:color="auto" w:fill="DBE5F1"/>
          </w:tcPr>
          <w:p>
            <w:pPr>
              <w:spacing w:after="0"/>
              <w:rPr>
                <w:sz w:val="24"/>
                <w:szCs w:val="24"/>
                <w:color w:val="auto"/>
              </w:rPr>
            </w:pPr>
          </w:p>
        </w:tc>
        <w:tc>
          <w:tcPr>
            <w:tcW w:w="2740" w:type="dxa"/>
            <w:vAlign w:val="bottom"/>
            <w:tcBorders>
              <w:bottom w:val="single" w:sz="8" w:color="DBE5F1"/>
            </w:tcBorders>
            <w:shd w:val="clear" w:color="auto" w:fill="DBE5F1"/>
          </w:tcPr>
          <w:p>
            <w:pPr>
              <w:jc w:val="right"/>
              <w:spacing w:after="0"/>
              <w:rPr>
                <w:sz w:val="20"/>
                <w:szCs w:val="20"/>
                <w:color w:val="auto"/>
              </w:rPr>
            </w:pPr>
            <w:r>
              <w:rPr>
                <w:rFonts w:ascii="Arial" w:cs="Arial" w:eastAsia="Arial" w:hAnsi="Arial"/>
                <w:sz w:val="18"/>
                <w:szCs w:val="18"/>
                <w:color w:val="auto"/>
              </w:rPr>
              <w:t>1,072</w:t>
            </w:r>
          </w:p>
        </w:tc>
        <w:tc>
          <w:tcPr>
            <w:tcW w:w="2720" w:type="dxa"/>
            <w:vAlign w:val="bottom"/>
            <w:tcBorders>
              <w:bottom w:val="single" w:sz="8" w:color="DBE5F1"/>
            </w:tcBorders>
            <w:shd w:val="clear" w:color="auto" w:fill="DBE5F1"/>
          </w:tcPr>
          <w:p>
            <w:pPr>
              <w:jc w:val="right"/>
              <w:spacing w:after="0"/>
              <w:rPr>
                <w:sz w:val="20"/>
                <w:szCs w:val="20"/>
                <w:color w:val="auto"/>
              </w:rPr>
            </w:pPr>
            <w:r>
              <w:rPr>
                <w:rFonts w:ascii="Arial" w:cs="Arial" w:eastAsia="Arial" w:hAnsi="Arial"/>
                <w:sz w:val="18"/>
                <w:szCs w:val="18"/>
                <w:color w:val="auto"/>
              </w:rPr>
              <w:t>2,803</w:t>
            </w:r>
          </w:p>
        </w:tc>
      </w:tr>
      <w:tr>
        <w:trPr>
          <w:trHeight w:val="675"/>
        </w:trPr>
        <w:tc>
          <w:tcPr>
            <w:tcW w:w="4420" w:type="dxa"/>
            <w:vAlign w:val="bottom"/>
          </w:tcPr>
          <w:p>
            <w:pPr>
              <w:spacing w:after="0"/>
              <w:rPr>
                <w:sz w:val="24"/>
                <w:szCs w:val="24"/>
                <w:color w:val="auto"/>
              </w:rPr>
            </w:pPr>
          </w:p>
        </w:tc>
        <w:tc>
          <w:tcPr>
            <w:tcW w:w="1540" w:type="dxa"/>
            <w:vAlign w:val="bottom"/>
          </w:tcPr>
          <w:p>
            <w:pPr>
              <w:jc w:val="right"/>
              <w:ind w:right="70"/>
              <w:spacing w:after="0"/>
              <w:rPr>
                <w:sz w:val="20"/>
                <w:szCs w:val="20"/>
                <w:color w:val="auto"/>
              </w:rPr>
            </w:pPr>
            <w:r>
              <w:rPr>
                <w:rFonts w:ascii="Arial" w:cs="Arial" w:eastAsia="Arial" w:hAnsi="Arial"/>
                <w:sz w:val="18"/>
                <w:szCs w:val="18"/>
                <w:color w:val="auto"/>
              </w:rPr>
              <w:t>32</w:t>
            </w:r>
          </w:p>
        </w:tc>
        <w:tc>
          <w:tcPr>
            <w:tcW w:w="2740" w:type="dxa"/>
            <w:vAlign w:val="bottom"/>
          </w:tcPr>
          <w:p>
            <w:pPr>
              <w:spacing w:after="0"/>
              <w:rPr>
                <w:sz w:val="24"/>
                <w:szCs w:val="24"/>
                <w:color w:val="auto"/>
              </w:rPr>
            </w:pPr>
          </w:p>
        </w:tc>
        <w:tc>
          <w:tcPr>
            <w:tcW w:w="2720" w:type="dxa"/>
            <w:vAlign w:val="bottom"/>
          </w:tcPr>
          <w:p>
            <w:pPr>
              <w:spacing w:after="0"/>
              <w:rPr>
                <w:sz w:val="24"/>
                <w:szCs w:val="24"/>
                <w:color w:val="auto"/>
              </w:rPr>
            </w:pPr>
          </w:p>
        </w:tc>
      </w:tr>
    </w:tbl>
    <w:p>
      <w:pPr>
        <w:sectPr>
          <w:pgSz w:w="11900" w:h="16838" w:orient="portrait"/>
          <w:cols w:equalWidth="0" w:num="1">
            <w:col w:w="11420"/>
          </w:cols>
          <w:pgMar w:left="240" w:top="364" w:right="239" w:bottom="1440" w:gutter="0" w:footer="0" w:header="0"/>
        </w:sectPr>
      </w:pPr>
    </w:p>
    <w:bookmarkStart w:id="38" w:name="page39"/>
    <w:bookmarkEnd w:id="38"/>
    <w:p>
      <w:pPr>
        <w:spacing w:after="0"/>
        <w:rPr>
          <w:sz w:val="20"/>
          <w:szCs w:val="20"/>
          <w:color w:val="auto"/>
        </w:rPr>
      </w:pPr>
      <w:r>
        <w:rPr>
          <w:rFonts w:ascii="Arial" w:cs="Arial" w:eastAsia="Arial" w:hAnsi="Arial"/>
          <w:sz w:val="20"/>
          <w:szCs w:val="20"/>
          <w:b w:val="1"/>
          <w:bCs w:val="1"/>
          <w:color w:val="auto"/>
        </w:rPr>
        <w:t>EXECUTIVE OFFICERS AND KEY EMPLOYEES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lists our current executive officers and key employees: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7254875" cy="34734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4875" cy="3473450"/>
                    </a:xfrm>
                    <a:prstGeom prst="rect">
                      <a:avLst/>
                    </a:prstGeom>
                    <a:noFill/>
                  </pic:spPr>
                </pic:pic>
              </a:graphicData>
            </a:graphic>
          </wp:anchor>
        </w:drawing>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432"/>
        </w:trPr>
        <w:tc>
          <w:tcPr>
            <w:tcW w:w="20" w:type="dxa"/>
            <w:vAlign w:val="bottom"/>
          </w:tcPr>
          <w:p>
            <w:pPr>
              <w:spacing w:after="0"/>
              <w:rPr>
                <w:sz w:val="24"/>
                <w:szCs w:val="24"/>
                <w:color w:val="auto"/>
              </w:rPr>
            </w:pPr>
          </w:p>
        </w:tc>
        <w:tc>
          <w:tcPr>
            <w:tcW w:w="2860" w:type="dxa"/>
            <w:vAlign w:val="bottom"/>
            <w:shd w:val="clear" w:color="auto" w:fill="B8CCE4"/>
          </w:tcPr>
          <w:p>
            <w:pPr>
              <w:ind w:left="1200"/>
              <w:spacing w:after="0"/>
              <w:rPr>
                <w:sz w:val="20"/>
                <w:szCs w:val="20"/>
                <w:color w:val="auto"/>
              </w:rPr>
            </w:pPr>
            <w:r>
              <w:rPr>
                <w:rFonts w:ascii="Arial" w:cs="Arial" w:eastAsia="Arial" w:hAnsi="Arial"/>
                <w:sz w:val="18"/>
                <w:szCs w:val="18"/>
                <w:b w:val="1"/>
                <w:bCs w:val="1"/>
                <w:color w:val="auto"/>
              </w:rPr>
              <w:t>Name</w:t>
            </w:r>
          </w:p>
        </w:tc>
        <w:tc>
          <w:tcPr>
            <w:tcW w:w="1360" w:type="dxa"/>
            <w:vAlign w:val="bottom"/>
            <w:shd w:val="clear" w:color="auto" w:fill="B8CCE4"/>
          </w:tcPr>
          <w:p>
            <w:pPr>
              <w:jc w:val="right"/>
              <w:ind w:right="258"/>
              <w:spacing w:after="0"/>
              <w:rPr>
                <w:sz w:val="20"/>
                <w:szCs w:val="20"/>
                <w:color w:val="auto"/>
              </w:rPr>
            </w:pPr>
            <w:r>
              <w:rPr>
                <w:rFonts w:ascii="Arial" w:cs="Arial" w:eastAsia="Arial" w:hAnsi="Arial"/>
                <w:sz w:val="18"/>
                <w:szCs w:val="18"/>
                <w:b w:val="1"/>
                <w:bCs w:val="1"/>
                <w:color w:val="auto"/>
              </w:rPr>
              <w:t>Age</w:t>
            </w:r>
            <w:r>
              <w:rPr>
                <w:rFonts w:ascii="Arial" w:cs="Arial" w:eastAsia="Arial" w:hAnsi="Arial"/>
                <w:sz w:val="25"/>
                <w:szCs w:val="25"/>
                <w:b w:val="1"/>
                <w:bCs w:val="1"/>
                <w:color w:val="auto"/>
                <w:vertAlign w:val="superscript"/>
              </w:rPr>
              <w:t>(1)</w:t>
            </w:r>
          </w:p>
        </w:tc>
        <w:tc>
          <w:tcPr>
            <w:tcW w:w="2040" w:type="dxa"/>
            <w:vAlign w:val="bottom"/>
            <w:shd w:val="clear" w:color="auto" w:fill="B8CCE4"/>
          </w:tcPr>
          <w:p>
            <w:pPr>
              <w:jc w:val="right"/>
              <w:ind w:right="245"/>
              <w:spacing w:after="0"/>
              <w:rPr>
                <w:sz w:val="20"/>
                <w:szCs w:val="20"/>
                <w:color w:val="auto"/>
              </w:rPr>
            </w:pPr>
            <w:r>
              <w:rPr>
                <w:rFonts w:ascii="Arial" w:cs="Arial" w:eastAsia="Arial" w:hAnsi="Arial"/>
                <w:sz w:val="18"/>
                <w:szCs w:val="18"/>
                <w:b w:val="1"/>
                <w:bCs w:val="1"/>
                <w:color w:val="auto"/>
              </w:rPr>
              <w:t>Years of Service</w:t>
            </w:r>
            <w:r>
              <w:rPr>
                <w:rFonts w:ascii="Arial" w:cs="Arial" w:eastAsia="Arial" w:hAnsi="Arial"/>
                <w:sz w:val="25"/>
                <w:szCs w:val="25"/>
                <w:b w:val="1"/>
                <w:bCs w:val="1"/>
                <w:color w:val="auto"/>
                <w:vertAlign w:val="superscript"/>
              </w:rPr>
              <w:t>(2)</w:t>
            </w:r>
          </w:p>
        </w:tc>
        <w:tc>
          <w:tcPr>
            <w:tcW w:w="5140" w:type="dxa"/>
            <w:vAlign w:val="bottom"/>
            <w:shd w:val="clear" w:color="auto" w:fill="B8CCE4"/>
          </w:tcPr>
          <w:p>
            <w:pPr>
              <w:ind w:left="2280"/>
              <w:spacing w:after="0"/>
              <w:rPr>
                <w:sz w:val="20"/>
                <w:szCs w:val="20"/>
                <w:color w:val="auto"/>
              </w:rPr>
            </w:pPr>
            <w:r>
              <w:rPr>
                <w:rFonts w:ascii="Arial" w:cs="Arial" w:eastAsia="Arial" w:hAnsi="Arial"/>
                <w:sz w:val="18"/>
                <w:szCs w:val="18"/>
                <w:b w:val="1"/>
                <w:bCs w:val="1"/>
                <w:color w:val="auto"/>
              </w:rPr>
              <w:t>Position</w:t>
            </w:r>
          </w:p>
        </w:tc>
        <w:tc>
          <w:tcPr>
            <w:tcW w:w="0" w:type="dxa"/>
            <w:vAlign w:val="bottom"/>
          </w:tcPr>
          <w:p>
            <w:pPr>
              <w:spacing w:after="0"/>
              <w:rPr>
                <w:sz w:val="1"/>
                <w:szCs w:val="1"/>
                <w:color w:val="auto"/>
              </w:rPr>
            </w:pPr>
          </w:p>
        </w:tc>
      </w:tr>
      <w:tr>
        <w:trPr>
          <w:trHeight w:val="311"/>
        </w:trPr>
        <w:tc>
          <w:tcPr>
            <w:tcW w:w="20" w:type="dxa"/>
            <w:vAlign w:val="bottom"/>
          </w:tcPr>
          <w:p>
            <w:pPr>
              <w:spacing w:after="0"/>
              <w:rPr>
                <w:sz w:val="24"/>
                <w:szCs w:val="24"/>
                <w:color w:val="auto"/>
              </w:rPr>
            </w:pPr>
          </w:p>
        </w:tc>
        <w:tc>
          <w:tcPr>
            <w:tcW w:w="2860" w:type="dxa"/>
            <w:vAlign w:val="bottom"/>
            <w:shd w:val="clear" w:color="auto" w:fill="DBE5F1"/>
          </w:tcPr>
          <w:p>
            <w:pPr>
              <w:ind w:left="20"/>
              <w:spacing w:after="0"/>
              <w:rPr>
                <w:sz w:val="20"/>
                <w:szCs w:val="20"/>
                <w:color w:val="auto"/>
              </w:rPr>
            </w:pPr>
            <w:r>
              <w:rPr>
                <w:rFonts w:ascii="Arial" w:cs="Arial" w:eastAsia="Arial" w:hAnsi="Arial"/>
                <w:sz w:val="16"/>
                <w:szCs w:val="16"/>
                <w:b w:val="1"/>
                <w:bCs w:val="1"/>
                <w:color w:val="auto"/>
              </w:rPr>
              <w:t>Andrew C. Florance</w:t>
            </w:r>
            <w:r>
              <w:rPr>
                <w:rFonts w:ascii="Arial" w:cs="Arial" w:eastAsia="Arial" w:hAnsi="Arial"/>
                <w:sz w:val="21"/>
                <w:szCs w:val="21"/>
                <w:b w:val="1"/>
                <w:bCs w:val="1"/>
                <w:color w:val="auto"/>
                <w:vertAlign w:val="superscript"/>
              </w:rPr>
              <w:t>*</w:t>
            </w:r>
          </w:p>
        </w:tc>
        <w:tc>
          <w:tcPr>
            <w:tcW w:w="1360" w:type="dxa"/>
            <w:vAlign w:val="bottom"/>
            <w:shd w:val="clear" w:color="auto" w:fill="DBE5F1"/>
          </w:tcPr>
          <w:p>
            <w:pPr>
              <w:jc w:val="right"/>
              <w:ind w:right="498"/>
              <w:spacing w:after="0"/>
              <w:rPr>
                <w:sz w:val="20"/>
                <w:szCs w:val="20"/>
                <w:color w:val="auto"/>
              </w:rPr>
            </w:pPr>
            <w:r>
              <w:rPr>
                <w:rFonts w:ascii="Arial" w:cs="Arial" w:eastAsia="Arial" w:hAnsi="Arial"/>
                <w:sz w:val="16"/>
                <w:szCs w:val="16"/>
                <w:color w:val="auto"/>
              </w:rPr>
              <w:t>52</w:t>
            </w:r>
          </w:p>
        </w:tc>
        <w:tc>
          <w:tcPr>
            <w:tcW w:w="2040" w:type="dxa"/>
            <w:vAlign w:val="bottom"/>
            <w:shd w:val="clear" w:color="auto" w:fill="DBE5F1"/>
          </w:tcPr>
          <w:p>
            <w:pPr>
              <w:jc w:val="center"/>
              <w:spacing w:after="0"/>
              <w:rPr>
                <w:sz w:val="20"/>
                <w:szCs w:val="20"/>
                <w:color w:val="auto"/>
              </w:rPr>
            </w:pPr>
            <w:r>
              <w:rPr>
                <w:rFonts w:ascii="Arial" w:cs="Arial" w:eastAsia="Arial" w:hAnsi="Arial"/>
                <w:sz w:val="16"/>
                <w:szCs w:val="16"/>
                <w:color w:val="auto"/>
                <w:w w:val="89"/>
              </w:rPr>
              <w:t>29</w:t>
            </w:r>
          </w:p>
        </w:tc>
        <w:tc>
          <w:tcPr>
            <w:tcW w:w="5140" w:type="dxa"/>
            <w:vAlign w:val="bottom"/>
            <w:shd w:val="clear" w:color="auto" w:fill="DBE5F1"/>
          </w:tcPr>
          <w:p>
            <w:pPr>
              <w:ind w:left="180"/>
              <w:spacing w:after="0"/>
              <w:rPr>
                <w:sz w:val="20"/>
                <w:szCs w:val="20"/>
                <w:color w:val="auto"/>
              </w:rPr>
            </w:pPr>
            <w:r>
              <w:rPr>
                <w:rFonts w:ascii="Arial" w:cs="Arial" w:eastAsia="Arial" w:hAnsi="Arial"/>
                <w:sz w:val="16"/>
                <w:szCs w:val="16"/>
                <w:color w:val="auto"/>
              </w:rPr>
              <w:t>Chief Executive Officer, President and Director</w:t>
            </w:r>
          </w:p>
        </w:tc>
        <w:tc>
          <w:tcPr>
            <w:tcW w:w="0" w:type="dxa"/>
            <w:vAlign w:val="bottom"/>
          </w:tcPr>
          <w:p>
            <w:pPr>
              <w:spacing w:after="0"/>
              <w:rPr>
                <w:sz w:val="1"/>
                <w:szCs w:val="1"/>
                <w:color w:val="auto"/>
              </w:rPr>
            </w:pPr>
          </w:p>
        </w:tc>
      </w:tr>
      <w:tr>
        <w:trPr>
          <w:trHeight w:val="419"/>
        </w:trPr>
        <w:tc>
          <w:tcPr>
            <w:tcW w:w="20" w:type="dxa"/>
            <w:vAlign w:val="bottom"/>
          </w:tcPr>
          <w:p>
            <w:pPr>
              <w:spacing w:after="0"/>
              <w:rPr>
                <w:sz w:val="24"/>
                <w:szCs w:val="24"/>
                <w:color w:val="auto"/>
              </w:rPr>
            </w:pPr>
          </w:p>
        </w:tc>
        <w:tc>
          <w:tcPr>
            <w:tcW w:w="2860" w:type="dxa"/>
            <w:vAlign w:val="bottom"/>
            <w:shd w:val="clear" w:color="auto" w:fill="DBE5F1"/>
          </w:tcPr>
          <w:p>
            <w:pPr>
              <w:ind w:left="20"/>
              <w:spacing w:after="0"/>
              <w:rPr>
                <w:sz w:val="20"/>
                <w:szCs w:val="20"/>
                <w:color w:val="auto"/>
              </w:rPr>
            </w:pPr>
            <w:r>
              <w:rPr>
                <w:rFonts w:ascii="Arial" w:cs="Arial" w:eastAsia="Arial" w:hAnsi="Arial"/>
                <w:sz w:val="16"/>
                <w:szCs w:val="16"/>
                <w:b w:val="1"/>
                <w:bCs w:val="1"/>
                <w:color w:val="auto"/>
              </w:rPr>
              <w:t>Scott T. Wheeler</w:t>
            </w:r>
            <w:r>
              <w:rPr>
                <w:rFonts w:ascii="Arial" w:cs="Arial" w:eastAsia="Arial" w:hAnsi="Arial"/>
                <w:sz w:val="21"/>
                <w:szCs w:val="21"/>
                <w:b w:val="1"/>
                <w:bCs w:val="1"/>
                <w:color w:val="auto"/>
                <w:vertAlign w:val="superscript"/>
              </w:rPr>
              <w:t>*</w:t>
            </w:r>
          </w:p>
        </w:tc>
        <w:tc>
          <w:tcPr>
            <w:tcW w:w="1360" w:type="dxa"/>
            <w:vAlign w:val="bottom"/>
            <w:shd w:val="clear" w:color="auto" w:fill="DBE5F1"/>
          </w:tcPr>
          <w:p>
            <w:pPr>
              <w:jc w:val="right"/>
              <w:ind w:right="498"/>
              <w:spacing w:after="0"/>
              <w:rPr>
                <w:sz w:val="20"/>
                <w:szCs w:val="20"/>
                <w:color w:val="auto"/>
              </w:rPr>
            </w:pPr>
            <w:r>
              <w:rPr>
                <w:rFonts w:ascii="Arial" w:cs="Arial" w:eastAsia="Arial" w:hAnsi="Arial"/>
                <w:sz w:val="16"/>
                <w:szCs w:val="16"/>
                <w:color w:val="auto"/>
              </w:rPr>
              <w:t>52</w:t>
            </w:r>
          </w:p>
        </w:tc>
        <w:tc>
          <w:tcPr>
            <w:tcW w:w="2040" w:type="dxa"/>
            <w:vAlign w:val="bottom"/>
            <w:shd w:val="clear" w:color="auto" w:fill="DBE5F1"/>
          </w:tcPr>
          <w:p>
            <w:pPr>
              <w:jc w:val="center"/>
              <w:spacing w:after="0"/>
              <w:rPr>
                <w:sz w:val="20"/>
                <w:szCs w:val="20"/>
                <w:color w:val="auto"/>
              </w:rPr>
            </w:pPr>
            <w:r>
              <w:rPr>
                <w:rFonts w:ascii="Arial" w:cs="Arial" w:eastAsia="Arial" w:hAnsi="Arial"/>
                <w:sz w:val="16"/>
                <w:szCs w:val="16"/>
                <w:color w:val="auto"/>
                <w:w w:val="89"/>
              </w:rPr>
              <w:t>1</w:t>
            </w:r>
          </w:p>
        </w:tc>
        <w:tc>
          <w:tcPr>
            <w:tcW w:w="5140" w:type="dxa"/>
            <w:vAlign w:val="bottom"/>
            <w:shd w:val="clear" w:color="auto" w:fill="DBE5F1"/>
          </w:tcPr>
          <w:p>
            <w:pPr>
              <w:ind w:left="180"/>
              <w:spacing w:after="0"/>
              <w:rPr>
                <w:sz w:val="20"/>
                <w:szCs w:val="20"/>
                <w:color w:val="auto"/>
              </w:rPr>
            </w:pPr>
            <w:r>
              <w:rPr>
                <w:rFonts w:ascii="Arial" w:cs="Arial" w:eastAsia="Arial" w:hAnsi="Arial"/>
                <w:sz w:val="16"/>
                <w:szCs w:val="16"/>
                <w:color w:val="auto"/>
              </w:rPr>
              <w:t>Chief Financial Officer</w:t>
            </w:r>
          </w:p>
        </w:tc>
        <w:tc>
          <w:tcPr>
            <w:tcW w:w="0" w:type="dxa"/>
            <w:vAlign w:val="bottom"/>
          </w:tcPr>
          <w:p>
            <w:pPr>
              <w:spacing w:after="0"/>
              <w:rPr>
                <w:sz w:val="1"/>
                <w:szCs w:val="1"/>
                <w:color w:val="auto"/>
              </w:rPr>
            </w:pPr>
          </w:p>
        </w:tc>
      </w:tr>
      <w:tr>
        <w:trPr>
          <w:trHeight w:val="423"/>
        </w:trPr>
        <w:tc>
          <w:tcPr>
            <w:tcW w:w="20" w:type="dxa"/>
            <w:vAlign w:val="bottom"/>
          </w:tcPr>
          <w:p>
            <w:pPr>
              <w:spacing w:after="0"/>
              <w:rPr>
                <w:sz w:val="24"/>
                <w:szCs w:val="24"/>
                <w:color w:val="auto"/>
              </w:rPr>
            </w:pPr>
          </w:p>
        </w:tc>
        <w:tc>
          <w:tcPr>
            <w:tcW w:w="2860" w:type="dxa"/>
            <w:vAlign w:val="bottom"/>
            <w:shd w:val="clear" w:color="auto" w:fill="DBE5F1"/>
          </w:tcPr>
          <w:p>
            <w:pPr>
              <w:ind w:left="20"/>
              <w:spacing w:after="0"/>
              <w:rPr>
                <w:sz w:val="20"/>
                <w:szCs w:val="20"/>
                <w:color w:val="auto"/>
              </w:rPr>
            </w:pPr>
            <w:r>
              <w:rPr>
                <w:rFonts w:ascii="Arial" w:cs="Arial" w:eastAsia="Arial" w:hAnsi="Arial"/>
                <w:sz w:val="16"/>
                <w:szCs w:val="16"/>
                <w:b w:val="1"/>
                <w:bCs w:val="1"/>
                <w:color w:val="auto"/>
              </w:rPr>
              <w:t>Francis A. Carchedi</w:t>
            </w:r>
            <w:r>
              <w:rPr>
                <w:rFonts w:ascii="Arial" w:cs="Arial" w:eastAsia="Arial" w:hAnsi="Arial"/>
                <w:sz w:val="21"/>
                <w:szCs w:val="21"/>
                <w:b w:val="1"/>
                <w:bCs w:val="1"/>
                <w:color w:val="auto"/>
                <w:vertAlign w:val="superscript"/>
              </w:rPr>
              <w:t>*</w:t>
            </w:r>
          </w:p>
        </w:tc>
        <w:tc>
          <w:tcPr>
            <w:tcW w:w="1360" w:type="dxa"/>
            <w:vAlign w:val="bottom"/>
            <w:shd w:val="clear" w:color="auto" w:fill="DBE5F1"/>
          </w:tcPr>
          <w:p>
            <w:pPr>
              <w:jc w:val="right"/>
              <w:ind w:right="498"/>
              <w:spacing w:after="0"/>
              <w:rPr>
                <w:sz w:val="20"/>
                <w:szCs w:val="20"/>
                <w:color w:val="auto"/>
              </w:rPr>
            </w:pPr>
            <w:r>
              <w:rPr>
                <w:rFonts w:ascii="Arial" w:cs="Arial" w:eastAsia="Arial" w:hAnsi="Arial"/>
                <w:sz w:val="16"/>
                <w:szCs w:val="16"/>
                <w:color w:val="auto"/>
              </w:rPr>
              <w:t>58</w:t>
            </w:r>
          </w:p>
        </w:tc>
        <w:tc>
          <w:tcPr>
            <w:tcW w:w="2040" w:type="dxa"/>
            <w:vAlign w:val="bottom"/>
            <w:shd w:val="clear" w:color="auto" w:fill="DBE5F1"/>
          </w:tcPr>
          <w:p>
            <w:pPr>
              <w:jc w:val="right"/>
              <w:ind w:right="725"/>
              <w:spacing w:after="0"/>
              <w:rPr>
                <w:sz w:val="20"/>
                <w:szCs w:val="20"/>
                <w:color w:val="auto"/>
              </w:rPr>
            </w:pPr>
            <w:r>
              <w:rPr>
                <w:rFonts w:ascii="Arial" w:cs="Arial" w:eastAsia="Arial" w:hAnsi="Arial"/>
                <w:sz w:val="32"/>
                <w:szCs w:val="32"/>
                <w:color w:val="auto"/>
                <w:vertAlign w:val="subscript"/>
              </w:rPr>
              <w:t>17</w:t>
            </w:r>
            <w:r>
              <w:rPr>
                <w:rFonts w:ascii="Arial" w:cs="Arial" w:eastAsia="Arial" w:hAnsi="Arial"/>
                <w:sz w:val="11"/>
                <w:szCs w:val="11"/>
                <w:color w:val="auto"/>
              </w:rPr>
              <w:t>(3)</w:t>
            </w:r>
          </w:p>
        </w:tc>
        <w:tc>
          <w:tcPr>
            <w:tcW w:w="5140" w:type="dxa"/>
            <w:vAlign w:val="bottom"/>
            <w:shd w:val="clear" w:color="auto" w:fill="DBE5F1"/>
          </w:tcPr>
          <w:p>
            <w:pPr>
              <w:ind w:left="180"/>
              <w:spacing w:after="0"/>
              <w:rPr>
                <w:sz w:val="20"/>
                <w:szCs w:val="20"/>
                <w:color w:val="auto"/>
              </w:rPr>
            </w:pPr>
            <w:r>
              <w:rPr>
                <w:rFonts w:ascii="Arial" w:cs="Arial" w:eastAsia="Arial" w:hAnsi="Arial"/>
                <w:sz w:val="16"/>
                <w:szCs w:val="16"/>
                <w:color w:val="auto"/>
              </w:rPr>
              <w:t>Executive Vice President, Corporate Development</w:t>
            </w: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2860" w:type="dxa"/>
            <w:vAlign w:val="bottom"/>
            <w:shd w:val="clear" w:color="auto" w:fill="DBE5F1"/>
          </w:tcPr>
          <w:p>
            <w:pPr>
              <w:ind w:left="20"/>
              <w:spacing w:after="0"/>
              <w:rPr>
                <w:sz w:val="20"/>
                <w:szCs w:val="20"/>
                <w:color w:val="auto"/>
              </w:rPr>
            </w:pPr>
            <w:r>
              <w:rPr>
                <w:rFonts w:ascii="Arial" w:cs="Arial" w:eastAsia="Arial" w:hAnsi="Arial"/>
                <w:sz w:val="16"/>
                <w:szCs w:val="16"/>
                <w:b w:val="1"/>
                <w:bCs w:val="1"/>
                <w:color w:val="auto"/>
              </w:rPr>
              <w:t>Matthew F. W. Linnington</w:t>
            </w:r>
            <w:r>
              <w:rPr>
                <w:rFonts w:ascii="Arial" w:cs="Arial" w:eastAsia="Arial" w:hAnsi="Arial"/>
                <w:sz w:val="21"/>
                <w:szCs w:val="21"/>
                <w:b w:val="1"/>
                <w:bCs w:val="1"/>
                <w:color w:val="auto"/>
                <w:vertAlign w:val="superscript"/>
              </w:rPr>
              <w:t>*</w:t>
            </w:r>
          </w:p>
        </w:tc>
        <w:tc>
          <w:tcPr>
            <w:tcW w:w="1360" w:type="dxa"/>
            <w:vAlign w:val="bottom"/>
            <w:shd w:val="clear" w:color="auto" w:fill="DBE5F1"/>
          </w:tcPr>
          <w:p>
            <w:pPr>
              <w:jc w:val="right"/>
              <w:ind w:right="498"/>
              <w:spacing w:after="0"/>
              <w:rPr>
                <w:sz w:val="20"/>
                <w:szCs w:val="20"/>
                <w:color w:val="auto"/>
              </w:rPr>
            </w:pPr>
            <w:r>
              <w:rPr>
                <w:rFonts w:ascii="Arial" w:cs="Arial" w:eastAsia="Arial" w:hAnsi="Arial"/>
                <w:sz w:val="16"/>
                <w:szCs w:val="16"/>
                <w:color w:val="auto"/>
              </w:rPr>
              <w:t>47</w:t>
            </w:r>
          </w:p>
        </w:tc>
        <w:tc>
          <w:tcPr>
            <w:tcW w:w="2040" w:type="dxa"/>
            <w:vAlign w:val="bottom"/>
            <w:shd w:val="clear" w:color="auto" w:fill="DBE5F1"/>
          </w:tcPr>
          <w:p>
            <w:pPr>
              <w:jc w:val="center"/>
              <w:spacing w:after="0"/>
              <w:rPr>
                <w:sz w:val="20"/>
                <w:szCs w:val="20"/>
                <w:color w:val="auto"/>
              </w:rPr>
            </w:pPr>
            <w:r>
              <w:rPr>
                <w:rFonts w:ascii="Arial" w:cs="Arial" w:eastAsia="Arial" w:hAnsi="Arial"/>
                <w:sz w:val="16"/>
                <w:szCs w:val="16"/>
                <w:color w:val="auto"/>
                <w:w w:val="89"/>
              </w:rPr>
              <w:t>2</w:t>
            </w:r>
          </w:p>
        </w:tc>
        <w:tc>
          <w:tcPr>
            <w:tcW w:w="5140" w:type="dxa"/>
            <w:vAlign w:val="bottom"/>
            <w:shd w:val="clear" w:color="auto" w:fill="DBE5F1"/>
          </w:tcPr>
          <w:p>
            <w:pPr>
              <w:ind w:left="180"/>
              <w:spacing w:after="0"/>
              <w:rPr>
                <w:sz w:val="20"/>
                <w:szCs w:val="20"/>
                <w:color w:val="auto"/>
              </w:rPr>
            </w:pPr>
            <w:r>
              <w:rPr>
                <w:rFonts w:ascii="Arial" w:cs="Arial" w:eastAsia="Arial" w:hAnsi="Arial"/>
                <w:sz w:val="16"/>
                <w:szCs w:val="16"/>
                <w:color w:val="auto"/>
              </w:rPr>
              <w:t>Executive Vice President of Sales</w:t>
            </w:r>
          </w:p>
        </w:tc>
        <w:tc>
          <w:tcPr>
            <w:tcW w:w="0" w:type="dxa"/>
            <w:vAlign w:val="bottom"/>
          </w:tcPr>
          <w:p>
            <w:pPr>
              <w:spacing w:after="0"/>
              <w:rPr>
                <w:sz w:val="1"/>
                <w:szCs w:val="1"/>
                <w:color w:val="auto"/>
              </w:rPr>
            </w:pPr>
          </w:p>
        </w:tc>
      </w:tr>
      <w:tr>
        <w:trPr>
          <w:trHeight w:val="385"/>
        </w:trPr>
        <w:tc>
          <w:tcPr>
            <w:tcW w:w="20" w:type="dxa"/>
            <w:vAlign w:val="bottom"/>
          </w:tcPr>
          <w:p>
            <w:pPr>
              <w:spacing w:after="0"/>
              <w:rPr>
                <w:sz w:val="24"/>
                <w:szCs w:val="24"/>
                <w:color w:val="auto"/>
              </w:rPr>
            </w:pPr>
          </w:p>
        </w:tc>
        <w:tc>
          <w:tcPr>
            <w:tcW w:w="2860" w:type="dxa"/>
            <w:vAlign w:val="bottom"/>
            <w:shd w:val="clear" w:color="auto" w:fill="DBE5F1"/>
          </w:tcPr>
          <w:p>
            <w:pPr>
              <w:ind w:left="20"/>
              <w:spacing w:after="0"/>
              <w:rPr>
                <w:sz w:val="20"/>
                <w:szCs w:val="20"/>
                <w:color w:val="auto"/>
              </w:rPr>
            </w:pPr>
            <w:r>
              <w:rPr>
                <w:rFonts w:ascii="Arial" w:cs="Arial" w:eastAsia="Arial" w:hAnsi="Arial"/>
                <w:sz w:val="16"/>
                <w:szCs w:val="16"/>
                <w:b w:val="1"/>
                <w:bCs w:val="1"/>
                <w:color w:val="auto"/>
              </w:rPr>
              <w:t>Jonathan M. Coleman</w:t>
            </w:r>
          </w:p>
        </w:tc>
        <w:tc>
          <w:tcPr>
            <w:tcW w:w="1360" w:type="dxa"/>
            <w:vAlign w:val="bottom"/>
            <w:shd w:val="clear" w:color="auto" w:fill="DBE5F1"/>
          </w:tcPr>
          <w:p>
            <w:pPr>
              <w:jc w:val="right"/>
              <w:ind w:right="498"/>
              <w:spacing w:after="0"/>
              <w:rPr>
                <w:sz w:val="20"/>
                <w:szCs w:val="20"/>
                <w:color w:val="auto"/>
              </w:rPr>
            </w:pPr>
            <w:r>
              <w:rPr>
                <w:rFonts w:ascii="Arial" w:cs="Arial" w:eastAsia="Arial" w:hAnsi="Arial"/>
                <w:sz w:val="16"/>
                <w:szCs w:val="16"/>
                <w:color w:val="auto"/>
              </w:rPr>
              <w:t>51</w:t>
            </w:r>
          </w:p>
        </w:tc>
        <w:tc>
          <w:tcPr>
            <w:tcW w:w="2040" w:type="dxa"/>
            <w:vAlign w:val="bottom"/>
            <w:shd w:val="clear" w:color="auto" w:fill="DBE5F1"/>
          </w:tcPr>
          <w:p>
            <w:pPr>
              <w:jc w:val="center"/>
              <w:spacing w:after="0"/>
              <w:rPr>
                <w:sz w:val="20"/>
                <w:szCs w:val="20"/>
                <w:color w:val="auto"/>
              </w:rPr>
            </w:pPr>
            <w:r>
              <w:rPr>
                <w:rFonts w:ascii="Arial" w:cs="Arial" w:eastAsia="Arial" w:hAnsi="Arial"/>
                <w:sz w:val="16"/>
                <w:szCs w:val="16"/>
                <w:color w:val="auto"/>
                <w:w w:val="89"/>
              </w:rPr>
              <w:t>16</w:t>
            </w:r>
          </w:p>
        </w:tc>
        <w:tc>
          <w:tcPr>
            <w:tcW w:w="5140" w:type="dxa"/>
            <w:vAlign w:val="bottom"/>
            <w:shd w:val="clear" w:color="auto" w:fill="DBE5F1"/>
          </w:tcPr>
          <w:p>
            <w:pPr>
              <w:ind w:left="180"/>
              <w:spacing w:after="0"/>
              <w:rPr>
                <w:sz w:val="20"/>
                <w:szCs w:val="20"/>
                <w:color w:val="auto"/>
              </w:rPr>
            </w:pPr>
            <w:r>
              <w:rPr>
                <w:rFonts w:ascii="Arial" w:cs="Arial" w:eastAsia="Arial" w:hAnsi="Arial"/>
                <w:sz w:val="16"/>
                <w:szCs w:val="16"/>
                <w:color w:val="auto"/>
              </w:rPr>
              <w:t>General Counsel and Secretary</w:t>
            </w:r>
          </w:p>
        </w:tc>
        <w:tc>
          <w:tcPr>
            <w:tcW w:w="0" w:type="dxa"/>
            <w:vAlign w:val="bottom"/>
          </w:tcPr>
          <w:p>
            <w:pPr>
              <w:spacing w:after="0"/>
              <w:rPr>
                <w:sz w:val="1"/>
                <w:szCs w:val="1"/>
                <w:color w:val="auto"/>
              </w:rPr>
            </w:pPr>
          </w:p>
        </w:tc>
      </w:tr>
      <w:tr>
        <w:trPr>
          <w:trHeight w:val="423"/>
        </w:trPr>
        <w:tc>
          <w:tcPr>
            <w:tcW w:w="20" w:type="dxa"/>
            <w:vAlign w:val="bottom"/>
          </w:tcPr>
          <w:p>
            <w:pPr>
              <w:spacing w:after="0"/>
              <w:rPr>
                <w:sz w:val="24"/>
                <w:szCs w:val="24"/>
                <w:color w:val="auto"/>
              </w:rPr>
            </w:pPr>
          </w:p>
        </w:tc>
        <w:tc>
          <w:tcPr>
            <w:tcW w:w="2860" w:type="dxa"/>
            <w:vAlign w:val="bottom"/>
            <w:shd w:val="clear" w:color="auto" w:fill="DBE5F1"/>
          </w:tcPr>
          <w:p>
            <w:pPr>
              <w:ind w:left="20"/>
              <w:spacing w:after="0"/>
              <w:rPr>
                <w:sz w:val="20"/>
                <w:szCs w:val="20"/>
                <w:color w:val="auto"/>
              </w:rPr>
            </w:pPr>
            <w:r>
              <w:rPr>
                <w:rFonts w:ascii="Arial" w:cs="Arial" w:eastAsia="Arial" w:hAnsi="Arial"/>
                <w:sz w:val="16"/>
                <w:szCs w:val="16"/>
                <w:b w:val="1"/>
                <w:bCs w:val="1"/>
                <w:color w:val="auto"/>
              </w:rPr>
              <w:t>Frederick G. Saint</w:t>
            </w:r>
          </w:p>
        </w:tc>
        <w:tc>
          <w:tcPr>
            <w:tcW w:w="1360" w:type="dxa"/>
            <w:vAlign w:val="bottom"/>
            <w:shd w:val="clear" w:color="auto" w:fill="DBE5F1"/>
          </w:tcPr>
          <w:p>
            <w:pPr>
              <w:jc w:val="right"/>
              <w:ind w:right="498"/>
              <w:spacing w:after="0"/>
              <w:rPr>
                <w:sz w:val="20"/>
                <w:szCs w:val="20"/>
                <w:color w:val="auto"/>
              </w:rPr>
            </w:pPr>
            <w:r>
              <w:rPr>
                <w:rFonts w:ascii="Arial" w:cs="Arial" w:eastAsia="Arial" w:hAnsi="Arial"/>
                <w:sz w:val="16"/>
                <w:szCs w:val="16"/>
                <w:color w:val="auto"/>
              </w:rPr>
              <w:t>50</w:t>
            </w:r>
          </w:p>
        </w:tc>
        <w:tc>
          <w:tcPr>
            <w:tcW w:w="2040" w:type="dxa"/>
            <w:vAlign w:val="bottom"/>
            <w:shd w:val="clear" w:color="auto" w:fill="DBE5F1"/>
          </w:tcPr>
          <w:p>
            <w:pPr>
              <w:jc w:val="right"/>
              <w:ind w:right="725"/>
              <w:spacing w:after="0"/>
              <w:rPr>
                <w:sz w:val="20"/>
                <w:szCs w:val="20"/>
                <w:color w:val="auto"/>
              </w:rPr>
            </w:pPr>
            <w:r>
              <w:rPr>
                <w:rFonts w:ascii="Arial" w:cs="Arial" w:eastAsia="Arial" w:hAnsi="Arial"/>
                <w:sz w:val="32"/>
                <w:szCs w:val="32"/>
                <w:color w:val="auto"/>
                <w:vertAlign w:val="subscript"/>
              </w:rPr>
              <w:t>17</w:t>
            </w:r>
            <w:r>
              <w:rPr>
                <w:rFonts w:ascii="Arial" w:cs="Arial" w:eastAsia="Arial" w:hAnsi="Arial"/>
                <w:sz w:val="11"/>
                <w:szCs w:val="11"/>
                <w:color w:val="auto"/>
              </w:rPr>
              <w:t>(4)</w:t>
            </w:r>
          </w:p>
        </w:tc>
        <w:tc>
          <w:tcPr>
            <w:tcW w:w="5140" w:type="dxa"/>
            <w:vAlign w:val="bottom"/>
            <w:shd w:val="clear" w:color="auto" w:fill="DBE5F1"/>
          </w:tcPr>
          <w:p>
            <w:pPr>
              <w:ind w:left="180"/>
              <w:spacing w:after="0"/>
              <w:rPr>
                <w:sz w:val="20"/>
                <w:szCs w:val="20"/>
                <w:color w:val="auto"/>
              </w:rPr>
            </w:pPr>
            <w:r>
              <w:rPr>
                <w:rFonts w:ascii="Arial" w:cs="Arial" w:eastAsia="Arial" w:hAnsi="Arial"/>
                <w:sz w:val="16"/>
                <w:szCs w:val="16"/>
                <w:color w:val="auto"/>
              </w:rPr>
              <w:t>President, Apartments.com</w:t>
            </w: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2860" w:type="dxa"/>
            <w:vAlign w:val="bottom"/>
            <w:shd w:val="clear" w:color="auto" w:fill="DBE5F1"/>
          </w:tcPr>
          <w:p>
            <w:pPr>
              <w:ind w:left="20"/>
              <w:spacing w:after="0"/>
              <w:rPr>
                <w:sz w:val="20"/>
                <w:szCs w:val="20"/>
                <w:color w:val="auto"/>
              </w:rPr>
            </w:pPr>
            <w:r>
              <w:rPr>
                <w:rFonts w:ascii="Arial" w:cs="Arial" w:eastAsia="Arial" w:hAnsi="Arial"/>
                <w:sz w:val="16"/>
                <w:szCs w:val="16"/>
                <w:b w:val="1"/>
                <w:bCs w:val="1"/>
                <w:color w:val="auto"/>
              </w:rPr>
              <w:t>Frank A. Simuro</w:t>
            </w:r>
          </w:p>
        </w:tc>
        <w:tc>
          <w:tcPr>
            <w:tcW w:w="1360" w:type="dxa"/>
            <w:vAlign w:val="bottom"/>
            <w:shd w:val="clear" w:color="auto" w:fill="DBE5F1"/>
          </w:tcPr>
          <w:p>
            <w:pPr>
              <w:jc w:val="right"/>
              <w:ind w:right="498"/>
              <w:spacing w:after="0"/>
              <w:rPr>
                <w:sz w:val="20"/>
                <w:szCs w:val="20"/>
                <w:color w:val="auto"/>
              </w:rPr>
            </w:pPr>
            <w:r>
              <w:rPr>
                <w:rFonts w:ascii="Arial" w:cs="Arial" w:eastAsia="Arial" w:hAnsi="Arial"/>
                <w:sz w:val="16"/>
                <w:szCs w:val="16"/>
                <w:color w:val="auto"/>
              </w:rPr>
              <w:t>49</w:t>
            </w:r>
          </w:p>
        </w:tc>
        <w:tc>
          <w:tcPr>
            <w:tcW w:w="2040" w:type="dxa"/>
            <w:vAlign w:val="bottom"/>
            <w:shd w:val="clear" w:color="auto" w:fill="DBE5F1"/>
          </w:tcPr>
          <w:p>
            <w:pPr>
              <w:jc w:val="center"/>
              <w:spacing w:after="0"/>
              <w:rPr>
                <w:sz w:val="20"/>
                <w:szCs w:val="20"/>
                <w:color w:val="auto"/>
              </w:rPr>
            </w:pPr>
            <w:r>
              <w:rPr>
                <w:rFonts w:ascii="Arial" w:cs="Arial" w:eastAsia="Arial" w:hAnsi="Arial"/>
                <w:sz w:val="16"/>
                <w:szCs w:val="16"/>
                <w:color w:val="auto"/>
                <w:w w:val="89"/>
              </w:rPr>
              <w:t>17</w:t>
            </w:r>
          </w:p>
        </w:tc>
        <w:tc>
          <w:tcPr>
            <w:tcW w:w="5140" w:type="dxa"/>
            <w:vAlign w:val="bottom"/>
            <w:shd w:val="clear" w:color="auto" w:fill="DBE5F1"/>
          </w:tcPr>
          <w:p>
            <w:pPr>
              <w:ind w:left="180"/>
              <w:spacing w:after="0"/>
              <w:rPr>
                <w:sz w:val="20"/>
                <w:szCs w:val="20"/>
                <w:color w:val="auto"/>
              </w:rPr>
            </w:pPr>
            <w:r>
              <w:rPr>
                <w:rFonts w:ascii="Arial" w:cs="Arial" w:eastAsia="Arial" w:hAnsi="Arial"/>
                <w:sz w:val="16"/>
                <w:szCs w:val="16"/>
                <w:color w:val="auto"/>
              </w:rPr>
              <w:t>Chief Technology Officer</w:t>
            </w:r>
          </w:p>
        </w:tc>
        <w:tc>
          <w:tcPr>
            <w:tcW w:w="0" w:type="dxa"/>
            <w:vAlign w:val="bottom"/>
          </w:tcPr>
          <w:p>
            <w:pPr>
              <w:spacing w:after="0"/>
              <w:rPr>
                <w:sz w:val="1"/>
                <w:szCs w:val="1"/>
                <w:color w:val="auto"/>
              </w:rPr>
            </w:pPr>
          </w:p>
        </w:tc>
      </w:tr>
      <w:tr>
        <w:trPr>
          <w:trHeight w:val="419"/>
        </w:trPr>
        <w:tc>
          <w:tcPr>
            <w:tcW w:w="20" w:type="dxa"/>
            <w:vAlign w:val="bottom"/>
          </w:tcPr>
          <w:p>
            <w:pPr>
              <w:spacing w:after="0"/>
              <w:rPr>
                <w:sz w:val="24"/>
                <w:szCs w:val="24"/>
                <w:color w:val="auto"/>
              </w:rPr>
            </w:pPr>
          </w:p>
        </w:tc>
        <w:tc>
          <w:tcPr>
            <w:tcW w:w="2860" w:type="dxa"/>
            <w:vAlign w:val="bottom"/>
            <w:shd w:val="clear" w:color="auto" w:fill="DBE5F1"/>
          </w:tcPr>
          <w:p>
            <w:pPr>
              <w:ind w:left="20"/>
              <w:spacing w:after="0"/>
              <w:rPr>
                <w:sz w:val="20"/>
                <w:szCs w:val="20"/>
                <w:color w:val="auto"/>
              </w:rPr>
            </w:pPr>
            <w:r>
              <w:rPr>
                <w:rFonts w:ascii="Arial" w:cs="Arial" w:eastAsia="Arial" w:hAnsi="Arial"/>
                <w:sz w:val="16"/>
                <w:szCs w:val="16"/>
                <w:b w:val="1"/>
                <w:bCs w:val="1"/>
                <w:color w:val="auto"/>
              </w:rPr>
              <w:t>Rebecca Carr</w:t>
            </w:r>
          </w:p>
        </w:tc>
        <w:tc>
          <w:tcPr>
            <w:tcW w:w="1360" w:type="dxa"/>
            <w:vAlign w:val="bottom"/>
            <w:shd w:val="clear" w:color="auto" w:fill="DBE5F1"/>
          </w:tcPr>
          <w:p>
            <w:pPr>
              <w:jc w:val="right"/>
              <w:ind w:right="498"/>
              <w:spacing w:after="0"/>
              <w:rPr>
                <w:sz w:val="20"/>
                <w:szCs w:val="20"/>
                <w:color w:val="auto"/>
              </w:rPr>
            </w:pPr>
            <w:r>
              <w:rPr>
                <w:rFonts w:ascii="Arial" w:cs="Arial" w:eastAsia="Arial" w:hAnsi="Arial"/>
                <w:sz w:val="16"/>
                <w:szCs w:val="16"/>
                <w:color w:val="auto"/>
              </w:rPr>
              <w:t>52</w:t>
            </w:r>
          </w:p>
        </w:tc>
        <w:tc>
          <w:tcPr>
            <w:tcW w:w="2040" w:type="dxa"/>
            <w:vAlign w:val="bottom"/>
            <w:shd w:val="clear" w:color="auto" w:fill="DBE5F1"/>
          </w:tcPr>
          <w:p>
            <w:pPr>
              <w:jc w:val="center"/>
              <w:spacing w:after="0"/>
              <w:rPr>
                <w:sz w:val="20"/>
                <w:szCs w:val="20"/>
                <w:color w:val="auto"/>
              </w:rPr>
            </w:pPr>
            <w:r>
              <w:rPr>
                <w:rFonts w:ascii="Arial" w:cs="Arial" w:eastAsia="Arial" w:hAnsi="Arial"/>
                <w:sz w:val="16"/>
                <w:szCs w:val="16"/>
                <w:color w:val="auto"/>
                <w:w w:val="89"/>
              </w:rPr>
              <w:t>1</w:t>
            </w:r>
          </w:p>
        </w:tc>
        <w:tc>
          <w:tcPr>
            <w:tcW w:w="5140" w:type="dxa"/>
            <w:vAlign w:val="bottom"/>
            <w:shd w:val="clear" w:color="auto" w:fill="DBE5F1"/>
          </w:tcPr>
          <w:p>
            <w:pPr>
              <w:ind w:left="180"/>
              <w:spacing w:after="0"/>
              <w:rPr>
                <w:sz w:val="20"/>
                <w:szCs w:val="20"/>
                <w:color w:val="auto"/>
              </w:rPr>
            </w:pPr>
            <w:r>
              <w:rPr>
                <w:rFonts w:ascii="Arial" w:cs="Arial" w:eastAsia="Arial" w:hAnsi="Arial"/>
                <w:sz w:val="16"/>
                <w:szCs w:val="16"/>
                <w:color w:val="auto"/>
              </w:rPr>
              <w:t>Chief Marketing Officer</w:t>
            </w:r>
          </w:p>
        </w:tc>
        <w:tc>
          <w:tcPr>
            <w:tcW w:w="0" w:type="dxa"/>
            <w:vAlign w:val="bottom"/>
          </w:tcPr>
          <w:p>
            <w:pPr>
              <w:spacing w:after="0"/>
              <w:rPr>
                <w:sz w:val="1"/>
                <w:szCs w:val="1"/>
                <w:color w:val="auto"/>
              </w:rPr>
            </w:pPr>
          </w:p>
        </w:tc>
      </w:tr>
      <w:tr>
        <w:trPr>
          <w:trHeight w:val="419"/>
        </w:trPr>
        <w:tc>
          <w:tcPr>
            <w:tcW w:w="20" w:type="dxa"/>
            <w:vAlign w:val="bottom"/>
          </w:tcPr>
          <w:p>
            <w:pPr>
              <w:spacing w:after="0"/>
              <w:rPr>
                <w:sz w:val="24"/>
                <w:szCs w:val="24"/>
                <w:color w:val="auto"/>
              </w:rPr>
            </w:pPr>
          </w:p>
        </w:tc>
        <w:tc>
          <w:tcPr>
            <w:tcW w:w="2860" w:type="dxa"/>
            <w:vAlign w:val="bottom"/>
            <w:shd w:val="clear" w:color="auto" w:fill="DBE5F1"/>
          </w:tcPr>
          <w:p>
            <w:pPr>
              <w:ind w:left="20"/>
              <w:spacing w:after="0"/>
              <w:rPr>
                <w:sz w:val="20"/>
                <w:szCs w:val="20"/>
                <w:color w:val="auto"/>
              </w:rPr>
            </w:pPr>
            <w:r>
              <w:rPr>
                <w:rFonts w:ascii="Arial" w:cs="Arial" w:eastAsia="Arial" w:hAnsi="Arial"/>
                <w:sz w:val="16"/>
                <w:szCs w:val="16"/>
                <w:b w:val="1"/>
                <w:bCs w:val="1"/>
                <w:color w:val="auto"/>
              </w:rPr>
              <w:t>Giles R. Newman</w:t>
            </w:r>
          </w:p>
        </w:tc>
        <w:tc>
          <w:tcPr>
            <w:tcW w:w="1360" w:type="dxa"/>
            <w:vAlign w:val="bottom"/>
            <w:shd w:val="clear" w:color="auto" w:fill="DBE5F1"/>
          </w:tcPr>
          <w:p>
            <w:pPr>
              <w:jc w:val="right"/>
              <w:ind w:right="498"/>
              <w:spacing w:after="0"/>
              <w:rPr>
                <w:sz w:val="20"/>
                <w:szCs w:val="20"/>
                <w:color w:val="auto"/>
              </w:rPr>
            </w:pPr>
            <w:r>
              <w:rPr>
                <w:rFonts w:ascii="Arial" w:cs="Arial" w:eastAsia="Arial" w:hAnsi="Arial"/>
                <w:sz w:val="16"/>
                <w:szCs w:val="16"/>
                <w:color w:val="auto"/>
              </w:rPr>
              <w:t>53</w:t>
            </w:r>
          </w:p>
        </w:tc>
        <w:tc>
          <w:tcPr>
            <w:tcW w:w="2040" w:type="dxa"/>
            <w:vAlign w:val="bottom"/>
            <w:shd w:val="clear" w:color="auto" w:fill="DBE5F1"/>
          </w:tcPr>
          <w:p>
            <w:pPr>
              <w:jc w:val="center"/>
              <w:spacing w:after="0"/>
              <w:rPr>
                <w:sz w:val="20"/>
                <w:szCs w:val="20"/>
                <w:color w:val="auto"/>
              </w:rPr>
            </w:pPr>
            <w:r>
              <w:rPr>
                <w:rFonts w:ascii="Arial" w:cs="Arial" w:eastAsia="Arial" w:hAnsi="Arial"/>
                <w:sz w:val="16"/>
                <w:szCs w:val="16"/>
                <w:color w:val="auto"/>
                <w:w w:val="89"/>
              </w:rPr>
              <w:t>4</w:t>
            </w:r>
          </w:p>
        </w:tc>
        <w:tc>
          <w:tcPr>
            <w:tcW w:w="5140" w:type="dxa"/>
            <w:vAlign w:val="bottom"/>
            <w:shd w:val="clear" w:color="auto" w:fill="DBE5F1"/>
          </w:tcPr>
          <w:p>
            <w:pPr>
              <w:ind w:left="180"/>
              <w:spacing w:after="0"/>
              <w:rPr>
                <w:sz w:val="20"/>
                <w:szCs w:val="20"/>
                <w:color w:val="auto"/>
              </w:rPr>
            </w:pPr>
            <w:r>
              <w:rPr>
                <w:rFonts w:ascii="Arial" w:cs="Arial" w:eastAsia="Arial" w:hAnsi="Arial"/>
                <w:sz w:val="16"/>
                <w:szCs w:val="16"/>
                <w:color w:val="auto"/>
              </w:rPr>
              <w:t>Managing Director, CoStar UK Limited</w:t>
            </w:r>
          </w:p>
        </w:tc>
        <w:tc>
          <w:tcPr>
            <w:tcW w:w="0" w:type="dxa"/>
            <w:vAlign w:val="bottom"/>
          </w:tcPr>
          <w:p>
            <w:pPr>
              <w:spacing w:after="0"/>
              <w:rPr>
                <w:sz w:val="1"/>
                <w:szCs w:val="1"/>
                <w:color w:val="auto"/>
              </w:rPr>
            </w:pPr>
          </w:p>
        </w:tc>
      </w:tr>
      <w:tr>
        <w:trPr>
          <w:trHeight w:val="419"/>
        </w:trPr>
        <w:tc>
          <w:tcPr>
            <w:tcW w:w="20" w:type="dxa"/>
            <w:vAlign w:val="bottom"/>
          </w:tcPr>
          <w:p>
            <w:pPr>
              <w:spacing w:after="0"/>
              <w:rPr>
                <w:sz w:val="24"/>
                <w:szCs w:val="24"/>
                <w:color w:val="auto"/>
              </w:rPr>
            </w:pPr>
          </w:p>
        </w:tc>
        <w:tc>
          <w:tcPr>
            <w:tcW w:w="2860" w:type="dxa"/>
            <w:vAlign w:val="bottom"/>
            <w:shd w:val="clear" w:color="auto" w:fill="DBE5F1"/>
          </w:tcPr>
          <w:p>
            <w:pPr>
              <w:ind w:left="20"/>
              <w:spacing w:after="0"/>
              <w:rPr>
                <w:sz w:val="20"/>
                <w:szCs w:val="20"/>
                <w:color w:val="auto"/>
              </w:rPr>
            </w:pPr>
            <w:r>
              <w:rPr>
                <w:rFonts w:ascii="Arial" w:cs="Arial" w:eastAsia="Arial" w:hAnsi="Arial"/>
                <w:sz w:val="16"/>
                <w:szCs w:val="16"/>
                <w:b w:val="1"/>
                <w:bCs w:val="1"/>
                <w:color w:val="auto"/>
              </w:rPr>
              <w:t>Lisa C. Ruggles</w:t>
            </w:r>
          </w:p>
        </w:tc>
        <w:tc>
          <w:tcPr>
            <w:tcW w:w="1360" w:type="dxa"/>
            <w:vAlign w:val="bottom"/>
            <w:shd w:val="clear" w:color="auto" w:fill="DBE5F1"/>
          </w:tcPr>
          <w:p>
            <w:pPr>
              <w:jc w:val="right"/>
              <w:ind w:right="498"/>
              <w:spacing w:after="0"/>
              <w:rPr>
                <w:sz w:val="20"/>
                <w:szCs w:val="20"/>
                <w:color w:val="auto"/>
              </w:rPr>
            </w:pPr>
            <w:r>
              <w:rPr>
                <w:rFonts w:ascii="Arial" w:cs="Arial" w:eastAsia="Arial" w:hAnsi="Arial"/>
                <w:sz w:val="16"/>
                <w:szCs w:val="16"/>
                <w:color w:val="auto"/>
              </w:rPr>
              <w:t>49</w:t>
            </w:r>
          </w:p>
        </w:tc>
        <w:tc>
          <w:tcPr>
            <w:tcW w:w="2040" w:type="dxa"/>
            <w:vAlign w:val="bottom"/>
            <w:shd w:val="clear" w:color="auto" w:fill="DBE5F1"/>
          </w:tcPr>
          <w:p>
            <w:pPr>
              <w:jc w:val="center"/>
              <w:spacing w:after="0"/>
              <w:rPr>
                <w:sz w:val="20"/>
                <w:szCs w:val="20"/>
                <w:color w:val="auto"/>
              </w:rPr>
            </w:pPr>
            <w:r>
              <w:rPr>
                <w:rFonts w:ascii="Arial" w:cs="Arial" w:eastAsia="Arial" w:hAnsi="Arial"/>
                <w:sz w:val="16"/>
                <w:szCs w:val="16"/>
                <w:color w:val="auto"/>
                <w:w w:val="89"/>
              </w:rPr>
              <w:t>17</w:t>
            </w:r>
          </w:p>
        </w:tc>
        <w:tc>
          <w:tcPr>
            <w:tcW w:w="5140" w:type="dxa"/>
            <w:vAlign w:val="bottom"/>
            <w:shd w:val="clear" w:color="auto" w:fill="DBE5F1"/>
          </w:tcPr>
          <w:p>
            <w:pPr>
              <w:ind w:left="180"/>
              <w:spacing w:after="0"/>
              <w:rPr>
                <w:sz w:val="20"/>
                <w:szCs w:val="20"/>
                <w:color w:val="auto"/>
              </w:rPr>
            </w:pPr>
            <w:r>
              <w:rPr>
                <w:rFonts w:ascii="Arial" w:cs="Arial" w:eastAsia="Arial" w:hAnsi="Arial"/>
                <w:sz w:val="16"/>
                <w:szCs w:val="16"/>
                <w:color w:val="auto"/>
              </w:rPr>
              <w:t>Senior Vice President, Portfolio Research</w:t>
            </w:r>
          </w:p>
        </w:tc>
        <w:tc>
          <w:tcPr>
            <w:tcW w:w="0" w:type="dxa"/>
            <w:vAlign w:val="bottom"/>
          </w:tcPr>
          <w:p>
            <w:pPr>
              <w:spacing w:after="0"/>
              <w:rPr>
                <w:sz w:val="1"/>
                <w:szCs w:val="1"/>
                <w:color w:val="auto"/>
              </w:rPr>
            </w:pPr>
          </w:p>
        </w:tc>
      </w:tr>
      <w:tr>
        <w:trPr>
          <w:trHeight w:val="423"/>
        </w:trPr>
        <w:tc>
          <w:tcPr>
            <w:tcW w:w="20" w:type="dxa"/>
            <w:vAlign w:val="bottom"/>
          </w:tcPr>
          <w:p>
            <w:pPr>
              <w:spacing w:after="0"/>
              <w:rPr>
                <w:sz w:val="24"/>
                <w:szCs w:val="24"/>
                <w:color w:val="auto"/>
              </w:rPr>
            </w:pPr>
          </w:p>
        </w:tc>
        <w:tc>
          <w:tcPr>
            <w:tcW w:w="2860" w:type="dxa"/>
            <w:vAlign w:val="bottom"/>
            <w:shd w:val="clear" w:color="auto" w:fill="DBE5F1"/>
          </w:tcPr>
          <w:p>
            <w:pPr>
              <w:ind w:left="20"/>
              <w:spacing w:after="0"/>
              <w:rPr>
                <w:sz w:val="20"/>
                <w:szCs w:val="20"/>
                <w:color w:val="auto"/>
              </w:rPr>
            </w:pPr>
            <w:r>
              <w:rPr>
                <w:rFonts w:ascii="Arial" w:cs="Arial" w:eastAsia="Arial" w:hAnsi="Arial"/>
                <w:sz w:val="16"/>
                <w:szCs w:val="16"/>
                <w:b w:val="1"/>
                <w:bCs w:val="1"/>
                <w:color w:val="auto"/>
              </w:rPr>
              <w:t>Cameron C. Stewart</w:t>
            </w:r>
          </w:p>
        </w:tc>
        <w:tc>
          <w:tcPr>
            <w:tcW w:w="1360" w:type="dxa"/>
            <w:vAlign w:val="bottom"/>
            <w:shd w:val="clear" w:color="auto" w:fill="DBE5F1"/>
          </w:tcPr>
          <w:p>
            <w:pPr>
              <w:jc w:val="right"/>
              <w:ind w:right="498"/>
              <w:spacing w:after="0"/>
              <w:rPr>
                <w:sz w:val="20"/>
                <w:szCs w:val="20"/>
                <w:color w:val="auto"/>
              </w:rPr>
            </w:pPr>
            <w:r>
              <w:rPr>
                <w:rFonts w:ascii="Arial" w:cs="Arial" w:eastAsia="Arial" w:hAnsi="Arial"/>
                <w:sz w:val="16"/>
                <w:szCs w:val="16"/>
                <w:color w:val="auto"/>
              </w:rPr>
              <w:t>40</w:t>
            </w:r>
          </w:p>
        </w:tc>
        <w:tc>
          <w:tcPr>
            <w:tcW w:w="2040" w:type="dxa"/>
            <w:vAlign w:val="bottom"/>
            <w:shd w:val="clear" w:color="auto" w:fill="DBE5F1"/>
          </w:tcPr>
          <w:p>
            <w:pPr>
              <w:jc w:val="right"/>
              <w:ind w:right="725"/>
              <w:spacing w:after="0"/>
              <w:rPr>
                <w:sz w:val="20"/>
                <w:szCs w:val="20"/>
                <w:color w:val="auto"/>
              </w:rPr>
            </w:pPr>
            <w:r>
              <w:rPr>
                <w:rFonts w:ascii="Arial" w:cs="Arial" w:eastAsia="Arial" w:hAnsi="Arial"/>
                <w:sz w:val="32"/>
                <w:szCs w:val="32"/>
                <w:color w:val="auto"/>
                <w:vertAlign w:val="subscript"/>
              </w:rPr>
              <w:t>11</w:t>
            </w:r>
            <w:r>
              <w:rPr>
                <w:rFonts w:ascii="Arial" w:cs="Arial" w:eastAsia="Arial" w:hAnsi="Arial"/>
                <w:sz w:val="11"/>
                <w:szCs w:val="11"/>
                <w:color w:val="auto"/>
              </w:rPr>
              <w:t>(4)</w:t>
            </w:r>
          </w:p>
        </w:tc>
        <w:tc>
          <w:tcPr>
            <w:tcW w:w="5140" w:type="dxa"/>
            <w:vAlign w:val="bottom"/>
            <w:shd w:val="clear" w:color="auto" w:fill="DBE5F1"/>
          </w:tcPr>
          <w:p>
            <w:pPr>
              <w:ind w:left="180"/>
              <w:spacing w:after="0"/>
              <w:rPr>
                <w:sz w:val="20"/>
                <w:szCs w:val="20"/>
                <w:color w:val="auto"/>
              </w:rPr>
            </w:pPr>
            <w:r>
              <w:rPr>
                <w:rFonts w:ascii="Arial" w:cs="Arial" w:eastAsia="Arial" w:hAnsi="Arial"/>
                <w:sz w:val="16"/>
                <w:szCs w:val="16"/>
                <w:color w:val="auto"/>
              </w:rPr>
              <w:t>President, LoopNet</w:t>
            </w: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2860" w:type="dxa"/>
            <w:vAlign w:val="bottom"/>
            <w:shd w:val="clear" w:color="auto" w:fill="DBE5F1"/>
          </w:tcPr>
          <w:p>
            <w:pPr>
              <w:ind w:left="20"/>
              <w:spacing w:after="0"/>
              <w:rPr>
                <w:sz w:val="20"/>
                <w:szCs w:val="20"/>
                <w:color w:val="auto"/>
              </w:rPr>
            </w:pPr>
            <w:r>
              <w:rPr>
                <w:rFonts w:ascii="Arial" w:cs="Arial" w:eastAsia="Arial" w:hAnsi="Arial"/>
                <w:sz w:val="16"/>
                <w:szCs w:val="16"/>
                <w:b w:val="1"/>
                <w:bCs w:val="1"/>
                <w:color w:val="auto"/>
              </w:rPr>
              <w:t>Donna G. Tanenbaum</w:t>
            </w:r>
          </w:p>
        </w:tc>
        <w:tc>
          <w:tcPr>
            <w:tcW w:w="1360" w:type="dxa"/>
            <w:vAlign w:val="bottom"/>
            <w:shd w:val="clear" w:color="auto" w:fill="DBE5F1"/>
          </w:tcPr>
          <w:p>
            <w:pPr>
              <w:jc w:val="right"/>
              <w:ind w:right="498"/>
              <w:spacing w:after="0"/>
              <w:rPr>
                <w:sz w:val="20"/>
                <w:szCs w:val="20"/>
                <w:color w:val="auto"/>
              </w:rPr>
            </w:pPr>
            <w:r>
              <w:rPr>
                <w:rFonts w:ascii="Arial" w:cs="Arial" w:eastAsia="Arial" w:hAnsi="Arial"/>
                <w:sz w:val="16"/>
                <w:szCs w:val="16"/>
                <w:color w:val="auto"/>
              </w:rPr>
              <w:t>56</w:t>
            </w:r>
          </w:p>
        </w:tc>
        <w:tc>
          <w:tcPr>
            <w:tcW w:w="2040" w:type="dxa"/>
            <w:vAlign w:val="bottom"/>
            <w:shd w:val="clear" w:color="auto" w:fill="DBE5F1"/>
          </w:tcPr>
          <w:p>
            <w:pPr>
              <w:jc w:val="center"/>
              <w:spacing w:after="0"/>
              <w:rPr>
                <w:sz w:val="20"/>
                <w:szCs w:val="20"/>
                <w:color w:val="auto"/>
              </w:rPr>
            </w:pPr>
            <w:r>
              <w:rPr>
                <w:rFonts w:ascii="Arial" w:cs="Arial" w:eastAsia="Arial" w:hAnsi="Arial"/>
                <w:sz w:val="16"/>
                <w:szCs w:val="16"/>
                <w:color w:val="auto"/>
                <w:w w:val="89"/>
              </w:rPr>
              <w:t>4</w:t>
            </w:r>
          </w:p>
        </w:tc>
        <w:tc>
          <w:tcPr>
            <w:tcW w:w="5140" w:type="dxa"/>
            <w:vAlign w:val="bottom"/>
            <w:shd w:val="clear" w:color="auto" w:fill="DBE5F1"/>
          </w:tcPr>
          <w:p>
            <w:pPr>
              <w:ind w:left="180"/>
              <w:spacing w:after="0"/>
              <w:rPr>
                <w:sz w:val="20"/>
                <w:szCs w:val="20"/>
                <w:color w:val="auto"/>
              </w:rPr>
            </w:pPr>
            <w:r>
              <w:rPr>
                <w:rFonts w:ascii="Arial" w:cs="Arial" w:eastAsia="Arial" w:hAnsi="Arial"/>
                <w:sz w:val="16"/>
                <w:szCs w:val="16"/>
                <w:color w:val="auto"/>
              </w:rPr>
              <w:t>Vice President, Human Resources</w:t>
            </w:r>
          </w:p>
        </w:tc>
        <w:tc>
          <w:tcPr>
            <w:tcW w:w="0" w:type="dxa"/>
            <w:vAlign w:val="bottom"/>
          </w:tcPr>
          <w:p>
            <w:pPr>
              <w:spacing w:after="0"/>
              <w:rPr>
                <w:sz w:val="1"/>
                <w:szCs w:val="1"/>
                <w:color w:val="auto"/>
              </w:rPr>
            </w:pPr>
          </w:p>
        </w:tc>
      </w:tr>
      <w:tr>
        <w:trPr>
          <w:trHeight w:val="141"/>
        </w:trPr>
        <w:tc>
          <w:tcPr>
            <w:tcW w:w="20" w:type="dxa"/>
            <w:vAlign w:val="bottom"/>
            <w:vMerge w:val="restart"/>
          </w:tcPr>
          <w:p>
            <w:pPr>
              <w:spacing w:after="0"/>
              <w:rPr>
                <w:sz w:val="12"/>
                <w:szCs w:val="12"/>
                <w:color w:val="auto"/>
              </w:rPr>
            </w:pPr>
          </w:p>
        </w:tc>
        <w:tc>
          <w:tcPr>
            <w:tcW w:w="2860" w:type="dxa"/>
            <w:vAlign w:val="bottom"/>
            <w:shd w:val="clear" w:color="auto" w:fill="DBE5F1"/>
          </w:tcPr>
          <w:p>
            <w:pPr>
              <w:spacing w:after="0"/>
              <w:rPr>
                <w:sz w:val="12"/>
                <w:szCs w:val="12"/>
                <w:color w:val="auto"/>
              </w:rPr>
            </w:pPr>
          </w:p>
        </w:tc>
        <w:tc>
          <w:tcPr>
            <w:tcW w:w="1360" w:type="dxa"/>
            <w:vAlign w:val="bottom"/>
            <w:shd w:val="clear" w:color="auto" w:fill="DBE5F1"/>
          </w:tcPr>
          <w:p>
            <w:pPr>
              <w:spacing w:after="0"/>
              <w:rPr>
                <w:sz w:val="12"/>
                <w:szCs w:val="12"/>
                <w:color w:val="auto"/>
              </w:rPr>
            </w:pPr>
          </w:p>
        </w:tc>
        <w:tc>
          <w:tcPr>
            <w:tcW w:w="2040" w:type="dxa"/>
            <w:vAlign w:val="bottom"/>
            <w:shd w:val="clear" w:color="auto" w:fill="DBE5F1"/>
          </w:tcPr>
          <w:p>
            <w:pPr>
              <w:spacing w:after="0"/>
              <w:rPr>
                <w:sz w:val="12"/>
                <w:szCs w:val="12"/>
                <w:color w:val="auto"/>
              </w:rPr>
            </w:pPr>
          </w:p>
        </w:tc>
        <w:tc>
          <w:tcPr>
            <w:tcW w:w="5140" w:type="dxa"/>
            <w:vAlign w:val="bottom"/>
            <w:shd w:val="clear" w:color="auto" w:fill="DBE5F1"/>
          </w:tcPr>
          <w:p>
            <w:pPr>
              <w:spacing w:after="0"/>
              <w:rPr>
                <w:sz w:val="12"/>
                <w:szCs w:val="12"/>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20"/>
                <w:szCs w:val="20"/>
                <w:color w:val="auto"/>
              </w:rPr>
            </w:pPr>
          </w:p>
        </w:tc>
        <w:tc>
          <w:tcPr>
            <w:tcW w:w="2860" w:type="dxa"/>
            <w:vAlign w:val="bottom"/>
          </w:tcPr>
          <w:p>
            <w:pPr>
              <w:spacing w:after="0"/>
              <w:rPr>
                <w:sz w:val="20"/>
                <w:szCs w:val="20"/>
                <w:color w:val="auto"/>
              </w:rPr>
            </w:pPr>
            <w:r>
              <w:rPr>
                <w:rFonts w:ascii="Arial" w:cs="Arial" w:eastAsia="Arial" w:hAnsi="Arial"/>
                <w:sz w:val="18"/>
                <w:szCs w:val="18"/>
                <w:color w:val="auto"/>
              </w:rPr>
              <w:t>____________</w:t>
            </w:r>
          </w:p>
        </w:tc>
        <w:tc>
          <w:tcPr>
            <w:tcW w:w="136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51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43" w:lineRule="exact"/>
        <w:rPr>
          <w:sz w:val="20"/>
          <w:szCs w:val="20"/>
          <w:color w:val="auto"/>
        </w:rPr>
      </w:pPr>
    </w:p>
    <w:p>
      <w:pPr>
        <w:ind w:left="260" w:hanging="252"/>
        <w:spacing w:after="0"/>
        <w:tabs>
          <w:tab w:leader="none" w:pos="260" w:val="left"/>
        </w:tabs>
        <w:numPr>
          <w:ilvl w:val="0"/>
          <w:numId w:val="26"/>
        </w:numPr>
        <w:rPr>
          <w:rFonts w:ascii="Arial" w:cs="Arial" w:eastAsia="Arial" w:hAnsi="Arial"/>
          <w:sz w:val="16"/>
          <w:szCs w:val="16"/>
          <w:color w:val="auto"/>
        </w:rPr>
      </w:pPr>
      <w:r>
        <w:rPr>
          <w:rFonts w:ascii="Arial" w:cs="Arial" w:eastAsia="Arial" w:hAnsi="Arial"/>
          <w:sz w:val="16"/>
          <w:szCs w:val="16"/>
          <w:color w:val="auto"/>
        </w:rPr>
        <w:t>Executive Officer as defined by the Securities Exchange Act of 1934, as amended</w:t>
      </w:r>
    </w:p>
    <w:p>
      <w:pPr>
        <w:spacing w:after="0" w:line="19" w:lineRule="exact"/>
        <w:rPr>
          <w:rFonts w:ascii="Arial" w:cs="Arial" w:eastAsia="Arial" w:hAnsi="Arial"/>
          <w:sz w:val="16"/>
          <w:szCs w:val="16"/>
          <w:color w:val="auto"/>
        </w:rPr>
      </w:pPr>
    </w:p>
    <w:p>
      <w:pPr>
        <w:ind w:left="340" w:hanging="318"/>
        <w:spacing w:after="0"/>
        <w:tabs>
          <w:tab w:leader="none" w:pos="340" w:val="left"/>
        </w:tabs>
        <w:numPr>
          <w:ilvl w:val="1"/>
          <w:numId w:val="26"/>
        </w:numPr>
        <w:rPr>
          <w:rFonts w:ascii="Arial" w:cs="Arial" w:eastAsia="Arial" w:hAnsi="Arial"/>
          <w:sz w:val="16"/>
          <w:szCs w:val="16"/>
          <w:color w:val="auto"/>
        </w:rPr>
      </w:pPr>
      <w:r>
        <w:rPr>
          <w:rFonts w:ascii="Arial" w:cs="Arial" w:eastAsia="Arial" w:hAnsi="Arial"/>
          <w:sz w:val="16"/>
          <w:szCs w:val="16"/>
          <w:color w:val="auto"/>
        </w:rPr>
        <w:t>Age determined as of June 1, 2016.</w:t>
      </w:r>
    </w:p>
    <w:p>
      <w:pPr>
        <w:spacing w:after="0" w:line="5" w:lineRule="exact"/>
        <w:rPr>
          <w:rFonts w:ascii="Arial" w:cs="Arial" w:eastAsia="Arial" w:hAnsi="Arial"/>
          <w:sz w:val="16"/>
          <w:szCs w:val="16"/>
          <w:color w:val="auto"/>
        </w:rPr>
      </w:pPr>
    </w:p>
    <w:p>
      <w:pPr>
        <w:ind w:left="340" w:hanging="318"/>
        <w:spacing w:after="0"/>
        <w:tabs>
          <w:tab w:leader="none" w:pos="340" w:val="left"/>
        </w:tabs>
        <w:numPr>
          <w:ilvl w:val="1"/>
          <w:numId w:val="26"/>
        </w:numPr>
        <w:rPr>
          <w:rFonts w:ascii="Arial" w:cs="Arial" w:eastAsia="Arial" w:hAnsi="Arial"/>
          <w:sz w:val="16"/>
          <w:szCs w:val="16"/>
          <w:color w:val="auto"/>
        </w:rPr>
      </w:pPr>
      <w:r>
        <w:rPr>
          <w:rFonts w:ascii="Arial" w:cs="Arial" w:eastAsia="Arial" w:hAnsi="Arial"/>
          <w:sz w:val="16"/>
          <w:szCs w:val="16"/>
          <w:color w:val="auto"/>
        </w:rPr>
        <w:t>Years of service include the current year of service.</w:t>
      </w:r>
    </w:p>
    <w:p>
      <w:pPr>
        <w:spacing w:after="0" w:line="5" w:lineRule="exact"/>
        <w:rPr>
          <w:rFonts w:ascii="Arial" w:cs="Arial" w:eastAsia="Arial" w:hAnsi="Arial"/>
          <w:sz w:val="16"/>
          <w:szCs w:val="16"/>
          <w:color w:val="auto"/>
        </w:rPr>
      </w:pPr>
    </w:p>
    <w:p>
      <w:pPr>
        <w:ind w:left="340" w:hanging="318"/>
        <w:spacing w:after="0"/>
        <w:tabs>
          <w:tab w:leader="none" w:pos="340" w:val="left"/>
        </w:tabs>
        <w:numPr>
          <w:ilvl w:val="1"/>
          <w:numId w:val="26"/>
        </w:numPr>
        <w:rPr>
          <w:rFonts w:ascii="Arial" w:cs="Arial" w:eastAsia="Arial" w:hAnsi="Arial"/>
          <w:sz w:val="16"/>
          <w:szCs w:val="16"/>
          <w:color w:val="auto"/>
        </w:rPr>
      </w:pPr>
      <w:r>
        <w:rPr>
          <w:rFonts w:ascii="Arial" w:cs="Arial" w:eastAsia="Arial" w:hAnsi="Arial"/>
          <w:sz w:val="16"/>
          <w:szCs w:val="16"/>
          <w:color w:val="auto"/>
        </w:rPr>
        <w:t>Includes all years of service with the Company, although not consecutive.</w:t>
      </w:r>
    </w:p>
    <w:p>
      <w:pPr>
        <w:spacing w:after="0" w:line="5" w:lineRule="exact"/>
        <w:rPr>
          <w:rFonts w:ascii="Arial" w:cs="Arial" w:eastAsia="Arial" w:hAnsi="Arial"/>
          <w:sz w:val="16"/>
          <w:szCs w:val="16"/>
          <w:color w:val="auto"/>
        </w:rPr>
      </w:pPr>
    </w:p>
    <w:p>
      <w:pPr>
        <w:ind w:left="340" w:hanging="318"/>
        <w:spacing w:after="0"/>
        <w:tabs>
          <w:tab w:leader="none" w:pos="340" w:val="left"/>
        </w:tabs>
        <w:numPr>
          <w:ilvl w:val="1"/>
          <w:numId w:val="26"/>
        </w:numPr>
        <w:rPr>
          <w:rFonts w:ascii="Arial" w:cs="Arial" w:eastAsia="Arial" w:hAnsi="Arial"/>
          <w:sz w:val="16"/>
          <w:szCs w:val="16"/>
          <w:color w:val="auto"/>
        </w:rPr>
      </w:pPr>
      <w:r>
        <w:rPr>
          <w:rFonts w:ascii="Arial" w:cs="Arial" w:eastAsia="Arial" w:hAnsi="Arial"/>
          <w:sz w:val="16"/>
          <w:szCs w:val="16"/>
          <w:color w:val="auto"/>
        </w:rPr>
        <w:t>Includes years of service with acquired companies.</w:t>
      </w:r>
    </w:p>
    <w:p>
      <w:pPr>
        <w:spacing w:after="0" w:line="20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Biographical information about Mr. Florance appears above under “Item 1 — Election of Directors.” Biographical information about each of the other individuals in the table appears below.</w:t>
      </w:r>
    </w:p>
    <w:p>
      <w:pPr>
        <w:spacing w:after="0" w:line="170" w:lineRule="exact"/>
        <w:rPr>
          <w:sz w:val="20"/>
          <w:szCs w:val="20"/>
          <w:color w:val="auto"/>
        </w:rPr>
      </w:pPr>
    </w:p>
    <w:p>
      <w:pPr>
        <w:jc w:val="both"/>
        <w:spacing w:after="0" w:line="290" w:lineRule="auto"/>
        <w:rPr>
          <w:sz w:val="20"/>
          <w:szCs w:val="20"/>
          <w:color w:val="auto"/>
        </w:rPr>
      </w:pPr>
      <w:r>
        <w:rPr>
          <w:rFonts w:ascii="Arial" w:cs="Arial" w:eastAsia="Arial" w:hAnsi="Arial"/>
          <w:sz w:val="16"/>
          <w:szCs w:val="16"/>
          <w:i w:val="1"/>
          <w:iCs w:val="1"/>
          <w:color w:val="auto"/>
        </w:rPr>
        <w:t>Scott T. Wheeler</w:t>
      </w:r>
      <w:r>
        <w:rPr>
          <w:rFonts w:ascii="Arial" w:cs="Arial" w:eastAsia="Arial" w:hAnsi="Arial"/>
          <w:sz w:val="16"/>
          <w:szCs w:val="16"/>
          <w:color w:val="auto"/>
        </w:rPr>
        <w:t>, our Chief Financial Officer, joined the Company in January 2016. Prior to his appointment as Chief Financial Officer, from 2006 until</w:t>
      </w:r>
      <w:r>
        <w:rPr>
          <w:rFonts w:ascii="Arial" w:cs="Arial" w:eastAsia="Arial" w:hAnsi="Arial"/>
          <w:sz w:val="16"/>
          <w:szCs w:val="16"/>
          <w:i w:val="1"/>
          <w:iCs w:val="1"/>
          <w:color w:val="auto"/>
        </w:rPr>
        <w:t xml:space="preserve"> </w:t>
      </w:r>
      <w:r>
        <w:rPr>
          <w:rFonts w:ascii="Arial" w:cs="Arial" w:eastAsia="Arial" w:hAnsi="Arial"/>
          <w:sz w:val="16"/>
          <w:szCs w:val="16"/>
          <w:color w:val="auto"/>
        </w:rPr>
        <w:t>January 2016, Mr. Wheeler served in various roles with Experian, a global information services company. From 2013 until January 2016, Mr. Wheeler served as Chief Financial Officer – Experian North America and Global Technology Services. Experian North America is a regional business group with $2.5 billion in sales across four business segments and twelve operating units. Prior to this, Mr. Wheeler held various positions in addition to his role as Chief Financial Officer – Experian North America, including Director – SalesShare and Innovation from 2008 to 2012 and Chief Financial Officer of Experian’s Central and South American operations from 2006 to 2007. Mr. Wheeler came to CoStar with 30 years of financial and leadership experience, including four years with Avery Dennison Corporation, a producer of pressure-sensitive labeling, retail tag and ticketing systems; six years with General Electric Company; and ten years with Deloitte &amp; Touche, LLP. He received a B.A. in Business Administration with Accounting concentration from University of Washington, Seattle.</w:t>
      </w:r>
    </w:p>
    <w:p>
      <w:pPr>
        <w:spacing w:after="0" w:line="166" w:lineRule="exact"/>
        <w:rPr>
          <w:sz w:val="20"/>
          <w:szCs w:val="20"/>
          <w:color w:val="auto"/>
        </w:rPr>
      </w:pPr>
    </w:p>
    <w:p>
      <w:pPr>
        <w:jc w:val="both"/>
        <w:spacing w:after="0" w:line="271" w:lineRule="auto"/>
        <w:rPr>
          <w:sz w:val="20"/>
          <w:szCs w:val="20"/>
          <w:color w:val="auto"/>
        </w:rPr>
      </w:pPr>
      <w:r>
        <w:rPr>
          <w:rFonts w:ascii="Arial" w:cs="Arial" w:eastAsia="Arial" w:hAnsi="Arial"/>
          <w:sz w:val="17"/>
          <w:szCs w:val="17"/>
          <w:i w:val="1"/>
          <w:iCs w:val="1"/>
          <w:color w:val="auto"/>
        </w:rPr>
        <w:t xml:space="preserve">Francis (Frank) A. Carchedi, </w:t>
      </w:r>
      <w:r>
        <w:rPr>
          <w:rFonts w:ascii="Arial" w:cs="Arial" w:eastAsia="Arial" w:hAnsi="Arial"/>
          <w:sz w:val="17"/>
          <w:szCs w:val="17"/>
          <w:color w:val="auto"/>
        </w:rPr>
        <w:t>our Executive Vice President of Corporate Development, returned to the Company in June 2009, having served as our Chief</w:t>
      </w:r>
      <w:r>
        <w:rPr>
          <w:rFonts w:ascii="Arial" w:cs="Arial" w:eastAsia="Arial" w:hAnsi="Arial"/>
          <w:sz w:val="17"/>
          <w:szCs w:val="17"/>
          <w:i w:val="1"/>
          <w:iCs w:val="1"/>
          <w:color w:val="auto"/>
        </w:rPr>
        <w:t xml:space="preserve"> </w:t>
      </w:r>
      <w:r>
        <w:rPr>
          <w:rFonts w:ascii="Arial" w:cs="Arial" w:eastAsia="Arial" w:hAnsi="Arial"/>
          <w:sz w:val="17"/>
          <w:szCs w:val="17"/>
          <w:color w:val="auto"/>
        </w:rPr>
        <w:t>Financial Officer and Treasurer from May 1997 through June 2007. From 2009 until his appointment as Executive Vice President of Operations in early 2013, Mr. Carchedi served as Vice President of Corporate Development. He was subsequently appointed Executive Vice President of Corporate Development in early 2016. From 2008 to 2009, Mr. Carchedi was Chief Financial Officer of Avectra, Inc., a provider of enterprise and software as a service (SAAS)-based software and services. From 1995 to 1997, he was with ITC Learning Corporation, a publicly held publisher and distributor of multi-media training products, where he served as Vice President, Treasurer and Chief Financial Officer. Prior to that, Mr. Carchedi was with Ernst &amp; Young, LLP for ten years, most recently as a consultant in the firm’s New York-based Mergers and Acquisitions Group and Entrepreneurial Services Group in Washington, DC. He received a B.S. in accounting from Wake Forest University.</w:t>
      </w:r>
    </w:p>
    <w:p>
      <w:pPr>
        <w:spacing w:after="0" w:line="179" w:lineRule="exact"/>
        <w:rPr>
          <w:sz w:val="20"/>
          <w:szCs w:val="20"/>
          <w:color w:val="auto"/>
        </w:rPr>
      </w:pPr>
    </w:p>
    <w:p>
      <w:pPr>
        <w:jc w:val="both"/>
        <w:spacing w:after="0" w:line="312" w:lineRule="auto"/>
        <w:rPr>
          <w:sz w:val="20"/>
          <w:szCs w:val="20"/>
          <w:color w:val="auto"/>
        </w:rPr>
      </w:pPr>
      <w:r>
        <w:rPr>
          <w:rFonts w:ascii="Arial" w:cs="Arial" w:eastAsia="Arial" w:hAnsi="Arial"/>
          <w:sz w:val="16"/>
          <w:szCs w:val="16"/>
          <w:i w:val="1"/>
          <w:iCs w:val="1"/>
          <w:color w:val="auto"/>
        </w:rPr>
        <w:t>Matthew (Max) F. W. Linnington</w:t>
      </w:r>
      <w:r>
        <w:rPr>
          <w:rFonts w:ascii="Arial" w:cs="Arial" w:eastAsia="Arial" w:hAnsi="Arial"/>
          <w:sz w:val="16"/>
          <w:szCs w:val="16"/>
          <w:color w:val="auto"/>
        </w:rPr>
        <w:t>, our Executive Vice President of Sales, joined us in June 2014. In 2014, prior to joining CoStar, he served as Vice President</w:t>
      </w:r>
      <w:r>
        <w:rPr>
          <w:rFonts w:ascii="Arial" w:cs="Arial" w:eastAsia="Arial" w:hAnsi="Arial"/>
          <w:sz w:val="16"/>
          <w:szCs w:val="16"/>
          <w:i w:val="1"/>
          <w:iCs w:val="1"/>
          <w:color w:val="auto"/>
        </w:rPr>
        <w:t xml:space="preserve"> </w:t>
      </w:r>
      <w:r>
        <w:rPr>
          <w:rFonts w:ascii="Arial" w:cs="Arial" w:eastAsia="Arial" w:hAnsi="Arial"/>
          <w:sz w:val="16"/>
          <w:szCs w:val="16"/>
          <w:color w:val="auto"/>
        </w:rPr>
        <w:t>of Sales for Scivantage, a financial technology firm, and prior to that he was the Founder and Managing Director at SpeedBird Ventures UK Ltd., a private investment firm, from 2012 to 2014. Mr. Linnington served in various roles at Bloomberg LP from 1995 to 2012, including his most recent roles as Regional</w:t>
      </w:r>
    </w:p>
    <w:p>
      <w:pPr>
        <w:sectPr>
          <w:pgSz w:w="11900" w:h="16838" w:orient="portrait"/>
          <w:cols w:equalWidth="0" w:num="1">
            <w:col w:w="11420"/>
          </w:cols>
          <w:pgMar w:left="240" w:top="360" w:right="239" w:bottom="1440" w:gutter="0" w:footer="0" w:header="0"/>
        </w:sectPr>
      </w:pP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33</w:t>
      </w:r>
    </w:p>
    <w:p>
      <w:pPr>
        <w:sectPr>
          <w:pgSz w:w="11900" w:h="16838" w:orient="portrait"/>
          <w:cols w:equalWidth="0" w:num="1">
            <w:col w:w="11420"/>
          </w:cols>
          <w:pgMar w:left="240" w:top="360" w:right="239" w:bottom="1440" w:gutter="0" w:footer="0" w:header="0"/>
          <w:type w:val="continuous"/>
        </w:sectPr>
      </w:pPr>
    </w:p>
    <w:bookmarkStart w:id="39" w:name="page40"/>
    <w:bookmarkEnd w:id="39"/>
    <w:p>
      <w:pPr>
        <w:jc w:val="both"/>
        <w:spacing w:after="0" w:line="264" w:lineRule="auto"/>
        <w:rPr>
          <w:sz w:val="20"/>
          <w:szCs w:val="20"/>
          <w:color w:val="auto"/>
        </w:rPr>
      </w:pPr>
      <w:r>
        <w:rPr>
          <w:rFonts w:ascii="Arial" w:cs="Arial" w:eastAsia="Arial" w:hAnsi="Arial"/>
          <w:sz w:val="18"/>
          <w:szCs w:val="18"/>
          <w:color w:val="auto"/>
        </w:rPr>
        <w:t>Head, Emerging Markets from 2008 to 2012, where he led expansion of Bloomberg’s operations in Africa, the Middle East and South Asia, and as Senior Vice President, Sales and Marketing for Bloomberg LP Americas from 2001 to 2008. Mr. Linnington received a B.A. Hons degree in Financial Services from the University of West England.</w:t>
      </w:r>
    </w:p>
    <w:p>
      <w:pPr>
        <w:spacing w:after="0" w:line="18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i w:val="1"/>
          <w:iCs w:val="1"/>
          <w:color w:val="auto"/>
        </w:rPr>
        <w:t>Jonathan M. Coleman</w:t>
      </w:r>
      <w:r>
        <w:rPr>
          <w:rFonts w:ascii="Arial" w:cs="Arial" w:eastAsia="Arial" w:hAnsi="Arial"/>
          <w:sz w:val="17"/>
          <w:szCs w:val="17"/>
          <w:color w:val="auto"/>
        </w:rPr>
        <w:t>, our General Counsel and Secretary, joined us in May 2000 as Deputy General Counsel. He has served as General Counsel and</w:t>
      </w:r>
      <w:r>
        <w:rPr>
          <w:rFonts w:ascii="Arial" w:cs="Arial" w:eastAsia="Arial" w:hAnsi="Arial"/>
          <w:sz w:val="17"/>
          <w:szCs w:val="17"/>
          <w:i w:val="1"/>
          <w:iCs w:val="1"/>
          <w:color w:val="auto"/>
        </w:rPr>
        <w:t xml:space="preserve"> </w:t>
      </w:r>
      <w:r>
        <w:rPr>
          <w:rFonts w:ascii="Arial" w:cs="Arial" w:eastAsia="Arial" w:hAnsi="Arial"/>
          <w:sz w:val="17"/>
          <w:szCs w:val="17"/>
          <w:color w:val="auto"/>
        </w:rPr>
        <w:t>Secretary since July 2005. From October 1996 to May 2000, Mr. Coleman was a Trial Attorney with the U.S. Department of Justice’s Civil Division. Prior to that, Mr. Coleman was an associate at Fried, Frank, Harris, Shriver &amp; Jacobson, where he practiced commercial litigation. Mr. Coleman received a B.A. in economics and public policy studies from Dickinson College and his J.D. from George Washington University.</w:t>
      </w:r>
    </w:p>
    <w:p>
      <w:pPr>
        <w:spacing w:after="0" w:line="17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color w:val="auto"/>
        </w:rPr>
        <w:t>Frederick (Fred) G. Saint</w:t>
      </w:r>
      <w:r>
        <w:rPr>
          <w:rFonts w:ascii="Arial" w:cs="Arial" w:eastAsia="Arial" w:hAnsi="Arial"/>
          <w:sz w:val="18"/>
          <w:szCs w:val="18"/>
          <w:color w:val="auto"/>
        </w:rPr>
        <w:t>, the President of Apartments, LLC (doing business as Apartments.com), a network of online apartment listing websites and a</w:t>
      </w:r>
      <w:r>
        <w:rPr>
          <w:rFonts w:ascii="Arial" w:cs="Arial" w:eastAsia="Arial" w:hAnsi="Arial"/>
          <w:sz w:val="18"/>
          <w:szCs w:val="18"/>
          <w:i w:val="1"/>
          <w:iCs w:val="1"/>
          <w:color w:val="auto"/>
        </w:rPr>
        <w:t xml:space="preserve"> </w:t>
      </w:r>
      <w:r>
        <w:rPr>
          <w:rFonts w:ascii="Arial" w:cs="Arial" w:eastAsia="Arial" w:hAnsi="Arial"/>
          <w:sz w:val="18"/>
          <w:szCs w:val="18"/>
          <w:color w:val="auto"/>
        </w:rPr>
        <w:t>wholly owned subsidiary of the Company, is responsible for Apartments.com’s product, marketing and business development. Mr. Saint joined the Company as a result of the Company’s acquisition of LoopNet in 2012. He had previously joined LoopNet as President of Cityfeet and Vice President of LoopNet Business Development in August 2007 upon the acquisition of Cityfeet, where he served as Chief Executive Officer from January 2004 to August 2007. Mr. Saint received a B.S. in business administration from Wake Forest University and an M.B.A. in finance and real estate from the Wharton School at University of Pennsylvania.</w:t>
      </w:r>
    </w:p>
    <w:p>
      <w:pPr>
        <w:spacing w:after="0" w:line="193" w:lineRule="exact"/>
        <w:rPr>
          <w:sz w:val="20"/>
          <w:szCs w:val="20"/>
          <w:color w:val="auto"/>
        </w:rPr>
      </w:pPr>
    </w:p>
    <w:p>
      <w:pPr>
        <w:jc w:val="both"/>
        <w:spacing w:after="0" w:line="297" w:lineRule="auto"/>
        <w:rPr>
          <w:sz w:val="20"/>
          <w:szCs w:val="20"/>
          <w:color w:val="auto"/>
        </w:rPr>
      </w:pPr>
      <w:r>
        <w:rPr>
          <w:rFonts w:ascii="Arial" w:cs="Arial" w:eastAsia="Arial" w:hAnsi="Arial"/>
          <w:sz w:val="16"/>
          <w:szCs w:val="16"/>
          <w:i w:val="1"/>
          <w:iCs w:val="1"/>
          <w:color w:val="auto"/>
        </w:rPr>
        <w:t>Frank A. Simuro</w:t>
      </w:r>
      <w:r>
        <w:rPr>
          <w:rFonts w:ascii="Arial" w:cs="Arial" w:eastAsia="Arial" w:hAnsi="Arial"/>
          <w:sz w:val="16"/>
          <w:szCs w:val="16"/>
          <w:color w:val="auto"/>
        </w:rPr>
        <w:t>, our Chief Technology Officer, joined the Company in December 1999 as Director of Information Systems. He served as Senior Vice</w:t>
      </w:r>
      <w:r>
        <w:rPr>
          <w:rFonts w:ascii="Arial" w:cs="Arial" w:eastAsia="Arial" w:hAnsi="Arial"/>
          <w:sz w:val="16"/>
          <w:szCs w:val="16"/>
          <w:i w:val="1"/>
          <w:iCs w:val="1"/>
          <w:color w:val="auto"/>
        </w:rPr>
        <w:t xml:space="preserve"> </w:t>
      </w:r>
      <w:r>
        <w:rPr>
          <w:rFonts w:ascii="Arial" w:cs="Arial" w:eastAsia="Arial" w:hAnsi="Arial"/>
          <w:sz w:val="16"/>
          <w:szCs w:val="16"/>
          <w:color w:val="auto"/>
        </w:rPr>
        <w:t>President of Information Systems from May 2005 to January 2008 and was promoted to Chief Information Officer in January 2008. Most recently, in March 2015, Mr. Simuro was promoted to Chief Technology Officer. Prior to joining CoStar, Mr. Simuro was Director of Data Warehousing at GRC International (“GRC”). Prior to GRC, Mr. Simuro was a technology consultant specializing in operational efficiency and database technologies. Mr. Simuro received a M.S. in information systems from George Washington University and a B.A. in computer science from State University of New York — Geneseo.</w:t>
      </w:r>
    </w:p>
    <w:p>
      <w:pPr>
        <w:spacing w:after="0" w:line="15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Rebecca (Becky) Carr</w:t>
      </w:r>
      <w:r>
        <w:rPr>
          <w:rFonts w:ascii="Arial" w:cs="Arial" w:eastAsia="Arial" w:hAnsi="Arial"/>
          <w:sz w:val="18"/>
          <w:szCs w:val="18"/>
          <w:color w:val="auto"/>
        </w:rPr>
        <w:t>, our Chief Marketing Officer, joined the Company in May 2015. Ms. Carr came to the Company with over 25 years of global sales and</w:t>
      </w:r>
      <w:r>
        <w:rPr>
          <w:rFonts w:ascii="Arial" w:cs="Arial" w:eastAsia="Arial" w:hAnsi="Arial"/>
          <w:sz w:val="18"/>
          <w:szCs w:val="18"/>
          <w:i w:val="1"/>
          <w:iCs w:val="1"/>
          <w:color w:val="auto"/>
        </w:rPr>
        <w:t xml:space="preserve"> </w:t>
      </w:r>
      <w:r>
        <w:rPr>
          <w:rFonts w:ascii="Arial" w:cs="Arial" w:eastAsia="Arial" w:hAnsi="Arial"/>
          <w:sz w:val="18"/>
          <w:szCs w:val="18"/>
          <w:color w:val="auto"/>
        </w:rPr>
        <w:t>marketing leadership experience in Fortune 500 companies. Prior to joining the Company, Ms. Carr was the Chief Marketing Officer at Savvis from March 2013 to May 2015; Chief Marketing Officer at Foxwoods Resort &amp; Casino from September 2011 to January 2013; and Vice President of Global Marketing at Verizon and MCI from 2003 through 2011. She spent 22 years at MCI/Verizon, starting in sales and ultimately leading the global marketing organization. She received a B.A from William Smith College in Geneva, New York.</w:t>
      </w:r>
    </w:p>
    <w:p>
      <w:pPr>
        <w:spacing w:after="0" w:line="188" w:lineRule="exact"/>
        <w:rPr>
          <w:sz w:val="20"/>
          <w:szCs w:val="20"/>
          <w:color w:val="auto"/>
        </w:rPr>
      </w:pPr>
    </w:p>
    <w:p>
      <w:pPr>
        <w:jc w:val="both"/>
        <w:spacing w:after="0" w:line="273" w:lineRule="auto"/>
        <w:rPr>
          <w:sz w:val="20"/>
          <w:szCs w:val="20"/>
          <w:color w:val="auto"/>
        </w:rPr>
      </w:pPr>
      <w:r>
        <w:rPr>
          <w:rFonts w:ascii="Arial" w:cs="Arial" w:eastAsia="Arial" w:hAnsi="Arial"/>
          <w:sz w:val="17"/>
          <w:szCs w:val="17"/>
          <w:i w:val="1"/>
          <w:iCs w:val="1"/>
          <w:color w:val="auto"/>
        </w:rPr>
        <w:t>Giles R. Newman</w:t>
      </w:r>
      <w:r>
        <w:rPr>
          <w:rFonts w:ascii="Arial" w:cs="Arial" w:eastAsia="Arial" w:hAnsi="Arial"/>
          <w:sz w:val="17"/>
          <w:szCs w:val="17"/>
          <w:color w:val="auto"/>
        </w:rPr>
        <w:t>, the Managing Director of our U.K. subsidiary, CoStar UK Limited, is responsible for our European operations, which include CoStar Suite,</w:t>
      </w:r>
      <w:r>
        <w:rPr>
          <w:rFonts w:ascii="Arial" w:cs="Arial" w:eastAsia="Arial" w:hAnsi="Arial"/>
          <w:sz w:val="17"/>
          <w:szCs w:val="17"/>
          <w:i w:val="1"/>
          <w:iCs w:val="1"/>
          <w:color w:val="auto"/>
        </w:rPr>
        <w:t xml:space="preserve"> </w:t>
      </w:r>
      <w:r>
        <w:rPr>
          <w:rFonts w:ascii="Arial" w:cs="Arial" w:eastAsia="Arial" w:hAnsi="Arial"/>
          <w:sz w:val="17"/>
          <w:szCs w:val="17"/>
          <w:color w:val="auto"/>
        </w:rPr>
        <w:t>CoStar Focus and our French subsidiary, Grecam. Mr. Newman joined us in December 2012. Mr. Newman previously served as Group Sales Director at Informa, a knowledge and information company, from January 2011 to September 2012, for various business lines including Lloyd's List. Prior to that, Mr. Newman was Global Vice President of Sales and Marketing for a substantial division of Thomson Reuters, a media and information company, from August 2004 to December 2010. In addition to his recent experience, Mr. Newman has held senior roles in a number of established and early stage technology and information businesses. Mr. Newman received a BSc in pure mathematics and statistics from The University of Exeter.</w:t>
      </w:r>
    </w:p>
    <w:p>
      <w:pPr>
        <w:spacing w:after="0" w:line="178" w:lineRule="exact"/>
        <w:rPr>
          <w:sz w:val="20"/>
          <w:szCs w:val="20"/>
          <w:color w:val="auto"/>
        </w:rPr>
      </w:pPr>
    </w:p>
    <w:p>
      <w:pPr>
        <w:jc w:val="both"/>
        <w:spacing w:after="0" w:line="273" w:lineRule="auto"/>
        <w:rPr>
          <w:sz w:val="20"/>
          <w:szCs w:val="20"/>
          <w:color w:val="auto"/>
        </w:rPr>
      </w:pPr>
      <w:r>
        <w:rPr>
          <w:rFonts w:ascii="Arial" w:cs="Arial" w:eastAsia="Arial" w:hAnsi="Arial"/>
          <w:sz w:val="17"/>
          <w:szCs w:val="17"/>
          <w:i w:val="1"/>
          <w:iCs w:val="1"/>
          <w:color w:val="auto"/>
        </w:rPr>
        <w:t>Lisa C. Ruggles</w:t>
      </w:r>
      <w:r>
        <w:rPr>
          <w:rFonts w:ascii="Arial" w:cs="Arial" w:eastAsia="Arial" w:hAnsi="Arial"/>
          <w:sz w:val="17"/>
          <w:szCs w:val="17"/>
          <w:color w:val="auto"/>
        </w:rPr>
        <w:t>, our Senior Vice President, Portfolio Research, joined the Company in November 1999 as a Field Research Photographer. Since joining the</w:t>
      </w:r>
      <w:r>
        <w:rPr>
          <w:rFonts w:ascii="Arial" w:cs="Arial" w:eastAsia="Arial" w:hAnsi="Arial"/>
          <w:sz w:val="17"/>
          <w:szCs w:val="17"/>
          <w:i w:val="1"/>
          <w:iCs w:val="1"/>
          <w:color w:val="auto"/>
        </w:rPr>
        <w:t xml:space="preserve"> </w:t>
      </w:r>
      <w:r>
        <w:rPr>
          <w:rFonts w:ascii="Arial" w:cs="Arial" w:eastAsia="Arial" w:hAnsi="Arial"/>
          <w:sz w:val="17"/>
          <w:szCs w:val="17"/>
          <w:color w:val="auto"/>
        </w:rPr>
        <w:t>Company, Ms. Ruggles has served in various roles of increasing responsibility, including Field Research Operations Manager from 2000 to 2006, Director of Field Research from 2006 to 2009, Senior Director of Field Research from 2009 to 2011, and Vice President of Field Research from 2011 until her appointment as Senior Vice President of Portfolio Research in early 2016. During her tenure, she launched CoStar’s research coverage of numerous markets throughout the United States, facilitating the Company’s national expansion, and led the launch of research coverage in Toronto, Canada and the United Kingdom. Ms. Ruggles received a B.A. in Photography from Savannah College of Art and Design.</w:t>
      </w:r>
    </w:p>
    <w:p>
      <w:pPr>
        <w:spacing w:after="0" w:line="17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color w:val="auto"/>
        </w:rPr>
        <w:t>Cameron C. Stewart</w:t>
      </w:r>
      <w:r>
        <w:rPr>
          <w:rFonts w:ascii="Arial" w:cs="Arial" w:eastAsia="Arial" w:hAnsi="Arial"/>
          <w:sz w:val="18"/>
          <w:szCs w:val="18"/>
          <w:color w:val="auto"/>
        </w:rPr>
        <w:t>, the President of LoopNet, a wholly owned subsidiary of the Company that we acquired in 2012, is responsible for products, marketing,</w:t>
      </w:r>
      <w:r>
        <w:rPr>
          <w:rFonts w:ascii="Arial" w:cs="Arial" w:eastAsia="Arial" w:hAnsi="Arial"/>
          <w:sz w:val="18"/>
          <w:szCs w:val="18"/>
          <w:i w:val="1"/>
          <w:iCs w:val="1"/>
          <w:color w:val="auto"/>
        </w:rPr>
        <w:t xml:space="preserve"> </w:t>
      </w:r>
      <w:r>
        <w:rPr>
          <w:rFonts w:ascii="Arial" w:cs="Arial" w:eastAsia="Arial" w:hAnsi="Arial"/>
          <w:sz w:val="18"/>
          <w:szCs w:val="18"/>
          <w:color w:val="auto"/>
        </w:rPr>
        <w:t>business development and revenue within CoStar Group’s commercial real estate marketplace businesses, including LoopNet, CityFeet and Showcase. Mr. Stewart joined the Company as a result of the Company’s acquisition of LoopNet in 2012. Prior to being appointed to his current role in early 2016, Mr. Stewart was the General Manager of CoStar Group’s Land vertical overseeing LandsofAmerica and LandAndFarm from June 2014 to January 2016. Prior to that he served in various roles with the Company and LoopNet, including General Manager, LandAndFarm.com from January 2013 to June 2014; Senior Business Line Manager, LandAndFarm.com from December 2010 to December 2012; and Senior Marketing Manager, LoopNet from January 2006 to February</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368" w:right="239" w:bottom="1440" w:gutter="0" w:footer="0" w:header="0"/>
        </w:sectPr>
      </w:pPr>
    </w:p>
    <w:bookmarkStart w:id="40" w:name="page41"/>
    <w:bookmarkEnd w:id="40"/>
    <w:p>
      <w:pPr>
        <w:jc w:val="both"/>
        <w:spacing w:after="0" w:line="277" w:lineRule="auto"/>
        <w:rPr>
          <w:sz w:val="20"/>
          <w:szCs w:val="20"/>
          <w:color w:val="auto"/>
        </w:rPr>
      </w:pPr>
      <w:r>
        <w:rPr>
          <w:rFonts w:ascii="Arial" w:cs="Arial" w:eastAsia="Arial" w:hAnsi="Arial"/>
          <w:sz w:val="18"/>
          <w:szCs w:val="18"/>
          <w:color w:val="auto"/>
        </w:rPr>
        <w:t>2011. Mr. Stewart received a B.A. in economics from Trinity College and his MBA from the Haas School of Business at the University of California Berkeley.</w:t>
      </w:r>
    </w:p>
    <w:p>
      <w:pPr>
        <w:spacing w:after="0" w:line="17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color w:val="auto"/>
        </w:rPr>
        <w:t>Donna G. Tanenbaum</w:t>
      </w:r>
      <w:r>
        <w:rPr>
          <w:rFonts w:ascii="Arial" w:cs="Arial" w:eastAsia="Arial" w:hAnsi="Arial"/>
          <w:sz w:val="18"/>
          <w:szCs w:val="18"/>
          <w:color w:val="auto"/>
        </w:rPr>
        <w:t>, Vice President of Human Resources, is responsible for leading the organization’s efforts to acquire, develop, and retain the talent</w:t>
      </w:r>
      <w:r>
        <w:rPr>
          <w:rFonts w:ascii="Arial" w:cs="Arial" w:eastAsia="Arial" w:hAnsi="Arial"/>
          <w:sz w:val="18"/>
          <w:szCs w:val="18"/>
          <w:i w:val="1"/>
          <w:iCs w:val="1"/>
          <w:color w:val="auto"/>
        </w:rPr>
        <w:t xml:space="preserve"> </w:t>
      </w:r>
      <w:r>
        <w:rPr>
          <w:rFonts w:ascii="Arial" w:cs="Arial" w:eastAsia="Arial" w:hAnsi="Arial"/>
          <w:sz w:val="18"/>
          <w:szCs w:val="18"/>
          <w:color w:val="auto"/>
        </w:rPr>
        <w:t>capabilities needed to meet the Company’s strategic growth plans. Ms. Tanenbaum joined us in December 2012. Previously Ms. Tanenbaum served as Vice President of Human Resources at Curtiss-Wright Flow Control, a $1 billion business segment of Curtiss-Wright Corporation, an engineering and manufacturing company, from April 2005 to December 2012, where she was responsible for all human resources activities for 3500 employees in the US and globally. Ms. Tanenbaum received a B.S. in human development from Cornell University and a Master of Education, with an emphasis in organizational behavior, from the Harvard Graduate School of Education.</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368" w:right="239" w:bottom="1440" w:gutter="0" w:footer="0" w:header="0"/>
        </w:sectPr>
      </w:pPr>
    </w:p>
    <w:bookmarkStart w:id="41" w:name="page42"/>
    <w:bookmarkEnd w:id="41"/>
    <w:p>
      <w:pPr>
        <w:spacing w:after="0"/>
        <w:rPr>
          <w:sz w:val="20"/>
          <w:szCs w:val="20"/>
          <w:color w:val="auto"/>
        </w:rPr>
      </w:pPr>
      <w:r>
        <w:rPr>
          <w:rFonts w:ascii="Arial" w:cs="Arial" w:eastAsia="Arial" w:hAnsi="Arial"/>
          <w:sz w:val="20"/>
          <w:szCs w:val="20"/>
          <w:b w:val="1"/>
          <w:bCs w:val="1"/>
          <w:color w:val="auto"/>
        </w:rPr>
        <w:t>STOCK OWNERSHIP INFORMATION</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provides certain information regarding the beneficial ownership of our common stock as of April 1, 2016, unless otherwise noted, by:</w:t>
      </w:r>
    </w:p>
    <w:p>
      <w:pPr>
        <w:spacing w:after="0" w:line="183" w:lineRule="exact"/>
        <w:rPr>
          <w:sz w:val="20"/>
          <w:szCs w:val="20"/>
          <w:color w:val="auto"/>
        </w:rPr>
      </w:pPr>
    </w:p>
    <w:p>
      <w:pPr>
        <w:ind w:left="660" w:hanging="328"/>
        <w:spacing w:after="0" w:line="258" w:lineRule="auto"/>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individuals listed in the Summary Compensation Table in this Proxy Statement (whom we refer to collectively in this Proxy Statement as the “named executive officers”);</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Each of our directors and director nominees;</w:t>
      </w:r>
    </w:p>
    <w:p>
      <w:pPr>
        <w:spacing w:after="0" w:line="9"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Each person we know to be the beneficial owner of more than 5% of our outstanding common stock (based upon Schedule 13D and Schedule 13G filings with the SEC, which can be reviewed for further information on each such beneficial owner’s holdings); and</w:t>
      </w: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All of our current executive officers and current directors as a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5613400</wp:posOffset>
            </wp:positionH>
            <wp:positionV relativeFrom="paragraph">
              <wp:posOffset>228600</wp:posOffset>
            </wp:positionV>
            <wp:extent cx="1517650" cy="339598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517650" cy="3395980"/>
                    </a:xfrm>
                    <a:prstGeom prst="rect">
                      <a:avLst/>
                    </a:prstGeom>
                    <a:noFill/>
                  </pic:spPr>
                </pic:pic>
              </a:graphicData>
            </a:graphic>
          </wp:anchor>
        </w:drawing>
        <w:drawing>
          <wp:anchor simplePos="0" relativeHeight="251657728" behindDoc="1" locked="0" layoutInCell="0" allowOverlap="1">
            <wp:simplePos x="0" y="0"/>
            <wp:positionH relativeFrom="column">
              <wp:posOffset>4027170</wp:posOffset>
            </wp:positionH>
            <wp:positionV relativeFrom="paragraph">
              <wp:posOffset>228600</wp:posOffset>
            </wp:positionV>
            <wp:extent cx="8890" cy="339598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8890" cy="3395980"/>
                    </a:xfrm>
                    <a:prstGeom prst="rect">
                      <a:avLst/>
                    </a:prstGeom>
                    <a:noFill/>
                  </pic:spPr>
                </pic:pic>
              </a:graphicData>
            </a:graphic>
          </wp:anchor>
        </w:drawing>
      </w:r>
    </w:p>
    <w:p>
      <w:pPr>
        <w:spacing w:after="0" w:line="340"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6340" w:type="dxa"/>
            <w:vAlign w:val="bottom"/>
            <w:shd w:val="clear" w:color="auto" w:fill="B8CCE4"/>
          </w:tcPr>
          <w:p>
            <w:pPr>
              <w:spacing w:after="0"/>
              <w:rPr>
                <w:sz w:val="19"/>
                <w:szCs w:val="19"/>
                <w:color w:val="auto"/>
              </w:rPr>
            </w:pPr>
          </w:p>
        </w:tc>
        <w:tc>
          <w:tcPr>
            <w:tcW w:w="2500" w:type="dxa"/>
            <w:vAlign w:val="bottom"/>
            <w:shd w:val="clear" w:color="auto" w:fill="B8CCE4"/>
          </w:tcPr>
          <w:p>
            <w:pPr>
              <w:jc w:val="right"/>
              <w:ind w:right="890"/>
              <w:spacing w:after="0"/>
              <w:rPr>
                <w:sz w:val="20"/>
                <w:szCs w:val="20"/>
                <w:color w:val="auto"/>
              </w:rPr>
            </w:pPr>
            <w:r>
              <w:rPr>
                <w:rFonts w:ascii="Arial" w:cs="Arial" w:eastAsia="Arial" w:hAnsi="Arial"/>
                <w:sz w:val="18"/>
                <w:szCs w:val="18"/>
                <w:b w:val="1"/>
                <w:bCs w:val="1"/>
                <w:color w:val="auto"/>
              </w:rPr>
              <w:t>Shares</w:t>
            </w:r>
          </w:p>
        </w:tc>
        <w:tc>
          <w:tcPr>
            <w:tcW w:w="2580" w:type="dxa"/>
            <w:vAlign w:val="bottom"/>
            <w:shd w:val="clear" w:color="auto" w:fill="B8CCE4"/>
          </w:tcPr>
          <w:p>
            <w:pPr>
              <w:jc w:val="right"/>
              <w:ind w:right="670"/>
              <w:spacing w:after="0"/>
              <w:rPr>
                <w:sz w:val="20"/>
                <w:szCs w:val="20"/>
                <w:color w:val="auto"/>
              </w:rPr>
            </w:pPr>
            <w:r>
              <w:rPr>
                <w:rFonts w:ascii="Arial" w:cs="Arial" w:eastAsia="Arial" w:hAnsi="Arial"/>
                <w:sz w:val="18"/>
                <w:szCs w:val="18"/>
                <w:b w:val="1"/>
                <w:bCs w:val="1"/>
                <w:color w:val="auto"/>
              </w:rPr>
              <w:t>Percentage of</w:t>
            </w:r>
          </w:p>
        </w:tc>
      </w:tr>
      <w:tr>
        <w:trPr>
          <w:trHeight w:val="261"/>
        </w:trPr>
        <w:tc>
          <w:tcPr>
            <w:tcW w:w="6340" w:type="dxa"/>
            <w:vAlign w:val="bottom"/>
            <w:shd w:val="clear" w:color="auto" w:fill="B8CCE4"/>
          </w:tcPr>
          <w:p>
            <w:pPr>
              <w:ind w:left="2340"/>
              <w:spacing w:after="0"/>
              <w:rPr>
                <w:sz w:val="20"/>
                <w:szCs w:val="20"/>
                <w:color w:val="auto"/>
              </w:rPr>
            </w:pPr>
            <w:r>
              <w:rPr>
                <w:rFonts w:ascii="Arial" w:cs="Arial" w:eastAsia="Arial" w:hAnsi="Arial"/>
                <w:sz w:val="18"/>
                <w:szCs w:val="18"/>
                <w:b w:val="1"/>
                <w:bCs w:val="1"/>
                <w:color w:val="auto"/>
              </w:rPr>
              <w:t>Name and Address(1)</w:t>
            </w:r>
          </w:p>
        </w:tc>
        <w:tc>
          <w:tcPr>
            <w:tcW w:w="2500" w:type="dxa"/>
            <w:vAlign w:val="bottom"/>
            <w:shd w:val="clear" w:color="auto" w:fill="B8CCE4"/>
          </w:tcPr>
          <w:p>
            <w:pPr>
              <w:jc w:val="right"/>
              <w:ind w:right="330"/>
              <w:spacing w:after="0" w:line="262" w:lineRule="exact"/>
              <w:rPr>
                <w:sz w:val="20"/>
                <w:szCs w:val="20"/>
                <w:color w:val="auto"/>
              </w:rPr>
            </w:pPr>
            <w:r>
              <w:rPr>
                <w:rFonts w:ascii="Arial" w:cs="Arial" w:eastAsia="Arial" w:hAnsi="Arial"/>
                <w:sz w:val="18"/>
                <w:szCs w:val="18"/>
                <w:b w:val="1"/>
                <w:bCs w:val="1"/>
                <w:color w:val="auto"/>
              </w:rPr>
              <w:t>Beneficially Owned</w:t>
            </w:r>
            <w:r>
              <w:rPr>
                <w:rFonts w:ascii="Arial" w:cs="Arial" w:eastAsia="Arial" w:hAnsi="Arial"/>
                <w:sz w:val="25"/>
                <w:szCs w:val="25"/>
                <w:b w:val="1"/>
                <w:bCs w:val="1"/>
                <w:color w:val="auto"/>
                <w:vertAlign w:val="superscript"/>
              </w:rPr>
              <w:t>(1)</w:t>
            </w:r>
          </w:p>
        </w:tc>
        <w:tc>
          <w:tcPr>
            <w:tcW w:w="2580" w:type="dxa"/>
            <w:vAlign w:val="bottom"/>
            <w:shd w:val="clear" w:color="auto" w:fill="B8CCE4"/>
          </w:tcPr>
          <w:p>
            <w:pPr>
              <w:jc w:val="right"/>
              <w:ind w:right="350"/>
              <w:spacing w:after="0" w:line="262" w:lineRule="exact"/>
              <w:rPr>
                <w:sz w:val="20"/>
                <w:szCs w:val="20"/>
                <w:color w:val="auto"/>
              </w:rPr>
            </w:pPr>
            <w:r>
              <w:rPr>
                <w:rFonts w:ascii="Arial" w:cs="Arial" w:eastAsia="Arial" w:hAnsi="Arial"/>
                <w:sz w:val="18"/>
                <w:szCs w:val="18"/>
                <w:b w:val="1"/>
                <w:bCs w:val="1"/>
                <w:color w:val="auto"/>
              </w:rPr>
              <w:t>Outstanding Shares</w:t>
            </w:r>
            <w:r>
              <w:rPr>
                <w:rFonts w:ascii="Arial" w:cs="Arial" w:eastAsia="Arial" w:hAnsi="Arial"/>
                <w:sz w:val="25"/>
                <w:szCs w:val="25"/>
                <w:b w:val="1"/>
                <w:bCs w:val="1"/>
                <w:color w:val="auto"/>
                <w:vertAlign w:val="superscript"/>
              </w:rPr>
              <w:t>(1)</w:t>
            </w:r>
          </w:p>
        </w:tc>
      </w:tr>
      <w:tr>
        <w:trPr>
          <w:trHeight w:val="270"/>
        </w:trPr>
        <w:tc>
          <w:tcPr>
            <w:tcW w:w="6340" w:type="dxa"/>
            <w:vAlign w:val="bottom"/>
            <w:shd w:val="clear" w:color="auto" w:fill="DBE5F1"/>
          </w:tcPr>
          <w:p>
            <w:pPr>
              <w:ind w:left="20"/>
              <w:spacing w:after="0" w:line="270" w:lineRule="exact"/>
              <w:rPr>
                <w:sz w:val="20"/>
                <w:szCs w:val="20"/>
                <w:color w:val="auto"/>
              </w:rPr>
            </w:pPr>
            <w:r>
              <w:rPr>
                <w:rFonts w:ascii="Arial" w:cs="Arial" w:eastAsia="Arial" w:hAnsi="Arial"/>
                <w:sz w:val="18"/>
                <w:szCs w:val="18"/>
                <w:color w:val="auto"/>
              </w:rPr>
              <w:t>Michael R. Klein</w:t>
            </w:r>
            <w:r>
              <w:rPr>
                <w:rFonts w:ascii="Arial" w:cs="Arial" w:eastAsia="Arial" w:hAnsi="Arial"/>
                <w:sz w:val="25"/>
                <w:szCs w:val="25"/>
                <w:color w:val="auto"/>
                <w:vertAlign w:val="superscript"/>
              </w:rPr>
              <w:t>(2)</w:t>
            </w:r>
          </w:p>
        </w:tc>
        <w:tc>
          <w:tcPr>
            <w:tcW w:w="2500" w:type="dxa"/>
            <w:vAlign w:val="bottom"/>
            <w:shd w:val="clear" w:color="auto" w:fill="DBE5F1"/>
          </w:tcPr>
          <w:p>
            <w:pPr>
              <w:jc w:val="right"/>
              <w:spacing w:after="0"/>
              <w:rPr>
                <w:sz w:val="20"/>
                <w:szCs w:val="20"/>
                <w:color w:val="auto"/>
              </w:rPr>
            </w:pPr>
            <w:r>
              <w:rPr>
                <w:rFonts w:ascii="Arial" w:cs="Arial" w:eastAsia="Arial" w:hAnsi="Arial"/>
                <w:sz w:val="18"/>
                <w:szCs w:val="18"/>
                <w:color w:val="auto"/>
              </w:rPr>
              <w:t>329,543</w:t>
            </w:r>
          </w:p>
        </w:tc>
        <w:tc>
          <w:tcPr>
            <w:tcW w:w="2580" w:type="dxa"/>
            <w:vAlign w:val="bottom"/>
            <w:shd w:val="clear" w:color="auto" w:fill="DBE5F1"/>
          </w:tcPr>
          <w:p>
            <w:pPr>
              <w:jc w:val="right"/>
              <w:spacing w:after="0"/>
              <w:rPr>
                <w:sz w:val="20"/>
                <w:szCs w:val="20"/>
                <w:color w:val="auto"/>
              </w:rPr>
            </w:pPr>
            <w:r>
              <w:rPr>
                <w:rFonts w:ascii="Arial" w:cs="Arial" w:eastAsia="Arial" w:hAnsi="Arial"/>
                <w:sz w:val="18"/>
                <w:szCs w:val="18"/>
                <w:color w:val="auto"/>
              </w:rPr>
              <w:t>1.01%</w:t>
            </w:r>
          </w:p>
        </w:tc>
      </w:tr>
      <w:tr>
        <w:trPr>
          <w:trHeight w:val="270"/>
        </w:trPr>
        <w:tc>
          <w:tcPr>
            <w:tcW w:w="6340" w:type="dxa"/>
            <w:vAlign w:val="bottom"/>
            <w:shd w:val="clear" w:color="auto" w:fill="DBE5F1"/>
          </w:tcPr>
          <w:p>
            <w:pPr>
              <w:ind w:left="20"/>
              <w:spacing w:after="0" w:line="270" w:lineRule="exact"/>
              <w:rPr>
                <w:sz w:val="20"/>
                <w:szCs w:val="20"/>
                <w:color w:val="auto"/>
              </w:rPr>
            </w:pPr>
            <w:r>
              <w:rPr>
                <w:rFonts w:ascii="Arial" w:cs="Arial" w:eastAsia="Arial" w:hAnsi="Arial"/>
                <w:sz w:val="18"/>
                <w:szCs w:val="18"/>
                <w:color w:val="auto"/>
              </w:rPr>
              <w:t>Andrew C. Florance</w:t>
            </w:r>
            <w:r>
              <w:rPr>
                <w:rFonts w:ascii="Arial" w:cs="Arial" w:eastAsia="Arial" w:hAnsi="Arial"/>
                <w:sz w:val="25"/>
                <w:szCs w:val="25"/>
                <w:color w:val="auto"/>
                <w:vertAlign w:val="superscript"/>
              </w:rPr>
              <w:t>(3)</w:t>
            </w:r>
          </w:p>
        </w:tc>
        <w:tc>
          <w:tcPr>
            <w:tcW w:w="2500" w:type="dxa"/>
            <w:vAlign w:val="bottom"/>
            <w:shd w:val="clear" w:color="auto" w:fill="DBE5F1"/>
          </w:tcPr>
          <w:p>
            <w:pPr>
              <w:jc w:val="right"/>
              <w:spacing w:after="0"/>
              <w:rPr>
                <w:sz w:val="20"/>
                <w:szCs w:val="20"/>
                <w:color w:val="auto"/>
              </w:rPr>
            </w:pPr>
            <w:r>
              <w:rPr>
                <w:rFonts w:ascii="Arial" w:cs="Arial" w:eastAsia="Arial" w:hAnsi="Arial"/>
                <w:sz w:val="18"/>
                <w:szCs w:val="18"/>
                <w:color w:val="auto"/>
              </w:rPr>
              <w:t>379,799</w:t>
            </w:r>
          </w:p>
        </w:tc>
        <w:tc>
          <w:tcPr>
            <w:tcW w:w="2580" w:type="dxa"/>
            <w:vAlign w:val="bottom"/>
            <w:shd w:val="clear" w:color="auto" w:fill="DBE5F1"/>
          </w:tcPr>
          <w:p>
            <w:pPr>
              <w:jc w:val="right"/>
              <w:spacing w:after="0"/>
              <w:rPr>
                <w:sz w:val="20"/>
                <w:szCs w:val="20"/>
                <w:color w:val="auto"/>
              </w:rPr>
            </w:pPr>
            <w:r>
              <w:rPr>
                <w:rFonts w:ascii="Arial" w:cs="Arial" w:eastAsia="Arial" w:hAnsi="Arial"/>
                <w:sz w:val="18"/>
                <w:szCs w:val="18"/>
                <w:color w:val="auto"/>
              </w:rPr>
              <w:t>1.16%</w:t>
            </w:r>
          </w:p>
        </w:tc>
      </w:tr>
      <w:tr>
        <w:trPr>
          <w:trHeight w:val="270"/>
        </w:trPr>
        <w:tc>
          <w:tcPr>
            <w:tcW w:w="6340" w:type="dxa"/>
            <w:vAlign w:val="bottom"/>
            <w:shd w:val="clear" w:color="auto" w:fill="DBE5F1"/>
          </w:tcPr>
          <w:p>
            <w:pPr>
              <w:ind w:left="20"/>
              <w:spacing w:after="0" w:line="270" w:lineRule="exact"/>
              <w:rPr>
                <w:sz w:val="20"/>
                <w:szCs w:val="20"/>
                <w:color w:val="auto"/>
              </w:rPr>
            </w:pPr>
            <w:r>
              <w:rPr>
                <w:rFonts w:ascii="Arial" w:cs="Arial" w:eastAsia="Arial" w:hAnsi="Arial"/>
                <w:sz w:val="18"/>
                <w:szCs w:val="18"/>
                <w:color w:val="auto"/>
              </w:rPr>
              <w:t>Scott T. Wheeler</w:t>
            </w:r>
            <w:r>
              <w:rPr>
                <w:rFonts w:ascii="Arial" w:cs="Arial" w:eastAsia="Arial" w:hAnsi="Arial"/>
                <w:sz w:val="25"/>
                <w:szCs w:val="25"/>
                <w:color w:val="auto"/>
                <w:vertAlign w:val="superscript"/>
              </w:rPr>
              <w:t>(4)</w:t>
            </w:r>
          </w:p>
        </w:tc>
        <w:tc>
          <w:tcPr>
            <w:tcW w:w="2500" w:type="dxa"/>
            <w:vAlign w:val="bottom"/>
            <w:shd w:val="clear" w:color="auto" w:fill="DBE5F1"/>
          </w:tcPr>
          <w:p>
            <w:pPr>
              <w:jc w:val="right"/>
              <w:spacing w:after="0"/>
              <w:rPr>
                <w:sz w:val="20"/>
                <w:szCs w:val="20"/>
                <w:color w:val="auto"/>
              </w:rPr>
            </w:pPr>
            <w:r>
              <w:rPr>
                <w:rFonts w:ascii="Arial" w:cs="Arial" w:eastAsia="Arial" w:hAnsi="Arial"/>
                <w:sz w:val="18"/>
                <w:szCs w:val="18"/>
                <w:color w:val="auto"/>
              </w:rPr>
              <w:t>12,770</w:t>
            </w:r>
          </w:p>
        </w:tc>
        <w:tc>
          <w:tcPr>
            <w:tcW w:w="2580" w:type="dxa"/>
            <w:vAlign w:val="bottom"/>
            <w:shd w:val="clear" w:color="auto" w:fill="DBE5F1"/>
          </w:tcPr>
          <w:p>
            <w:pPr>
              <w:jc w:val="right"/>
              <w:ind w:right="90"/>
              <w:spacing w:after="0"/>
              <w:rPr>
                <w:sz w:val="20"/>
                <w:szCs w:val="20"/>
                <w:color w:val="auto"/>
              </w:rPr>
            </w:pPr>
            <w:r>
              <w:rPr>
                <w:rFonts w:ascii="Arial" w:cs="Arial" w:eastAsia="Arial" w:hAnsi="Arial"/>
                <w:sz w:val="18"/>
                <w:szCs w:val="18"/>
                <w:color w:val="auto"/>
              </w:rPr>
              <w:t>*</w:t>
            </w:r>
          </w:p>
        </w:tc>
      </w:tr>
      <w:tr>
        <w:trPr>
          <w:trHeight w:val="283"/>
        </w:trPr>
        <w:tc>
          <w:tcPr>
            <w:tcW w:w="6340" w:type="dxa"/>
            <w:vAlign w:val="bottom"/>
            <w:shd w:val="clear" w:color="auto" w:fill="DBE5F1"/>
          </w:tcPr>
          <w:p>
            <w:pPr>
              <w:ind w:left="20"/>
              <w:spacing w:after="0" w:line="283" w:lineRule="exact"/>
              <w:rPr>
                <w:sz w:val="20"/>
                <w:szCs w:val="20"/>
                <w:color w:val="auto"/>
              </w:rPr>
            </w:pPr>
            <w:r>
              <w:rPr>
                <w:rFonts w:ascii="Arial" w:cs="Arial" w:eastAsia="Arial" w:hAnsi="Arial"/>
                <w:sz w:val="18"/>
                <w:szCs w:val="18"/>
                <w:color w:val="auto"/>
              </w:rPr>
              <w:t>Brian J. Radecki</w:t>
            </w:r>
            <w:r>
              <w:rPr>
                <w:rFonts w:ascii="Arial" w:cs="Arial" w:eastAsia="Arial" w:hAnsi="Arial"/>
                <w:sz w:val="25"/>
                <w:szCs w:val="25"/>
                <w:color w:val="auto"/>
                <w:vertAlign w:val="superscript"/>
              </w:rPr>
              <w:t>(5)</w:t>
            </w:r>
          </w:p>
        </w:tc>
        <w:tc>
          <w:tcPr>
            <w:tcW w:w="2500" w:type="dxa"/>
            <w:vAlign w:val="bottom"/>
            <w:shd w:val="clear" w:color="auto" w:fill="DBE5F1"/>
          </w:tcPr>
          <w:p>
            <w:pPr>
              <w:jc w:val="right"/>
              <w:spacing w:after="0"/>
              <w:rPr>
                <w:sz w:val="20"/>
                <w:szCs w:val="20"/>
                <w:color w:val="auto"/>
              </w:rPr>
            </w:pPr>
            <w:r>
              <w:rPr>
                <w:rFonts w:ascii="Arial" w:cs="Arial" w:eastAsia="Arial" w:hAnsi="Arial"/>
                <w:sz w:val="18"/>
                <w:szCs w:val="18"/>
                <w:color w:val="auto"/>
              </w:rPr>
              <w:t>8,366</w:t>
            </w:r>
          </w:p>
        </w:tc>
        <w:tc>
          <w:tcPr>
            <w:tcW w:w="2580" w:type="dxa"/>
            <w:vAlign w:val="bottom"/>
          </w:tcPr>
          <w:p>
            <w:pPr>
              <w:jc w:val="right"/>
              <w:ind w:right="90"/>
              <w:spacing w:after="0"/>
              <w:rPr>
                <w:sz w:val="20"/>
                <w:szCs w:val="20"/>
                <w:color w:val="auto"/>
              </w:rPr>
            </w:pPr>
            <w:r>
              <w:rPr>
                <w:rFonts w:ascii="Arial" w:cs="Arial" w:eastAsia="Arial" w:hAnsi="Arial"/>
                <w:sz w:val="18"/>
                <w:szCs w:val="18"/>
                <w:color w:val="auto"/>
              </w:rPr>
              <w:t>*</w:t>
            </w:r>
          </w:p>
        </w:tc>
      </w:tr>
      <w:tr>
        <w:trPr>
          <w:trHeight w:val="270"/>
        </w:trPr>
        <w:tc>
          <w:tcPr>
            <w:tcW w:w="6340" w:type="dxa"/>
            <w:vAlign w:val="bottom"/>
            <w:shd w:val="clear" w:color="auto" w:fill="DBE5F1"/>
          </w:tcPr>
          <w:p>
            <w:pPr>
              <w:ind w:left="20"/>
              <w:spacing w:after="0" w:line="270" w:lineRule="exact"/>
              <w:rPr>
                <w:sz w:val="20"/>
                <w:szCs w:val="20"/>
                <w:color w:val="auto"/>
              </w:rPr>
            </w:pPr>
            <w:r>
              <w:rPr>
                <w:rFonts w:ascii="Arial" w:cs="Arial" w:eastAsia="Arial" w:hAnsi="Arial"/>
                <w:sz w:val="18"/>
                <w:szCs w:val="18"/>
                <w:color w:val="auto"/>
              </w:rPr>
              <w:t>Scott L. Yinger</w:t>
            </w:r>
            <w:r>
              <w:rPr>
                <w:rFonts w:ascii="Arial" w:cs="Arial" w:eastAsia="Arial" w:hAnsi="Arial"/>
                <w:sz w:val="25"/>
                <w:szCs w:val="25"/>
                <w:color w:val="auto"/>
                <w:vertAlign w:val="superscript"/>
              </w:rPr>
              <w:t>(6)</w:t>
            </w:r>
          </w:p>
        </w:tc>
        <w:tc>
          <w:tcPr>
            <w:tcW w:w="2500" w:type="dxa"/>
            <w:vAlign w:val="bottom"/>
            <w:shd w:val="clear" w:color="auto" w:fill="DBE5F1"/>
          </w:tcPr>
          <w:p>
            <w:pPr>
              <w:jc w:val="right"/>
              <w:spacing w:after="0"/>
              <w:rPr>
                <w:sz w:val="20"/>
                <w:szCs w:val="20"/>
                <w:color w:val="auto"/>
              </w:rPr>
            </w:pPr>
            <w:r>
              <w:rPr>
                <w:rFonts w:ascii="Arial" w:cs="Arial" w:eastAsia="Arial" w:hAnsi="Arial"/>
                <w:sz w:val="18"/>
                <w:szCs w:val="18"/>
                <w:color w:val="auto"/>
              </w:rPr>
              <w:t>5,694</w:t>
            </w:r>
          </w:p>
        </w:tc>
        <w:tc>
          <w:tcPr>
            <w:tcW w:w="2580" w:type="dxa"/>
            <w:vAlign w:val="bottom"/>
          </w:tcPr>
          <w:p>
            <w:pPr>
              <w:jc w:val="right"/>
              <w:ind w:right="90"/>
              <w:spacing w:after="0"/>
              <w:rPr>
                <w:sz w:val="20"/>
                <w:szCs w:val="20"/>
                <w:color w:val="auto"/>
              </w:rPr>
            </w:pPr>
            <w:r>
              <w:rPr>
                <w:rFonts w:ascii="Arial" w:cs="Arial" w:eastAsia="Arial" w:hAnsi="Arial"/>
                <w:sz w:val="18"/>
                <w:szCs w:val="18"/>
                <w:color w:val="auto"/>
              </w:rPr>
              <w:t>*</w:t>
            </w:r>
          </w:p>
        </w:tc>
      </w:tr>
      <w:tr>
        <w:trPr>
          <w:trHeight w:val="270"/>
        </w:trPr>
        <w:tc>
          <w:tcPr>
            <w:tcW w:w="6340" w:type="dxa"/>
            <w:vAlign w:val="bottom"/>
            <w:shd w:val="clear" w:color="auto" w:fill="DBE5F1"/>
          </w:tcPr>
          <w:p>
            <w:pPr>
              <w:ind w:left="20"/>
              <w:spacing w:after="0" w:line="270" w:lineRule="exact"/>
              <w:rPr>
                <w:sz w:val="20"/>
                <w:szCs w:val="20"/>
                <w:color w:val="auto"/>
              </w:rPr>
            </w:pPr>
            <w:r>
              <w:rPr>
                <w:rFonts w:ascii="Arial" w:cs="Arial" w:eastAsia="Arial" w:hAnsi="Arial"/>
                <w:sz w:val="18"/>
                <w:szCs w:val="18"/>
                <w:color w:val="auto"/>
              </w:rPr>
              <w:t>Francis A. Carchedi</w:t>
            </w:r>
            <w:r>
              <w:rPr>
                <w:rFonts w:ascii="Arial" w:cs="Arial" w:eastAsia="Arial" w:hAnsi="Arial"/>
                <w:sz w:val="25"/>
                <w:szCs w:val="25"/>
                <w:color w:val="auto"/>
                <w:vertAlign w:val="superscript"/>
              </w:rPr>
              <w:t>(7)</w:t>
            </w:r>
          </w:p>
        </w:tc>
        <w:tc>
          <w:tcPr>
            <w:tcW w:w="2500" w:type="dxa"/>
            <w:vAlign w:val="bottom"/>
            <w:shd w:val="clear" w:color="auto" w:fill="DBE5F1"/>
          </w:tcPr>
          <w:p>
            <w:pPr>
              <w:jc w:val="right"/>
              <w:spacing w:after="0"/>
              <w:rPr>
                <w:sz w:val="20"/>
                <w:szCs w:val="20"/>
                <w:color w:val="auto"/>
              </w:rPr>
            </w:pPr>
            <w:r>
              <w:rPr>
                <w:rFonts w:ascii="Arial" w:cs="Arial" w:eastAsia="Arial" w:hAnsi="Arial"/>
                <w:sz w:val="18"/>
                <w:szCs w:val="18"/>
                <w:color w:val="auto"/>
              </w:rPr>
              <w:t>56,311</w:t>
            </w:r>
          </w:p>
        </w:tc>
        <w:tc>
          <w:tcPr>
            <w:tcW w:w="2580" w:type="dxa"/>
            <w:vAlign w:val="bottom"/>
          </w:tcPr>
          <w:p>
            <w:pPr>
              <w:jc w:val="right"/>
              <w:ind w:right="90"/>
              <w:spacing w:after="0"/>
              <w:rPr>
                <w:sz w:val="20"/>
                <w:szCs w:val="20"/>
                <w:color w:val="auto"/>
              </w:rPr>
            </w:pPr>
            <w:r>
              <w:rPr>
                <w:rFonts w:ascii="Arial" w:cs="Arial" w:eastAsia="Arial" w:hAnsi="Arial"/>
                <w:sz w:val="18"/>
                <w:szCs w:val="18"/>
                <w:color w:val="auto"/>
              </w:rPr>
              <w:t>*</w:t>
            </w:r>
          </w:p>
        </w:tc>
      </w:tr>
      <w:tr>
        <w:trPr>
          <w:trHeight w:val="270"/>
        </w:trPr>
        <w:tc>
          <w:tcPr>
            <w:tcW w:w="6340" w:type="dxa"/>
            <w:vAlign w:val="bottom"/>
            <w:shd w:val="clear" w:color="auto" w:fill="DBE5F1"/>
          </w:tcPr>
          <w:p>
            <w:pPr>
              <w:ind w:left="20"/>
              <w:spacing w:after="0" w:line="270" w:lineRule="exact"/>
              <w:rPr>
                <w:sz w:val="20"/>
                <w:szCs w:val="20"/>
                <w:color w:val="auto"/>
              </w:rPr>
            </w:pPr>
            <w:r>
              <w:rPr>
                <w:rFonts w:ascii="Arial" w:cs="Arial" w:eastAsia="Arial" w:hAnsi="Arial"/>
                <w:sz w:val="18"/>
                <w:szCs w:val="18"/>
                <w:color w:val="auto"/>
              </w:rPr>
              <w:t xml:space="preserve">Matthew F. W. Linnington </w:t>
            </w:r>
            <w:r>
              <w:rPr>
                <w:rFonts w:ascii="Arial" w:cs="Arial" w:eastAsia="Arial" w:hAnsi="Arial"/>
                <w:sz w:val="25"/>
                <w:szCs w:val="25"/>
                <w:color w:val="auto"/>
                <w:vertAlign w:val="superscript"/>
              </w:rPr>
              <w:t>(8)</w:t>
            </w:r>
          </w:p>
        </w:tc>
        <w:tc>
          <w:tcPr>
            <w:tcW w:w="2500" w:type="dxa"/>
            <w:vAlign w:val="bottom"/>
            <w:shd w:val="clear" w:color="auto" w:fill="DBE5F1"/>
          </w:tcPr>
          <w:p>
            <w:pPr>
              <w:jc w:val="right"/>
              <w:spacing w:after="0"/>
              <w:rPr>
                <w:sz w:val="20"/>
                <w:szCs w:val="20"/>
                <w:color w:val="auto"/>
              </w:rPr>
            </w:pPr>
            <w:r>
              <w:rPr>
                <w:rFonts w:ascii="Arial" w:cs="Arial" w:eastAsia="Arial" w:hAnsi="Arial"/>
                <w:sz w:val="18"/>
                <w:szCs w:val="18"/>
                <w:color w:val="auto"/>
              </w:rPr>
              <w:t>24,781</w:t>
            </w:r>
          </w:p>
        </w:tc>
        <w:tc>
          <w:tcPr>
            <w:tcW w:w="2580" w:type="dxa"/>
            <w:vAlign w:val="bottom"/>
          </w:tcPr>
          <w:p>
            <w:pPr>
              <w:jc w:val="right"/>
              <w:ind w:right="90"/>
              <w:spacing w:after="0"/>
              <w:rPr>
                <w:sz w:val="20"/>
                <w:szCs w:val="20"/>
                <w:color w:val="auto"/>
              </w:rPr>
            </w:pPr>
            <w:r>
              <w:rPr>
                <w:rFonts w:ascii="Arial" w:cs="Arial" w:eastAsia="Arial" w:hAnsi="Arial"/>
                <w:sz w:val="18"/>
                <w:szCs w:val="18"/>
                <w:color w:val="auto"/>
              </w:rPr>
              <w:t>*</w:t>
            </w:r>
          </w:p>
        </w:tc>
      </w:tr>
      <w:tr>
        <w:trPr>
          <w:trHeight w:val="270"/>
        </w:trPr>
        <w:tc>
          <w:tcPr>
            <w:tcW w:w="6340" w:type="dxa"/>
            <w:vAlign w:val="bottom"/>
            <w:shd w:val="clear" w:color="auto" w:fill="DBE5F1"/>
          </w:tcPr>
          <w:p>
            <w:pPr>
              <w:ind w:left="20"/>
              <w:spacing w:after="0" w:line="270" w:lineRule="exact"/>
              <w:rPr>
                <w:sz w:val="20"/>
                <w:szCs w:val="20"/>
                <w:color w:val="auto"/>
              </w:rPr>
            </w:pPr>
            <w:r>
              <w:rPr>
                <w:rFonts w:ascii="Arial" w:cs="Arial" w:eastAsia="Arial" w:hAnsi="Arial"/>
                <w:sz w:val="18"/>
                <w:szCs w:val="18"/>
                <w:color w:val="auto"/>
              </w:rPr>
              <w:t>Michael J. Glosserman</w:t>
            </w:r>
            <w:r>
              <w:rPr>
                <w:rFonts w:ascii="Arial" w:cs="Arial" w:eastAsia="Arial" w:hAnsi="Arial"/>
                <w:sz w:val="25"/>
                <w:szCs w:val="25"/>
                <w:color w:val="auto"/>
                <w:vertAlign w:val="superscript"/>
              </w:rPr>
              <w:t>(9)</w:t>
            </w:r>
          </w:p>
        </w:tc>
        <w:tc>
          <w:tcPr>
            <w:tcW w:w="2500" w:type="dxa"/>
            <w:vAlign w:val="bottom"/>
            <w:shd w:val="clear" w:color="auto" w:fill="DBE5F1"/>
          </w:tcPr>
          <w:p>
            <w:pPr>
              <w:jc w:val="right"/>
              <w:spacing w:after="0"/>
              <w:rPr>
                <w:sz w:val="20"/>
                <w:szCs w:val="20"/>
                <w:color w:val="auto"/>
              </w:rPr>
            </w:pPr>
            <w:r>
              <w:rPr>
                <w:rFonts w:ascii="Arial" w:cs="Arial" w:eastAsia="Arial" w:hAnsi="Arial"/>
                <w:sz w:val="18"/>
                <w:szCs w:val="18"/>
                <w:color w:val="auto"/>
              </w:rPr>
              <w:t>12,232</w:t>
            </w:r>
          </w:p>
        </w:tc>
        <w:tc>
          <w:tcPr>
            <w:tcW w:w="2580" w:type="dxa"/>
            <w:vAlign w:val="bottom"/>
          </w:tcPr>
          <w:p>
            <w:pPr>
              <w:jc w:val="right"/>
              <w:ind w:right="90"/>
              <w:spacing w:after="0"/>
              <w:rPr>
                <w:sz w:val="20"/>
                <w:szCs w:val="20"/>
                <w:color w:val="auto"/>
              </w:rPr>
            </w:pPr>
            <w:r>
              <w:rPr>
                <w:rFonts w:ascii="Arial" w:cs="Arial" w:eastAsia="Arial" w:hAnsi="Arial"/>
                <w:sz w:val="18"/>
                <w:szCs w:val="18"/>
                <w:color w:val="auto"/>
              </w:rPr>
              <w:t>*</w:t>
            </w:r>
          </w:p>
        </w:tc>
      </w:tr>
      <w:tr>
        <w:trPr>
          <w:trHeight w:val="270"/>
        </w:trPr>
        <w:tc>
          <w:tcPr>
            <w:tcW w:w="6340" w:type="dxa"/>
            <w:vAlign w:val="bottom"/>
            <w:shd w:val="clear" w:color="auto" w:fill="DBE5F1"/>
          </w:tcPr>
          <w:p>
            <w:pPr>
              <w:ind w:left="20"/>
              <w:spacing w:after="0" w:line="270" w:lineRule="exact"/>
              <w:rPr>
                <w:sz w:val="20"/>
                <w:szCs w:val="20"/>
                <w:color w:val="auto"/>
              </w:rPr>
            </w:pPr>
            <w:r>
              <w:rPr>
                <w:rFonts w:ascii="Arial" w:cs="Arial" w:eastAsia="Arial" w:hAnsi="Arial"/>
                <w:sz w:val="18"/>
                <w:szCs w:val="18"/>
                <w:color w:val="auto"/>
              </w:rPr>
              <w:t>Warren H. Haber</w:t>
            </w:r>
            <w:r>
              <w:rPr>
                <w:rFonts w:ascii="Arial" w:cs="Arial" w:eastAsia="Arial" w:hAnsi="Arial"/>
                <w:sz w:val="25"/>
                <w:szCs w:val="25"/>
                <w:color w:val="auto"/>
                <w:vertAlign w:val="superscript"/>
              </w:rPr>
              <w:t>(10)</w:t>
            </w:r>
          </w:p>
        </w:tc>
        <w:tc>
          <w:tcPr>
            <w:tcW w:w="2500" w:type="dxa"/>
            <w:vAlign w:val="bottom"/>
            <w:shd w:val="clear" w:color="auto" w:fill="DBE5F1"/>
          </w:tcPr>
          <w:p>
            <w:pPr>
              <w:jc w:val="right"/>
              <w:spacing w:after="0"/>
              <w:rPr>
                <w:sz w:val="20"/>
                <w:szCs w:val="20"/>
                <w:color w:val="auto"/>
              </w:rPr>
            </w:pPr>
            <w:r>
              <w:rPr>
                <w:rFonts w:ascii="Arial" w:cs="Arial" w:eastAsia="Arial" w:hAnsi="Arial"/>
                <w:sz w:val="18"/>
                <w:szCs w:val="18"/>
                <w:color w:val="auto"/>
              </w:rPr>
              <w:t>125,008</w:t>
            </w:r>
          </w:p>
        </w:tc>
        <w:tc>
          <w:tcPr>
            <w:tcW w:w="2580" w:type="dxa"/>
            <w:vAlign w:val="bottom"/>
          </w:tcPr>
          <w:p>
            <w:pPr>
              <w:jc w:val="right"/>
              <w:ind w:right="90"/>
              <w:spacing w:after="0"/>
              <w:rPr>
                <w:sz w:val="20"/>
                <w:szCs w:val="20"/>
                <w:color w:val="auto"/>
              </w:rPr>
            </w:pPr>
            <w:r>
              <w:rPr>
                <w:rFonts w:ascii="Arial" w:cs="Arial" w:eastAsia="Arial" w:hAnsi="Arial"/>
                <w:sz w:val="18"/>
                <w:szCs w:val="18"/>
                <w:color w:val="auto"/>
              </w:rPr>
              <w:t>*</w:t>
            </w:r>
          </w:p>
        </w:tc>
      </w:tr>
      <w:tr>
        <w:trPr>
          <w:trHeight w:val="270"/>
        </w:trPr>
        <w:tc>
          <w:tcPr>
            <w:tcW w:w="6340" w:type="dxa"/>
            <w:vAlign w:val="bottom"/>
            <w:shd w:val="clear" w:color="auto" w:fill="DBE5F1"/>
          </w:tcPr>
          <w:p>
            <w:pPr>
              <w:ind w:left="20"/>
              <w:spacing w:after="0" w:line="270" w:lineRule="exact"/>
              <w:rPr>
                <w:sz w:val="20"/>
                <w:szCs w:val="20"/>
                <w:color w:val="auto"/>
              </w:rPr>
            </w:pPr>
            <w:r>
              <w:rPr>
                <w:rFonts w:ascii="Arial" w:cs="Arial" w:eastAsia="Arial" w:hAnsi="Arial"/>
                <w:sz w:val="18"/>
                <w:szCs w:val="18"/>
                <w:color w:val="auto"/>
              </w:rPr>
              <w:t>John W. Hill</w:t>
            </w:r>
            <w:r>
              <w:rPr>
                <w:rFonts w:ascii="Arial" w:cs="Arial" w:eastAsia="Arial" w:hAnsi="Arial"/>
                <w:sz w:val="25"/>
                <w:szCs w:val="25"/>
                <w:color w:val="auto"/>
                <w:vertAlign w:val="superscript"/>
              </w:rPr>
              <w:t>(11)</w:t>
            </w:r>
          </w:p>
        </w:tc>
        <w:tc>
          <w:tcPr>
            <w:tcW w:w="2500" w:type="dxa"/>
            <w:vAlign w:val="bottom"/>
            <w:shd w:val="clear" w:color="auto" w:fill="DBE5F1"/>
          </w:tcPr>
          <w:p>
            <w:pPr>
              <w:jc w:val="right"/>
              <w:spacing w:after="0"/>
              <w:rPr>
                <w:sz w:val="20"/>
                <w:szCs w:val="20"/>
                <w:color w:val="auto"/>
              </w:rPr>
            </w:pPr>
            <w:r>
              <w:rPr>
                <w:rFonts w:ascii="Arial" w:cs="Arial" w:eastAsia="Arial" w:hAnsi="Arial"/>
                <w:sz w:val="18"/>
                <w:szCs w:val="18"/>
                <w:color w:val="auto"/>
              </w:rPr>
              <w:t>4,425</w:t>
            </w:r>
          </w:p>
        </w:tc>
        <w:tc>
          <w:tcPr>
            <w:tcW w:w="2580" w:type="dxa"/>
            <w:vAlign w:val="bottom"/>
          </w:tcPr>
          <w:p>
            <w:pPr>
              <w:jc w:val="right"/>
              <w:ind w:right="90"/>
              <w:spacing w:after="0"/>
              <w:rPr>
                <w:sz w:val="20"/>
                <w:szCs w:val="20"/>
                <w:color w:val="auto"/>
              </w:rPr>
            </w:pPr>
            <w:r>
              <w:rPr>
                <w:rFonts w:ascii="Arial" w:cs="Arial" w:eastAsia="Arial" w:hAnsi="Arial"/>
                <w:sz w:val="18"/>
                <w:szCs w:val="18"/>
                <w:color w:val="auto"/>
              </w:rPr>
              <w:t>*</w:t>
            </w:r>
          </w:p>
        </w:tc>
      </w:tr>
      <w:tr>
        <w:trPr>
          <w:trHeight w:val="230"/>
        </w:trPr>
        <w:tc>
          <w:tcPr>
            <w:tcW w:w="6340" w:type="dxa"/>
            <w:vAlign w:val="bottom"/>
            <w:shd w:val="clear" w:color="auto" w:fill="DBE5F1"/>
          </w:tcPr>
          <w:p>
            <w:pPr>
              <w:ind w:left="20"/>
              <w:spacing w:after="0"/>
              <w:rPr>
                <w:sz w:val="20"/>
                <w:szCs w:val="20"/>
                <w:color w:val="auto"/>
              </w:rPr>
            </w:pPr>
            <w:r>
              <w:rPr>
                <w:rFonts w:ascii="Arial" w:cs="Arial" w:eastAsia="Arial" w:hAnsi="Arial"/>
                <w:sz w:val="18"/>
                <w:szCs w:val="18"/>
                <w:color w:val="auto"/>
              </w:rPr>
              <w:t>Laura Cox Kaplan</w:t>
            </w:r>
          </w:p>
        </w:tc>
        <w:tc>
          <w:tcPr>
            <w:tcW w:w="2500" w:type="dxa"/>
            <w:vAlign w:val="bottom"/>
            <w:shd w:val="clear" w:color="auto" w:fill="DBE5F1"/>
          </w:tcPr>
          <w:p>
            <w:pPr>
              <w:jc w:val="right"/>
              <w:spacing w:after="0"/>
              <w:rPr>
                <w:sz w:val="20"/>
                <w:szCs w:val="20"/>
                <w:color w:val="auto"/>
              </w:rPr>
            </w:pPr>
            <w:r>
              <w:rPr>
                <w:rFonts w:ascii="Arial" w:cs="Arial" w:eastAsia="Arial" w:hAnsi="Arial"/>
                <w:sz w:val="18"/>
                <w:szCs w:val="18"/>
                <w:color w:val="auto"/>
              </w:rPr>
              <w:t>0</w:t>
            </w:r>
          </w:p>
        </w:tc>
        <w:tc>
          <w:tcPr>
            <w:tcW w:w="2580" w:type="dxa"/>
            <w:vAlign w:val="bottom"/>
          </w:tcPr>
          <w:p>
            <w:pPr>
              <w:jc w:val="right"/>
              <w:ind w:right="90"/>
              <w:spacing w:after="0"/>
              <w:rPr>
                <w:sz w:val="20"/>
                <w:szCs w:val="20"/>
                <w:color w:val="auto"/>
              </w:rPr>
            </w:pPr>
            <w:r>
              <w:rPr>
                <w:rFonts w:ascii="Arial" w:cs="Arial" w:eastAsia="Arial" w:hAnsi="Arial"/>
                <w:sz w:val="18"/>
                <w:szCs w:val="18"/>
                <w:color w:val="auto"/>
              </w:rPr>
              <w:t>*</w:t>
            </w:r>
          </w:p>
        </w:tc>
      </w:tr>
      <w:tr>
        <w:trPr>
          <w:trHeight w:val="310"/>
        </w:trPr>
        <w:tc>
          <w:tcPr>
            <w:tcW w:w="6340" w:type="dxa"/>
            <w:vAlign w:val="bottom"/>
            <w:shd w:val="clear" w:color="auto" w:fill="DBE5F1"/>
          </w:tcPr>
          <w:p>
            <w:pPr>
              <w:ind w:left="20"/>
              <w:spacing w:after="0"/>
              <w:rPr>
                <w:sz w:val="20"/>
                <w:szCs w:val="20"/>
                <w:color w:val="auto"/>
              </w:rPr>
            </w:pPr>
            <w:r>
              <w:rPr>
                <w:rFonts w:ascii="Arial" w:cs="Arial" w:eastAsia="Arial" w:hAnsi="Arial"/>
                <w:sz w:val="18"/>
                <w:szCs w:val="18"/>
                <w:color w:val="auto"/>
              </w:rPr>
              <w:t>Christopher J. Nassetta</w:t>
            </w:r>
            <w:r>
              <w:rPr>
                <w:rFonts w:ascii="Arial" w:cs="Arial" w:eastAsia="Arial" w:hAnsi="Arial"/>
                <w:sz w:val="25"/>
                <w:szCs w:val="25"/>
                <w:color w:val="auto"/>
                <w:vertAlign w:val="superscript"/>
              </w:rPr>
              <w:t>(12)</w:t>
            </w:r>
          </w:p>
        </w:tc>
        <w:tc>
          <w:tcPr>
            <w:tcW w:w="2500" w:type="dxa"/>
            <w:vAlign w:val="bottom"/>
            <w:shd w:val="clear" w:color="auto" w:fill="DBE5F1"/>
          </w:tcPr>
          <w:p>
            <w:pPr>
              <w:jc w:val="right"/>
              <w:spacing w:after="0"/>
              <w:rPr>
                <w:sz w:val="20"/>
                <w:szCs w:val="20"/>
                <w:color w:val="auto"/>
              </w:rPr>
            </w:pPr>
            <w:r>
              <w:rPr>
                <w:rFonts w:ascii="Arial" w:cs="Arial" w:eastAsia="Arial" w:hAnsi="Arial"/>
                <w:sz w:val="18"/>
                <w:szCs w:val="18"/>
                <w:color w:val="auto"/>
              </w:rPr>
              <w:t>25,475</w:t>
            </w:r>
          </w:p>
        </w:tc>
        <w:tc>
          <w:tcPr>
            <w:tcW w:w="2580" w:type="dxa"/>
            <w:vAlign w:val="bottom"/>
          </w:tcPr>
          <w:p>
            <w:pPr>
              <w:jc w:val="right"/>
              <w:ind w:right="90"/>
              <w:spacing w:after="0"/>
              <w:rPr>
                <w:sz w:val="20"/>
                <w:szCs w:val="20"/>
                <w:color w:val="auto"/>
              </w:rPr>
            </w:pPr>
            <w:r>
              <w:rPr>
                <w:rFonts w:ascii="Arial" w:cs="Arial" w:eastAsia="Arial" w:hAnsi="Arial"/>
                <w:sz w:val="18"/>
                <w:szCs w:val="18"/>
                <w:color w:val="auto"/>
              </w:rPr>
              <w:t>*</w:t>
            </w:r>
          </w:p>
        </w:tc>
      </w:tr>
      <w:tr>
        <w:trPr>
          <w:trHeight w:val="270"/>
        </w:trPr>
        <w:tc>
          <w:tcPr>
            <w:tcW w:w="6340" w:type="dxa"/>
            <w:vAlign w:val="bottom"/>
            <w:shd w:val="clear" w:color="auto" w:fill="DBE5F1"/>
          </w:tcPr>
          <w:p>
            <w:pPr>
              <w:ind w:left="20"/>
              <w:spacing w:after="0" w:line="270" w:lineRule="exact"/>
              <w:rPr>
                <w:sz w:val="20"/>
                <w:szCs w:val="20"/>
                <w:color w:val="auto"/>
              </w:rPr>
            </w:pPr>
            <w:r>
              <w:rPr>
                <w:rFonts w:ascii="Arial" w:cs="Arial" w:eastAsia="Arial" w:hAnsi="Arial"/>
                <w:sz w:val="18"/>
                <w:szCs w:val="18"/>
                <w:color w:val="auto"/>
              </w:rPr>
              <w:t>David J. Steinberg</w:t>
            </w:r>
            <w:r>
              <w:rPr>
                <w:rFonts w:ascii="Arial" w:cs="Arial" w:eastAsia="Arial" w:hAnsi="Arial"/>
                <w:sz w:val="25"/>
                <w:szCs w:val="25"/>
                <w:color w:val="auto"/>
                <w:vertAlign w:val="superscript"/>
              </w:rPr>
              <w:t>(13)</w:t>
            </w:r>
          </w:p>
        </w:tc>
        <w:tc>
          <w:tcPr>
            <w:tcW w:w="2500" w:type="dxa"/>
            <w:vAlign w:val="bottom"/>
            <w:shd w:val="clear" w:color="auto" w:fill="DBE5F1"/>
          </w:tcPr>
          <w:p>
            <w:pPr>
              <w:jc w:val="right"/>
              <w:spacing w:after="0"/>
              <w:rPr>
                <w:sz w:val="20"/>
                <w:szCs w:val="20"/>
                <w:color w:val="auto"/>
              </w:rPr>
            </w:pPr>
            <w:r>
              <w:rPr>
                <w:rFonts w:ascii="Arial" w:cs="Arial" w:eastAsia="Arial" w:hAnsi="Arial"/>
                <w:sz w:val="18"/>
                <w:szCs w:val="18"/>
                <w:color w:val="auto"/>
              </w:rPr>
              <w:t>4,947</w:t>
            </w:r>
          </w:p>
        </w:tc>
        <w:tc>
          <w:tcPr>
            <w:tcW w:w="2580" w:type="dxa"/>
            <w:vAlign w:val="bottom"/>
          </w:tcPr>
          <w:p>
            <w:pPr>
              <w:jc w:val="right"/>
              <w:ind w:right="90"/>
              <w:spacing w:after="0"/>
              <w:rPr>
                <w:sz w:val="20"/>
                <w:szCs w:val="20"/>
                <w:color w:val="auto"/>
              </w:rPr>
            </w:pPr>
            <w:r>
              <w:rPr>
                <w:rFonts w:ascii="Arial" w:cs="Arial" w:eastAsia="Arial" w:hAnsi="Arial"/>
                <w:sz w:val="18"/>
                <w:szCs w:val="18"/>
                <w:color w:val="auto"/>
              </w:rPr>
              <w:t>*</w:t>
            </w:r>
          </w:p>
        </w:tc>
      </w:tr>
      <w:tr>
        <w:trPr>
          <w:trHeight w:val="270"/>
        </w:trPr>
        <w:tc>
          <w:tcPr>
            <w:tcW w:w="6340" w:type="dxa"/>
            <w:vAlign w:val="bottom"/>
            <w:shd w:val="clear" w:color="auto" w:fill="DBE5F1"/>
          </w:tcPr>
          <w:p>
            <w:pPr>
              <w:ind w:left="20"/>
              <w:spacing w:after="0" w:line="270" w:lineRule="exact"/>
              <w:rPr>
                <w:sz w:val="20"/>
                <w:szCs w:val="20"/>
                <w:color w:val="auto"/>
              </w:rPr>
            </w:pPr>
            <w:r>
              <w:rPr>
                <w:rFonts w:ascii="Arial" w:cs="Arial" w:eastAsia="Arial" w:hAnsi="Arial"/>
                <w:sz w:val="18"/>
                <w:szCs w:val="18"/>
                <w:color w:val="auto"/>
              </w:rPr>
              <w:t>Baron Capital Group, Inc. and related entities and person</w:t>
            </w:r>
            <w:r>
              <w:rPr>
                <w:rFonts w:ascii="Arial" w:cs="Arial" w:eastAsia="Arial" w:hAnsi="Arial"/>
                <w:sz w:val="25"/>
                <w:szCs w:val="25"/>
                <w:color w:val="auto"/>
                <w:vertAlign w:val="superscript"/>
              </w:rPr>
              <w:t>(14)</w:t>
            </w:r>
          </w:p>
        </w:tc>
        <w:tc>
          <w:tcPr>
            <w:tcW w:w="2500" w:type="dxa"/>
            <w:vAlign w:val="bottom"/>
            <w:shd w:val="clear" w:color="auto" w:fill="DBE5F1"/>
          </w:tcPr>
          <w:p>
            <w:pPr>
              <w:jc w:val="right"/>
              <w:spacing w:after="0"/>
              <w:rPr>
                <w:sz w:val="20"/>
                <w:szCs w:val="20"/>
                <w:color w:val="auto"/>
              </w:rPr>
            </w:pPr>
            <w:r>
              <w:rPr>
                <w:rFonts w:ascii="Arial" w:cs="Arial" w:eastAsia="Arial" w:hAnsi="Arial"/>
                <w:sz w:val="18"/>
                <w:szCs w:val="18"/>
                <w:color w:val="auto"/>
              </w:rPr>
              <w:t>2,875,266</w:t>
            </w:r>
          </w:p>
        </w:tc>
        <w:tc>
          <w:tcPr>
            <w:tcW w:w="2580" w:type="dxa"/>
            <w:vAlign w:val="bottom"/>
          </w:tcPr>
          <w:p>
            <w:pPr>
              <w:jc w:val="right"/>
              <w:spacing w:after="0"/>
              <w:rPr>
                <w:sz w:val="20"/>
                <w:szCs w:val="20"/>
                <w:color w:val="auto"/>
              </w:rPr>
            </w:pPr>
            <w:r>
              <w:rPr>
                <w:rFonts w:ascii="Arial" w:cs="Arial" w:eastAsia="Arial" w:hAnsi="Arial"/>
                <w:sz w:val="18"/>
                <w:szCs w:val="18"/>
                <w:color w:val="auto"/>
              </w:rPr>
              <w:t>8.85%</w:t>
            </w:r>
          </w:p>
        </w:tc>
      </w:tr>
      <w:tr>
        <w:trPr>
          <w:trHeight w:val="270"/>
        </w:trPr>
        <w:tc>
          <w:tcPr>
            <w:tcW w:w="6340" w:type="dxa"/>
            <w:vAlign w:val="bottom"/>
            <w:shd w:val="clear" w:color="auto" w:fill="DBE5F1"/>
          </w:tcPr>
          <w:p>
            <w:pPr>
              <w:ind w:left="20"/>
              <w:spacing w:after="0" w:line="270" w:lineRule="exact"/>
              <w:rPr>
                <w:sz w:val="20"/>
                <w:szCs w:val="20"/>
                <w:color w:val="auto"/>
              </w:rPr>
            </w:pPr>
            <w:r>
              <w:rPr>
                <w:rFonts w:ascii="Arial" w:cs="Arial" w:eastAsia="Arial" w:hAnsi="Arial"/>
                <w:sz w:val="18"/>
                <w:szCs w:val="18"/>
                <w:color w:val="auto"/>
              </w:rPr>
              <w:t>Janus Capital Management</w:t>
            </w:r>
            <w:r>
              <w:rPr>
                <w:rFonts w:ascii="Arial" w:cs="Arial" w:eastAsia="Arial" w:hAnsi="Arial"/>
                <w:sz w:val="25"/>
                <w:szCs w:val="25"/>
                <w:color w:val="auto"/>
                <w:vertAlign w:val="superscript"/>
              </w:rPr>
              <w:t>(15)</w:t>
            </w:r>
          </w:p>
        </w:tc>
        <w:tc>
          <w:tcPr>
            <w:tcW w:w="2500" w:type="dxa"/>
            <w:vAlign w:val="bottom"/>
            <w:shd w:val="clear" w:color="auto" w:fill="DBE5F1"/>
          </w:tcPr>
          <w:p>
            <w:pPr>
              <w:jc w:val="right"/>
              <w:spacing w:after="0"/>
              <w:rPr>
                <w:sz w:val="20"/>
                <w:szCs w:val="20"/>
                <w:color w:val="auto"/>
              </w:rPr>
            </w:pPr>
            <w:r>
              <w:rPr>
                <w:rFonts w:ascii="Arial" w:cs="Arial" w:eastAsia="Arial" w:hAnsi="Arial"/>
                <w:sz w:val="18"/>
                <w:szCs w:val="18"/>
                <w:color w:val="auto"/>
              </w:rPr>
              <w:t>1,865,473</w:t>
            </w:r>
          </w:p>
        </w:tc>
        <w:tc>
          <w:tcPr>
            <w:tcW w:w="2580" w:type="dxa"/>
            <w:vAlign w:val="bottom"/>
          </w:tcPr>
          <w:p>
            <w:pPr>
              <w:jc w:val="right"/>
              <w:spacing w:after="0"/>
              <w:rPr>
                <w:sz w:val="20"/>
                <w:szCs w:val="20"/>
                <w:color w:val="auto"/>
              </w:rPr>
            </w:pPr>
            <w:r>
              <w:rPr>
                <w:rFonts w:ascii="Arial" w:cs="Arial" w:eastAsia="Arial" w:hAnsi="Arial"/>
                <w:sz w:val="18"/>
                <w:szCs w:val="18"/>
                <w:color w:val="auto"/>
              </w:rPr>
              <w:t>5.74%</w:t>
            </w:r>
          </w:p>
        </w:tc>
      </w:tr>
      <w:tr>
        <w:trPr>
          <w:trHeight w:val="270"/>
        </w:trPr>
        <w:tc>
          <w:tcPr>
            <w:tcW w:w="6340" w:type="dxa"/>
            <w:vAlign w:val="bottom"/>
            <w:shd w:val="clear" w:color="auto" w:fill="DBE5F1"/>
          </w:tcPr>
          <w:p>
            <w:pPr>
              <w:ind w:left="20"/>
              <w:spacing w:after="0" w:line="270" w:lineRule="exact"/>
              <w:rPr>
                <w:sz w:val="20"/>
                <w:szCs w:val="20"/>
                <w:color w:val="auto"/>
              </w:rPr>
            </w:pPr>
            <w:r>
              <w:rPr>
                <w:rFonts w:ascii="Arial" w:cs="Arial" w:eastAsia="Arial" w:hAnsi="Arial"/>
                <w:sz w:val="18"/>
                <w:szCs w:val="18"/>
                <w:color w:val="auto"/>
              </w:rPr>
              <w:t>The Vanguard Group</w:t>
            </w:r>
            <w:r>
              <w:rPr>
                <w:rFonts w:ascii="Arial" w:cs="Arial" w:eastAsia="Arial" w:hAnsi="Arial"/>
                <w:sz w:val="25"/>
                <w:szCs w:val="25"/>
                <w:color w:val="auto"/>
                <w:vertAlign w:val="superscript"/>
              </w:rPr>
              <w:t>(16)</w:t>
            </w:r>
          </w:p>
        </w:tc>
        <w:tc>
          <w:tcPr>
            <w:tcW w:w="2500" w:type="dxa"/>
            <w:vAlign w:val="bottom"/>
            <w:shd w:val="clear" w:color="auto" w:fill="DBE5F1"/>
          </w:tcPr>
          <w:p>
            <w:pPr>
              <w:jc w:val="right"/>
              <w:spacing w:after="0"/>
              <w:rPr>
                <w:sz w:val="20"/>
                <w:szCs w:val="20"/>
                <w:color w:val="auto"/>
              </w:rPr>
            </w:pPr>
            <w:r>
              <w:rPr>
                <w:rFonts w:ascii="Arial" w:cs="Arial" w:eastAsia="Arial" w:hAnsi="Arial"/>
                <w:sz w:val="18"/>
                <w:szCs w:val="18"/>
                <w:color w:val="auto"/>
              </w:rPr>
              <w:t>2,091,573</w:t>
            </w:r>
          </w:p>
        </w:tc>
        <w:tc>
          <w:tcPr>
            <w:tcW w:w="2580" w:type="dxa"/>
            <w:vAlign w:val="bottom"/>
          </w:tcPr>
          <w:p>
            <w:pPr>
              <w:jc w:val="right"/>
              <w:spacing w:after="0"/>
              <w:rPr>
                <w:sz w:val="20"/>
                <w:szCs w:val="20"/>
                <w:color w:val="auto"/>
              </w:rPr>
            </w:pPr>
            <w:r>
              <w:rPr>
                <w:rFonts w:ascii="Arial" w:cs="Arial" w:eastAsia="Arial" w:hAnsi="Arial"/>
                <w:sz w:val="18"/>
                <w:szCs w:val="18"/>
                <w:color w:val="auto"/>
              </w:rPr>
              <w:t>6.44%</w:t>
            </w:r>
          </w:p>
        </w:tc>
      </w:tr>
      <w:tr>
        <w:trPr>
          <w:trHeight w:val="270"/>
        </w:trPr>
        <w:tc>
          <w:tcPr>
            <w:tcW w:w="6340" w:type="dxa"/>
            <w:vAlign w:val="bottom"/>
            <w:shd w:val="clear" w:color="auto" w:fill="DBE5F1"/>
          </w:tcPr>
          <w:p>
            <w:pPr>
              <w:ind w:left="20"/>
              <w:spacing w:after="0" w:line="270" w:lineRule="exact"/>
              <w:rPr>
                <w:sz w:val="20"/>
                <w:szCs w:val="20"/>
                <w:color w:val="auto"/>
              </w:rPr>
            </w:pPr>
            <w:r>
              <w:rPr>
                <w:rFonts w:ascii="Arial" w:cs="Arial" w:eastAsia="Arial" w:hAnsi="Arial"/>
                <w:sz w:val="18"/>
                <w:szCs w:val="18"/>
                <w:color w:val="auto"/>
              </w:rPr>
              <w:t>Wellington Management Group LLP</w:t>
            </w:r>
            <w:r>
              <w:rPr>
                <w:rFonts w:ascii="Arial" w:cs="Arial" w:eastAsia="Arial" w:hAnsi="Arial"/>
                <w:sz w:val="25"/>
                <w:szCs w:val="25"/>
                <w:color w:val="auto"/>
                <w:vertAlign w:val="superscript"/>
              </w:rPr>
              <w:t>(17)</w:t>
            </w:r>
          </w:p>
        </w:tc>
        <w:tc>
          <w:tcPr>
            <w:tcW w:w="2500" w:type="dxa"/>
            <w:vAlign w:val="bottom"/>
            <w:shd w:val="clear" w:color="auto" w:fill="DBE5F1"/>
          </w:tcPr>
          <w:p>
            <w:pPr>
              <w:jc w:val="right"/>
              <w:spacing w:after="0"/>
              <w:rPr>
                <w:sz w:val="20"/>
                <w:szCs w:val="20"/>
                <w:color w:val="auto"/>
              </w:rPr>
            </w:pPr>
            <w:r>
              <w:rPr>
                <w:rFonts w:ascii="Arial" w:cs="Arial" w:eastAsia="Arial" w:hAnsi="Arial"/>
                <w:sz w:val="18"/>
                <w:szCs w:val="18"/>
                <w:color w:val="auto"/>
              </w:rPr>
              <w:t>3,058,832</w:t>
            </w:r>
          </w:p>
        </w:tc>
        <w:tc>
          <w:tcPr>
            <w:tcW w:w="2580" w:type="dxa"/>
            <w:vAlign w:val="bottom"/>
          </w:tcPr>
          <w:p>
            <w:pPr>
              <w:jc w:val="right"/>
              <w:spacing w:after="0"/>
              <w:rPr>
                <w:sz w:val="20"/>
                <w:szCs w:val="20"/>
                <w:color w:val="auto"/>
              </w:rPr>
            </w:pPr>
            <w:r>
              <w:rPr>
                <w:rFonts w:ascii="Arial" w:cs="Arial" w:eastAsia="Arial" w:hAnsi="Arial"/>
                <w:sz w:val="18"/>
                <w:szCs w:val="18"/>
                <w:color w:val="auto"/>
              </w:rPr>
              <w:t>9.41%</w:t>
            </w:r>
          </w:p>
        </w:tc>
      </w:tr>
      <w:tr>
        <w:trPr>
          <w:trHeight w:val="257"/>
        </w:trPr>
        <w:tc>
          <w:tcPr>
            <w:tcW w:w="6340" w:type="dxa"/>
            <w:vAlign w:val="bottom"/>
            <w:shd w:val="clear" w:color="auto" w:fill="DBE5F1"/>
          </w:tcPr>
          <w:p>
            <w:pPr>
              <w:ind w:left="20"/>
              <w:spacing w:after="0" w:line="257" w:lineRule="exact"/>
              <w:rPr>
                <w:sz w:val="20"/>
                <w:szCs w:val="20"/>
                <w:color w:val="auto"/>
              </w:rPr>
            </w:pPr>
            <w:r>
              <w:rPr>
                <w:rFonts w:ascii="Arial" w:cs="Arial" w:eastAsia="Arial" w:hAnsi="Arial"/>
                <w:sz w:val="18"/>
                <w:szCs w:val="18"/>
                <w:color w:val="auto"/>
              </w:rPr>
              <w:t>All current executive officers and directors as a group (11 persons)</w:t>
            </w:r>
            <w:r>
              <w:rPr>
                <w:rFonts w:ascii="Arial" w:cs="Arial" w:eastAsia="Arial" w:hAnsi="Arial"/>
                <w:sz w:val="25"/>
                <w:szCs w:val="25"/>
                <w:color w:val="auto"/>
                <w:vertAlign w:val="superscript"/>
              </w:rPr>
              <w:t>(18)</w:t>
            </w:r>
          </w:p>
        </w:tc>
        <w:tc>
          <w:tcPr>
            <w:tcW w:w="2500" w:type="dxa"/>
            <w:vAlign w:val="bottom"/>
            <w:shd w:val="clear" w:color="auto" w:fill="DBE5F1"/>
          </w:tcPr>
          <w:p>
            <w:pPr>
              <w:jc w:val="right"/>
              <w:spacing w:after="0"/>
              <w:rPr>
                <w:sz w:val="20"/>
                <w:szCs w:val="20"/>
                <w:color w:val="auto"/>
              </w:rPr>
            </w:pPr>
            <w:r>
              <w:rPr>
                <w:rFonts w:ascii="Arial" w:cs="Arial" w:eastAsia="Arial" w:hAnsi="Arial"/>
                <w:sz w:val="18"/>
                <w:szCs w:val="18"/>
                <w:color w:val="auto"/>
              </w:rPr>
              <w:t>975,291</w:t>
            </w:r>
          </w:p>
        </w:tc>
        <w:tc>
          <w:tcPr>
            <w:tcW w:w="2580" w:type="dxa"/>
            <w:vAlign w:val="bottom"/>
          </w:tcPr>
          <w:p>
            <w:pPr>
              <w:jc w:val="right"/>
              <w:spacing w:after="0"/>
              <w:rPr>
                <w:sz w:val="20"/>
                <w:szCs w:val="20"/>
                <w:color w:val="auto"/>
              </w:rPr>
            </w:pPr>
            <w:r>
              <w:rPr>
                <w:rFonts w:ascii="Arial" w:cs="Arial" w:eastAsia="Arial" w:hAnsi="Arial"/>
                <w:sz w:val="18"/>
                <w:szCs w:val="18"/>
                <w:color w:val="auto"/>
              </w:rPr>
              <w:t>2.98%</w:t>
            </w:r>
          </w:p>
        </w:tc>
      </w:tr>
      <w:tr>
        <w:trPr>
          <w:trHeight w:val="230"/>
        </w:trPr>
        <w:tc>
          <w:tcPr>
            <w:tcW w:w="6340" w:type="dxa"/>
            <w:vAlign w:val="bottom"/>
          </w:tcPr>
          <w:p>
            <w:pPr>
              <w:spacing w:after="0"/>
              <w:rPr>
                <w:sz w:val="20"/>
                <w:szCs w:val="20"/>
                <w:color w:val="auto"/>
              </w:rPr>
            </w:pPr>
            <w:r>
              <w:rPr>
                <w:rFonts w:ascii="Arial" w:cs="Arial" w:eastAsia="Arial" w:hAnsi="Arial"/>
                <w:sz w:val="18"/>
                <w:szCs w:val="18"/>
                <w:color w:val="auto"/>
              </w:rPr>
              <w:t>____________</w:t>
            </w:r>
          </w:p>
        </w:tc>
        <w:tc>
          <w:tcPr>
            <w:tcW w:w="2500" w:type="dxa"/>
            <w:vAlign w:val="bottom"/>
          </w:tcPr>
          <w:p>
            <w:pPr>
              <w:spacing w:after="0"/>
              <w:rPr>
                <w:sz w:val="20"/>
                <w:szCs w:val="20"/>
                <w:color w:val="auto"/>
              </w:rPr>
            </w:pPr>
          </w:p>
        </w:tc>
        <w:tc>
          <w:tcPr>
            <w:tcW w:w="258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7131685</wp:posOffset>
            </wp:positionH>
            <wp:positionV relativeFrom="paragraph">
              <wp:posOffset>-2718435</wp:posOffset>
            </wp:positionV>
            <wp:extent cx="120015" cy="257302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0015" cy="2573020"/>
                    </a:xfrm>
                    <a:prstGeom prst="rect">
                      <a:avLst/>
                    </a:prstGeom>
                    <a:noFill/>
                  </pic:spPr>
                </pic:pic>
              </a:graphicData>
            </a:graphic>
          </wp:anchor>
        </w:drawing>
      </w:r>
    </w:p>
    <w:p>
      <w:pPr>
        <w:spacing w:after="0" w:line="10" w:lineRule="exact"/>
        <w:rPr>
          <w:sz w:val="20"/>
          <w:szCs w:val="20"/>
          <w:color w:val="auto"/>
        </w:rPr>
      </w:pPr>
    </w:p>
    <w:p>
      <w:pPr>
        <w:jc w:val="both"/>
        <w:ind w:left="340" w:hanging="318"/>
        <w:spacing w:after="0" w:line="252" w:lineRule="auto"/>
        <w:tabs>
          <w:tab w:leader="none" w:pos="340" w:val="left"/>
        </w:tabs>
        <w:numPr>
          <w:ilvl w:val="0"/>
          <w:numId w:val="28"/>
        </w:numPr>
        <w:rPr>
          <w:rFonts w:ascii="Arial" w:cs="Arial" w:eastAsia="Arial" w:hAnsi="Arial"/>
          <w:sz w:val="16"/>
          <w:szCs w:val="16"/>
          <w:color w:val="auto"/>
        </w:rPr>
      </w:pPr>
      <w:r>
        <w:rPr>
          <w:rFonts w:ascii="Arial" w:cs="Arial" w:eastAsia="Arial" w:hAnsi="Arial"/>
          <w:sz w:val="16"/>
          <w:szCs w:val="16"/>
          <w:color w:val="auto"/>
        </w:rPr>
        <w:t>Unless otherwise noted, each listed person’s address is c/o CoStar Group, Inc., 1331 L Street, NW, Washington, DC 20005. Beneficial ownership, as determined in accordance with Rule 13d-3 under the Exchange Act, includes sole or shared power to vote or direct the voting of, or to dispose or direct the disposition of shares, as well as the right to acquire beneficial ownership within 60 days of April 1, 2016, through the exercise of an option or otherwise. Except as indicated in the footnotes to the table and to the extent authority is shared by spouses under applicable law, we believe that the persons named in the table have sole voting and dispositive power with respect to their reported shares of common stock. The use of * indicates ownership of less than 1%. As of April 1, 2016, the Company had 32,500,289 shares of common stock outstanding.</w:t>
      </w:r>
    </w:p>
    <w:p>
      <w:pPr>
        <w:spacing w:after="0" w:line="29" w:lineRule="exact"/>
        <w:rPr>
          <w:rFonts w:ascii="Arial" w:cs="Arial" w:eastAsia="Arial" w:hAnsi="Arial"/>
          <w:sz w:val="16"/>
          <w:szCs w:val="16"/>
          <w:color w:val="auto"/>
        </w:rPr>
      </w:pPr>
    </w:p>
    <w:p>
      <w:pPr>
        <w:ind w:left="340" w:hanging="318"/>
        <w:spacing w:after="0"/>
        <w:tabs>
          <w:tab w:leader="none" w:pos="340" w:val="left"/>
        </w:tabs>
        <w:numPr>
          <w:ilvl w:val="0"/>
          <w:numId w:val="28"/>
        </w:numPr>
        <w:rPr>
          <w:rFonts w:ascii="Arial" w:cs="Arial" w:eastAsia="Arial" w:hAnsi="Arial"/>
          <w:sz w:val="16"/>
          <w:szCs w:val="16"/>
          <w:color w:val="auto"/>
        </w:rPr>
      </w:pPr>
      <w:r>
        <w:rPr>
          <w:rFonts w:ascii="Arial" w:cs="Arial" w:eastAsia="Arial" w:hAnsi="Arial"/>
          <w:sz w:val="16"/>
          <w:szCs w:val="16"/>
          <w:color w:val="auto"/>
        </w:rPr>
        <w:t>Includes 2,882 shares of restricted stock that are subject to vesting restrictions.</w:t>
      </w:r>
    </w:p>
    <w:p>
      <w:pPr>
        <w:spacing w:after="0" w:line="59" w:lineRule="exact"/>
        <w:rPr>
          <w:rFonts w:ascii="Arial" w:cs="Arial" w:eastAsia="Arial" w:hAnsi="Arial"/>
          <w:sz w:val="16"/>
          <w:szCs w:val="16"/>
          <w:color w:val="auto"/>
        </w:rPr>
      </w:pPr>
    </w:p>
    <w:p>
      <w:pPr>
        <w:ind w:left="340" w:hanging="318"/>
        <w:spacing w:after="0" w:line="275" w:lineRule="auto"/>
        <w:tabs>
          <w:tab w:leader="none" w:pos="340" w:val="left"/>
        </w:tabs>
        <w:numPr>
          <w:ilvl w:val="0"/>
          <w:numId w:val="28"/>
        </w:numPr>
        <w:rPr>
          <w:rFonts w:ascii="Arial" w:cs="Arial" w:eastAsia="Arial" w:hAnsi="Arial"/>
          <w:sz w:val="16"/>
          <w:szCs w:val="16"/>
          <w:color w:val="auto"/>
        </w:rPr>
      </w:pPr>
      <w:r>
        <w:rPr>
          <w:rFonts w:ascii="Arial" w:cs="Arial" w:eastAsia="Arial" w:hAnsi="Arial"/>
          <w:sz w:val="16"/>
          <w:szCs w:val="16"/>
          <w:color w:val="auto"/>
        </w:rPr>
        <w:t>Includes 215,219 shares issuable upon options exercisable within 60 days of April 1, 2016, as well as 67,754 shares of restricted stock that are subject to vesting restrictions.</w:t>
      </w:r>
    </w:p>
    <w:p>
      <w:pPr>
        <w:spacing w:after="0" w:line="10" w:lineRule="exact"/>
        <w:rPr>
          <w:rFonts w:ascii="Arial" w:cs="Arial" w:eastAsia="Arial" w:hAnsi="Arial"/>
          <w:sz w:val="16"/>
          <w:szCs w:val="16"/>
          <w:color w:val="auto"/>
        </w:rPr>
      </w:pPr>
    </w:p>
    <w:p>
      <w:pPr>
        <w:ind w:left="340" w:hanging="318"/>
        <w:spacing w:after="0"/>
        <w:tabs>
          <w:tab w:leader="none" w:pos="340" w:val="left"/>
        </w:tabs>
        <w:numPr>
          <w:ilvl w:val="0"/>
          <w:numId w:val="28"/>
        </w:numPr>
        <w:rPr>
          <w:rFonts w:ascii="Arial" w:cs="Arial" w:eastAsia="Arial" w:hAnsi="Arial"/>
          <w:sz w:val="16"/>
          <w:szCs w:val="16"/>
          <w:color w:val="auto"/>
        </w:rPr>
      </w:pPr>
      <w:r>
        <w:rPr>
          <w:rFonts w:ascii="Arial" w:cs="Arial" w:eastAsia="Arial" w:hAnsi="Arial"/>
          <w:sz w:val="16"/>
          <w:szCs w:val="16"/>
          <w:color w:val="auto"/>
        </w:rPr>
        <w:t>Consists of 12,770 shares of restricted stock that are subject to vesting restrictions.</w:t>
      </w:r>
    </w:p>
    <w:p>
      <w:pPr>
        <w:spacing w:after="0" w:line="59" w:lineRule="exact"/>
        <w:rPr>
          <w:rFonts w:ascii="Arial" w:cs="Arial" w:eastAsia="Arial" w:hAnsi="Arial"/>
          <w:sz w:val="16"/>
          <w:szCs w:val="16"/>
          <w:color w:val="auto"/>
        </w:rPr>
      </w:pPr>
    </w:p>
    <w:p>
      <w:pPr>
        <w:ind w:left="340" w:hanging="318"/>
        <w:spacing w:after="0"/>
        <w:tabs>
          <w:tab w:leader="none" w:pos="340" w:val="left"/>
        </w:tabs>
        <w:numPr>
          <w:ilvl w:val="0"/>
          <w:numId w:val="28"/>
        </w:numPr>
        <w:rPr>
          <w:rFonts w:ascii="Arial" w:cs="Arial" w:eastAsia="Arial" w:hAnsi="Arial"/>
          <w:sz w:val="16"/>
          <w:szCs w:val="16"/>
          <w:color w:val="auto"/>
        </w:rPr>
      </w:pPr>
      <w:r>
        <w:rPr>
          <w:rFonts w:ascii="Arial" w:cs="Arial" w:eastAsia="Arial" w:hAnsi="Arial"/>
          <w:sz w:val="16"/>
          <w:szCs w:val="16"/>
          <w:color w:val="auto"/>
        </w:rPr>
        <w:t>Consists of 8,366 shares issuable upon options exercisable within 60 days of April 1, 2016.</w:t>
      </w:r>
    </w:p>
    <w:p>
      <w:pPr>
        <w:spacing w:after="0" w:line="59" w:lineRule="exact"/>
        <w:rPr>
          <w:rFonts w:ascii="Arial" w:cs="Arial" w:eastAsia="Arial" w:hAnsi="Arial"/>
          <w:sz w:val="16"/>
          <w:szCs w:val="16"/>
          <w:color w:val="auto"/>
        </w:rPr>
      </w:pPr>
    </w:p>
    <w:p>
      <w:pPr>
        <w:ind w:left="340" w:hanging="318"/>
        <w:spacing w:after="0"/>
        <w:tabs>
          <w:tab w:leader="none" w:pos="340" w:val="left"/>
        </w:tabs>
        <w:numPr>
          <w:ilvl w:val="0"/>
          <w:numId w:val="28"/>
        </w:numPr>
        <w:rPr>
          <w:rFonts w:ascii="Arial" w:cs="Arial" w:eastAsia="Arial" w:hAnsi="Arial"/>
          <w:sz w:val="16"/>
          <w:szCs w:val="16"/>
          <w:color w:val="auto"/>
        </w:rPr>
      </w:pPr>
      <w:r>
        <w:rPr>
          <w:rFonts w:ascii="Arial" w:cs="Arial" w:eastAsia="Arial" w:hAnsi="Arial"/>
          <w:sz w:val="16"/>
          <w:szCs w:val="16"/>
          <w:color w:val="auto"/>
        </w:rPr>
        <w:t>Includes 3,908 shares of restricted stock that are subject to vesting restrictions.</w:t>
      </w:r>
    </w:p>
    <w:p>
      <w:pPr>
        <w:spacing w:after="0" w:line="59" w:lineRule="exact"/>
        <w:rPr>
          <w:rFonts w:ascii="Arial" w:cs="Arial" w:eastAsia="Arial" w:hAnsi="Arial"/>
          <w:sz w:val="16"/>
          <w:szCs w:val="16"/>
          <w:color w:val="auto"/>
        </w:rPr>
      </w:pPr>
    </w:p>
    <w:p>
      <w:pPr>
        <w:ind w:left="340" w:hanging="318"/>
        <w:spacing w:after="0" w:line="275" w:lineRule="auto"/>
        <w:tabs>
          <w:tab w:leader="none" w:pos="340" w:val="left"/>
        </w:tabs>
        <w:numPr>
          <w:ilvl w:val="0"/>
          <w:numId w:val="28"/>
        </w:numPr>
        <w:rPr>
          <w:rFonts w:ascii="Arial" w:cs="Arial" w:eastAsia="Arial" w:hAnsi="Arial"/>
          <w:sz w:val="16"/>
          <w:szCs w:val="16"/>
          <w:color w:val="auto"/>
        </w:rPr>
      </w:pPr>
      <w:r>
        <w:rPr>
          <w:rFonts w:ascii="Arial" w:cs="Arial" w:eastAsia="Arial" w:hAnsi="Arial"/>
          <w:sz w:val="16"/>
          <w:szCs w:val="16"/>
          <w:color w:val="auto"/>
        </w:rPr>
        <w:t>Includes 32,333 shares issuable upon options exercisable within 60 days of April 1, 2016, as well as 18,014 shares of restricted stock that are subject to vesting restrictions.</w:t>
      </w:r>
    </w:p>
    <w:p>
      <w:pPr>
        <w:spacing w:after="0" w:line="10" w:lineRule="exact"/>
        <w:rPr>
          <w:rFonts w:ascii="Arial" w:cs="Arial" w:eastAsia="Arial" w:hAnsi="Arial"/>
          <w:sz w:val="16"/>
          <w:szCs w:val="16"/>
          <w:color w:val="auto"/>
        </w:rPr>
      </w:pPr>
    </w:p>
    <w:p>
      <w:pPr>
        <w:ind w:left="340" w:hanging="318"/>
        <w:spacing w:after="0"/>
        <w:tabs>
          <w:tab w:leader="none" w:pos="340" w:val="left"/>
        </w:tabs>
        <w:numPr>
          <w:ilvl w:val="0"/>
          <w:numId w:val="28"/>
        </w:numPr>
        <w:rPr>
          <w:rFonts w:ascii="Arial" w:cs="Arial" w:eastAsia="Arial" w:hAnsi="Arial"/>
          <w:sz w:val="14"/>
          <w:szCs w:val="14"/>
          <w:color w:val="auto"/>
        </w:rPr>
      </w:pPr>
      <w:r>
        <w:rPr>
          <w:rFonts w:ascii="Arial" w:cs="Arial" w:eastAsia="Arial" w:hAnsi="Arial"/>
          <w:sz w:val="14"/>
          <w:szCs w:val="14"/>
          <w:color w:val="auto"/>
        </w:rPr>
        <w:t>Includes 2,400 shares issuable upon options exercisable within 60 days of April 1, 2016, as well as 20,010 shares of restricted stock that are subject to vesting restrictions.</w:t>
      </w:r>
    </w:p>
    <w:p>
      <w:pPr>
        <w:spacing w:after="0" w:line="82" w:lineRule="exact"/>
        <w:rPr>
          <w:rFonts w:ascii="Arial" w:cs="Arial" w:eastAsia="Arial" w:hAnsi="Arial"/>
          <w:sz w:val="14"/>
          <w:szCs w:val="14"/>
          <w:color w:val="auto"/>
        </w:rPr>
      </w:pPr>
    </w:p>
    <w:p>
      <w:pPr>
        <w:ind w:left="340" w:hanging="318"/>
        <w:spacing w:after="0"/>
        <w:tabs>
          <w:tab w:leader="none" w:pos="340" w:val="left"/>
        </w:tabs>
        <w:numPr>
          <w:ilvl w:val="0"/>
          <w:numId w:val="28"/>
        </w:numPr>
        <w:rPr>
          <w:rFonts w:ascii="Arial" w:cs="Arial" w:eastAsia="Arial" w:hAnsi="Arial"/>
          <w:sz w:val="16"/>
          <w:szCs w:val="16"/>
          <w:color w:val="auto"/>
        </w:rPr>
      </w:pPr>
      <w:r>
        <w:rPr>
          <w:rFonts w:ascii="Arial" w:cs="Arial" w:eastAsia="Arial" w:hAnsi="Arial"/>
          <w:sz w:val="16"/>
          <w:szCs w:val="16"/>
          <w:color w:val="auto"/>
        </w:rPr>
        <w:t>Includes 2,882 shares of restricted stock that are subject to vesting restrictions.</w:t>
      </w: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360" w:right="239" w:bottom="1440" w:gutter="0" w:footer="0" w:header="0"/>
        </w:sectPr>
      </w:pPr>
    </w:p>
    <w:bookmarkStart w:id="42" w:name="page43"/>
    <w:bookmarkEnd w:id="42"/>
    <w:p>
      <w:pPr>
        <w:ind w:left="320" w:hanging="318"/>
        <w:spacing w:after="0" w:line="275" w:lineRule="auto"/>
        <w:tabs>
          <w:tab w:leader="none" w:pos="320" w:val="left"/>
        </w:tabs>
        <w:numPr>
          <w:ilvl w:val="0"/>
          <w:numId w:val="29"/>
        </w:numPr>
        <w:rPr>
          <w:rFonts w:ascii="Arial" w:cs="Arial" w:eastAsia="Arial" w:hAnsi="Arial"/>
          <w:sz w:val="16"/>
          <w:szCs w:val="16"/>
          <w:color w:val="auto"/>
        </w:rPr>
      </w:pPr>
      <w:r>
        <w:rPr>
          <w:rFonts w:ascii="Arial" w:cs="Arial" w:eastAsia="Arial" w:hAnsi="Arial"/>
          <w:sz w:val="16"/>
          <w:szCs w:val="16"/>
          <w:color w:val="auto"/>
        </w:rPr>
        <w:t>Includes 6,000 shares held by Mr. Haber’s spouse and excludes 25,880 shares held by Mr. Haber’s adult sons for which Mr. Haber disclaims beneficial ownership. Also includes 2,848 shares of restricted stock that are subject to vesting restrictions.</w:t>
      </w:r>
    </w:p>
    <w:p>
      <w:pPr>
        <w:spacing w:after="0" w:line="10" w:lineRule="exact"/>
        <w:rPr>
          <w:rFonts w:ascii="Arial" w:cs="Arial" w:eastAsia="Arial" w:hAnsi="Arial"/>
          <w:sz w:val="16"/>
          <w:szCs w:val="16"/>
          <w:color w:val="auto"/>
        </w:rPr>
      </w:pPr>
    </w:p>
    <w:p>
      <w:pPr>
        <w:ind w:left="320" w:hanging="318"/>
        <w:spacing w:after="0"/>
        <w:tabs>
          <w:tab w:leader="none" w:pos="320" w:val="left"/>
        </w:tabs>
        <w:numPr>
          <w:ilvl w:val="0"/>
          <w:numId w:val="29"/>
        </w:numPr>
        <w:rPr>
          <w:rFonts w:ascii="Arial" w:cs="Arial" w:eastAsia="Arial" w:hAnsi="Arial"/>
          <w:sz w:val="16"/>
          <w:szCs w:val="16"/>
          <w:color w:val="auto"/>
        </w:rPr>
      </w:pPr>
      <w:r>
        <w:rPr>
          <w:rFonts w:ascii="Arial" w:cs="Arial" w:eastAsia="Arial" w:hAnsi="Arial"/>
          <w:sz w:val="16"/>
          <w:szCs w:val="16"/>
          <w:color w:val="auto"/>
        </w:rPr>
        <w:t>Includes 3,003 shares of restricted stock that are subject to vesting restrictions</w:t>
      </w:r>
    </w:p>
    <w:p>
      <w:pPr>
        <w:spacing w:after="0" w:line="59" w:lineRule="exact"/>
        <w:rPr>
          <w:rFonts w:ascii="Arial" w:cs="Arial" w:eastAsia="Arial" w:hAnsi="Arial"/>
          <w:sz w:val="16"/>
          <w:szCs w:val="16"/>
          <w:color w:val="auto"/>
        </w:rPr>
      </w:pPr>
    </w:p>
    <w:p>
      <w:pPr>
        <w:ind w:left="320" w:hanging="318"/>
        <w:spacing w:after="0"/>
        <w:tabs>
          <w:tab w:leader="none" w:pos="320" w:val="left"/>
        </w:tabs>
        <w:numPr>
          <w:ilvl w:val="0"/>
          <w:numId w:val="29"/>
        </w:numPr>
        <w:rPr>
          <w:rFonts w:ascii="Arial" w:cs="Arial" w:eastAsia="Arial" w:hAnsi="Arial"/>
          <w:sz w:val="16"/>
          <w:szCs w:val="16"/>
          <w:color w:val="auto"/>
        </w:rPr>
      </w:pPr>
      <w:r>
        <w:rPr>
          <w:rFonts w:ascii="Arial" w:cs="Arial" w:eastAsia="Arial" w:hAnsi="Arial"/>
          <w:sz w:val="16"/>
          <w:szCs w:val="16"/>
          <w:color w:val="auto"/>
        </w:rPr>
        <w:t>Includes 2,910 shares of restricted stock that are subject to vesting restrictions.</w:t>
      </w:r>
    </w:p>
    <w:p>
      <w:pPr>
        <w:spacing w:after="0" w:line="59" w:lineRule="exact"/>
        <w:rPr>
          <w:rFonts w:ascii="Arial" w:cs="Arial" w:eastAsia="Arial" w:hAnsi="Arial"/>
          <w:sz w:val="16"/>
          <w:szCs w:val="16"/>
          <w:color w:val="auto"/>
        </w:rPr>
      </w:pPr>
    </w:p>
    <w:p>
      <w:pPr>
        <w:ind w:left="320" w:hanging="318"/>
        <w:spacing w:after="0"/>
        <w:tabs>
          <w:tab w:leader="none" w:pos="320" w:val="left"/>
        </w:tabs>
        <w:numPr>
          <w:ilvl w:val="0"/>
          <w:numId w:val="29"/>
        </w:numPr>
        <w:rPr>
          <w:rFonts w:ascii="Arial" w:cs="Arial" w:eastAsia="Arial" w:hAnsi="Arial"/>
          <w:sz w:val="16"/>
          <w:szCs w:val="16"/>
          <w:color w:val="auto"/>
        </w:rPr>
      </w:pPr>
      <w:r>
        <w:rPr>
          <w:rFonts w:ascii="Arial" w:cs="Arial" w:eastAsia="Arial" w:hAnsi="Arial"/>
          <w:sz w:val="16"/>
          <w:szCs w:val="16"/>
          <w:color w:val="auto"/>
        </w:rPr>
        <w:t>Includes 2,803 shares of restricted stock that are subject to vesting restrictions.</w:t>
      </w:r>
    </w:p>
    <w:p>
      <w:pPr>
        <w:spacing w:after="0" w:line="59" w:lineRule="exact"/>
        <w:rPr>
          <w:rFonts w:ascii="Arial" w:cs="Arial" w:eastAsia="Arial" w:hAnsi="Arial"/>
          <w:sz w:val="16"/>
          <w:szCs w:val="16"/>
          <w:color w:val="auto"/>
        </w:rPr>
      </w:pPr>
    </w:p>
    <w:p>
      <w:pPr>
        <w:jc w:val="both"/>
        <w:ind w:left="320" w:hanging="318"/>
        <w:spacing w:after="0" w:line="239" w:lineRule="auto"/>
        <w:tabs>
          <w:tab w:leader="none" w:pos="320" w:val="left"/>
        </w:tabs>
        <w:numPr>
          <w:ilvl w:val="0"/>
          <w:numId w:val="29"/>
        </w:numPr>
        <w:rPr>
          <w:rFonts w:ascii="Arial" w:cs="Arial" w:eastAsia="Arial" w:hAnsi="Arial"/>
          <w:sz w:val="16"/>
          <w:szCs w:val="16"/>
          <w:color w:val="auto"/>
        </w:rPr>
      </w:pPr>
      <w:r>
        <w:rPr>
          <w:rFonts w:ascii="Arial" w:cs="Arial" w:eastAsia="Arial" w:hAnsi="Arial"/>
          <w:sz w:val="16"/>
          <w:szCs w:val="16"/>
          <w:color w:val="auto"/>
        </w:rPr>
        <w:t>Number of shares beneficially owned is as of December 31, 2015 and is based on a Schedule 13G/A filed by Baron Capital Group, Inc. (“BCG”), BAMCO INC. (“BAMCO”), Baron Capital Management, Inc. (“BCM”) and Ronald Baron on February 16, 2016. BCG and Ronald Baron both had sole voting and sole dispositive power with respect to no shares, shared voting power with respect to 2,669,266 shares, and shared dispositive power with respect to 2,875,266 shares. BAMCO had sole voting and sole dispositive power with respect to no shares, shared voting power with respect to 2,402,445 shares, and shared dispositive power with respect to 2,608,445 shares. BCM had sole voting and sole dispositive power with respect to no shares, shared voting and shared dispositive power with respect to 266,821 shares. BAMCO and BCM are subsidiaries of BCG. Ronald Baron owns a controlling interest in BCG. The address of the reporting persons is 767 Fifth Avenue, 49</w:t>
      </w:r>
      <w:r>
        <w:rPr>
          <w:rFonts w:ascii="Arial" w:cs="Arial" w:eastAsia="Arial" w:hAnsi="Arial"/>
          <w:sz w:val="21"/>
          <w:szCs w:val="21"/>
          <w:color w:val="auto"/>
          <w:vertAlign w:val="superscript"/>
        </w:rPr>
        <w:t>th</w:t>
      </w:r>
      <w:r>
        <w:rPr>
          <w:rFonts w:ascii="Arial" w:cs="Arial" w:eastAsia="Arial" w:hAnsi="Arial"/>
          <w:sz w:val="16"/>
          <w:szCs w:val="16"/>
          <w:color w:val="auto"/>
        </w:rPr>
        <w:t xml:space="preserve"> Floor, New York, NY 10153.</w:t>
      </w:r>
    </w:p>
    <w:p>
      <w:pPr>
        <w:spacing w:after="0" w:line="37" w:lineRule="exact"/>
        <w:rPr>
          <w:rFonts w:ascii="Arial" w:cs="Arial" w:eastAsia="Arial" w:hAnsi="Arial"/>
          <w:sz w:val="16"/>
          <w:szCs w:val="16"/>
          <w:color w:val="auto"/>
        </w:rPr>
      </w:pPr>
    </w:p>
    <w:p>
      <w:pPr>
        <w:jc w:val="both"/>
        <w:ind w:left="320" w:hanging="318"/>
        <w:spacing w:after="0" w:line="261" w:lineRule="auto"/>
        <w:tabs>
          <w:tab w:leader="none" w:pos="320" w:val="left"/>
        </w:tabs>
        <w:numPr>
          <w:ilvl w:val="0"/>
          <w:numId w:val="29"/>
        </w:numPr>
        <w:rPr>
          <w:rFonts w:ascii="Arial" w:cs="Arial" w:eastAsia="Arial" w:hAnsi="Arial"/>
          <w:sz w:val="16"/>
          <w:szCs w:val="16"/>
          <w:color w:val="auto"/>
        </w:rPr>
      </w:pPr>
      <w:r>
        <w:rPr>
          <w:rFonts w:ascii="Arial" w:cs="Arial" w:eastAsia="Arial" w:hAnsi="Arial"/>
          <w:sz w:val="16"/>
          <w:szCs w:val="16"/>
          <w:color w:val="auto"/>
        </w:rPr>
        <w:t>Number of shares beneficially owned is as of December 31, 2015 and is based on a Schedule 13G filed by Janus Capital Management on February 16, 2016. The reporting person had sole voting and sole dispositive power with respect to 1,844,073 shares, and shared voting and shared dispositive power with respect to 21,400 shares. The address of the reporting person is 151 Detroit Street, Denver, CO 80206.</w:t>
      </w:r>
    </w:p>
    <w:p>
      <w:pPr>
        <w:spacing w:after="0" w:line="20" w:lineRule="exact"/>
        <w:rPr>
          <w:rFonts w:ascii="Arial" w:cs="Arial" w:eastAsia="Arial" w:hAnsi="Arial"/>
          <w:sz w:val="16"/>
          <w:szCs w:val="16"/>
          <w:color w:val="auto"/>
        </w:rPr>
      </w:pPr>
    </w:p>
    <w:p>
      <w:pPr>
        <w:jc w:val="both"/>
        <w:ind w:left="320" w:hanging="318"/>
        <w:spacing w:after="0" w:line="286" w:lineRule="auto"/>
        <w:tabs>
          <w:tab w:leader="none" w:pos="320" w:val="left"/>
        </w:tabs>
        <w:numPr>
          <w:ilvl w:val="0"/>
          <w:numId w:val="29"/>
        </w:numPr>
        <w:rPr>
          <w:rFonts w:ascii="Arial" w:cs="Arial" w:eastAsia="Arial" w:hAnsi="Arial"/>
          <w:sz w:val="15"/>
          <w:szCs w:val="15"/>
          <w:color w:val="auto"/>
        </w:rPr>
      </w:pPr>
      <w:r>
        <w:rPr>
          <w:rFonts w:ascii="Arial" w:cs="Arial" w:eastAsia="Arial" w:hAnsi="Arial"/>
          <w:sz w:val="15"/>
          <w:szCs w:val="15"/>
          <w:color w:val="auto"/>
        </w:rPr>
        <w:t>Number of shares beneficially owned is as of December 31, 2015 and is based on a Schedule 13G/A filed by The Vanguard Group on February 10, 2016. The reporting person had sole voting power with respect to 23,819 shares, shared voting power with respect to 1,900 shares, sole dispositive power with respect to 2,067,787 shares, and shared dispositive power with respect to 23,786 shares. The address of the reporting person is 100 Vanguard Boulevard, Malvern, PA 19355.</w:t>
      </w:r>
    </w:p>
    <w:p>
      <w:pPr>
        <w:spacing w:after="0" w:line="4" w:lineRule="exact"/>
        <w:rPr>
          <w:rFonts w:ascii="Arial" w:cs="Arial" w:eastAsia="Arial" w:hAnsi="Arial"/>
          <w:sz w:val="15"/>
          <w:szCs w:val="15"/>
          <w:color w:val="auto"/>
        </w:rPr>
      </w:pPr>
    </w:p>
    <w:p>
      <w:pPr>
        <w:jc w:val="both"/>
        <w:ind w:left="320" w:hanging="318"/>
        <w:spacing w:after="0" w:line="250" w:lineRule="auto"/>
        <w:tabs>
          <w:tab w:leader="none" w:pos="320" w:val="left"/>
        </w:tabs>
        <w:numPr>
          <w:ilvl w:val="0"/>
          <w:numId w:val="29"/>
        </w:numPr>
        <w:rPr>
          <w:rFonts w:ascii="Arial" w:cs="Arial" w:eastAsia="Arial" w:hAnsi="Arial"/>
          <w:sz w:val="16"/>
          <w:szCs w:val="16"/>
          <w:color w:val="auto"/>
        </w:rPr>
      </w:pPr>
      <w:r>
        <w:rPr>
          <w:rFonts w:ascii="Arial" w:cs="Arial" w:eastAsia="Arial" w:hAnsi="Arial"/>
          <w:sz w:val="16"/>
          <w:szCs w:val="16"/>
          <w:color w:val="auto"/>
        </w:rPr>
        <w:t>Number of shares beneficially owned is as of December 31, 2015 and is based on a Schedule 13G filed by Wellington Management Group LLP (“Management Group”), Wellington Group Holdings LLP (“Holdings”), Wellington Investment Advisors Holdings LLP (“IA Holdings”), and Wellington Management Company LLP (“Management Company”) on February 11, 2016. Management Group, Holdings and IA Holdings had sole voting and sole dispositive power with respect to no shares, shared voting power with respect to 2,484,410 shares, and shared dispositive power with respect to 3,058,832 shares. Management Company had sole voting and sole dispositive power with respect to no shares, shared voting power with respect to 2,406,562 shares and shared dispositive power with respect to 2,855,787 shares. Management Group is the parent holding company of certain holding companies. IA Holdings controls directly or indirectly Management Company. IA Holdings is owned by Holdings, and Holdings is owned by Management Group. The address of the reporting persons is c/o Wellington Management Company LLP, 280 Congress Street, Boston, MA 02210.</w:t>
      </w:r>
    </w:p>
    <w:p>
      <w:pPr>
        <w:spacing w:after="0" w:line="33" w:lineRule="exact"/>
        <w:rPr>
          <w:rFonts w:ascii="Arial" w:cs="Arial" w:eastAsia="Arial" w:hAnsi="Arial"/>
          <w:sz w:val="16"/>
          <w:szCs w:val="16"/>
          <w:color w:val="auto"/>
        </w:rPr>
      </w:pPr>
    </w:p>
    <w:p>
      <w:pPr>
        <w:ind w:left="320" w:hanging="318"/>
        <w:spacing w:after="0" w:line="275" w:lineRule="auto"/>
        <w:tabs>
          <w:tab w:leader="none" w:pos="320" w:val="left"/>
        </w:tabs>
        <w:numPr>
          <w:ilvl w:val="0"/>
          <w:numId w:val="29"/>
        </w:numPr>
        <w:rPr>
          <w:rFonts w:ascii="Arial" w:cs="Arial" w:eastAsia="Arial" w:hAnsi="Arial"/>
          <w:sz w:val="16"/>
          <w:szCs w:val="16"/>
          <w:color w:val="auto"/>
        </w:rPr>
      </w:pPr>
      <w:r>
        <w:rPr>
          <w:rFonts w:ascii="Arial" w:cs="Arial" w:eastAsia="Arial" w:hAnsi="Arial"/>
          <w:sz w:val="16"/>
          <w:szCs w:val="16"/>
          <w:color w:val="auto"/>
        </w:rPr>
        <w:t>Includes 249,952 shares issuable upon options exercisable within 60 days of April 1, 2016, as well as 135,876 shares of restricted stock that are subject to vesting restrictions. The number of all current executive officers and directors as a group does not include Brian J. Radecki or Scott L. Yinger.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00"/>
          </w:cols>
          <w:pgMar w:left="260" w:top="373" w:right="239" w:bottom="1440" w:gutter="0" w:footer="0" w:header="0"/>
        </w:sectPr>
      </w:pPr>
    </w:p>
    <w:bookmarkStart w:id="43" w:name="page44"/>
    <w:bookmarkEnd w:id="43"/>
    <w:p>
      <w:pPr>
        <w:ind w:left="20"/>
        <w:spacing w:after="0"/>
        <w:rPr>
          <w:sz w:val="20"/>
          <w:szCs w:val="20"/>
          <w:color w:val="auto"/>
        </w:rPr>
      </w:pPr>
      <w:r>
        <w:rPr>
          <w:rFonts w:ascii="Arial" w:cs="Arial" w:eastAsia="Arial" w:hAnsi="Arial"/>
          <w:sz w:val="20"/>
          <w:szCs w:val="20"/>
          <w:b w:val="1"/>
          <w:bCs w:val="1"/>
          <w:color w:val="auto"/>
        </w:rPr>
        <w:t>EQUITY COMPENSATION PLAN INFORMATION</w:t>
      </w:r>
    </w:p>
    <w:p>
      <w:pPr>
        <w:spacing w:after="0" w:line="224"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following table sets forth information with respect to the Company’s equity compensation plans approved by security holders. The Company does not have any equity compensation plans not approved by security holders. The information in this table is as of April 1,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212330" cy="123507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12330" cy="1235075"/>
                    </a:xfrm>
                    <a:prstGeom prst="rect">
                      <a:avLst/>
                    </a:prstGeom>
                    <a:noFill/>
                  </pic:spPr>
                </pic:pic>
              </a:graphicData>
            </a:graphic>
          </wp:anchor>
        </w:drawing>
      </w:r>
    </w:p>
    <w:p>
      <w:pPr>
        <w:spacing w:after="0" w:line="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320" w:type="dxa"/>
            <w:vAlign w:val="bottom"/>
            <w:shd w:val="clear" w:color="auto" w:fill="B8CCE4"/>
          </w:tcPr>
          <w:p>
            <w:pPr>
              <w:spacing w:after="0"/>
              <w:rPr>
                <w:sz w:val="14"/>
                <w:szCs w:val="14"/>
                <w:color w:val="auto"/>
              </w:rPr>
            </w:pPr>
          </w:p>
        </w:tc>
        <w:tc>
          <w:tcPr>
            <w:tcW w:w="2920" w:type="dxa"/>
            <w:vAlign w:val="bottom"/>
            <w:shd w:val="clear" w:color="auto" w:fill="B8CCE4"/>
          </w:tcPr>
          <w:p>
            <w:pPr>
              <w:spacing w:after="0"/>
              <w:rPr>
                <w:sz w:val="14"/>
                <w:szCs w:val="14"/>
                <w:color w:val="auto"/>
              </w:rPr>
            </w:pPr>
          </w:p>
        </w:tc>
        <w:tc>
          <w:tcPr>
            <w:tcW w:w="2480" w:type="dxa"/>
            <w:vAlign w:val="bottom"/>
            <w:shd w:val="clear" w:color="auto" w:fill="B8CCE4"/>
          </w:tcPr>
          <w:p>
            <w:pPr>
              <w:spacing w:after="0"/>
              <w:rPr>
                <w:sz w:val="14"/>
                <w:szCs w:val="14"/>
                <w:color w:val="auto"/>
              </w:rPr>
            </w:pPr>
          </w:p>
        </w:tc>
        <w:tc>
          <w:tcPr>
            <w:tcW w:w="2640" w:type="dxa"/>
            <w:vAlign w:val="bottom"/>
            <w:shd w:val="clear" w:color="auto" w:fill="B8CCE4"/>
          </w:tcPr>
          <w:p>
            <w:pPr>
              <w:jc w:val="center"/>
              <w:spacing w:after="0"/>
              <w:rPr>
                <w:sz w:val="20"/>
                <w:szCs w:val="20"/>
                <w:color w:val="auto"/>
              </w:rPr>
            </w:pPr>
            <w:r>
              <w:rPr>
                <w:rFonts w:ascii="Arial" w:cs="Arial" w:eastAsia="Arial" w:hAnsi="Arial"/>
                <w:sz w:val="14"/>
                <w:szCs w:val="14"/>
                <w:b w:val="1"/>
                <w:bCs w:val="1"/>
                <w:color w:val="auto"/>
                <w:w w:val="91"/>
              </w:rPr>
              <w:t>Number of securities</w:t>
            </w:r>
          </w:p>
        </w:tc>
        <w:tc>
          <w:tcPr>
            <w:tcW w:w="0" w:type="dxa"/>
            <w:vAlign w:val="bottom"/>
          </w:tcPr>
          <w:p>
            <w:pPr>
              <w:spacing w:after="0"/>
              <w:rPr>
                <w:sz w:val="1"/>
                <w:szCs w:val="1"/>
                <w:color w:val="auto"/>
              </w:rPr>
            </w:pPr>
          </w:p>
        </w:tc>
      </w:tr>
      <w:tr>
        <w:trPr>
          <w:trHeight w:val="149"/>
        </w:trPr>
        <w:tc>
          <w:tcPr>
            <w:tcW w:w="3320" w:type="dxa"/>
            <w:vAlign w:val="bottom"/>
            <w:shd w:val="clear" w:color="auto" w:fill="B8CCE4"/>
          </w:tcPr>
          <w:p>
            <w:pPr>
              <w:spacing w:after="0"/>
              <w:rPr>
                <w:sz w:val="12"/>
                <w:szCs w:val="12"/>
                <w:color w:val="auto"/>
              </w:rPr>
            </w:pPr>
          </w:p>
        </w:tc>
        <w:tc>
          <w:tcPr>
            <w:tcW w:w="2920" w:type="dxa"/>
            <w:vAlign w:val="bottom"/>
            <w:vMerge w:val="restart"/>
            <w:shd w:val="clear" w:color="auto" w:fill="B8CCE4"/>
          </w:tcPr>
          <w:p>
            <w:pPr>
              <w:jc w:val="center"/>
              <w:ind w:left="528"/>
              <w:spacing w:after="0"/>
              <w:rPr>
                <w:sz w:val="20"/>
                <w:szCs w:val="20"/>
                <w:color w:val="auto"/>
              </w:rPr>
            </w:pPr>
            <w:r>
              <w:rPr>
                <w:rFonts w:ascii="Arial" w:cs="Arial" w:eastAsia="Arial" w:hAnsi="Arial"/>
                <w:sz w:val="14"/>
                <w:szCs w:val="14"/>
                <w:b w:val="1"/>
                <w:bCs w:val="1"/>
                <w:color w:val="auto"/>
                <w:w w:val="90"/>
              </w:rPr>
              <w:t>Number of securities to be</w:t>
            </w:r>
          </w:p>
        </w:tc>
        <w:tc>
          <w:tcPr>
            <w:tcW w:w="2480" w:type="dxa"/>
            <w:vAlign w:val="bottom"/>
            <w:shd w:val="clear" w:color="auto" w:fill="B8CCE4"/>
          </w:tcPr>
          <w:p>
            <w:pPr>
              <w:spacing w:after="0"/>
              <w:rPr>
                <w:sz w:val="12"/>
                <w:szCs w:val="12"/>
                <w:color w:val="auto"/>
              </w:rPr>
            </w:pPr>
          </w:p>
        </w:tc>
        <w:tc>
          <w:tcPr>
            <w:tcW w:w="2640" w:type="dxa"/>
            <w:vAlign w:val="bottom"/>
            <w:shd w:val="clear" w:color="auto" w:fill="B8CCE4"/>
          </w:tcPr>
          <w:p>
            <w:pPr>
              <w:jc w:val="center"/>
              <w:spacing w:after="0" w:line="149" w:lineRule="exact"/>
              <w:rPr>
                <w:sz w:val="20"/>
                <w:szCs w:val="20"/>
                <w:color w:val="auto"/>
              </w:rPr>
            </w:pPr>
            <w:r>
              <w:rPr>
                <w:rFonts w:ascii="Arial" w:cs="Arial" w:eastAsia="Arial" w:hAnsi="Arial"/>
                <w:sz w:val="14"/>
                <w:szCs w:val="14"/>
                <w:b w:val="1"/>
                <w:bCs w:val="1"/>
                <w:color w:val="auto"/>
                <w:w w:val="94"/>
              </w:rPr>
              <w:t>remaining available for future</w:t>
            </w:r>
          </w:p>
        </w:tc>
        <w:tc>
          <w:tcPr>
            <w:tcW w:w="0" w:type="dxa"/>
            <w:vAlign w:val="bottom"/>
          </w:tcPr>
          <w:p>
            <w:pPr>
              <w:spacing w:after="0"/>
              <w:rPr>
                <w:sz w:val="1"/>
                <w:szCs w:val="1"/>
                <w:color w:val="auto"/>
              </w:rPr>
            </w:pPr>
          </w:p>
        </w:tc>
      </w:tr>
      <w:tr>
        <w:trPr>
          <w:trHeight w:val="149"/>
        </w:trPr>
        <w:tc>
          <w:tcPr>
            <w:tcW w:w="3320" w:type="dxa"/>
            <w:vAlign w:val="bottom"/>
            <w:shd w:val="clear" w:color="auto" w:fill="B8CCE4"/>
          </w:tcPr>
          <w:p>
            <w:pPr>
              <w:spacing w:after="0"/>
              <w:rPr>
                <w:sz w:val="12"/>
                <w:szCs w:val="12"/>
                <w:color w:val="auto"/>
              </w:rPr>
            </w:pPr>
          </w:p>
        </w:tc>
        <w:tc>
          <w:tcPr>
            <w:tcW w:w="2920" w:type="dxa"/>
            <w:vAlign w:val="bottom"/>
            <w:vMerge w:val="continue"/>
            <w:shd w:val="clear" w:color="auto" w:fill="B8CCE4"/>
          </w:tcPr>
          <w:p>
            <w:pPr>
              <w:spacing w:after="0"/>
              <w:rPr>
                <w:sz w:val="12"/>
                <w:szCs w:val="12"/>
                <w:color w:val="auto"/>
              </w:rPr>
            </w:pPr>
          </w:p>
        </w:tc>
        <w:tc>
          <w:tcPr>
            <w:tcW w:w="2480" w:type="dxa"/>
            <w:vAlign w:val="bottom"/>
            <w:vMerge w:val="restart"/>
            <w:shd w:val="clear" w:color="auto" w:fill="B8CCE4"/>
          </w:tcPr>
          <w:p>
            <w:pPr>
              <w:jc w:val="center"/>
              <w:spacing w:after="0"/>
              <w:rPr>
                <w:sz w:val="20"/>
                <w:szCs w:val="20"/>
                <w:color w:val="auto"/>
              </w:rPr>
            </w:pPr>
            <w:r>
              <w:rPr>
                <w:rFonts w:ascii="Arial" w:cs="Arial" w:eastAsia="Arial" w:hAnsi="Arial"/>
                <w:sz w:val="14"/>
                <w:szCs w:val="14"/>
                <w:b w:val="1"/>
                <w:bCs w:val="1"/>
                <w:color w:val="auto"/>
                <w:w w:val="89"/>
              </w:rPr>
              <w:t>Weighted-average exercise</w:t>
            </w:r>
          </w:p>
        </w:tc>
        <w:tc>
          <w:tcPr>
            <w:tcW w:w="2640" w:type="dxa"/>
            <w:vAlign w:val="bottom"/>
            <w:shd w:val="clear" w:color="auto" w:fill="B8CCE4"/>
          </w:tcPr>
          <w:p>
            <w:pPr>
              <w:jc w:val="center"/>
              <w:spacing w:after="0" w:line="149" w:lineRule="exact"/>
              <w:rPr>
                <w:sz w:val="20"/>
                <w:szCs w:val="20"/>
                <w:color w:val="auto"/>
              </w:rPr>
            </w:pPr>
            <w:r>
              <w:rPr>
                <w:rFonts w:ascii="Arial" w:cs="Arial" w:eastAsia="Arial" w:hAnsi="Arial"/>
                <w:sz w:val="14"/>
                <w:szCs w:val="14"/>
                <w:b w:val="1"/>
                <w:bCs w:val="1"/>
                <w:color w:val="auto"/>
                <w:w w:val="90"/>
              </w:rPr>
              <w:t>issuance under equity</w:t>
            </w:r>
          </w:p>
        </w:tc>
        <w:tc>
          <w:tcPr>
            <w:tcW w:w="0" w:type="dxa"/>
            <w:vAlign w:val="bottom"/>
          </w:tcPr>
          <w:p>
            <w:pPr>
              <w:spacing w:after="0"/>
              <w:rPr>
                <w:sz w:val="1"/>
                <w:szCs w:val="1"/>
                <w:color w:val="auto"/>
              </w:rPr>
            </w:pPr>
          </w:p>
        </w:tc>
      </w:tr>
      <w:tr>
        <w:trPr>
          <w:trHeight w:val="149"/>
        </w:trPr>
        <w:tc>
          <w:tcPr>
            <w:tcW w:w="3320" w:type="dxa"/>
            <w:vAlign w:val="bottom"/>
            <w:shd w:val="clear" w:color="auto" w:fill="B8CCE4"/>
          </w:tcPr>
          <w:p>
            <w:pPr>
              <w:spacing w:after="0"/>
              <w:rPr>
                <w:sz w:val="12"/>
                <w:szCs w:val="12"/>
                <w:color w:val="auto"/>
              </w:rPr>
            </w:pPr>
          </w:p>
        </w:tc>
        <w:tc>
          <w:tcPr>
            <w:tcW w:w="2920" w:type="dxa"/>
            <w:vAlign w:val="bottom"/>
            <w:shd w:val="clear" w:color="auto" w:fill="B8CCE4"/>
          </w:tcPr>
          <w:p>
            <w:pPr>
              <w:jc w:val="center"/>
              <w:ind w:left="528"/>
              <w:spacing w:after="0" w:line="149" w:lineRule="exact"/>
              <w:rPr>
                <w:sz w:val="20"/>
                <w:szCs w:val="20"/>
                <w:color w:val="auto"/>
              </w:rPr>
            </w:pPr>
            <w:r>
              <w:rPr>
                <w:rFonts w:ascii="Arial" w:cs="Arial" w:eastAsia="Arial" w:hAnsi="Arial"/>
                <w:sz w:val="14"/>
                <w:szCs w:val="14"/>
                <w:b w:val="1"/>
                <w:bCs w:val="1"/>
                <w:color w:val="auto"/>
                <w:w w:val="87"/>
              </w:rPr>
              <w:t>issued upon exercise of</w:t>
            </w:r>
          </w:p>
        </w:tc>
        <w:tc>
          <w:tcPr>
            <w:tcW w:w="2480" w:type="dxa"/>
            <w:vAlign w:val="bottom"/>
            <w:vMerge w:val="continue"/>
            <w:shd w:val="clear" w:color="auto" w:fill="B8CCE4"/>
          </w:tcPr>
          <w:p>
            <w:pPr>
              <w:spacing w:after="0"/>
              <w:rPr>
                <w:sz w:val="12"/>
                <w:szCs w:val="12"/>
                <w:color w:val="auto"/>
              </w:rPr>
            </w:pPr>
          </w:p>
        </w:tc>
        <w:tc>
          <w:tcPr>
            <w:tcW w:w="2640" w:type="dxa"/>
            <w:vAlign w:val="bottom"/>
            <w:shd w:val="clear" w:color="auto" w:fill="B8CCE4"/>
          </w:tcPr>
          <w:p>
            <w:pPr>
              <w:jc w:val="center"/>
              <w:spacing w:after="0" w:line="149" w:lineRule="exact"/>
              <w:rPr>
                <w:sz w:val="20"/>
                <w:szCs w:val="20"/>
                <w:color w:val="auto"/>
              </w:rPr>
            </w:pPr>
            <w:r>
              <w:rPr>
                <w:rFonts w:ascii="Arial" w:cs="Arial" w:eastAsia="Arial" w:hAnsi="Arial"/>
                <w:sz w:val="14"/>
                <w:szCs w:val="14"/>
                <w:b w:val="1"/>
                <w:bCs w:val="1"/>
                <w:color w:val="auto"/>
                <w:w w:val="90"/>
              </w:rPr>
              <w:t>compensation plans</w:t>
            </w:r>
          </w:p>
        </w:tc>
        <w:tc>
          <w:tcPr>
            <w:tcW w:w="0" w:type="dxa"/>
            <w:vAlign w:val="bottom"/>
          </w:tcPr>
          <w:p>
            <w:pPr>
              <w:spacing w:after="0"/>
              <w:rPr>
                <w:sz w:val="1"/>
                <w:szCs w:val="1"/>
                <w:color w:val="auto"/>
              </w:rPr>
            </w:pPr>
          </w:p>
        </w:tc>
      </w:tr>
      <w:tr>
        <w:trPr>
          <w:trHeight w:val="149"/>
        </w:trPr>
        <w:tc>
          <w:tcPr>
            <w:tcW w:w="3320" w:type="dxa"/>
            <w:vAlign w:val="bottom"/>
            <w:vMerge w:val="restart"/>
            <w:shd w:val="clear" w:color="auto" w:fill="B8CCE4"/>
          </w:tcPr>
          <w:p>
            <w:pPr>
              <w:ind w:left="1500"/>
              <w:spacing w:after="0"/>
              <w:rPr>
                <w:sz w:val="20"/>
                <w:szCs w:val="20"/>
                <w:color w:val="auto"/>
              </w:rPr>
            </w:pPr>
            <w:r>
              <w:rPr>
                <w:rFonts w:ascii="Arial" w:cs="Arial" w:eastAsia="Arial" w:hAnsi="Arial"/>
                <w:sz w:val="14"/>
                <w:szCs w:val="14"/>
                <w:b w:val="1"/>
                <w:bCs w:val="1"/>
                <w:color w:val="auto"/>
              </w:rPr>
              <w:t>Plan Category</w:t>
            </w:r>
          </w:p>
        </w:tc>
        <w:tc>
          <w:tcPr>
            <w:tcW w:w="2920" w:type="dxa"/>
            <w:vAlign w:val="bottom"/>
            <w:shd w:val="clear" w:color="auto" w:fill="B8CCE4"/>
          </w:tcPr>
          <w:p>
            <w:pPr>
              <w:jc w:val="center"/>
              <w:ind w:left="528"/>
              <w:spacing w:after="0" w:line="149" w:lineRule="exact"/>
              <w:rPr>
                <w:sz w:val="20"/>
                <w:szCs w:val="20"/>
                <w:color w:val="auto"/>
              </w:rPr>
            </w:pPr>
            <w:r>
              <w:rPr>
                <w:rFonts w:ascii="Arial" w:cs="Arial" w:eastAsia="Arial" w:hAnsi="Arial"/>
                <w:sz w:val="14"/>
                <w:szCs w:val="14"/>
                <w:b w:val="1"/>
                <w:bCs w:val="1"/>
                <w:color w:val="auto"/>
                <w:w w:val="89"/>
              </w:rPr>
              <w:t>outstanding options,</w:t>
            </w:r>
          </w:p>
        </w:tc>
        <w:tc>
          <w:tcPr>
            <w:tcW w:w="2480" w:type="dxa"/>
            <w:vAlign w:val="bottom"/>
            <w:shd w:val="clear" w:color="auto" w:fill="B8CCE4"/>
          </w:tcPr>
          <w:p>
            <w:pPr>
              <w:jc w:val="center"/>
              <w:spacing w:after="0" w:line="149" w:lineRule="exact"/>
              <w:rPr>
                <w:sz w:val="20"/>
                <w:szCs w:val="20"/>
                <w:color w:val="auto"/>
              </w:rPr>
            </w:pPr>
            <w:r>
              <w:rPr>
                <w:rFonts w:ascii="Arial" w:cs="Arial" w:eastAsia="Arial" w:hAnsi="Arial"/>
                <w:sz w:val="14"/>
                <w:szCs w:val="14"/>
                <w:b w:val="1"/>
                <w:bCs w:val="1"/>
                <w:color w:val="auto"/>
                <w:w w:val="90"/>
              </w:rPr>
              <w:t>price of outstanding options,</w:t>
            </w:r>
          </w:p>
        </w:tc>
        <w:tc>
          <w:tcPr>
            <w:tcW w:w="2640" w:type="dxa"/>
            <w:vAlign w:val="bottom"/>
            <w:shd w:val="clear" w:color="auto" w:fill="B8CCE4"/>
          </w:tcPr>
          <w:p>
            <w:pPr>
              <w:jc w:val="center"/>
              <w:spacing w:after="0" w:line="149" w:lineRule="exact"/>
              <w:rPr>
                <w:sz w:val="20"/>
                <w:szCs w:val="20"/>
                <w:color w:val="auto"/>
              </w:rPr>
            </w:pPr>
            <w:r>
              <w:rPr>
                <w:rFonts w:ascii="Arial" w:cs="Arial" w:eastAsia="Arial" w:hAnsi="Arial"/>
                <w:sz w:val="14"/>
                <w:szCs w:val="14"/>
                <w:b w:val="1"/>
                <w:bCs w:val="1"/>
                <w:color w:val="auto"/>
                <w:w w:val="90"/>
              </w:rPr>
              <w:t>(excluding securities reflected</w:t>
            </w:r>
          </w:p>
        </w:tc>
        <w:tc>
          <w:tcPr>
            <w:tcW w:w="0" w:type="dxa"/>
            <w:vAlign w:val="bottom"/>
          </w:tcPr>
          <w:p>
            <w:pPr>
              <w:spacing w:after="0"/>
              <w:rPr>
                <w:sz w:val="1"/>
                <w:szCs w:val="1"/>
                <w:color w:val="auto"/>
              </w:rPr>
            </w:pPr>
          </w:p>
        </w:tc>
      </w:tr>
      <w:tr>
        <w:trPr>
          <w:trHeight w:val="198"/>
        </w:trPr>
        <w:tc>
          <w:tcPr>
            <w:tcW w:w="3320" w:type="dxa"/>
            <w:vAlign w:val="bottom"/>
            <w:vMerge w:val="continue"/>
            <w:shd w:val="clear" w:color="auto" w:fill="B8CCE4"/>
          </w:tcPr>
          <w:p>
            <w:pPr>
              <w:spacing w:after="0"/>
              <w:rPr>
                <w:sz w:val="17"/>
                <w:szCs w:val="17"/>
                <w:color w:val="auto"/>
              </w:rPr>
            </w:pPr>
          </w:p>
        </w:tc>
        <w:tc>
          <w:tcPr>
            <w:tcW w:w="2920" w:type="dxa"/>
            <w:vAlign w:val="bottom"/>
            <w:shd w:val="clear" w:color="auto" w:fill="B8CCE4"/>
          </w:tcPr>
          <w:p>
            <w:pPr>
              <w:jc w:val="center"/>
              <w:ind w:left="508"/>
              <w:spacing w:after="0"/>
              <w:rPr>
                <w:sz w:val="20"/>
                <w:szCs w:val="20"/>
                <w:color w:val="auto"/>
              </w:rPr>
            </w:pPr>
            <w:r>
              <w:rPr>
                <w:rFonts w:ascii="Arial" w:cs="Arial" w:eastAsia="Arial" w:hAnsi="Arial"/>
                <w:sz w:val="14"/>
                <w:szCs w:val="14"/>
                <w:b w:val="1"/>
                <w:bCs w:val="1"/>
                <w:color w:val="auto"/>
                <w:w w:val="94"/>
              </w:rPr>
              <w:t>warrants, and rights</w:t>
            </w:r>
          </w:p>
        </w:tc>
        <w:tc>
          <w:tcPr>
            <w:tcW w:w="2480" w:type="dxa"/>
            <w:vAlign w:val="bottom"/>
            <w:shd w:val="clear" w:color="auto" w:fill="B8CCE4"/>
          </w:tcPr>
          <w:p>
            <w:pPr>
              <w:jc w:val="center"/>
              <w:spacing w:after="0"/>
              <w:rPr>
                <w:sz w:val="20"/>
                <w:szCs w:val="20"/>
                <w:color w:val="auto"/>
              </w:rPr>
            </w:pPr>
            <w:r>
              <w:rPr>
                <w:rFonts w:ascii="Arial" w:cs="Arial" w:eastAsia="Arial" w:hAnsi="Arial"/>
                <w:sz w:val="14"/>
                <w:szCs w:val="14"/>
                <w:b w:val="1"/>
                <w:bCs w:val="1"/>
                <w:color w:val="auto"/>
                <w:w w:val="94"/>
              </w:rPr>
              <w:t>warrants, and rights</w:t>
            </w:r>
          </w:p>
        </w:tc>
        <w:tc>
          <w:tcPr>
            <w:tcW w:w="2640" w:type="dxa"/>
            <w:vAlign w:val="bottom"/>
            <w:shd w:val="clear" w:color="auto" w:fill="B8CCE4"/>
          </w:tcPr>
          <w:p>
            <w:pPr>
              <w:jc w:val="center"/>
              <w:spacing w:after="0"/>
              <w:rPr>
                <w:sz w:val="20"/>
                <w:szCs w:val="20"/>
                <w:color w:val="auto"/>
              </w:rPr>
            </w:pPr>
            <w:r>
              <w:rPr>
                <w:rFonts w:ascii="Arial" w:cs="Arial" w:eastAsia="Arial" w:hAnsi="Arial"/>
                <w:sz w:val="14"/>
                <w:szCs w:val="14"/>
                <w:b w:val="1"/>
                <w:bCs w:val="1"/>
                <w:color w:val="auto"/>
                <w:w w:val="93"/>
              </w:rPr>
              <w:t>in the first column)</w:t>
            </w:r>
          </w:p>
        </w:tc>
        <w:tc>
          <w:tcPr>
            <w:tcW w:w="0" w:type="dxa"/>
            <w:vAlign w:val="bottom"/>
          </w:tcPr>
          <w:p>
            <w:pPr>
              <w:spacing w:after="0"/>
              <w:rPr>
                <w:sz w:val="1"/>
                <w:szCs w:val="1"/>
                <w:color w:val="auto"/>
              </w:rPr>
            </w:pPr>
          </w:p>
        </w:tc>
      </w:tr>
    </w:tbl>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20" w:type="dxa"/>
            <w:vAlign w:val="bottom"/>
          </w:tcPr>
          <w:p>
            <w:pPr>
              <w:spacing w:after="0"/>
              <w:rPr>
                <w:sz w:val="18"/>
                <w:szCs w:val="18"/>
                <w:color w:val="auto"/>
              </w:rPr>
            </w:pPr>
          </w:p>
        </w:tc>
        <w:tc>
          <w:tcPr>
            <w:tcW w:w="3860" w:type="dxa"/>
            <w:vAlign w:val="bottom"/>
            <w:shd w:val="clear" w:color="auto" w:fill="DBE5F1"/>
          </w:tcPr>
          <w:p>
            <w:pPr>
              <w:ind w:left="20"/>
              <w:spacing w:after="0"/>
              <w:rPr>
                <w:sz w:val="20"/>
                <w:szCs w:val="20"/>
                <w:color w:val="auto"/>
              </w:rPr>
            </w:pPr>
            <w:r>
              <w:rPr>
                <w:rFonts w:ascii="Arial" w:cs="Arial" w:eastAsia="Arial" w:hAnsi="Arial"/>
                <w:sz w:val="18"/>
                <w:szCs w:val="18"/>
                <w:b w:val="1"/>
                <w:bCs w:val="1"/>
                <w:color w:val="auto"/>
                <w:w w:val="90"/>
              </w:rPr>
              <w:t>Equity compensation plans approved by security</w:t>
            </w:r>
          </w:p>
        </w:tc>
        <w:tc>
          <w:tcPr>
            <w:tcW w:w="3100" w:type="dxa"/>
            <w:vAlign w:val="bottom"/>
            <w:shd w:val="clear" w:color="auto" w:fill="DBE5F1"/>
          </w:tcPr>
          <w:p>
            <w:pPr>
              <w:spacing w:after="0"/>
              <w:rPr>
                <w:sz w:val="18"/>
                <w:szCs w:val="18"/>
                <w:color w:val="auto"/>
              </w:rPr>
            </w:pPr>
          </w:p>
        </w:tc>
        <w:tc>
          <w:tcPr>
            <w:tcW w:w="2560" w:type="dxa"/>
            <w:vAlign w:val="bottom"/>
            <w:shd w:val="clear" w:color="auto" w:fill="DBE5F1"/>
          </w:tcPr>
          <w:p>
            <w:pPr>
              <w:spacing w:after="0"/>
              <w:rPr>
                <w:sz w:val="18"/>
                <w:szCs w:val="18"/>
                <w:color w:val="auto"/>
              </w:rPr>
            </w:pPr>
          </w:p>
        </w:tc>
        <w:tc>
          <w:tcPr>
            <w:tcW w:w="1820" w:type="dxa"/>
            <w:vAlign w:val="bottom"/>
            <w:shd w:val="clear" w:color="auto" w:fill="DBE5F1"/>
          </w:tcPr>
          <w:p>
            <w:pPr>
              <w:spacing w:after="0"/>
              <w:rPr>
                <w:sz w:val="18"/>
                <w:szCs w:val="18"/>
                <w:color w:val="auto"/>
              </w:rPr>
            </w:pPr>
          </w:p>
        </w:tc>
        <w:tc>
          <w:tcPr>
            <w:tcW w:w="0" w:type="dxa"/>
            <w:vAlign w:val="bottom"/>
          </w:tcPr>
          <w:p>
            <w:pPr>
              <w:spacing w:after="0"/>
              <w:rPr>
                <w:sz w:val="1"/>
                <w:szCs w:val="1"/>
                <w:color w:val="auto"/>
              </w:rPr>
            </w:pPr>
          </w:p>
        </w:tc>
      </w:tr>
      <w:tr>
        <w:trPr>
          <w:trHeight w:val="261"/>
        </w:trPr>
        <w:tc>
          <w:tcPr>
            <w:tcW w:w="20" w:type="dxa"/>
            <w:vAlign w:val="bottom"/>
          </w:tcPr>
          <w:p>
            <w:pPr>
              <w:spacing w:after="0"/>
              <w:rPr>
                <w:sz w:val="22"/>
                <w:szCs w:val="22"/>
                <w:color w:val="auto"/>
              </w:rPr>
            </w:pPr>
          </w:p>
        </w:tc>
        <w:tc>
          <w:tcPr>
            <w:tcW w:w="3860" w:type="dxa"/>
            <w:vAlign w:val="bottom"/>
            <w:shd w:val="clear" w:color="auto" w:fill="DBE5F1"/>
          </w:tcPr>
          <w:p>
            <w:pPr>
              <w:ind w:left="20"/>
              <w:spacing w:after="0" w:line="262" w:lineRule="exact"/>
              <w:rPr>
                <w:sz w:val="20"/>
                <w:szCs w:val="20"/>
                <w:color w:val="auto"/>
              </w:rPr>
            </w:pPr>
            <w:r>
              <w:rPr>
                <w:rFonts w:ascii="Arial" w:cs="Arial" w:eastAsia="Arial" w:hAnsi="Arial"/>
                <w:sz w:val="18"/>
                <w:szCs w:val="18"/>
                <w:b w:val="1"/>
                <w:bCs w:val="1"/>
                <w:color w:val="auto"/>
              </w:rPr>
              <w:t>holders</w:t>
            </w:r>
            <w:r>
              <w:rPr>
                <w:rFonts w:ascii="Arial" w:cs="Arial" w:eastAsia="Arial" w:hAnsi="Arial"/>
                <w:sz w:val="25"/>
                <w:szCs w:val="25"/>
                <w:b w:val="1"/>
                <w:bCs w:val="1"/>
                <w:color w:val="auto"/>
                <w:vertAlign w:val="superscript"/>
              </w:rPr>
              <w:t>(1)</w:t>
            </w:r>
          </w:p>
        </w:tc>
        <w:tc>
          <w:tcPr>
            <w:tcW w:w="3100" w:type="dxa"/>
            <w:vAlign w:val="bottom"/>
            <w:shd w:val="clear" w:color="auto" w:fill="DBE5F1"/>
          </w:tcPr>
          <w:p>
            <w:pPr>
              <w:jc w:val="right"/>
              <w:ind w:right="739"/>
              <w:spacing w:after="0" w:line="262" w:lineRule="exact"/>
              <w:rPr>
                <w:sz w:val="20"/>
                <w:szCs w:val="20"/>
                <w:color w:val="auto"/>
              </w:rPr>
            </w:pPr>
            <w:r>
              <w:rPr>
                <w:rFonts w:ascii="Arial" w:cs="Arial" w:eastAsia="Arial" w:hAnsi="Arial"/>
                <w:sz w:val="18"/>
                <w:szCs w:val="18"/>
                <w:color w:val="auto"/>
              </w:rPr>
              <w:t>465,250</w:t>
            </w:r>
            <w:r>
              <w:rPr>
                <w:rFonts w:ascii="Arial" w:cs="Arial" w:eastAsia="Arial" w:hAnsi="Arial"/>
                <w:sz w:val="25"/>
                <w:szCs w:val="25"/>
                <w:color w:val="auto"/>
                <w:vertAlign w:val="superscript"/>
              </w:rPr>
              <w:t>(2)</w:t>
            </w:r>
          </w:p>
        </w:tc>
        <w:tc>
          <w:tcPr>
            <w:tcW w:w="2560" w:type="dxa"/>
            <w:vAlign w:val="bottom"/>
            <w:shd w:val="clear" w:color="auto" w:fill="DBE5F1"/>
          </w:tcPr>
          <w:p>
            <w:pPr>
              <w:jc w:val="right"/>
              <w:ind w:right="919"/>
              <w:spacing w:after="0" w:line="262" w:lineRule="exact"/>
              <w:rPr>
                <w:sz w:val="20"/>
                <w:szCs w:val="20"/>
                <w:color w:val="auto"/>
              </w:rPr>
            </w:pPr>
            <w:r>
              <w:rPr>
                <w:rFonts w:ascii="Arial" w:cs="Arial" w:eastAsia="Arial" w:hAnsi="Arial"/>
                <w:sz w:val="18"/>
                <w:szCs w:val="18"/>
                <w:color w:val="auto"/>
              </w:rPr>
              <w:t>$131.15</w:t>
            </w:r>
            <w:r>
              <w:rPr>
                <w:rFonts w:ascii="Arial" w:cs="Arial" w:eastAsia="Arial" w:hAnsi="Arial"/>
                <w:sz w:val="25"/>
                <w:szCs w:val="25"/>
                <w:color w:val="auto"/>
                <w:vertAlign w:val="superscript"/>
              </w:rPr>
              <w:t>(3)</w:t>
            </w:r>
          </w:p>
        </w:tc>
        <w:tc>
          <w:tcPr>
            <w:tcW w:w="1820" w:type="dxa"/>
            <w:vAlign w:val="bottom"/>
            <w:shd w:val="clear" w:color="auto" w:fill="DBE5F1"/>
          </w:tcPr>
          <w:p>
            <w:pPr>
              <w:jc w:val="right"/>
              <w:ind w:right="19"/>
              <w:spacing w:after="0" w:line="262" w:lineRule="exact"/>
              <w:rPr>
                <w:sz w:val="20"/>
                <w:szCs w:val="20"/>
                <w:color w:val="auto"/>
              </w:rPr>
            </w:pPr>
            <w:r>
              <w:rPr>
                <w:rFonts w:ascii="Arial" w:cs="Arial" w:eastAsia="Arial" w:hAnsi="Arial"/>
                <w:sz w:val="18"/>
                <w:szCs w:val="18"/>
                <w:color w:val="auto"/>
              </w:rPr>
              <w:t>955,656</w:t>
            </w:r>
            <w:r>
              <w:rPr>
                <w:rFonts w:ascii="Arial" w:cs="Arial" w:eastAsia="Arial" w:hAnsi="Arial"/>
                <w:sz w:val="25"/>
                <w:szCs w:val="25"/>
                <w:color w:val="auto"/>
                <w:vertAlign w:val="superscript"/>
              </w:rPr>
              <w:t>(4)</w:t>
            </w: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3860" w:type="dxa"/>
            <w:vAlign w:val="bottom"/>
            <w:shd w:val="clear" w:color="auto" w:fill="DBE5F1"/>
          </w:tcPr>
          <w:p>
            <w:pPr>
              <w:ind w:left="20"/>
              <w:spacing w:after="0"/>
              <w:rPr>
                <w:sz w:val="20"/>
                <w:szCs w:val="20"/>
                <w:color w:val="auto"/>
              </w:rPr>
            </w:pPr>
            <w:r>
              <w:rPr>
                <w:rFonts w:ascii="Arial" w:cs="Arial" w:eastAsia="Arial" w:hAnsi="Arial"/>
                <w:sz w:val="18"/>
                <w:szCs w:val="18"/>
                <w:b w:val="1"/>
                <w:bCs w:val="1"/>
                <w:color w:val="auto"/>
              </w:rPr>
              <w:t>Equity compensation plans not approved by</w:t>
            </w:r>
          </w:p>
        </w:tc>
        <w:tc>
          <w:tcPr>
            <w:tcW w:w="3100" w:type="dxa"/>
            <w:vAlign w:val="bottom"/>
            <w:vMerge w:val="restart"/>
            <w:shd w:val="clear" w:color="auto" w:fill="DBE5F1"/>
          </w:tcPr>
          <w:p>
            <w:pPr>
              <w:jc w:val="right"/>
              <w:ind w:right="739"/>
              <w:spacing w:after="0"/>
              <w:rPr>
                <w:sz w:val="20"/>
                <w:szCs w:val="20"/>
                <w:color w:val="auto"/>
              </w:rPr>
            </w:pPr>
            <w:r>
              <w:rPr>
                <w:rFonts w:ascii="Arial" w:cs="Arial" w:eastAsia="Arial" w:hAnsi="Arial"/>
                <w:sz w:val="14"/>
                <w:szCs w:val="14"/>
                <w:color w:val="auto"/>
              </w:rPr>
              <w:t>—</w:t>
            </w:r>
          </w:p>
        </w:tc>
        <w:tc>
          <w:tcPr>
            <w:tcW w:w="2560" w:type="dxa"/>
            <w:vAlign w:val="bottom"/>
            <w:vMerge w:val="restart"/>
            <w:shd w:val="clear" w:color="auto" w:fill="DBE5F1"/>
          </w:tcPr>
          <w:p>
            <w:pPr>
              <w:jc w:val="right"/>
              <w:ind w:right="919"/>
              <w:spacing w:after="0"/>
              <w:rPr>
                <w:sz w:val="20"/>
                <w:szCs w:val="20"/>
                <w:color w:val="auto"/>
              </w:rPr>
            </w:pPr>
            <w:r>
              <w:rPr>
                <w:rFonts w:ascii="Arial" w:cs="Arial" w:eastAsia="Arial" w:hAnsi="Arial"/>
                <w:sz w:val="14"/>
                <w:szCs w:val="14"/>
                <w:color w:val="auto"/>
              </w:rPr>
              <w:t>—</w:t>
            </w:r>
          </w:p>
        </w:tc>
        <w:tc>
          <w:tcPr>
            <w:tcW w:w="1820" w:type="dxa"/>
            <w:vAlign w:val="bottom"/>
            <w:vMerge w:val="restart"/>
            <w:shd w:val="clear" w:color="auto" w:fill="DBE5F1"/>
          </w:tcPr>
          <w:p>
            <w:pPr>
              <w:jc w:val="right"/>
              <w:ind w:right="1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3860" w:type="dxa"/>
            <w:vAlign w:val="bottom"/>
            <w:vMerge w:val="restart"/>
            <w:shd w:val="clear" w:color="auto" w:fill="DBE5F1"/>
          </w:tcPr>
          <w:p>
            <w:pPr>
              <w:ind w:left="20"/>
              <w:spacing w:after="0"/>
              <w:rPr>
                <w:sz w:val="20"/>
                <w:szCs w:val="20"/>
                <w:color w:val="auto"/>
              </w:rPr>
            </w:pPr>
            <w:r>
              <w:rPr>
                <w:rFonts w:ascii="Arial" w:cs="Arial" w:eastAsia="Arial" w:hAnsi="Arial"/>
                <w:sz w:val="18"/>
                <w:szCs w:val="18"/>
                <w:b w:val="1"/>
                <w:bCs w:val="1"/>
                <w:color w:val="auto"/>
              </w:rPr>
              <w:t>security holders</w:t>
            </w:r>
          </w:p>
        </w:tc>
        <w:tc>
          <w:tcPr>
            <w:tcW w:w="3100" w:type="dxa"/>
            <w:vAlign w:val="bottom"/>
            <w:vMerge w:val="continue"/>
            <w:shd w:val="clear" w:color="auto" w:fill="DBE5F1"/>
          </w:tcPr>
          <w:p>
            <w:pPr>
              <w:spacing w:after="0"/>
              <w:rPr>
                <w:sz w:val="8"/>
                <w:szCs w:val="8"/>
                <w:color w:val="auto"/>
              </w:rPr>
            </w:pPr>
          </w:p>
        </w:tc>
        <w:tc>
          <w:tcPr>
            <w:tcW w:w="2560" w:type="dxa"/>
            <w:vAlign w:val="bottom"/>
            <w:vMerge w:val="continue"/>
            <w:shd w:val="clear" w:color="auto" w:fill="DBE5F1"/>
          </w:tcPr>
          <w:p>
            <w:pPr>
              <w:spacing w:after="0"/>
              <w:rPr>
                <w:sz w:val="8"/>
                <w:szCs w:val="8"/>
                <w:color w:val="auto"/>
              </w:rPr>
            </w:pPr>
          </w:p>
        </w:tc>
        <w:tc>
          <w:tcPr>
            <w:tcW w:w="1820" w:type="dxa"/>
            <w:vAlign w:val="bottom"/>
            <w:vMerge w:val="continue"/>
            <w:shd w:val="clear" w:color="auto" w:fill="DBE5F1"/>
          </w:tcPr>
          <w:p>
            <w:pPr>
              <w:spacing w:after="0"/>
              <w:rPr>
                <w:sz w:val="8"/>
                <w:szCs w:val="8"/>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3860" w:type="dxa"/>
            <w:vAlign w:val="bottom"/>
            <w:tcBorders>
              <w:bottom w:val="single" w:sz="8" w:color="DBE5F1"/>
            </w:tcBorders>
            <w:vMerge w:val="continue"/>
            <w:shd w:val="clear" w:color="auto" w:fill="DBE5F1"/>
          </w:tcPr>
          <w:p>
            <w:pPr>
              <w:spacing w:after="0"/>
              <w:rPr>
                <w:sz w:val="12"/>
                <w:szCs w:val="12"/>
                <w:color w:val="auto"/>
              </w:rPr>
            </w:pPr>
          </w:p>
        </w:tc>
        <w:tc>
          <w:tcPr>
            <w:tcW w:w="3100" w:type="dxa"/>
            <w:vAlign w:val="bottom"/>
            <w:tcBorders>
              <w:bottom w:val="single" w:sz="8" w:color="DBE5F1"/>
            </w:tcBorders>
            <w:shd w:val="clear" w:color="auto" w:fill="DBE5F1"/>
          </w:tcPr>
          <w:p>
            <w:pPr>
              <w:spacing w:after="0"/>
              <w:rPr>
                <w:sz w:val="12"/>
                <w:szCs w:val="12"/>
                <w:color w:val="auto"/>
              </w:rPr>
            </w:pPr>
          </w:p>
        </w:tc>
        <w:tc>
          <w:tcPr>
            <w:tcW w:w="2560" w:type="dxa"/>
            <w:vAlign w:val="bottom"/>
            <w:tcBorders>
              <w:bottom w:val="single" w:sz="8" w:color="DBE5F1"/>
            </w:tcBorders>
            <w:shd w:val="clear" w:color="auto" w:fill="DBE5F1"/>
          </w:tcPr>
          <w:p>
            <w:pPr>
              <w:spacing w:after="0"/>
              <w:rPr>
                <w:sz w:val="12"/>
                <w:szCs w:val="12"/>
                <w:color w:val="auto"/>
              </w:rPr>
            </w:pPr>
          </w:p>
        </w:tc>
        <w:tc>
          <w:tcPr>
            <w:tcW w:w="1820" w:type="dxa"/>
            <w:vAlign w:val="bottom"/>
            <w:tcBorders>
              <w:bottom w:val="single" w:sz="8" w:color="DBE5F1"/>
            </w:tcBorders>
            <w:shd w:val="clear" w:color="auto" w:fill="DBE5F1"/>
          </w:tcPr>
          <w:p>
            <w:pPr>
              <w:spacing w:after="0"/>
              <w:rPr>
                <w:sz w:val="12"/>
                <w:szCs w:val="12"/>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860" w:type="dxa"/>
            <w:vAlign w:val="bottom"/>
          </w:tcPr>
          <w:p>
            <w:pPr>
              <w:spacing w:after="0"/>
              <w:rPr>
                <w:sz w:val="20"/>
                <w:szCs w:val="20"/>
                <w:color w:val="auto"/>
              </w:rPr>
            </w:pPr>
            <w:r>
              <w:rPr>
                <w:rFonts w:ascii="Arial" w:cs="Arial" w:eastAsia="Arial" w:hAnsi="Arial"/>
                <w:sz w:val="18"/>
                <w:szCs w:val="18"/>
                <w:color w:val="auto"/>
              </w:rPr>
              <w:t>__________</w:t>
            </w:r>
          </w:p>
        </w:tc>
        <w:tc>
          <w:tcPr>
            <w:tcW w:w="3100" w:type="dxa"/>
            <w:vAlign w:val="bottom"/>
          </w:tcPr>
          <w:p>
            <w:pPr>
              <w:spacing w:after="0"/>
              <w:rPr>
                <w:sz w:val="20"/>
                <w:szCs w:val="20"/>
                <w:color w:val="auto"/>
              </w:rPr>
            </w:pPr>
          </w:p>
        </w:tc>
        <w:tc>
          <w:tcPr>
            <w:tcW w:w="256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30" w:lineRule="exact"/>
        <w:rPr>
          <w:sz w:val="20"/>
          <w:szCs w:val="20"/>
          <w:color w:val="auto"/>
        </w:rPr>
      </w:pPr>
    </w:p>
    <w:p>
      <w:pPr>
        <w:jc w:val="both"/>
        <w:ind w:left="340" w:hanging="318"/>
        <w:spacing w:after="0" w:line="283" w:lineRule="auto"/>
        <w:tabs>
          <w:tab w:leader="none" w:pos="340" w:val="left"/>
        </w:tabs>
        <w:numPr>
          <w:ilvl w:val="0"/>
          <w:numId w:val="30"/>
        </w:numPr>
        <w:rPr>
          <w:rFonts w:ascii="Arial" w:cs="Arial" w:eastAsia="Arial" w:hAnsi="Arial"/>
          <w:sz w:val="14"/>
          <w:szCs w:val="14"/>
          <w:color w:val="auto"/>
        </w:rPr>
      </w:pPr>
      <w:r>
        <w:rPr>
          <w:rFonts w:ascii="Arial" w:cs="Arial" w:eastAsia="Arial" w:hAnsi="Arial"/>
          <w:sz w:val="14"/>
          <w:szCs w:val="14"/>
          <w:color w:val="auto"/>
        </w:rPr>
        <w:t>Consists of the following plans: the 1998 Plan, the 2007 Plan and the Company’s Employee Stock Purchase Plan. The Company’s 1998 Plan and the Company’s 2007 Plan provide for various types of awards, including options and restricted stock grants. In April 2007, the Company’s Board of Directors adopted the 2007 Plan, subject to stockholder approval, which was obtained on June 7, 2007. The 2007 Plan was amended in June 2010, June 2011 and June 2012. Stockholders approved these amendments on June 2, 2010, June 2, 2011, and June 5, 2012, respectively. All shares of common stock that were authorized for issuance under the 1998 Plan that, as of June 7, 2007, remained available for issuance under the 1998 Plan (excluding shares subject to outstanding awards) were rolled into the 2007 Plan and, as of that date, no shares of common stock remained available for issuance pursuant to new awards under the 1998 Plan. The 1998 Plan continues to govern unexercised and unexpired awards issued under the 1998 Plan prior to June 7, 2007. The Employee Stock Purchase Plan was adopted by the Board of Directors on April 17, 2006, and approved by the Company’s stockholders on June 8, 2006. The Employee Stock Purchase Plan was later amended by the Board of Directors on July 1, 2006, January 1, 2010, and April 6, 2015. The first two amendments to the Employee Stock Purchase Plan approved on July 1, 2006 and January 1, 2010, were ministerial in nature and were not subject to stockholder approval. On April 6, 2015, the Board of Directors approved the amended and restated Employee Stock Purchase Plan to increase the number of shares authorized for issuance under that plan. The Amended and Restated Employee Stock Purchase Plan was approved by the Company’s stockholders on June 3, 2015.</w:t>
      </w:r>
    </w:p>
    <w:p>
      <w:pPr>
        <w:spacing w:after="0" w:line="5" w:lineRule="exact"/>
        <w:rPr>
          <w:rFonts w:ascii="Arial" w:cs="Arial" w:eastAsia="Arial" w:hAnsi="Arial"/>
          <w:sz w:val="14"/>
          <w:szCs w:val="14"/>
          <w:color w:val="auto"/>
        </w:rPr>
      </w:pPr>
    </w:p>
    <w:p>
      <w:pPr>
        <w:ind w:left="340" w:hanging="318"/>
        <w:spacing w:after="0" w:line="246" w:lineRule="auto"/>
        <w:tabs>
          <w:tab w:leader="none" w:pos="340" w:val="left"/>
        </w:tabs>
        <w:numPr>
          <w:ilvl w:val="0"/>
          <w:numId w:val="30"/>
        </w:numPr>
        <w:rPr>
          <w:rFonts w:ascii="Arial" w:cs="Arial" w:eastAsia="Arial" w:hAnsi="Arial"/>
          <w:sz w:val="16"/>
          <w:szCs w:val="16"/>
          <w:color w:val="auto"/>
        </w:rPr>
      </w:pPr>
      <w:r>
        <w:rPr>
          <w:rFonts w:ascii="Arial" w:cs="Arial" w:eastAsia="Arial" w:hAnsi="Arial"/>
          <w:sz w:val="16"/>
          <w:szCs w:val="16"/>
          <w:color w:val="auto"/>
        </w:rPr>
        <w:t>Includes 307 shares of common stock subject to restricted stock unit awards that vest over time. The actual number of shares issued with respect to these awards depends on whether the vesting conditions are met.</w:t>
      </w:r>
    </w:p>
    <w:p>
      <w:pPr>
        <w:ind w:left="340" w:hanging="318"/>
        <w:spacing w:after="0"/>
        <w:tabs>
          <w:tab w:leader="none" w:pos="340" w:val="left"/>
        </w:tabs>
        <w:numPr>
          <w:ilvl w:val="0"/>
          <w:numId w:val="30"/>
        </w:numPr>
        <w:rPr>
          <w:rFonts w:ascii="Arial" w:cs="Arial" w:eastAsia="Arial" w:hAnsi="Arial"/>
          <w:sz w:val="16"/>
          <w:szCs w:val="16"/>
          <w:color w:val="auto"/>
        </w:rPr>
      </w:pPr>
      <w:r>
        <w:rPr>
          <w:rFonts w:ascii="Arial" w:cs="Arial" w:eastAsia="Arial" w:hAnsi="Arial"/>
          <w:sz w:val="16"/>
          <w:szCs w:val="16"/>
          <w:color w:val="auto"/>
        </w:rPr>
        <w:t>Does not include restricted stock unit awards.</w:t>
      </w:r>
    </w:p>
    <w:p>
      <w:pPr>
        <w:spacing w:after="0" w:line="5" w:lineRule="exact"/>
        <w:rPr>
          <w:rFonts w:ascii="Arial" w:cs="Arial" w:eastAsia="Arial" w:hAnsi="Arial"/>
          <w:sz w:val="16"/>
          <w:szCs w:val="16"/>
          <w:color w:val="auto"/>
        </w:rPr>
      </w:pPr>
    </w:p>
    <w:p>
      <w:pPr>
        <w:ind w:left="340" w:hanging="318"/>
        <w:spacing w:after="0" w:line="257" w:lineRule="auto"/>
        <w:tabs>
          <w:tab w:leader="none" w:pos="340" w:val="left"/>
        </w:tabs>
        <w:numPr>
          <w:ilvl w:val="0"/>
          <w:numId w:val="30"/>
        </w:numPr>
        <w:rPr>
          <w:rFonts w:ascii="Arial" w:cs="Arial" w:eastAsia="Arial" w:hAnsi="Arial"/>
          <w:sz w:val="16"/>
          <w:szCs w:val="16"/>
          <w:color w:val="auto"/>
        </w:rPr>
      </w:pPr>
      <w:r>
        <w:rPr>
          <w:rFonts w:ascii="Arial" w:cs="Arial" w:eastAsia="Arial" w:hAnsi="Arial"/>
          <w:sz w:val="16"/>
          <w:szCs w:val="16"/>
          <w:color w:val="auto"/>
        </w:rPr>
        <w:t>Includes 104,029 shares of common stock available for future issuance under the Company’s stockholder-approved Employee Stock Purchase Plan, which amount includes 455 shares subject to purchase during the then-current purchase period.</w:t>
      </w:r>
    </w:p>
    <w:p>
      <w:pPr>
        <w:spacing w:after="0" w:line="17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COMPENSATION COMMITTEE INTERLOCKS AND INSIDER PARTICIPATION</w:t>
      </w:r>
    </w:p>
    <w:p>
      <w:pPr>
        <w:spacing w:after="0" w:line="224"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Messrs. Klein and Nassetta, each a non-employee director, served on the Compensation Committee during fiscal year 2015. Mr. Klein serves as the Chairman of the Board of the Company. None of the members of the Compensation Committee during fiscal year 2015 were officers or employees of the Company or any of its subsidiaries during or prior to fiscal year 2015. During 2015, none of the Company’s executive officers served as a director or compensation committee member of any entity with an executive officer or director who served as a director or Compensation Committee member of the Company.</w:t>
      </w:r>
    </w:p>
    <w:p>
      <w:pPr>
        <w:spacing w:after="0" w:line="14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COMPENSATION COMMITTEE REPORT</w:t>
      </w:r>
    </w:p>
    <w:p>
      <w:pPr>
        <w:spacing w:after="0" w:line="170"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Compensation Committee has reviewed and discussed with management the following Compensation Discussion and Analysis section of the Company’s 2016 Proxy Statement. Based on its review and discussions with management, the Compensation Committee recommended to the Board of Directors that the Compensation Discussion and Analysis be included in the Company’s Annual Report on Form 10-K and this Proxy Statement.</w:t>
      </w:r>
    </w:p>
    <w:p>
      <w:pPr>
        <w:spacing w:after="0" w:line="111"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By the Compensation Committee</w:t>
      </w:r>
    </w:p>
    <w:p>
      <w:pPr>
        <w:spacing w:after="0" w:line="23"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of the Board of Directors</w:t>
      </w:r>
    </w:p>
    <w:p>
      <w:pPr>
        <w:spacing w:after="0" w:line="157"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Michael R. Klein, Chairman</w:t>
      </w:r>
    </w:p>
    <w:p>
      <w:pPr>
        <w:spacing w:after="0" w:line="23"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Christopher J. Nassetta</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360" w:right="239" w:bottom="1440" w:gutter="0" w:footer="0" w:header="0"/>
        </w:sectPr>
      </w:pPr>
    </w:p>
    <w:bookmarkStart w:id="44" w:name="page45"/>
    <w:bookmarkEnd w:id="44"/>
    <w:p>
      <w:pPr>
        <w:jc w:val="center"/>
        <w:spacing w:after="0"/>
        <w:rPr>
          <w:sz w:val="20"/>
          <w:szCs w:val="20"/>
          <w:color w:val="auto"/>
        </w:rPr>
      </w:pPr>
      <w:r>
        <w:rPr>
          <w:rFonts w:ascii="Arial" w:cs="Arial" w:eastAsia="Arial" w:hAnsi="Arial"/>
          <w:sz w:val="25"/>
          <w:szCs w:val="25"/>
          <w:b w:val="1"/>
          <w:bCs w:val="1"/>
          <w:color w:val="auto"/>
        </w:rPr>
        <w:t>COMPENSATION DISCUSSION AND ANALYSIS</w:t>
      </w:r>
    </w:p>
    <w:p>
      <w:pPr>
        <w:spacing w:after="0" w:line="23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This Compensation Discussion and Analysis describes CoStar’s executive compensation program for 2015, important changes made in early 2014 and maintained in 2015 that were implemented to respond to stockholders’ concerns raised in connection with the “say-on-pay” vote in 2013, and the goals that drive the design of the program. Our Compensation Committee is responsible for reviewing our executive compensation program and for reviewing and approving the compensation arrangements for our executive officers.</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“named executive officers” or “NEOs” are the executive officers who are included in the Summary Compensation Table in this Proxy Statement. They include the following current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254875" cy="108902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4875" cy="1089025"/>
                    </a:xfrm>
                    <a:prstGeom prst="rect">
                      <a:avLst/>
                    </a:prstGeom>
                    <a:noFill/>
                  </pic:spPr>
                </pic:pic>
              </a:graphicData>
            </a:graphic>
          </wp:anchor>
        </w:drawing>
      </w:r>
    </w:p>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297"/>
        </w:trPr>
        <w:tc>
          <w:tcPr>
            <w:tcW w:w="5260" w:type="dxa"/>
            <w:vAlign w:val="bottom"/>
            <w:shd w:val="clear" w:color="auto" w:fill="B8CCE4"/>
          </w:tcPr>
          <w:p>
            <w:pPr>
              <w:ind w:left="180"/>
              <w:spacing w:after="0"/>
              <w:rPr>
                <w:sz w:val="20"/>
                <w:szCs w:val="20"/>
                <w:color w:val="auto"/>
              </w:rPr>
            </w:pPr>
            <w:r>
              <w:rPr>
                <w:rFonts w:ascii="Arial" w:cs="Arial" w:eastAsia="Arial" w:hAnsi="Arial"/>
                <w:sz w:val="18"/>
                <w:szCs w:val="18"/>
                <w:b w:val="1"/>
                <w:bCs w:val="1"/>
                <w:color w:val="auto"/>
              </w:rPr>
              <w:t>Name</w:t>
            </w:r>
          </w:p>
        </w:tc>
        <w:tc>
          <w:tcPr>
            <w:tcW w:w="6160" w:type="dxa"/>
            <w:vAlign w:val="bottom"/>
            <w:shd w:val="clear" w:color="auto" w:fill="B8CCE4"/>
          </w:tcPr>
          <w:p>
            <w:pPr>
              <w:ind w:left="160"/>
              <w:spacing w:after="0"/>
              <w:rPr>
                <w:sz w:val="20"/>
                <w:szCs w:val="20"/>
                <w:color w:val="auto"/>
              </w:rPr>
            </w:pPr>
            <w:r>
              <w:rPr>
                <w:rFonts w:ascii="Arial" w:cs="Arial" w:eastAsia="Arial" w:hAnsi="Arial"/>
                <w:sz w:val="18"/>
                <w:szCs w:val="18"/>
                <w:b w:val="1"/>
                <w:bCs w:val="1"/>
                <w:color w:val="auto"/>
              </w:rPr>
              <w:t>Title</w:t>
            </w:r>
          </w:p>
        </w:tc>
      </w:tr>
      <w:tr>
        <w:trPr>
          <w:trHeight w:val="149"/>
        </w:trPr>
        <w:tc>
          <w:tcPr>
            <w:tcW w:w="5260" w:type="dxa"/>
            <w:vAlign w:val="bottom"/>
            <w:shd w:val="clear" w:color="auto" w:fill="B8CCE4"/>
          </w:tcPr>
          <w:p>
            <w:pPr>
              <w:spacing w:after="0"/>
              <w:rPr>
                <w:sz w:val="12"/>
                <w:szCs w:val="12"/>
                <w:color w:val="auto"/>
              </w:rPr>
            </w:pPr>
          </w:p>
        </w:tc>
        <w:tc>
          <w:tcPr>
            <w:tcW w:w="6160" w:type="dxa"/>
            <w:vAlign w:val="bottom"/>
            <w:shd w:val="clear" w:color="auto" w:fill="B8CCE4"/>
          </w:tcPr>
          <w:p>
            <w:pPr>
              <w:spacing w:after="0"/>
              <w:rPr>
                <w:sz w:val="12"/>
                <w:szCs w:val="12"/>
                <w:color w:val="auto"/>
              </w:rPr>
            </w:pPr>
          </w:p>
        </w:tc>
      </w:tr>
      <w:tr>
        <w:trPr>
          <w:trHeight w:val="278"/>
        </w:trPr>
        <w:tc>
          <w:tcPr>
            <w:tcW w:w="5260" w:type="dxa"/>
            <w:vAlign w:val="bottom"/>
            <w:shd w:val="clear" w:color="auto" w:fill="DBE5F1"/>
          </w:tcPr>
          <w:p>
            <w:pPr>
              <w:ind w:left="180"/>
              <w:spacing w:after="0"/>
              <w:rPr>
                <w:sz w:val="20"/>
                <w:szCs w:val="20"/>
                <w:color w:val="auto"/>
              </w:rPr>
            </w:pPr>
            <w:r>
              <w:rPr>
                <w:rFonts w:ascii="Arial" w:cs="Arial" w:eastAsia="Arial" w:hAnsi="Arial"/>
                <w:sz w:val="16"/>
                <w:szCs w:val="16"/>
                <w:b w:val="1"/>
                <w:bCs w:val="1"/>
                <w:color w:val="auto"/>
              </w:rPr>
              <w:t>Andrew C. Florance</w:t>
            </w:r>
          </w:p>
        </w:tc>
        <w:tc>
          <w:tcPr>
            <w:tcW w:w="6160" w:type="dxa"/>
            <w:vAlign w:val="bottom"/>
            <w:shd w:val="clear" w:color="auto" w:fill="DBE5F1"/>
          </w:tcPr>
          <w:p>
            <w:pPr>
              <w:ind w:left="160"/>
              <w:spacing w:after="0"/>
              <w:rPr>
                <w:sz w:val="20"/>
                <w:szCs w:val="20"/>
                <w:color w:val="auto"/>
              </w:rPr>
            </w:pPr>
            <w:r>
              <w:rPr>
                <w:rFonts w:ascii="Arial" w:cs="Arial" w:eastAsia="Arial" w:hAnsi="Arial"/>
                <w:sz w:val="16"/>
                <w:szCs w:val="16"/>
                <w:color w:val="auto"/>
              </w:rPr>
              <w:t>Chief Executive Officer, President and Founder</w:t>
            </w:r>
          </w:p>
        </w:tc>
      </w:tr>
      <w:tr>
        <w:trPr>
          <w:trHeight w:val="419"/>
        </w:trPr>
        <w:tc>
          <w:tcPr>
            <w:tcW w:w="5260" w:type="dxa"/>
            <w:vAlign w:val="bottom"/>
            <w:shd w:val="clear" w:color="auto" w:fill="DBE5F1"/>
          </w:tcPr>
          <w:p>
            <w:pPr>
              <w:ind w:left="180"/>
              <w:spacing w:after="0"/>
              <w:rPr>
                <w:sz w:val="20"/>
                <w:szCs w:val="20"/>
                <w:color w:val="auto"/>
              </w:rPr>
            </w:pPr>
            <w:r>
              <w:rPr>
                <w:rFonts w:ascii="Arial" w:cs="Arial" w:eastAsia="Arial" w:hAnsi="Arial"/>
                <w:sz w:val="16"/>
                <w:szCs w:val="16"/>
                <w:b w:val="1"/>
                <w:bCs w:val="1"/>
                <w:color w:val="auto"/>
              </w:rPr>
              <w:t>Francis A. Carchedi</w:t>
            </w:r>
          </w:p>
        </w:tc>
        <w:tc>
          <w:tcPr>
            <w:tcW w:w="6160" w:type="dxa"/>
            <w:vAlign w:val="bottom"/>
            <w:shd w:val="clear" w:color="auto" w:fill="DBE5F1"/>
          </w:tcPr>
          <w:p>
            <w:pPr>
              <w:ind w:left="160"/>
              <w:spacing w:after="0"/>
              <w:rPr>
                <w:sz w:val="20"/>
                <w:szCs w:val="20"/>
                <w:color w:val="auto"/>
              </w:rPr>
            </w:pPr>
            <w:r>
              <w:rPr>
                <w:rFonts w:ascii="Arial" w:cs="Arial" w:eastAsia="Arial" w:hAnsi="Arial"/>
                <w:sz w:val="16"/>
                <w:szCs w:val="16"/>
                <w:color w:val="auto"/>
              </w:rPr>
              <w:t>Executive Vice President of Corporate Development</w:t>
            </w:r>
          </w:p>
        </w:tc>
      </w:tr>
      <w:tr>
        <w:trPr>
          <w:trHeight w:val="419"/>
        </w:trPr>
        <w:tc>
          <w:tcPr>
            <w:tcW w:w="5260" w:type="dxa"/>
            <w:vAlign w:val="bottom"/>
            <w:shd w:val="clear" w:color="auto" w:fill="DBE5F1"/>
          </w:tcPr>
          <w:p>
            <w:pPr>
              <w:ind w:left="180"/>
              <w:spacing w:after="0"/>
              <w:rPr>
                <w:sz w:val="20"/>
                <w:szCs w:val="20"/>
                <w:color w:val="auto"/>
              </w:rPr>
            </w:pPr>
            <w:r>
              <w:rPr>
                <w:rFonts w:ascii="Arial" w:cs="Arial" w:eastAsia="Arial" w:hAnsi="Arial"/>
                <w:sz w:val="16"/>
                <w:szCs w:val="16"/>
                <w:b w:val="1"/>
                <w:bCs w:val="1"/>
                <w:color w:val="auto"/>
              </w:rPr>
              <w:t>Matthew F.W. Linnington</w:t>
            </w:r>
          </w:p>
        </w:tc>
        <w:tc>
          <w:tcPr>
            <w:tcW w:w="6160" w:type="dxa"/>
            <w:vAlign w:val="bottom"/>
            <w:shd w:val="clear" w:color="auto" w:fill="DBE5F1"/>
          </w:tcPr>
          <w:p>
            <w:pPr>
              <w:ind w:left="160"/>
              <w:spacing w:after="0"/>
              <w:rPr>
                <w:sz w:val="20"/>
                <w:szCs w:val="20"/>
                <w:color w:val="auto"/>
              </w:rPr>
            </w:pPr>
            <w:r>
              <w:rPr>
                <w:rFonts w:ascii="Arial" w:cs="Arial" w:eastAsia="Arial" w:hAnsi="Arial"/>
                <w:sz w:val="16"/>
                <w:szCs w:val="16"/>
                <w:color w:val="auto"/>
              </w:rPr>
              <w:t>Executive Vice President of Sales</w:t>
            </w:r>
          </w:p>
        </w:tc>
      </w:tr>
      <w:tr>
        <w:trPr>
          <w:trHeight w:val="141"/>
        </w:trPr>
        <w:tc>
          <w:tcPr>
            <w:tcW w:w="5260" w:type="dxa"/>
            <w:vAlign w:val="bottom"/>
            <w:shd w:val="clear" w:color="auto" w:fill="DBE5F1"/>
          </w:tcPr>
          <w:p>
            <w:pPr>
              <w:spacing w:after="0"/>
              <w:rPr>
                <w:sz w:val="12"/>
                <w:szCs w:val="12"/>
                <w:color w:val="auto"/>
              </w:rPr>
            </w:pPr>
          </w:p>
        </w:tc>
        <w:tc>
          <w:tcPr>
            <w:tcW w:w="6160" w:type="dxa"/>
            <w:vAlign w:val="bottom"/>
            <w:shd w:val="clear" w:color="auto" w:fill="DBE5F1"/>
          </w:tcPr>
          <w:p>
            <w:pPr>
              <w:spacing w:after="0"/>
              <w:rPr>
                <w:sz w:val="12"/>
                <w:szCs w:val="12"/>
                <w:color w:val="auto"/>
              </w:rPr>
            </w:pPr>
          </w:p>
        </w:tc>
      </w:tr>
    </w:tbl>
    <w:p>
      <w:pPr>
        <w:spacing w:after="0" w:line="229" w:lineRule="exact"/>
        <w:rPr>
          <w:sz w:val="20"/>
          <w:szCs w:val="20"/>
          <w:color w:val="auto"/>
        </w:rPr>
      </w:pPr>
    </w:p>
    <w:p>
      <w:pPr>
        <w:jc w:val="both"/>
        <w:spacing w:after="0" w:line="295" w:lineRule="auto"/>
        <w:rPr>
          <w:sz w:val="20"/>
          <w:szCs w:val="20"/>
          <w:color w:val="auto"/>
        </w:rPr>
      </w:pPr>
      <w:r>
        <w:rPr>
          <w:rFonts w:ascii="Arial" w:cs="Arial" w:eastAsia="Arial" w:hAnsi="Arial"/>
          <w:sz w:val="18"/>
          <w:szCs w:val="18"/>
          <w:color w:val="auto"/>
        </w:rPr>
        <w:t>Under applicable SEC rules, our named executive officers for 2015 also include Brian J. Radecki, who served as our Chief Financial Officer in 2015 until he resigned in August 2015, and Mr. Yinger, who served as Interim Chief Financial Officer for the remainder of 2015 and until the appointment of Mr. Wheeler as Chief Financial Officer in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219075</wp:posOffset>
            </wp:positionV>
            <wp:extent cx="7246620" cy="22288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222885"/>
                    </a:xfrm>
                    <a:prstGeom prst="rect">
                      <a:avLst/>
                    </a:prstGeom>
                    <a:noFill/>
                  </pic:spPr>
                </pic:pic>
              </a:graphicData>
            </a:graphic>
          </wp:anchor>
        </w:drawing>
      </w:r>
    </w:p>
    <w:p>
      <w:pPr>
        <w:spacing w:after="0" w:line="329" w:lineRule="exact"/>
        <w:rPr>
          <w:sz w:val="20"/>
          <w:szCs w:val="20"/>
          <w:color w:val="auto"/>
        </w:rPr>
      </w:pPr>
    </w:p>
    <w:p>
      <w:pPr>
        <w:ind w:left="40"/>
        <w:spacing w:after="0"/>
        <w:rPr>
          <w:sz w:val="20"/>
          <w:szCs w:val="20"/>
          <w:color w:val="auto"/>
        </w:rPr>
      </w:pPr>
      <w:r>
        <w:rPr>
          <w:rFonts w:ascii="Arial" w:cs="Arial" w:eastAsia="Arial" w:hAnsi="Arial"/>
          <w:sz w:val="25"/>
          <w:szCs w:val="25"/>
          <w:b w:val="1"/>
          <w:bCs w:val="1"/>
          <w:color w:val="FFFFFF"/>
        </w:rPr>
        <w:t>EXECUTIVE SUMMARY</w:t>
      </w:r>
    </w:p>
    <w:p>
      <w:pPr>
        <w:spacing w:after="0" w:line="25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BUSINESS OVERVIEW</w:t>
      </w:r>
    </w:p>
    <w:p>
      <w:pPr>
        <w:spacing w:after="0" w:line="238"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CoStar Group (“CoStar”) is the leading provider of commercial real estate information, analytics and online marketplaces. Founded in 1987, CoStar conducts expansive, ongoing research to produce and maintain the largest and most comprehensive database of commercial real estate information. Headquartered in Washington, D.C., CoStar maintains offices throughout the U.S. and in Europe and Toronto with a staff of approximately 2,600 worldwide, including the industry's largest professional research organization. CoStar has five flagship brands – CoStar, LoopNet, Apartments.com, BizBuySell and LandsofAmerica.</w:t>
      </w:r>
    </w:p>
    <w:p>
      <w:pPr>
        <w:spacing w:after="0" w:line="15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Company entered the apartment rental listings industry with its acquisition of Apartments.com in April 2014, combining CoStar’s leading multifamily data and extensive online marketplace experience with the substantial brand, sales force and online apartment marketplace experience of Apartments.com. There are an estimated 110 million renters in the U.S. spending just under half a trillion dollars a year on rent. The market is growing rapidly with renters increasing their spend by $100 billion since 2010. This represents one of the largest consumer segments in the U.S.</w:t>
      </w:r>
    </w:p>
    <w:p>
      <w:pPr>
        <w:spacing w:after="0" w:line="171"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CoStar found that the apartments industry was poorly served by apartment listings service providers, who supplied only the listings that property owners paid to advertise, returned results that typically did not match a renter’s search criteria and did not show whether a rental was actually available. Subsequent to the acquisition of Apartments.com, CoStar took steps it felt were necessary to succeed and thrive in the apartment rental listings industry, including improving the apartment renter experience by investing in Apartments.com and designing an industry leading website, which provides actual rental availabilities and rents, as well as software tools to help renters find apartments that meet their needs. CoStar utilized over 1,000 researchers who collected and verified information and visited and photographed over 400,000 properties prior to re-launching Apartments.com in February 2015. CoStar believes that the new Apartments.com site provides renters with a vastly superior search experience and creates the opportunity for the Company to capture a significant share of the apartment renter audience. Ultimately, CoStar believes that apartment owners and managers prefer to advertise on the most heavily trafficked apartment website and that they have a need for quality information to position their properties and analytic solutions to understand critical market dynamics.</w:t>
      </w:r>
    </w:p>
    <w:p>
      <w:pPr>
        <w:spacing w:after="0" w:line="16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To support and promote the new site to the rental audience and increase the likelihood of achieving the Company’s long range earnings goal for the apartments listings sector, in March 2015 the Company embarked on a consumer marketing campaign to promote Apartments.com that was unprecedented in the industry, complete with national</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360" w:right="239" w:bottom="1440" w:gutter="0" w:footer="0" w:header="0"/>
        </w:sectPr>
      </w:pPr>
    </w:p>
    <w:bookmarkStart w:id="45" w:name="page46"/>
    <w:bookmarkEnd w:id="45"/>
    <w:p>
      <w:pPr>
        <w:jc w:val="both"/>
        <w:spacing w:after="0" w:line="312" w:lineRule="auto"/>
        <w:rPr>
          <w:sz w:val="20"/>
          <w:szCs w:val="20"/>
          <w:color w:val="auto"/>
        </w:rPr>
      </w:pPr>
      <w:r>
        <w:rPr>
          <w:rFonts w:ascii="Arial" w:cs="Arial" w:eastAsia="Arial" w:hAnsi="Arial"/>
          <w:sz w:val="16"/>
          <w:szCs w:val="16"/>
          <w:color w:val="auto"/>
        </w:rPr>
        <w:t>advertising. Specifically, in 2015 CoStar made an incremental marketing investment of $80 million above the Apartments.com 2014 annualized marketing spend from the close of the acquisition through the end of 2014. The Company launched the largest consumer marketing campaign in the multifamily industry and reinforced that media campaign by what CoStar believes to be the most aggressive search engine marketing program in the industry.</w:t>
      </w:r>
    </w:p>
    <w:p>
      <w:pPr>
        <w:spacing w:after="0" w:line="14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investments the Company made in Apartments.com resulted in an almost immediate increase in brand awareness, traffic and user engagement with the site. Apartments.com was recognized by all four of the leading independent authorities on internet traffic measurements as the most trafficked apartment rentals site in March 2015. An independent study conducted by J. Turner Research in summer 2015 which was published in September 2015 found that Apartments.com was the number one website used by renters to find an apartment.</w:t>
      </w:r>
    </w:p>
    <w:p>
      <w:pPr>
        <w:spacing w:after="0" w:line="18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Building on this success with Apartments.com, CoStar Group acquired Apartment Finder in June 2015, providing additional scale in terms of customers and revenue. CoStar Group subsequently re-launched the Apartment Finder website after a complete site rebuild, thereby providing a customer alternative and a network of sites in order to provide advertisers the widest possible reach to find people looking for apartment homes. To drive additional customer traffic to the new website, the Company also increased the search engine marketing budget for Apartment Finder. In addition to these investments, CoStar’s management team took steps to reduce costs and improve profitability.</w:t>
      </w:r>
    </w:p>
    <w:p>
      <w:pPr>
        <w:spacing w:after="0" w:line="18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CoStar Group further expanded its network of sites in late 2015 through a strategic partnership with Move, Inc., whereby Apartments.com is the exclusive provider of listings in apartment communities with 50 units or more to websites owned and operated by News Corp. subsidiary Move, Inc. The agreement is designed to increase traffic across the Company’s and Move’s rental sites with the goal of enabling more leads, faster responses and increased revenue opportunities.</w:t>
      </w:r>
    </w:p>
    <w:p>
      <w:pPr>
        <w:spacing w:after="0" w:line="18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As described above, in 2015 the Company’s existing management team focused on building the premier marketplace for renting an apartment in the United States and on integrating CoStar, Apartments.com and Apartment Finder in order to drive additional revenue growth and achieve sustainable long-term earnings growth, while continuing to grow the Company’s core information business. Over the past year, the Company and its management team have met significant challenges and have made significant investments in order to continue to succeed and increase its market position in the apartment listings field. The management team executed the Company’s plans and integrated both acquisitions exceptionally well. According to comScore, Apartments.com had more visitor traffic in 2015 than any other apartment rental website.</w:t>
      </w:r>
    </w:p>
    <w:p>
      <w:pPr>
        <w:spacing w:after="0" w:line="193"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Since re-launching Apartments.com in February 2015, the site’s brand awareness and usage intention doubled by the end of 2015. In 2015, the marketing campaign generated over 7.9 billion impressions on television, digital media, out-of-home, radio and social media, reaching millions of potential renters and demonstrating to multifamily property managers and owners that the Company is serious about building and maintaining the premier go-to-site for the multifamily industry. During the fourth quarter of 2015, Apartments.com also achieved the leading position among apartment listings websites as measured by unique visitors, total visits, total page views, total time on site, average time on site, lowest bounce rate, consumer engagement, un-aided awareness, search engine optimization, search engine marketing, and number of apartment buildings offered.</w:t>
      </w:r>
    </w:p>
    <w:p>
      <w:pPr>
        <w:spacing w:after="0" w:line="178"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In 2015, the Company’s target financial metrics in its operating plan (including the executive officers’ financial targets for their annual cash incentive and annual restricted stock awards) and financial guidance provided to investors were lower than what was achieved in 2014 due to the investments discussed above. However, as a result of the Company’s success creating an improved consumer experience, achieving increased brand recognition and integrating the acquired entities, as well as cost management efforts implemented in 2015, earnings results for 2015 were higher than expected. Revenue from Apartments.com was up approximately 30% year-over-year in the fourth quarter of 2015. The Company generated approximately $20 million in net new subscription sales of information services from March 2015 through December 2015 mostly as a result of cross selling to apartment marketplace clients and prospects, including property managers and owners. The Company’s EBITDA more than doubled from the third quarter to the fourth quarter of 2015, while EBITDA margin for the fourth quarter of 2015 expanded to 29%. In 2015, we generated over $100 million in high incremental margin net new sales on annual contracts, the most in CoStar’s history, which represents an increase of 59% over 2014 sales of $63 million. We expect that these annual contracts will renew at extremely high rates for many years to come, creating an annuity that adds to the return on the Company’s 2015 marketing investment.</w:t>
      </w:r>
    </w:p>
    <w:p>
      <w:pPr>
        <w:spacing w:after="0" w:line="16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 believes that the investments in Apartments.com and Apartment Finder in 2015 provide a strong platform for future revenue growth and are additive to the consistent double-digit revenue growth contribution from its core business. The Company also expects that the success of its integration and cost management efforts will deliver continued profit improvements in 2016.</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368" w:right="239" w:bottom="1440" w:gutter="0" w:footer="0" w:header="0"/>
        </w:sectPr>
      </w:pPr>
    </w:p>
    <w:bookmarkStart w:id="46" w:name="page47"/>
    <w:bookmarkEnd w:id="46"/>
    <w:p>
      <w:pPr>
        <w:jc w:val="both"/>
        <w:spacing w:after="0" w:line="271" w:lineRule="auto"/>
        <w:rPr>
          <w:sz w:val="20"/>
          <w:szCs w:val="20"/>
          <w:color w:val="auto"/>
        </w:rPr>
      </w:pPr>
      <w:r>
        <w:rPr>
          <w:rFonts w:ascii="Arial" w:cs="Arial" w:eastAsia="Arial" w:hAnsi="Arial"/>
          <w:sz w:val="17"/>
          <w:szCs w:val="17"/>
          <w:color w:val="auto"/>
        </w:rPr>
        <w:t>As part of its investor outreach, CoStar Group’s management has regularly communicated its expansion plans and associated investments into the Apartments sector and the sale of CoStar information and analytics services to property managers and owners. These communications were made consistently throughout the year through quarterly press releases and conference calls that were recorded and made available on the Company’s website, and hundreds of meetings and presentations at over 25 investor conferences across the United States, Canada and the United Kingdom. The Company has also clearly communicated and discussed with investors the acquisition of Apartments.com, the subsequent launch of the marketing campaign, the 2015 acquisition of Apartment Finder and the re-launch of the improved ApartmentFinder.com website, as well as the expected effect on its financial guidance. The Company has also consistently communicated with investors the opportunity for strong revenue growth and expanding profit margins in the years following the significant initial investments discussed above.</w:t>
      </w:r>
    </w:p>
    <w:p>
      <w:pPr>
        <w:spacing w:after="0" w:line="17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EXECUTIVE COMPENSATION PLAN AND PERFORMANCE HIGHLIGHTS</w:t>
      </w:r>
    </w:p>
    <w:p>
      <w:pPr>
        <w:spacing w:after="0" w:line="224"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CoStar Group’s executive compensation program is designed to hold our executives accountable for corporate results over the short and long term, and to reward them for successful execution. As a result, a substantial portion of our executives’ overall compensation is tied to performance. The charts below illustrate the percentage of 2015 compensation (based on target award opportunities) that was performance-based, including cash incentives, restricted stock, the value of which was determined based on performance in the prior fiscal year (2014), long-term performance shares and options, and the percentage that is fixed, consisting of base salary. For purposes of this illustration we have excluded Mr. Yinger because he was not an executive officer at the time of the annual grants of cash incentives, restricted stock and options in March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4536440" cy="144907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4536440" cy="14490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Compensation Committee links executive compensation to the attainment of challenging goals. Cash compensation includes payments under our annual cash incentive plan that are based on Company performance relative to operational goals as well as individual performance. Equity-based compensation is used to align executive compensation with the long-term interests of our stockholders, including a focus on increasing the Company’s total stockholder return (TSR) both on an absolute and a relative basis.</w:t>
      </w:r>
    </w:p>
    <w:p>
      <w:pPr>
        <w:spacing w:after="0" w:line="18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Over the past three calendar years, the Company’s TSR was 131%. In comparison, the TSR for the Russell 1000 Index (to which the Company is compared for purposes of the named executive officers’ long-term performance shares) total return was 58.5% over the same time period. The Company was added to the Russell 1000 index in 2014.</w:t>
      </w:r>
    </w:p>
    <w:p>
      <w:pPr>
        <w:spacing w:after="0" w:line="17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2015 Variable Compensation Drivers and Outcomes</w:t>
      </w:r>
    </w:p>
    <w:p>
      <w:pPr>
        <w:spacing w:after="0" w:line="22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Both annual and long-term incentives are based on measurable and objective performance metrics. The following summarizes Company-wide performance targets against actual 2015 performance for certain key financial metrics. The Company’s executive compensation for 2015 performance reflects the investments made in Apartments.com and Apartment Finder as well as our financial and operational results. The Company’s achievement of outstanding earnings results in 2015 resulted in the executive officers achieving 200% credit for the adjusted EBITDA and non-GAAP net income goals tied to their annual cash and stock incentive awards,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584" w:right="239" w:bottom="1440" w:gutter="0" w:footer="0" w:header="0"/>
        </w:sectPr>
      </w:pPr>
    </w:p>
    <w:bookmarkStart w:id="47" w:name="page48"/>
    <w:bookmarkEnd w:id="47"/>
    <w:p>
      <w:pPr>
        <w:spacing w:after="0"/>
        <w:rPr>
          <w:sz w:val="20"/>
          <w:szCs w:val="20"/>
          <w:color w:val="auto"/>
        </w:rPr>
      </w:pPr>
      <w:r>
        <w:rPr>
          <w:rFonts w:ascii="Arial" w:cs="Arial" w:eastAsia="Arial" w:hAnsi="Arial"/>
          <w:sz w:val="18"/>
          <w:szCs w:val="18"/>
          <w:b w:val="1"/>
          <w:bCs w:val="1"/>
          <w:color w:val="5978A5"/>
        </w:rPr>
        <w:t>Incentive Plan Metrics Used to Assess Performance in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172085</wp:posOffset>
            </wp:positionV>
            <wp:extent cx="7254875" cy="13379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4875" cy="1337945"/>
                    </a:xfrm>
                    <a:prstGeom prst="rect">
                      <a:avLst/>
                    </a:prstGeom>
                    <a:noFill/>
                  </pic:spPr>
                </pic:pic>
              </a:graphicData>
            </a:graphic>
          </wp:anchor>
        </w:drawing>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297"/>
        </w:trPr>
        <w:tc>
          <w:tcPr>
            <w:tcW w:w="3780" w:type="dxa"/>
            <w:vAlign w:val="bottom"/>
            <w:shd w:val="clear" w:color="auto" w:fill="B8CCE4"/>
          </w:tcPr>
          <w:p>
            <w:pPr>
              <w:ind w:left="1740"/>
              <w:spacing w:after="0"/>
              <w:rPr>
                <w:sz w:val="20"/>
                <w:szCs w:val="20"/>
                <w:color w:val="auto"/>
              </w:rPr>
            </w:pPr>
            <w:r>
              <w:rPr>
                <w:rFonts w:ascii="Arial" w:cs="Arial" w:eastAsia="Arial" w:hAnsi="Arial"/>
                <w:sz w:val="18"/>
                <w:szCs w:val="18"/>
                <w:b w:val="1"/>
                <w:bCs w:val="1"/>
                <w:color w:val="auto"/>
              </w:rPr>
              <w:t>Plan</w:t>
            </w:r>
          </w:p>
        </w:tc>
        <w:tc>
          <w:tcPr>
            <w:tcW w:w="1720" w:type="dxa"/>
            <w:vAlign w:val="bottom"/>
            <w:shd w:val="clear" w:color="auto" w:fill="B8CCE4"/>
          </w:tcPr>
          <w:p>
            <w:pPr>
              <w:jc w:val="center"/>
              <w:spacing w:after="0"/>
              <w:rPr>
                <w:sz w:val="20"/>
                <w:szCs w:val="20"/>
                <w:color w:val="auto"/>
              </w:rPr>
            </w:pPr>
            <w:r>
              <w:rPr>
                <w:rFonts w:ascii="Arial" w:cs="Arial" w:eastAsia="Arial" w:hAnsi="Arial"/>
                <w:sz w:val="18"/>
                <w:szCs w:val="18"/>
                <w:b w:val="1"/>
                <w:bCs w:val="1"/>
                <w:color w:val="auto"/>
                <w:w w:val="94"/>
              </w:rPr>
              <w:t>Financial Metric</w:t>
            </w:r>
          </w:p>
        </w:tc>
        <w:tc>
          <w:tcPr>
            <w:tcW w:w="1480" w:type="dxa"/>
            <w:vAlign w:val="bottom"/>
            <w:vMerge w:val="restart"/>
            <w:shd w:val="clear" w:color="auto" w:fill="B8CCE4"/>
          </w:tcPr>
          <w:p>
            <w:pPr>
              <w:jc w:val="center"/>
              <w:spacing w:after="0"/>
              <w:rPr>
                <w:sz w:val="20"/>
                <w:szCs w:val="20"/>
                <w:color w:val="auto"/>
              </w:rPr>
            </w:pPr>
            <w:r>
              <w:rPr>
                <w:rFonts w:ascii="Arial" w:cs="Arial" w:eastAsia="Arial" w:hAnsi="Arial"/>
                <w:sz w:val="18"/>
                <w:szCs w:val="18"/>
                <w:b w:val="1"/>
                <w:bCs w:val="1"/>
                <w:color w:val="auto"/>
                <w:w w:val="91"/>
              </w:rPr>
              <w:t>2015 Target</w:t>
            </w:r>
          </w:p>
        </w:tc>
        <w:tc>
          <w:tcPr>
            <w:tcW w:w="1380" w:type="dxa"/>
            <w:vAlign w:val="bottom"/>
            <w:vMerge w:val="restart"/>
            <w:shd w:val="clear" w:color="auto" w:fill="B8CCE4"/>
          </w:tcPr>
          <w:p>
            <w:pPr>
              <w:jc w:val="center"/>
              <w:ind w:left="17"/>
              <w:spacing w:after="0"/>
              <w:rPr>
                <w:sz w:val="20"/>
                <w:szCs w:val="20"/>
                <w:color w:val="auto"/>
              </w:rPr>
            </w:pPr>
            <w:r>
              <w:rPr>
                <w:rFonts w:ascii="Arial" w:cs="Arial" w:eastAsia="Arial" w:hAnsi="Arial"/>
                <w:sz w:val="18"/>
                <w:szCs w:val="18"/>
                <w:b w:val="1"/>
                <w:bCs w:val="1"/>
                <w:color w:val="auto"/>
                <w:w w:val="91"/>
              </w:rPr>
              <w:t>2015 Actual</w:t>
            </w:r>
          </w:p>
        </w:tc>
        <w:tc>
          <w:tcPr>
            <w:tcW w:w="1700" w:type="dxa"/>
            <w:vAlign w:val="bottom"/>
            <w:vMerge w:val="restart"/>
            <w:shd w:val="clear" w:color="auto" w:fill="B8CCE4"/>
          </w:tcPr>
          <w:p>
            <w:pPr>
              <w:jc w:val="center"/>
              <w:spacing w:after="0"/>
              <w:rPr>
                <w:sz w:val="20"/>
                <w:szCs w:val="20"/>
                <w:color w:val="auto"/>
              </w:rPr>
            </w:pPr>
            <w:r>
              <w:rPr>
                <w:rFonts w:ascii="Arial" w:cs="Arial" w:eastAsia="Arial" w:hAnsi="Arial"/>
                <w:sz w:val="18"/>
                <w:szCs w:val="18"/>
                <w:b w:val="1"/>
                <w:bCs w:val="1"/>
                <w:color w:val="auto"/>
                <w:w w:val="90"/>
              </w:rPr>
              <w:t>2015 Achievement</w:t>
            </w:r>
          </w:p>
        </w:tc>
        <w:tc>
          <w:tcPr>
            <w:tcW w:w="1360" w:type="dxa"/>
            <w:vAlign w:val="bottom"/>
            <w:vMerge w:val="restart"/>
            <w:shd w:val="clear" w:color="auto" w:fill="B8CCE4"/>
          </w:tcPr>
          <w:p>
            <w:pPr>
              <w:jc w:val="center"/>
              <w:ind w:right="17"/>
              <w:spacing w:after="0"/>
              <w:rPr>
                <w:sz w:val="20"/>
                <w:szCs w:val="20"/>
                <w:color w:val="auto"/>
              </w:rPr>
            </w:pPr>
            <w:r>
              <w:rPr>
                <w:rFonts w:ascii="Arial" w:cs="Arial" w:eastAsia="Arial" w:hAnsi="Arial"/>
                <w:sz w:val="18"/>
                <w:szCs w:val="18"/>
                <w:b w:val="1"/>
                <w:bCs w:val="1"/>
                <w:color w:val="auto"/>
                <w:w w:val="89"/>
              </w:rPr>
              <w:t>2014 Actual</w:t>
            </w:r>
          </w:p>
        </w:tc>
        <w:tc>
          <w:tcPr>
            <w:tcW w:w="0" w:type="dxa"/>
            <w:vAlign w:val="bottom"/>
          </w:tcPr>
          <w:p>
            <w:pPr>
              <w:spacing w:after="0"/>
              <w:rPr>
                <w:sz w:val="1"/>
                <w:szCs w:val="1"/>
                <w:color w:val="auto"/>
              </w:rPr>
            </w:pPr>
          </w:p>
        </w:tc>
      </w:tr>
      <w:tr>
        <w:trPr>
          <w:trHeight w:val="115"/>
        </w:trPr>
        <w:tc>
          <w:tcPr>
            <w:tcW w:w="3780" w:type="dxa"/>
            <w:vAlign w:val="bottom"/>
            <w:tcBorders>
              <w:bottom w:val="single" w:sz="8" w:color="B8CCE4"/>
            </w:tcBorders>
            <w:shd w:val="clear" w:color="auto" w:fill="B8CCE4"/>
          </w:tcPr>
          <w:p>
            <w:pPr>
              <w:spacing w:after="0"/>
              <w:rPr>
                <w:sz w:val="10"/>
                <w:szCs w:val="10"/>
                <w:color w:val="auto"/>
              </w:rPr>
            </w:pPr>
          </w:p>
        </w:tc>
        <w:tc>
          <w:tcPr>
            <w:tcW w:w="1720" w:type="dxa"/>
            <w:vAlign w:val="bottom"/>
            <w:tcBorders>
              <w:bottom w:val="single" w:sz="8" w:color="B8CCE4"/>
            </w:tcBorders>
            <w:shd w:val="clear" w:color="auto" w:fill="B8CCE4"/>
          </w:tcPr>
          <w:p>
            <w:pPr>
              <w:spacing w:after="0"/>
              <w:rPr>
                <w:sz w:val="10"/>
                <w:szCs w:val="10"/>
                <w:color w:val="auto"/>
              </w:rPr>
            </w:pPr>
          </w:p>
        </w:tc>
        <w:tc>
          <w:tcPr>
            <w:tcW w:w="1480" w:type="dxa"/>
            <w:vAlign w:val="bottom"/>
            <w:tcBorders>
              <w:bottom w:val="single" w:sz="8" w:color="B8CCE4"/>
            </w:tcBorders>
            <w:vMerge w:val="continue"/>
            <w:shd w:val="clear" w:color="auto" w:fill="B8CCE4"/>
          </w:tcPr>
          <w:p>
            <w:pPr>
              <w:spacing w:after="0"/>
              <w:rPr>
                <w:sz w:val="10"/>
                <w:szCs w:val="10"/>
                <w:color w:val="auto"/>
              </w:rPr>
            </w:pPr>
          </w:p>
        </w:tc>
        <w:tc>
          <w:tcPr>
            <w:tcW w:w="1380" w:type="dxa"/>
            <w:vAlign w:val="bottom"/>
            <w:tcBorders>
              <w:bottom w:val="single" w:sz="8" w:color="B8CCE4"/>
            </w:tcBorders>
            <w:vMerge w:val="continue"/>
            <w:shd w:val="clear" w:color="auto" w:fill="B8CCE4"/>
          </w:tcPr>
          <w:p>
            <w:pPr>
              <w:spacing w:after="0"/>
              <w:rPr>
                <w:sz w:val="10"/>
                <w:szCs w:val="10"/>
                <w:color w:val="auto"/>
              </w:rPr>
            </w:pPr>
          </w:p>
        </w:tc>
        <w:tc>
          <w:tcPr>
            <w:tcW w:w="1700" w:type="dxa"/>
            <w:vAlign w:val="bottom"/>
            <w:tcBorders>
              <w:bottom w:val="single" w:sz="8" w:color="B8CCE4"/>
            </w:tcBorders>
            <w:vMerge w:val="continue"/>
            <w:shd w:val="clear" w:color="auto" w:fill="B8CCE4"/>
          </w:tcPr>
          <w:p>
            <w:pPr>
              <w:spacing w:after="0"/>
              <w:rPr>
                <w:sz w:val="10"/>
                <w:szCs w:val="10"/>
                <w:color w:val="auto"/>
              </w:rPr>
            </w:pPr>
          </w:p>
        </w:tc>
        <w:tc>
          <w:tcPr>
            <w:tcW w:w="1360" w:type="dxa"/>
            <w:vAlign w:val="bottom"/>
            <w:tcBorders>
              <w:bottom w:val="single" w:sz="8" w:color="B8CCE4"/>
            </w:tcBorders>
            <w:vMerge w:val="continue"/>
            <w:shd w:val="clear" w:color="auto" w:fill="B8CCE4"/>
          </w:tcPr>
          <w:p>
            <w:pPr>
              <w:spacing w:after="0"/>
              <w:rPr>
                <w:sz w:val="10"/>
                <w:szCs w:val="10"/>
                <w:color w:val="auto"/>
              </w:rPr>
            </w:pPr>
          </w:p>
        </w:tc>
        <w:tc>
          <w:tcPr>
            <w:tcW w:w="0" w:type="dxa"/>
            <w:vAlign w:val="bottom"/>
          </w:tcPr>
          <w:p>
            <w:pPr>
              <w:spacing w:after="0"/>
              <w:rPr>
                <w:sz w:val="1"/>
                <w:szCs w:val="1"/>
                <w:color w:val="auto"/>
              </w:rPr>
            </w:pPr>
          </w:p>
        </w:tc>
      </w:tr>
      <w:tr>
        <w:trPr>
          <w:trHeight w:val="379"/>
        </w:trPr>
        <w:tc>
          <w:tcPr>
            <w:tcW w:w="3780" w:type="dxa"/>
            <w:vAlign w:val="bottom"/>
            <w:shd w:val="clear" w:color="auto" w:fill="DBE5F1"/>
          </w:tcPr>
          <w:p>
            <w:pPr>
              <w:ind w:left="180"/>
              <w:spacing w:after="0"/>
              <w:rPr>
                <w:sz w:val="20"/>
                <w:szCs w:val="20"/>
                <w:color w:val="auto"/>
              </w:rPr>
            </w:pPr>
            <w:r>
              <w:rPr>
                <w:rFonts w:ascii="Arial" w:cs="Arial" w:eastAsia="Arial" w:hAnsi="Arial"/>
                <w:sz w:val="16"/>
                <w:szCs w:val="16"/>
                <w:color w:val="auto"/>
              </w:rPr>
              <w:t>Annual Cash Incentive Plan</w:t>
            </w:r>
          </w:p>
        </w:tc>
        <w:tc>
          <w:tcPr>
            <w:tcW w:w="1720" w:type="dxa"/>
            <w:vAlign w:val="bottom"/>
            <w:shd w:val="clear" w:color="auto" w:fill="DBE5F1"/>
          </w:tcPr>
          <w:p>
            <w:pPr>
              <w:jc w:val="center"/>
              <w:ind w:left="37"/>
              <w:spacing w:after="0"/>
              <w:rPr>
                <w:sz w:val="20"/>
                <w:szCs w:val="20"/>
                <w:color w:val="auto"/>
              </w:rPr>
            </w:pPr>
            <w:r>
              <w:rPr>
                <w:rFonts w:ascii="Arial" w:cs="Arial" w:eastAsia="Arial" w:hAnsi="Arial"/>
                <w:sz w:val="16"/>
                <w:szCs w:val="16"/>
                <w:color w:val="auto"/>
                <w:w w:val="98"/>
              </w:rPr>
              <w:t>Adjusted EBITDA</w:t>
            </w:r>
            <w:r>
              <w:rPr>
                <w:rFonts w:ascii="Arial" w:cs="Arial" w:eastAsia="Arial" w:hAnsi="Arial"/>
                <w:sz w:val="21"/>
                <w:szCs w:val="21"/>
                <w:color w:val="auto"/>
                <w:w w:val="98"/>
                <w:vertAlign w:val="superscript"/>
              </w:rPr>
              <w:t>*</w:t>
            </w:r>
          </w:p>
        </w:tc>
        <w:tc>
          <w:tcPr>
            <w:tcW w:w="1480" w:type="dxa"/>
            <w:vAlign w:val="bottom"/>
            <w:shd w:val="clear" w:color="auto" w:fill="DBE5F1"/>
          </w:tcPr>
          <w:p>
            <w:pPr>
              <w:jc w:val="center"/>
              <w:spacing w:after="0"/>
              <w:rPr>
                <w:sz w:val="20"/>
                <w:szCs w:val="20"/>
                <w:color w:val="auto"/>
              </w:rPr>
            </w:pPr>
            <w:r>
              <w:rPr>
                <w:rFonts w:ascii="Arial" w:cs="Arial" w:eastAsia="Arial" w:hAnsi="Arial"/>
                <w:sz w:val="16"/>
                <w:szCs w:val="16"/>
                <w:color w:val="auto"/>
                <w:w w:val="97"/>
              </w:rPr>
              <w:t>$109.8 million</w:t>
            </w:r>
          </w:p>
        </w:tc>
        <w:tc>
          <w:tcPr>
            <w:tcW w:w="1380" w:type="dxa"/>
            <w:vAlign w:val="bottom"/>
            <w:shd w:val="clear" w:color="auto" w:fill="DBE5F1"/>
          </w:tcPr>
          <w:p>
            <w:pPr>
              <w:jc w:val="center"/>
              <w:ind w:left="17"/>
              <w:spacing w:after="0"/>
              <w:rPr>
                <w:sz w:val="20"/>
                <w:szCs w:val="20"/>
                <w:color w:val="auto"/>
              </w:rPr>
            </w:pPr>
            <w:r>
              <w:rPr>
                <w:rFonts w:ascii="Arial" w:cs="Arial" w:eastAsia="Arial" w:hAnsi="Arial"/>
                <w:sz w:val="16"/>
                <w:szCs w:val="16"/>
                <w:color w:val="auto"/>
                <w:w w:val="97"/>
              </w:rPr>
              <w:t>$135.6 million</w:t>
            </w:r>
          </w:p>
        </w:tc>
        <w:tc>
          <w:tcPr>
            <w:tcW w:w="1700" w:type="dxa"/>
            <w:vAlign w:val="bottom"/>
            <w:shd w:val="clear" w:color="auto" w:fill="DBE5F1"/>
          </w:tcPr>
          <w:p>
            <w:pPr>
              <w:jc w:val="center"/>
              <w:spacing w:after="0"/>
              <w:rPr>
                <w:sz w:val="20"/>
                <w:szCs w:val="20"/>
                <w:color w:val="auto"/>
              </w:rPr>
            </w:pPr>
            <w:r>
              <w:rPr>
                <w:rFonts w:ascii="Arial" w:cs="Arial" w:eastAsia="Arial" w:hAnsi="Arial"/>
                <w:sz w:val="16"/>
                <w:szCs w:val="16"/>
                <w:color w:val="auto"/>
                <w:w w:val="87"/>
              </w:rPr>
              <w:t>Exceeded</w:t>
            </w:r>
          </w:p>
        </w:tc>
        <w:tc>
          <w:tcPr>
            <w:tcW w:w="1360" w:type="dxa"/>
            <w:vAlign w:val="bottom"/>
            <w:shd w:val="clear" w:color="auto" w:fill="DBE5F1"/>
          </w:tcPr>
          <w:p>
            <w:pPr>
              <w:jc w:val="center"/>
              <w:ind w:right="17"/>
              <w:spacing w:after="0"/>
              <w:rPr>
                <w:sz w:val="20"/>
                <w:szCs w:val="20"/>
                <w:color w:val="auto"/>
              </w:rPr>
            </w:pPr>
            <w:r>
              <w:rPr>
                <w:rFonts w:ascii="Arial" w:cs="Arial" w:eastAsia="Arial" w:hAnsi="Arial"/>
                <w:sz w:val="16"/>
                <w:szCs w:val="16"/>
                <w:color w:val="auto"/>
                <w:w w:val="95"/>
              </w:rPr>
              <w:t>$188.5 million</w:t>
            </w:r>
          </w:p>
        </w:tc>
        <w:tc>
          <w:tcPr>
            <w:tcW w:w="0" w:type="dxa"/>
            <w:vAlign w:val="bottom"/>
          </w:tcPr>
          <w:p>
            <w:pPr>
              <w:spacing w:after="0"/>
              <w:rPr>
                <w:sz w:val="1"/>
                <w:szCs w:val="1"/>
                <w:color w:val="auto"/>
              </w:rPr>
            </w:pPr>
          </w:p>
        </w:tc>
      </w:tr>
      <w:tr>
        <w:trPr>
          <w:trHeight w:val="313"/>
        </w:trPr>
        <w:tc>
          <w:tcPr>
            <w:tcW w:w="3780" w:type="dxa"/>
            <w:vAlign w:val="bottom"/>
            <w:shd w:val="clear" w:color="auto" w:fill="DBE5F1"/>
          </w:tcPr>
          <w:p>
            <w:pPr>
              <w:ind w:left="180"/>
              <w:spacing w:after="0"/>
              <w:rPr>
                <w:sz w:val="20"/>
                <w:szCs w:val="20"/>
                <w:color w:val="auto"/>
              </w:rPr>
            </w:pPr>
            <w:r>
              <w:rPr>
                <w:rFonts w:ascii="Arial" w:cs="Arial" w:eastAsia="Arial" w:hAnsi="Arial"/>
                <w:sz w:val="16"/>
                <w:szCs w:val="16"/>
                <w:color w:val="auto"/>
                <w:w w:val="96"/>
              </w:rPr>
              <w:t>Annual Restricted Stock Award Based on Prior Year</w:t>
            </w:r>
          </w:p>
        </w:tc>
        <w:tc>
          <w:tcPr>
            <w:tcW w:w="1720" w:type="dxa"/>
            <w:vAlign w:val="bottom"/>
            <w:vMerge w:val="restart"/>
            <w:shd w:val="clear" w:color="auto" w:fill="DBE5F1"/>
          </w:tcPr>
          <w:p>
            <w:pPr>
              <w:jc w:val="center"/>
              <w:ind w:left="37"/>
              <w:spacing w:after="0"/>
              <w:rPr>
                <w:sz w:val="20"/>
                <w:szCs w:val="20"/>
                <w:color w:val="auto"/>
              </w:rPr>
            </w:pPr>
            <w:r>
              <w:rPr>
                <w:rFonts w:ascii="Arial" w:cs="Arial" w:eastAsia="Arial" w:hAnsi="Arial"/>
                <w:sz w:val="16"/>
                <w:szCs w:val="16"/>
                <w:color w:val="auto"/>
                <w:w w:val="95"/>
              </w:rPr>
              <w:t>Non-GAAP Net</w:t>
            </w:r>
          </w:p>
        </w:tc>
        <w:tc>
          <w:tcPr>
            <w:tcW w:w="1480" w:type="dxa"/>
            <w:vAlign w:val="bottom"/>
            <w:shd w:val="clear" w:color="auto" w:fill="DBE5F1"/>
          </w:tcPr>
          <w:p>
            <w:pPr>
              <w:spacing w:after="0"/>
              <w:rPr>
                <w:sz w:val="24"/>
                <w:szCs w:val="24"/>
                <w:color w:val="auto"/>
              </w:rPr>
            </w:pPr>
          </w:p>
        </w:tc>
        <w:tc>
          <w:tcPr>
            <w:tcW w:w="1380" w:type="dxa"/>
            <w:vAlign w:val="bottom"/>
            <w:shd w:val="clear" w:color="auto" w:fill="DBE5F1"/>
          </w:tcPr>
          <w:p>
            <w:pPr>
              <w:spacing w:after="0"/>
              <w:rPr>
                <w:sz w:val="24"/>
                <w:szCs w:val="24"/>
                <w:color w:val="auto"/>
              </w:rPr>
            </w:pPr>
          </w:p>
        </w:tc>
        <w:tc>
          <w:tcPr>
            <w:tcW w:w="1700" w:type="dxa"/>
            <w:vAlign w:val="bottom"/>
            <w:shd w:val="clear" w:color="auto" w:fill="DBE5F1"/>
          </w:tcPr>
          <w:p>
            <w:pPr>
              <w:spacing w:after="0"/>
              <w:rPr>
                <w:sz w:val="24"/>
                <w:szCs w:val="24"/>
                <w:color w:val="auto"/>
              </w:rPr>
            </w:pPr>
          </w:p>
        </w:tc>
        <w:tc>
          <w:tcPr>
            <w:tcW w:w="1360" w:type="dxa"/>
            <w:vAlign w:val="bottom"/>
            <w:shd w:val="clear" w:color="auto" w:fill="DBE5F1"/>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3780" w:type="dxa"/>
            <w:vAlign w:val="bottom"/>
            <w:vMerge w:val="restart"/>
            <w:shd w:val="clear" w:color="auto" w:fill="DBE5F1"/>
          </w:tcPr>
          <w:p>
            <w:pPr>
              <w:ind w:left="180"/>
              <w:spacing w:after="0"/>
              <w:rPr>
                <w:sz w:val="20"/>
                <w:szCs w:val="20"/>
                <w:color w:val="auto"/>
              </w:rPr>
            </w:pPr>
            <w:r>
              <w:rPr>
                <w:rFonts w:ascii="Arial" w:cs="Arial" w:eastAsia="Arial" w:hAnsi="Arial"/>
                <w:sz w:val="16"/>
                <w:szCs w:val="16"/>
                <w:color w:val="auto"/>
              </w:rPr>
              <w:t>Performance (which we refer to as “annual</w:t>
            </w:r>
          </w:p>
        </w:tc>
        <w:tc>
          <w:tcPr>
            <w:tcW w:w="1720" w:type="dxa"/>
            <w:vAlign w:val="bottom"/>
            <w:vMerge w:val="continue"/>
            <w:shd w:val="clear" w:color="auto" w:fill="DBE5F1"/>
          </w:tcPr>
          <w:p>
            <w:pPr>
              <w:spacing w:after="0"/>
              <w:rPr>
                <w:sz w:val="11"/>
                <w:szCs w:val="11"/>
                <w:color w:val="auto"/>
              </w:rPr>
            </w:pPr>
          </w:p>
        </w:tc>
        <w:tc>
          <w:tcPr>
            <w:tcW w:w="1480" w:type="dxa"/>
            <w:vAlign w:val="bottom"/>
            <w:vMerge w:val="restart"/>
            <w:shd w:val="clear" w:color="auto" w:fill="DBE5F1"/>
          </w:tcPr>
          <w:p>
            <w:pPr>
              <w:jc w:val="center"/>
              <w:spacing w:after="0"/>
              <w:rPr>
                <w:sz w:val="20"/>
                <w:szCs w:val="20"/>
                <w:color w:val="auto"/>
              </w:rPr>
            </w:pPr>
            <w:r>
              <w:rPr>
                <w:rFonts w:ascii="Arial" w:cs="Arial" w:eastAsia="Arial" w:hAnsi="Arial"/>
                <w:sz w:val="16"/>
                <w:szCs w:val="16"/>
                <w:color w:val="auto"/>
                <w:w w:val="97"/>
              </w:rPr>
              <w:t>$50.4 million</w:t>
            </w:r>
          </w:p>
        </w:tc>
        <w:tc>
          <w:tcPr>
            <w:tcW w:w="1380" w:type="dxa"/>
            <w:vAlign w:val="bottom"/>
            <w:vMerge w:val="restart"/>
            <w:shd w:val="clear" w:color="auto" w:fill="DBE5F1"/>
          </w:tcPr>
          <w:p>
            <w:pPr>
              <w:jc w:val="center"/>
              <w:ind w:left="17"/>
              <w:spacing w:after="0"/>
              <w:rPr>
                <w:sz w:val="20"/>
                <w:szCs w:val="20"/>
                <w:color w:val="auto"/>
              </w:rPr>
            </w:pPr>
            <w:r>
              <w:rPr>
                <w:rFonts w:ascii="Arial" w:cs="Arial" w:eastAsia="Arial" w:hAnsi="Arial"/>
                <w:sz w:val="16"/>
                <w:szCs w:val="16"/>
                <w:color w:val="auto"/>
                <w:w w:val="97"/>
              </w:rPr>
              <w:t>$65.9 million</w:t>
            </w:r>
          </w:p>
        </w:tc>
        <w:tc>
          <w:tcPr>
            <w:tcW w:w="1700" w:type="dxa"/>
            <w:vAlign w:val="bottom"/>
            <w:vMerge w:val="restart"/>
            <w:shd w:val="clear" w:color="auto" w:fill="DBE5F1"/>
          </w:tcPr>
          <w:p>
            <w:pPr>
              <w:jc w:val="center"/>
              <w:spacing w:after="0"/>
              <w:rPr>
                <w:sz w:val="20"/>
                <w:szCs w:val="20"/>
                <w:color w:val="auto"/>
              </w:rPr>
            </w:pPr>
            <w:r>
              <w:rPr>
                <w:rFonts w:ascii="Arial" w:cs="Arial" w:eastAsia="Arial" w:hAnsi="Arial"/>
                <w:sz w:val="16"/>
                <w:szCs w:val="16"/>
                <w:color w:val="auto"/>
                <w:w w:val="87"/>
              </w:rPr>
              <w:t>Exceeded</w:t>
            </w:r>
          </w:p>
        </w:tc>
        <w:tc>
          <w:tcPr>
            <w:tcW w:w="1360" w:type="dxa"/>
            <w:vAlign w:val="bottom"/>
            <w:vMerge w:val="restart"/>
            <w:shd w:val="clear" w:color="auto" w:fill="DBE5F1"/>
          </w:tcPr>
          <w:p>
            <w:pPr>
              <w:jc w:val="center"/>
              <w:ind w:right="17"/>
              <w:spacing w:after="0"/>
              <w:rPr>
                <w:sz w:val="20"/>
                <w:szCs w:val="20"/>
                <w:color w:val="auto"/>
              </w:rPr>
            </w:pPr>
            <w:r>
              <w:rPr>
                <w:rFonts w:ascii="Arial" w:cs="Arial" w:eastAsia="Arial" w:hAnsi="Arial"/>
                <w:sz w:val="16"/>
                <w:szCs w:val="16"/>
                <w:color w:val="auto"/>
                <w:w w:val="95"/>
              </w:rPr>
              <w:t>$101.0 million</w:t>
            </w:r>
          </w:p>
        </w:tc>
        <w:tc>
          <w:tcPr>
            <w:tcW w:w="0" w:type="dxa"/>
            <w:vAlign w:val="bottom"/>
          </w:tcPr>
          <w:p>
            <w:pPr>
              <w:spacing w:after="0"/>
              <w:rPr>
                <w:sz w:val="1"/>
                <w:szCs w:val="1"/>
                <w:color w:val="auto"/>
              </w:rPr>
            </w:pPr>
          </w:p>
        </w:tc>
      </w:tr>
      <w:tr>
        <w:trPr>
          <w:trHeight w:val="68"/>
        </w:trPr>
        <w:tc>
          <w:tcPr>
            <w:tcW w:w="3780" w:type="dxa"/>
            <w:vAlign w:val="bottom"/>
            <w:vMerge w:val="continue"/>
            <w:shd w:val="clear" w:color="auto" w:fill="DBE5F1"/>
          </w:tcPr>
          <w:p>
            <w:pPr>
              <w:spacing w:after="0"/>
              <w:rPr>
                <w:sz w:val="5"/>
                <w:szCs w:val="5"/>
                <w:color w:val="auto"/>
              </w:rPr>
            </w:pPr>
          </w:p>
        </w:tc>
        <w:tc>
          <w:tcPr>
            <w:tcW w:w="1720" w:type="dxa"/>
            <w:vAlign w:val="bottom"/>
            <w:vMerge w:val="restart"/>
            <w:shd w:val="clear" w:color="auto" w:fill="DBE5F1"/>
          </w:tcPr>
          <w:p>
            <w:pPr>
              <w:jc w:val="center"/>
              <w:ind w:left="57"/>
              <w:spacing w:after="0" w:line="226" w:lineRule="exact"/>
              <w:rPr>
                <w:sz w:val="20"/>
                <w:szCs w:val="20"/>
                <w:color w:val="auto"/>
              </w:rPr>
            </w:pPr>
            <w:r>
              <w:rPr>
                <w:rFonts w:ascii="Arial" w:cs="Arial" w:eastAsia="Arial" w:hAnsi="Arial"/>
                <w:sz w:val="16"/>
                <w:szCs w:val="16"/>
                <w:color w:val="auto"/>
                <w:w w:val="93"/>
              </w:rPr>
              <w:t>Income</w:t>
            </w:r>
            <w:r>
              <w:rPr>
                <w:rFonts w:ascii="Arial" w:cs="Arial" w:eastAsia="Arial" w:hAnsi="Arial"/>
                <w:sz w:val="21"/>
                <w:szCs w:val="21"/>
                <w:color w:val="auto"/>
                <w:w w:val="93"/>
                <w:vertAlign w:val="superscript"/>
              </w:rPr>
              <w:t>*</w:t>
            </w:r>
          </w:p>
        </w:tc>
        <w:tc>
          <w:tcPr>
            <w:tcW w:w="1480" w:type="dxa"/>
            <w:vAlign w:val="bottom"/>
            <w:vMerge w:val="continue"/>
            <w:shd w:val="clear" w:color="auto" w:fill="DBE5F1"/>
          </w:tcPr>
          <w:p>
            <w:pPr>
              <w:spacing w:after="0"/>
              <w:rPr>
                <w:sz w:val="5"/>
                <w:szCs w:val="5"/>
                <w:color w:val="auto"/>
              </w:rPr>
            </w:pPr>
          </w:p>
        </w:tc>
        <w:tc>
          <w:tcPr>
            <w:tcW w:w="1380" w:type="dxa"/>
            <w:vAlign w:val="bottom"/>
            <w:vMerge w:val="continue"/>
            <w:shd w:val="clear" w:color="auto" w:fill="DBE5F1"/>
          </w:tcPr>
          <w:p>
            <w:pPr>
              <w:spacing w:after="0"/>
              <w:rPr>
                <w:sz w:val="5"/>
                <w:szCs w:val="5"/>
                <w:color w:val="auto"/>
              </w:rPr>
            </w:pPr>
          </w:p>
        </w:tc>
        <w:tc>
          <w:tcPr>
            <w:tcW w:w="1700" w:type="dxa"/>
            <w:vAlign w:val="bottom"/>
            <w:vMerge w:val="continue"/>
            <w:shd w:val="clear" w:color="auto" w:fill="DBE5F1"/>
          </w:tcPr>
          <w:p>
            <w:pPr>
              <w:spacing w:after="0"/>
              <w:rPr>
                <w:sz w:val="5"/>
                <w:szCs w:val="5"/>
                <w:color w:val="auto"/>
              </w:rPr>
            </w:pPr>
          </w:p>
        </w:tc>
        <w:tc>
          <w:tcPr>
            <w:tcW w:w="1360" w:type="dxa"/>
            <w:vAlign w:val="bottom"/>
            <w:vMerge w:val="continue"/>
            <w:shd w:val="clear" w:color="auto" w:fill="DBE5F1"/>
          </w:tcPr>
          <w:p>
            <w:pPr>
              <w:spacing w:after="0"/>
              <w:rPr>
                <w:sz w:val="5"/>
                <w:szCs w:val="5"/>
                <w:color w:val="auto"/>
              </w:rPr>
            </w:pPr>
          </w:p>
        </w:tc>
        <w:tc>
          <w:tcPr>
            <w:tcW w:w="0" w:type="dxa"/>
            <w:vAlign w:val="bottom"/>
          </w:tcPr>
          <w:p>
            <w:pPr>
              <w:spacing w:after="0"/>
              <w:rPr>
                <w:sz w:val="1"/>
                <w:szCs w:val="1"/>
                <w:color w:val="auto"/>
              </w:rPr>
            </w:pPr>
          </w:p>
        </w:tc>
      </w:tr>
      <w:tr>
        <w:trPr>
          <w:trHeight w:val="158"/>
        </w:trPr>
        <w:tc>
          <w:tcPr>
            <w:tcW w:w="3780" w:type="dxa"/>
            <w:vAlign w:val="bottom"/>
            <w:vMerge w:val="restart"/>
            <w:shd w:val="clear" w:color="auto" w:fill="DBE5F1"/>
          </w:tcPr>
          <w:p>
            <w:pPr>
              <w:ind w:left="180"/>
              <w:spacing w:after="0"/>
              <w:rPr>
                <w:sz w:val="20"/>
                <w:szCs w:val="20"/>
                <w:color w:val="auto"/>
              </w:rPr>
            </w:pPr>
            <w:r>
              <w:rPr>
                <w:rFonts w:ascii="Arial" w:cs="Arial" w:eastAsia="Arial" w:hAnsi="Arial"/>
                <w:sz w:val="16"/>
                <w:szCs w:val="16"/>
                <w:color w:val="auto"/>
              </w:rPr>
              <w:t>performance-based restricted stock”)</w:t>
            </w:r>
          </w:p>
        </w:tc>
        <w:tc>
          <w:tcPr>
            <w:tcW w:w="1720" w:type="dxa"/>
            <w:vAlign w:val="bottom"/>
            <w:vMerge w:val="continue"/>
            <w:shd w:val="clear" w:color="auto" w:fill="DBE5F1"/>
          </w:tcPr>
          <w:p>
            <w:pPr>
              <w:spacing w:after="0"/>
              <w:rPr>
                <w:sz w:val="13"/>
                <w:szCs w:val="13"/>
                <w:color w:val="auto"/>
              </w:rPr>
            </w:pPr>
          </w:p>
        </w:tc>
        <w:tc>
          <w:tcPr>
            <w:tcW w:w="1480" w:type="dxa"/>
            <w:vAlign w:val="bottom"/>
            <w:shd w:val="clear" w:color="auto" w:fill="DBE5F1"/>
          </w:tcPr>
          <w:p>
            <w:pPr>
              <w:spacing w:after="0"/>
              <w:rPr>
                <w:sz w:val="13"/>
                <w:szCs w:val="13"/>
                <w:color w:val="auto"/>
              </w:rPr>
            </w:pPr>
          </w:p>
        </w:tc>
        <w:tc>
          <w:tcPr>
            <w:tcW w:w="1380" w:type="dxa"/>
            <w:vAlign w:val="bottom"/>
            <w:shd w:val="clear" w:color="auto" w:fill="DBE5F1"/>
          </w:tcPr>
          <w:p>
            <w:pPr>
              <w:spacing w:after="0"/>
              <w:rPr>
                <w:sz w:val="13"/>
                <w:szCs w:val="13"/>
                <w:color w:val="auto"/>
              </w:rPr>
            </w:pPr>
          </w:p>
        </w:tc>
        <w:tc>
          <w:tcPr>
            <w:tcW w:w="1700" w:type="dxa"/>
            <w:vAlign w:val="bottom"/>
            <w:shd w:val="clear" w:color="auto" w:fill="DBE5F1"/>
          </w:tcPr>
          <w:p>
            <w:pPr>
              <w:spacing w:after="0"/>
              <w:rPr>
                <w:sz w:val="13"/>
                <w:szCs w:val="13"/>
                <w:color w:val="auto"/>
              </w:rPr>
            </w:pPr>
          </w:p>
        </w:tc>
        <w:tc>
          <w:tcPr>
            <w:tcW w:w="1360" w:type="dxa"/>
            <w:vAlign w:val="bottom"/>
            <w:shd w:val="clear" w:color="auto" w:fill="DBE5F1"/>
          </w:tcPr>
          <w:p>
            <w:pPr>
              <w:spacing w:after="0"/>
              <w:rPr>
                <w:sz w:val="13"/>
                <w:szCs w:val="13"/>
                <w:color w:val="auto"/>
              </w:rPr>
            </w:pPr>
          </w:p>
        </w:tc>
        <w:tc>
          <w:tcPr>
            <w:tcW w:w="0" w:type="dxa"/>
            <w:vAlign w:val="bottom"/>
          </w:tcPr>
          <w:p>
            <w:pPr>
              <w:spacing w:after="0"/>
              <w:rPr>
                <w:sz w:val="1"/>
                <w:szCs w:val="1"/>
                <w:color w:val="auto"/>
              </w:rPr>
            </w:pPr>
          </w:p>
        </w:tc>
      </w:tr>
      <w:tr>
        <w:trPr>
          <w:trHeight w:val="48"/>
        </w:trPr>
        <w:tc>
          <w:tcPr>
            <w:tcW w:w="3780" w:type="dxa"/>
            <w:vAlign w:val="bottom"/>
            <w:vMerge w:val="continue"/>
            <w:shd w:val="clear" w:color="auto" w:fill="DBE5F1"/>
          </w:tcPr>
          <w:p>
            <w:pPr>
              <w:spacing w:after="0"/>
              <w:rPr>
                <w:sz w:val="4"/>
                <w:szCs w:val="4"/>
                <w:color w:val="auto"/>
              </w:rPr>
            </w:pPr>
          </w:p>
        </w:tc>
        <w:tc>
          <w:tcPr>
            <w:tcW w:w="1720" w:type="dxa"/>
            <w:vAlign w:val="bottom"/>
            <w:shd w:val="clear" w:color="auto" w:fill="DBE5F1"/>
          </w:tcPr>
          <w:p>
            <w:pPr>
              <w:spacing w:after="0"/>
              <w:rPr>
                <w:sz w:val="4"/>
                <w:szCs w:val="4"/>
                <w:color w:val="auto"/>
              </w:rPr>
            </w:pPr>
          </w:p>
        </w:tc>
        <w:tc>
          <w:tcPr>
            <w:tcW w:w="1480" w:type="dxa"/>
            <w:vAlign w:val="bottom"/>
            <w:shd w:val="clear" w:color="auto" w:fill="DBE5F1"/>
          </w:tcPr>
          <w:p>
            <w:pPr>
              <w:spacing w:after="0"/>
              <w:rPr>
                <w:sz w:val="4"/>
                <w:szCs w:val="4"/>
                <w:color w:val="auto"/>
              </w:rPr>
            </w:pPr>
          </w:p>
        </w:tc>
        <w:tc>
          <w:tcPr>
            <w:tcW w:w="1380" w:type="dxa"/>
            <w:vAlign w:val="bottom"/>
            <w:shd w:val="clear" w:color="auto" w:fill="DBE5F1"/>
          </w:tcPr>
          <w:p>
            <w:pPr>
              <w:spacing w:after="0"/>
              <w:rPr>
                <w:sz w:val="4"/>
                <w:szCs w:val="4"/>
                <w:color w:val="auto"/>
              </w:rPr>
            </w:pPr>
          </w:p>
        </w:tc>
        <w:tc>
          <w:tcPr>
            <w:tcW w:w="1700" w:type="dxa"/>
            <w:vAlign w:val="bottom"/>
            <w:shd w:val="clear" w:color="auto" w:fill="DBE5F1"/>
          </w:tcPr>
          <w:p>
            <w:pPr>
              <w:spacing w:after="0"/>
              <w:rPr>
                <w:sz w:val="4"/>
                <w:szCs w:val="4"/>
                <w:color w:val="auto"/>
              </w:rPr>
            </w:pPr>
          </w:p>
        </w:tc>
        <w:tc>
          <w:tcPr>
            <w:tcW w:w="1360" w:type="dxa"/>
            <w:vAlign w:val="bottom"/>
            <w:shd w:val="clear" w:color="auto" w:fill="DBE5F1"/>
          </w:tcPr>
          <w:p>
            <w:pPr>
              <w:spacing w:after="0"/>
              <w:rPr>
                <w:sz w:val="4"/>
                <w:szCs w:val="4"/>
                <w:color w:val="auto"/>
              </w:rPr>
            </w:pPr>
          </w:p>
        </w:tc>
        <w:tc>
          <w:tcPr>
            <w:tcW w:w="0" w:type="dxa"/>
            <w:vAlign w:val="bottom"/>
          </w:tcPr>
          <w:p>
            <w:pPr>
              <w:spacing w:after="0"/>
              <w:rPr>
                <w:sz w:val="1"/>
                <w:szCs w:val="1"/>
                <w:color w:val="auto"/>
              </w:rPr>
            </w:pPr>
          </w:p>
        </w:tc>
      </w:tr>
      <w:tr>
        <w:trPr>
          <w:trHeight w:val="446"/>
        </w:trPr>
        <w:tc>
          <w:tcPr>
            <w:tcW w:w="3780" w:type="dxa"/>
            <w:vAlign w:val="bottom"/>
            <w:shd w:val="clear" w:color="auto" w:fill="DBE5F1"/>
          </w:tcPr>
          <w:p>
            <w:pPr>
              <w:ind w:left="180"/>
              <w:spacing w:after="0"/>
              <w:rPr>
                <w:sz w:val="20"/>
                <w:szCs w:val="20"/>
                <w:color w:val="auto"/>
              </w:rPr>
            </w:pPr>
            <w:r>
              <w:rPr>
                <w:rFonts w:ascii="Arial" w:cs="Arial" w:eastAsia="Arial" w:hAnsi="Arial"/>
                <w:sz w:val="16"/>
                <w:szCs w:val="16"/>
                <w:color w:val="auto"/>
              </w:rPr>
              <w:t>Long-Term Performance-Based Restricted Stock</w:t>
            </w:r>
          </w:p>
        </w:tc>
        <w:tc>
          <w:tcPr>
            <w:tcW w:w="1720" w:type="dxa"/>
            <w:vAlign w:val="bottom"/>
            <w:shd w:val="clear" w:color="auto" w:fill="DBE5F1"/>
          </w:tcPr>
          <w:p>
            <w:pPr>
              <w:jc w:val="center"/>
              <w:spacing w:after="0"/>
              <w:rPr>
                <w:sz w:val="20"/>
                <w:szCs w:val="20"/>
                <w:color w:val="auto"/>
              </w:rPr>
            </w:pPr>
            <w:r>
              <w:rPr>
                <w:rFonts w:ascii="Arial" w:cs="Arial" w:eastAsia="Arial" w:hAnsi="Arial"/>
                <w:sz w:val="16"/>
                <w:szCs w:val="16"/>
                <w:color w:val="auto"/>
                <w:w w:val="87"/>
              </w:rPr>
              <w:t>Revenue</w:t>
            </w:r>
          </w:p>
        </w:tc>
        <w:tc>
          <w:tcPr>
            <w:tcW w:w="1480" w:type="dxa"/>
            <w:vAlign w:val="bottom"/>
            <w:shd w:val="clear" w:color="auto" w:fill="DBE5F1"/>
          </w:tcPr>
          <w:p>
            <w:pPr>
              <w:jc w:val="center"/>
              <w:spacing w:after="0"/>
              <w:rPr>
                <w:sz w:val="20"/>
                <w:szCs w:val="20"/>
                <w:color w:val="auto"/>
              </w:rPr>
            </w:pPr>
            <w:r>
              <w:rPr>
                <w:rFonts w:ascii="Arial" w:cs="Arial" w:eastAsia="Arial" w:hAnsi="Arial"/>
                <w:sz w:val="16"/>
                <w:szCs w:val="16"/>
                <w:color w:val="auto"/>
                <w:w w:val="91"/>
              </w:rPr>
              <w:t>Not disclosed</w:t>
            </w:r>
          </w:p>
        </w:tc>
        <w:tc>
          <w:tcPr>
            <w:tcW w:w="1380" w:type="dxa"/>
            <w:vAlign w:val="bottom"/>
            <w:shd w:val="clear" w:color="auto" w:fill="DBE5F1"/>
          </w:tcPr>
          <w:p>
            <w:pPr>
              <w:jc w:val="center"/>
              <w:ind w:left="37"/>
              <w:spacing w:after="0"/>
              <w:rPr>
                <w:sz w:val="20"/>
                <w:szCs w:val="20"/>
                <w:color w:val="auto"/>
              </w:rPr>
            </w:pPr>
            <w:r>
              <w:rPr>
                <w:rFonts w:ascii="Arial" w:cs="Arial" w:eastAsia="Arial" w:hAnsi="Arial"/>
                <w:sz w:val="16"/>
                <w:szCs w:val="16"/>
                <w:color w:val="auto"/>
                <w:w w:val="96"/>
              </w:rPr>
              <w:t>$712 million</w:t>
            </w:r>
          </w:p>
        </w:tc>
        <w:tc>
          <w:tcPr>
            <w:tcW w:w="1700" w:type="dxa"/>
            <w:vAlign w:val="bottom"/>
            <w:shd w:val="clear" w:color="auto" w:fill="DBE5F1"/>
          </w:tcPr>
          <w:p>
            <w:pPr>
              <w:jc w:val="center"/>
              <w:spacing w:after="0"/>
              <w:rPr>
                <w:sz w:val="20"/>
                <w:szCs w:val="20"/>
                <w:color w:val="auto"/>
              </w:rPr>
            </w:pPr>
            <w:r>
              <w:rPr>
                <w:rFonts w:ascii="Arial" w:cs="Arial" w:eastAsia="Arial" w:hAnsi="Arial"/>
                <w:sz w:val="16"/>
                <w:szCs w:val="16"/>
                <w:color w:val="auto"/>
                <w:w w:val="98"/>
              </w:rPr>
              <w:t>NA</w:t>
            </w:r>
          </w:p>
        </w:tc>
        <w:tc>
          <w:tcPr>
            <w:tcW w:w="1360" w:type="dxa"/>
            <w:vAlign w:val="bottom"/>
            <w:shd w:val="clear" w:color="auto" w:fill="DBE5F1"/>
          </w:tcPr>
          <w:p>
            <w:pPr>
              <w:jc w:val="center"/>
              <w:ind w:right="17"/>
              <w:spacing w:after="0"/>
              <w:rPr>
                <w:sz w:val="20"/>
                <w:szCs w:val="20"/>
                <w:color w:val="auto"/>
              </w:rPr>
            </w:pPr>
            <w:r>
              <w:rPr>
                <w:rFonts w:ascii="Arial" w:cs="Arial" w:eastAsia="Arial" w:hAnsi="Arial"/>
                <w:sz w:val="16"/>
                <w:szCs w:val="16"/>
                <w:color w:val="auto"/>
                <w:w w:val="96"/>
              </w:rPr>
              <w:t>$576 million</w:t>
            </w:r>
          </w:p>
        </w:tc>
        <w:tc>
          <w:tcPr>
            <w:tcW w:w="0" w:type="dxa"/>
            <w:vAlign w:val="bottom"/>
          </w:tcPr>
          <w:p>
            <w:pPr>
              <w:spacing w:after="0"/>
              <w:rPr>
                <w:sz w:val="1"/>
                <w:szCs w:val="1"/>
                <w:color w:val="auto"/>
              </w:rPr>
            </w:pPr>
          </w:p>
        </w:tc>
      </w:tr>
      <w:tr>
        <w:trPr>
          <w:trHeight w:val="114"/>
        </w:trPr>
        <w:tc>
          <w:tcPr>
            <w:tcW w:w="3780" w:type="dxa"/>
            <w:vAlign w:val="bottom"/>
            <w:shd w:val="clear" w:color="auto" w:fill="DBE5F1"/>
          </w:tcPr>
          <w:p>
            <w:pPr>
              <w:spacing w:after="0"/>
              <w:rPr>
                <w:sz w:val="9"/>
                <w:szCs w:val="9"/>
                <w:color w:val="auto"/>
              </w:rPr>
            </w:pPr>
          </w:p>
        </w:tc>
        <w:tc>
          <w:tcPr>
            <w:tcW w:w="1720" w:type="dxa"/>
            <w:vAlign w:val="bottom"/>
            <w:shd w:val="clear" w:color="auto" w:fill="DBE5F1"/>
          </w:tcPr>
          <w:p>
            <w:pPr>
              <w:spacing w:after="0"/>
              <w:rPr>
                <w:sz w:val="9"/>
                <w:szCs w:val="9"/>
                <w:color w:val="auto"/>
              </w:rPr>
            </w:pPr>
          </w:p>
        </w:tc>
        <w:tc>
          <w:tcPr>
            <w:tcW w:w="1480" w:type="dxa"/>
            <w:vAlign w:val="bottom"/>
            <w:shd w:val="clear" w:color="auto" w:fill="DBE5F1"/>
          </w:tcPr>
          <w:p>
            <w:pPr>
              <w:spacing w:after="0"/>
              <w:rPr>
                <w:sz w:val="9"/>
                <w:szCs w:val="9"/>
                <w:color w:val="auto"/>
              </w:rPr>
            </w:pPr>
          </w:p>
        </w:tc>
        <w:tc>
          <w:tcPr>
            <w:tcW w:w="1380" w:type="dxa"/>
            <w:vAlign w:val="bottom"/>
            <w:shd w:val="clear" w:color="auto" w:fill="DBE5F1"/>
          </w:tcPr>
          <w:p>
            <w:pPr>
              <w:spacing w:after="0"/>
              <w:rPr>
                <w:sz w:val="9"/>
                <w:szCs w:val="9"/>
                <w:color w:val="auto"/>
              </w:rPr>
            </w:pPr>
          </w:p>
        </w:tc>
        <w:tc>
          <w:tcPr>
            <w:tcW w:w="1700" w:type="dxa"/>
            <w:vAlign w:val="bottom"/>
            <w:shd w:val="clear" w:color="auto" w:fill="DBE5F1"/>
          </w:tcPr>
          <w:p>
            <w:pPr>
              <w:spacing w:after="0"/>
              <w:rPr>
                <w:sz w:val="9"/>
                <w:szCs w:val="9"/>
                <w:color w:val="auto"/>
              </w:rPr>
            </w:pPr>
          </w:p>
        </w:tc>
        <w:tc>
          <w:tcPr>
            <w:tcW w:w="1360" w:type="dxa"/>
            <w:vAlign w:val="bottom"/>
            <w:shd w:val="clear" w:color="auto" w:fill="DBE5F1"/>
          </w:tcPr>
          <w:p>
            <w:pPr>
              <w:spacing w:after="0"/>
              <w:rPr>
                <w:sz w:val="9"/>
                <w:szCs w:val="9"/>
                <w:color w:val="auto"/>
              </w:rPr>
            </w:pPr>
          </w:p>
        </w:tc>
        <w:tc>
          <w:tcPr>
            <w:tcW w:w="0" w:type="dxa"/>
            <w:vAlign w:val="bottom"/>
          </w:tcPr>
          <w:p>
            <w:pPr>
              <w:spacing w:after="0"/>
              <w:rPr>
                <w:sz w:val="1"/>
                <w:szCs w:val="1"/>
                <w:color w:val="auto"/>
              </w:rPr>
            </w:pPr>
          </w:p>
        </w:tc>
      </w:tr>
    </w:tbl>
    <w:p>
      <w:pPr>
        <w:spacing w:after="0" w:line="17" w:lineRule="exact"/>
        <w:rPr>
          <w:sz w:val="20"/>
          <w:szCs w:val="20"/>
          <w:color w:val="auto"/>
        </w:rPr>
      </w:pPr>
    </w:p>
    <w:p>
      <w:pPr>
        <w:jc w:val="both"/>
        <w:ind w:left="340" w:hanging="143"/>
        <w:spacing w:after="0" w:line="279" w:lineRule="auto"/>
        <w:tabs>
          <w:tab w:leader="none" w:pos="353" w:val="left"/>
        </w:tabs>
        <w:numPr>
          <w:ilvl w:val="0"/>
          <w:numId w:val="31"/>
        </w:numPr>
        <w:rPr>
          <w:rFonts w:ascii="Arial" w:cs="Arial" w:eastAsia="Arial" w:hAnsi="Arial"/>
          <w:sz w:val="18"/>
          <w:szCs w:val="18"/>
          <w:b w:val="1"/>
          <w:bCs w:val="1"/>
          <w:color w:val="auto"/>
        </w:rPr>
      </w:pPr>
      <w:r>
        <w:rPr>
          <w:rFonts w:ascii="Arial" w:cs="Arial" w:eastAsia="Arial" w:hAnsi="Arial"/>
          <w:sz w:val="16"/>
          <w:szCs w:val="16"/>
          <w:color w:val="auto"/>
        </w:rPr>
        <w:t>Definitions for EBITDA, adjusted EBITDA and non-GAAP net income can be found in the Company’s Annual Report on Form 10-K filed with the Commission on February 26, 2016. A reconciliation of the EBITDA, adjusted EBITDA and non-GAAP net income numbers discussed above to their respective GAAP basis results can be found in Appendix C. Adjusted EBITDA and non-GAAP net income are also defined below under the subsections titled “Annual Cash Incentive Program” and “Equity Incentive Plan” within the section titled “Compensation Discussion and Analysis” of this Proxy Statement.</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color w:val="auto"/>
        </w:rPr>
        <w:t>We are not disclosing the 3-year cumulative revenue target for the long-term performance shares for competitive reasons.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5978A5"/>
        </w:rPr>
        <w:t>Setting Challenging Targets Based on Market Conditions and Corporate Strategy</w:t>
      </w:r>
    </w:p>
    <w:p>
      <w:pPr>
        <w:spacing w:after="0" w:line="12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Targets for annual incentive and annual restricted stock awards based on prior year performance were set based on the Company’s operating plan and growth expectations, which include strategic investments in our Apartments.com business, the acquisition of Apartment Finder, and the extensive consumer marketing campaign (discussed above under “Business Overview”), as well as expected acquisition integration costs, subscription sales and market conditions. Upon entering into the apartment rental listings space, the Company was faced with a competitive and rapidly changing industry, but also with the opportunity to reinvent its listings services to more effectively compete with competitors’ aging business models, while continuing to operate and grow its core information business.</w:t>
      </w:r>
    </w:p>
    <w:p>
      <w:pPr>
        <w:spacing w:after="0" w:line="193"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The Company understood the significant challenges and risks it faced for 2015 as it entered the apartment rental listings space. In an effort to ensure that the Company’s services would lead the industry, management undertook significant initiatives to rebuild and integrate the Apartments.com and Apartment Finder listing sites in a short time frame; collect content necessary to improve the renter’s search experience; change the business model to list paid and unpaid content; and train the Company’s existing sales force to sell the new services and cross-sell the new and existing services. Management set aggressive timeframes within which the development team was asked to rebuild and integrate the sites across multiple platforms and our researchers were asked to collect content to significantly improve the renter’s search experience and drive brand loyalty. It was uncertain whether these goals could be accomplished by the time the Apartments.com site was slated to be re-launched. There was also significant uncertainty whether the new business model would be successful. The decision to include paid and unpaid content created the risk that advertisers would opt for free listings or that advertisers would not receive enough incremental exposure over the free listings to justify their investments in paid advertisements. The Company was also faced with the risk that existing advertisers would reconsider their ad spend after the re-launch of the site or that our search engine optimization would fall as a result of the site rebuild. In addition, it was uncertain whether the sales force would timely gain the necessary skills to effectively sell listings under the new business model or whether the efforts to cross-sell information and marketing services in the apartment industry would be successful. Finally, it was uncertain whether the significant consumer marketing investments would drive meaningful gains in site traffic.</w:t>
      </w:r>
    </w:p>
    <w:p>
      <w:pPr>
        <w:spacing w:after="0" w:line="188"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decline in expected adjusted EBITDA and expected non-GAAP net income for 2015 relative to actual adjusted EBITDA and actual non-GAAP net income in 2014 reflects the Company’s expected investments and strategic initiatives in the Apartments.com and Apartment Finder businesses and related marketing campaign and acquisition integration costs, as well as the uncertainty and challenges the Company faced in the apartment rentals industry and in connection with implementation of its new business model for this sector. Absent the incremental marketing investments in the Company’s apartment rentals listings business and the 2015 Apartment Finder acquisition and related acquisition and integration expenses factored into the Company’s 2015 targets, the Company’s adjusted EBITDA and non-GAAP net income targets would have been higher than actual 2014 results. The adjusted EBITDA and non-GAAP net income targets for 2015 were set at levels the Compensation Committee believed were challenging given the Company’s very</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364" w:right="239" w:bottom="1440" w:gutter="0" w:footer="0" w:header="0"/>
        </w:sectPr>
      </w:pPr>
    </w:p>
    <w:bookmarkStart w:id="48" w:name="page49"/>
    <w:bookmarkEnd w:id="48"/>
    <w:p>
      <w:pPr>
        <w:jc w:val="both"/>
        <w:spacing w:after="0" w:line="264" w:lineRule="auto"/>
        <w:rPr>
          <w:sz w:val="20"/>
          <w:szCs w:val="20"/>
          <w:color w:val="auto"/>
        </w:rPr>
      </w:pPr>
      <w:r>
        <w:rPr>
          <w:rFonts w:ascii="Arial" w:cs="Arial" w:eastAsia="Arial" w:hAnsi="Arial"/>
          <w:sz w:val="18"/>
          <w:szCs w:val="18"/>
          <w:color w:val="auto"/>
        </w:rPr>
        <w:t>recent entry into the apartment rental listings industry, the changes and investments management continues to believe are required to succeed in that sector and the challenges the Company is and was facing in order to succeed. The targets were in line with guidance provided to investors by the Company’s management.</w:t>
      </w:r>
    </w:p>
    <w:p>
      <w:pPr>
        <w:spacing w:after="0" w:line="18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As a result of the investments made in the business and the exceptional performance of our strong management team, the Company quickly and efficiently created an improved consumer experience, increased brand awareness and successfully integrated the acquired entities. These efforts resulted in stronger than expected net new subscription sales, which together with management’s focus on operational efficiency and cost reduction and management initiatives implemented in 2015, resulted in stronger than forecasted earnings results. Further, the Company believes that the investments made in 2015 and the success the Company and its management team have achieved as a result have created the opportunity for strong revenue growth and expanding profit margins in the years following those significant initial investments.</w:t>
      </w: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368" w:right="239" w:bottom="1440" w:gutter="0" w:footer="0" w:header="0"/>
        </w:sectPr>
      </w:pPr>
    </w:p>
    <w:bookmarkStart w:id="49" w:name="page50"/>
    <w:bookmarkEnd w:id="49"/>
    <w:p>
      <w:pPr>
        <w:spacing w:after="0"/>
        <w:rPr>
          <w:sz w:val="20"/>
          <w:szCs w:val="20"/>
          <w:color w:val="auto"/>
        </w:rPr>
      </w:pPr>
      <w:r>
        <w:rPr>
          <w:rFonts w:ascii="Arial" w:cs="Arial" w:eastAsia="Arial" w:hAnsi="Arial"/>
          <w:sz w:val="18"/>
          <w:szCs w:val="18"/>
          <w:b w:val="1"/>
          <w:bCs w:val="1"/>
          <w:color w:val="5978A5"/>
        </w:rPr>
        <w:t>Performance for the Year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1179830</wp:posOffset>
            </wp:positionH>
            <wp:positionV relativeFrom="paragraph">
              <wp:posOffset>86360</wp:posOffset>
            </wp:positionV>
            <wp:extent cx="4896485" cy="70491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4896485" cy="70491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right"/>
        <w:ind w:right="44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0219"/>
          </w:cols>
          <w:pgMar w:left="240" w:top="364" w:right="1440" w:bottom="1440" w:gutter="0" w:footer="0" w:header="0"/>
        </w:sectPr>
      </w:pPr>
    </w:p>
    <w:bookmarkStart w:id="50" w:name="page51"/>
    <w:bookmarkEnd w:id="50"/>
    <w:p>
      <w:pPr>
        <w:spacing w:after="0"/>
        <w:rPr>
          <w:sz w:val="20"/>
          <w:szCs w:val="20"/>
          <w:color w:val="auto"/>
        </w:rPr>
      </w:pPr>
      <w:r>
        <w:rPr>
          <w:rFonts w:ascii="Arial" w:cs="Arial" w:eastAsia="Arial" w:hAnsi="Arial"/>
          <w:sz w:val="20"/>
          <w:szCs w:val="20"/>
          <w:b w:val="1"/>
          <w:bCs w:val="1"/>
          <w:color w:val="404040"/>
        </w:rPr>
        <w:t>2015 STOCKHOLDER OUTREACH AND SAY ON PAY RESPONSE</w:t>
      </w:r>
    </w:p>
    <w:p>
      <w:pPr>
        <w:spacing w:after="0" w:line="116"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CoStar annually offers stockholders the opportunity to cast an advisory vote on our executive compensation program. This annual vote is known as the “say-on-pay” proposal. At our annual meeting in June 2015, approximately 97% of the vote cast was voted in favor of the say-on-pay proposal covering our executive compensation program for 2014. As evidenced by this high level of stockholder support for the compensation of the Company’s named executive officers, the Compensation Committee values stockholder feedback and endeavors to respond to stockholders’ concerns. We regularly communicate with our stockholders to better understand their opinions on our business strategy and objectives and to obtain feedback regarding other matters of investor interest, such as executive compensation. Many of the current program features are a result of the Company proactively reaching out to stockholders to discuss the Company’s executive compensation program. In response to previous stockholder discussions, in early 2014 the Committee implemented and approved a long-term performance component within the executive compensation program; distinct financial metrics for the annual awards of cash incentives, performance-based restricted stock and the three-year performance-based restricted stock awards; the executive stock ownership policy; and the clawback policy. In light of the recent changes to the executive compensation program and the extremely high level of stockholder support, the Committee did not make any changes to the executive compensation program directly as a result of the 2015 say-on-pay vote.</w:t>
      </w:r>
    </w:p>
    <w:p>
      <w:pPr>
        <w:spacing w:after="0" w:line="260"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5978A5"/>
        </w:rPr>
        <w:t>2015 INVESTOR OUTREACH</w:t>
      </w:r>
    </w:p>
    <w:p>
      <w:pPr>
        <w:spacing w:after="0" w:line="99" w:lineRule="exact"/>
        <w:rPr>
          <w:sz w:val="20"/>
          <w:szCs w:val="20"/>
          <w:color w:val="auto"/>
        </w:rPr>
      </w:pPr>
    </w:p>
    <w:p>
      <w:pPr>
        <w:jc w:val="both"/>
        <w:ind w:left="660"/>
        <w:spacing w:after="0" w:line="256" w:lineRule="auto"/>
        <w:rPr>
          <w:sz w:val="20"/>
          <w:szCs w:val="20"/>
          <w:color w:val="auto"/>
        </w:rPr>
      </w:pPr>
      <w:r>
        <w:rPr>
          <w:rFonts w:ascii="Arial" w:cs="Arial" w:eastAsia="Arial" w:hAnsi="Arial"/>
          <w:sz w:val="16"/>
          <w:szCs w:val="16"/>
          <w:color w:val="auto"/>
        </w:rPr>
        <w:t>In 2015, the Company continued to proactively reach out to stockholders to discuss the Company’s executive compensation philosophy, goals and plans and to obtain feedback on our executive pay program. The Company spoke with stockholders representing approximately 90% of the Company’s outstanding common stock, including the top 20 stockholders who represent approximately 66% of the Company’s outstanding common stock, to obtain any feedback on executive compensation. The stockholders generally expressed approval of the current executive compensation program.</w:t>
      </w:r>
    </w:p>
    <w:p>
      <w:pPr>
        <w:spacing w:after="0" w:line="18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Compensation Committee carefully considered feedback the Company received as part of its annual review of our executive compensation program and, accordingly, retained the significant changes we made to our executive compensation program in early 2014. The next page sets out highlights of the design of the current executive compensation program and the Company’s corporate policies.</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360" w:right="239" w:bottom="1440" w:gutter="0" w:footer="0" w:header="0"/>
        </w:sectPr>
      </w:pPr>
    </w:p>
    <w:bookmarkStart w:id="51" w:name="page52"/>
    <w:bookmarkEnd w:id="51"/>
    <w:p>
      <w:pPr>
        <w:spacing w:after="0"/>
        <w:rPr>
          <w:sz w:val="20"/>
          <w:szCs w:val="20"/>
          <w:color w:val="auto"/>
        </w:rPr>
      </w:pPr>
      <w:r>
        <w:rPr>
          <w:rFonts w:ascii="Arial" w:cs="Arial" w:eastAsia="Arial" w:hAnsi="Arial"/>
          <w:sz w:val="20"/>
          <w:szCs w:val="20"/>
          <w:b w:val="1"/>
          <w:bCs w:val="1"/>
          <w:color w:val="auto"/>
        </w:rPr>
        <w:t>HIGHLIGHTS OF THE EXECUTIVE COMPENSATION PROGRAM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203440" cy="521398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03440" cy="5213985"/>
                    </a:xfrm>
                    <a:prstGeom prst="rect">
                      <a:avLst/>
                    </a:prstGeom>
                    <a:noFill/>
                  </pic:spPr>
                </pic:pic>
              </a:graphicData>
            </a:graphic>
          </wp:anchor>
        </w:drawing>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97"/>
        </w:trPr>
        <w:tc>
          <w:tcPr>
            <w:tcW w:w="5120" w:type="dxa"/>
            <w:vAlign w:val="bottom"/>
            <w:shd w:val="clear" w:color="auto" w:fill="B8CCE4"/>
          </w:tcPr>
          <w:p>
            <w:pPr>
              <w:ind w:left="100"/>
              <w:spacing w:after="0"/>
              <w:rPr>
                <w:sz w:val="20"/>
                <w:szCs w:val="20"/>
                <w:color w:val="auto"/>
              </w:rPr>
            </w:pPr>
            <w:r>
              <w:rPr>
                <w:rFonts w:ascii="Arial" w:cs="Arial" w:eastAsia="Arial" w:hAnsi="Arial"/>
                <w:sz w:val="18"/>
                <w:szCs w:val="18"/>
                <w:b w:val="1"/>
                <w:bCs w:val="1"/>
                <w:color w:val="auto"/>
              </w:rPr>
              <w:t>Purpose</w:t>
            </w:r>
          </w:p>
        </w:tc>
        <w:tc>
          <w:tcPr>
            <w:tcW w:w="6220" w:type="dxa"/>
            <w:vAlign w:val="bottom"/>
            <w:shd w:val="clear" w:color="auto" w:fill="B8CCE4"/>
          </w:tcPr>
          <w:p>
            <w:pPr>
              <w:ind w:left="160"/>
              <w:spacing w:after="0"/>
              <w:rPr>
                <w:sz w:val="20"/>
                <w:szCs w:val="20"/>
                <w:color w:val="auto"/>
              </w:rPr>
            </w:pPr>
            <w:r>
              <w:rPr>
                <w:rFonts w:ascii="Arial" w:cs="Arial" w:eastAsia="Arial" w:hAnsi="Arial"/>
                <w:sz w:val="18"/>
                <w:szCs w:val="18"/>
                <w:b w:val="1"/>
                <w:bCs w:val="1"/>
                <w:color w:val="auto"/>
              </w:rPr>
              <w:t>Compensation Program/ Policy</w:t>
            </w:r>
          </w:p>
        </w:tc>
        <w:tc>
          <w:tcPr>
            <w:tcW w:w="0" w:type="dxa"/>
            <w:vAlign w:val="bottom"/>
          </w:tcPr>
          <w:p>
            <w:pPr>
              <w:spacing w:after="0"/>
              <w:rPr>
                <w:sz w:val="1"/>
                <w:szCs w:val="1"/>
                <w:color w:val="auto"/>
              </w:rPr>
            </w:pPr>
          </w:p>
        </w:tc>
      </w:tr>
      <w:tr>
        <w:trPr>
          <w:trHeight w:val="149"/>
        </w:trPr>
        <w:tc>
          <w:tcPr>
            <w:tcW w:w="5120" w:type="dxa"/>
            <w:vAlign w:val="bottom"/>
            <w:shd w:val="clear" w:color="auto" w:fill="B8CCE4"/>
          </w:tcPr>
          <w:p>
            <w:pPr>
              <w:spacing w:after="0"/>
              <w:rPr>
                <w:sz w:val="12"/>
                <w:szCs w:val="12"/>
                <w:color w:val="auto"/>
              </w:rPr>
            </w:pPr>
          </w:p>
        </w:tc>
        <w:tc>
          <w:tcPr>
            <w:tcW w:w="6220" w:type="dxa"/>
            <w:vAlign w:val="bottom"/>
            <w:shd w:val="clear" w:color="auto" w:fill="B8CCE4"/>
          </w:tcPr>
          <w:p>
            <w:pPr>
              <w:spacing w:after="0"/>
              <w:rPr>
                <w:sz w:val="12"/>
                <w:szCs w:val="12"/>
                <w:color w:val="auto"/>
              </w:rPr>
            </w:pPr>
          </w:p>
        </w:tc>
        <w:tc>
          <w:tcPr>
            <w:tcW w:w="0" w:type="dxa"/>
            <w:vAlign w:val="bottom"/>
          </w:tcPr>
          <w:p>
            <w:pPr>
              <w:spacing w:after="0"/>
              <w:rPr>
                <w:sz w:val="1"/>
                <w:szCs w:val="1"/>
                <w:color w:val="auto"/>
              </w:rPr>
            </w:pPr>
          </w:p>
        </w:tc>
      </w:tr>
      <w:tr>
        <w:trPr>
          <w:trHeight w:val="233"/>
        </w:trPr>
        <w:tc>
          <w:tcPr>
            <w:tcW w:w="5120" w:type="dxa"/>
            <w:vAlign w:val="bottom"/>
            <w:shd w:val="clear" w:color="auto" w:fill="DBE5F1"/>
          </w:tcPr>
          <w:p>
            <w:pPr>
              <w:ind w:left="100"/>
              <w:spacing w:after="0"/>
              <w:rPr>
                <w:sz w:val="20"/>
                <w:szCs w:val="20"/>
                <w:color w:val="auto"/>
              </w:rPr>
            </w:pPr>
            <w:r>
              <w:rPr>
                <w:rFonts w:ascii="Arial" w:cs="Arial" w:eastAsia="Arial" w:hAnsi="Arial"/>
                <w:sz w:val="16"/>
                <w:szCs w:val="16"/>
                <w:color w:val="auto"/>
                <w:w w:val="96"/>
              </w:rPr>
              <w:t>Structure executive compensation program with focus on achievement of</w:t>
            </w:r>
          </w:p>
        </w:tc>
        <w:tc>
          <w:tcPr>
            <w:tcW w:w="6220" w:type="dxa"/>
            <w:vAlign w:val="bottom"/>
            <w:shd w:val="clear" w:color="auto" w:fill="DBE5F1"/>
          </w:tcPr>
          <w:p>
            <w:pPr>
              <w:ind w:left="160"/>
              <w:spacing w:after="0"/>
              <w:rPr>
                <w:sz w:val="20"/>
                <w:szCs w:val="20"/>
                <w:color w:val="auto"/>
              </w:rPr>
            </w:pPr>
            <w:r>
              <w:rPr>
                <w:rFonts w:ascii="Arial" w:cs="Arial" w:eastAsia="Arial" w:hAnsi="Arial"/>
                <w:sz w:val="16"/>
                <w:szCs w:val="16"/>
                <w:color w:val="auto"/>
                <w:w w:val="97"/>
              </w:rPr>
              <w:t>Equity incentive plan consists of 40% annual performance-based restricted stock (which</w:t>
            </w:r>
          </w:p>
        </w:tc>
        <w:tc>
          <w:tcPr>
            <w:tcW w:w="0" w:type="dxa"/>
            <w:vAlign w:val="bottom"/>
          </w:tcPr>
          <w:p>
            <w:pPr>
              <w:spacing w:after="0"/>
              <w:rPr>
                <w:sz w:val="1"/>
                <w:szCs w:val="1"/>
                <w:color w:val="auto"/>
              </w:rPr>
            </w:pPr>
          </w:p>
        </w:tc>
      </w:tr>
      <w:tr>
        <w:trPr>
          <w:trHeight w:val="243"/>
        </w:trPr>
        <w:tc>
          <w:tcPr>
            <w:tcW w:w="5120" w:type="dxa"/>
            <w:vAlign w:val="bottom"/>
            <w:shd w:val="clear" w:color="auto" w:fill="DBE5F1"/>
          </w:tcPr>
          <w:p>
            <w:pPr>
              <w:ind w:left="120"/>
              <w:spacing w:after="0"/>
              <w:rPr>
                <w:sz w:val="20"/>
                <w:szCs w:val="20"/>
                <w:color w:val="auto"/>
              </w:rPr>
            </w:pPr>
            <w:r>
              <w:rPr>
                <w:rFonts w:ascii="Arial" w:cs="Arial" w:eastAsia="Arial" w:hAnsi="Arial"/>
                <w:sz w:val="16"/>
                <w:szCs w:val="16"/>
                <w:color w:val="auto"/>
              </w:rPr>
              <w:t>Company performance goals.</w:t>
            </w:r>
          </w:p>
        </w:tc>
        <w:tc>
          <w:tcPr>
            <w:tcW w:w="6220" w:type="dxa"/>
            <w:vAlign w:val="bottom"/>
            <w:shd w:val="clear" w:color="auto" w:fill="DBE5F1"/>
          </w:tcPr>
          <w:p>
            <w:pPr>
              <w:ind w:left="160"/>
              <w:spacing w:after="0"/>
              <w:rPr>
                <w:sz w:val="20"/>
                <w:szCs w:val="20"/>
                <w:color w:val="auto"/>
              </w:rPr>
            </w:pPr>
            <w:r>
              <w:rPr>
                <w:rFonts w:ascii="Arial" w:cs="Arial" w:eastAsia="Arial" w:hAnsi="Arial"/>
                <w:sz w:val="16"/>
                <w:szCs w:val="16"/>
                <w:color w:val="auto"/>
                <w:w w:val="94"/>
              </w:rPr>
              <w:t>vest ratably over three years after grant), 40% stock options (which vest ratably over three</w:t>
            </w:r>
          </w:p>
        </w:tc>
        <w:tc>
          <w:tcPr>
            <w:tcW w:w="0" w:type="dxa"/>
            <w:vAlign w:val="bottom"/>
          </w:tcPr>
          <w:p>
            <w:pPr>
              <w:spacing w:after="0"/>
              <w:rPr>
                <w:sz w:val="1"/>
                <w:szCs w:val="1"/>
                <w:color w:val="auto"/>
              </w:rPr>
            </w:pPr>
          </w:p>
        </w:tc>
      </w:tr>
      <w:tr>
        <w:trPr>
          <w:trHeight w:val="203"/>
        </w:trPr>
        <w:tc>
          <w:tcPr>
            <w:tcW w:w="5120" w:type="dxa"/>
            <w:vAlign w:val="bottom"/>
            <w:shd w:val="clear" w:color="auto" w:fill="DBE5F1"/>
          </w:tcPr>
          <w:p>
            <w:pPr>
              <w:spacing w:after="0"/>
              <w:rPr>
                <w:sz w:val="17"/>
                <w:szCs w:val="17"/>
                <w:color w:val="auto"/>
              </w:rPr>
            </w:pPr>
          </w:p>
        </w:tc>
        <w:tc>
          <w:tcPr>
            <w:tcW w:w="6220" w:type="dxa"/>
            <w:vAlign w:val="bottom"/>
            <w:shd w:val="clear" w:color="auto" w:fill="DBE5F1"/>
          </w:tcPr>
          <w:p>
            <w:pPr>
              <w:ind w:left="160"/>
              <w:spacing w:after="0"/>
              <w:rPr>
                <w:sz w:val="20"/>
                <w:szCs w:val="20"/>
                <w:color w:val="auto"/>
              </w:rPr>
            </w:pPr>
            <w:r>
              <w:rPr>
                <w:rFonts w:ascii="Arial" w:cs="Arial" w:eastAsia="Arial" w:hAnsi="Arial"/>
                <w:sz w:val="16"/>
                <w:szCs w:val="16"/>
                <w:color w:val="auto"/>
              </w:rPr>
              <w:t>years after grant), and 20% long-term performance shares (which vest based on</w:t>
            </w:r>
          </w:p>
        </w:tc>
        <w:tc>
          <w:tcPr>
            <w:tcW w:w="0" w:type="dxa"/>
            <w:vAlign w:val="bottom"/>
          </w:tcPr>
          <w:p>
            <w:pPr>
              <w:spacing w:after="0"/>
              <w:rPr>
                <w:sz w:val="1"/>
                <w:szCs w:val="1"/>
                <w:color w:val="auto"/>
              </w:rPr>
            </w:pPr>
          </w:p>
        </w:tc>
      </w:tr>
      <w:tr>
        <w:trPr>
          <w:trHeight w:val="203"/>
        </w:trPr>
        <w:tc>
          <w:tcPr>
            <w:tcW w:w="5120" w:type="dxa"/>
            <w:vAlign w:val="bottom"/>
            <w:shd w:val="clear" w:color="auto" w:fill="DBE5F1"/>
          </w:tcPr>
          <w:p>
            <w:pPr>
              <w:spacing w:after="0"/>
              <w:rPr>
                <w:sz w:val="17"/>
                <w:szCs w:val="17"/>
                <w:color w:val="auto"/>
              </w:rPr>
            </w:pPr>
          </w:p>
        </w:tc>
        <w:tc>
          <w:tcPr>
            <w:tcW w:w="6220" w:type="dxa"/>
            <w:vAlign w:val="bottom"/>
            <w:shd w:val="clear" w:color="auto" w:fill="DBE5F1"/>
          </w:tcPr>
          <w:p>
            <w:pPr>
              <w:ind w:left="160"/>
              <w:spacing w:after="0"/>
              <w:rPr>
                <w:sz w:val="20"/>
                <w:szCs w:val="20"/>
                <w:color w:val="auto"/>
              </w:rPr>
            </w:pPr>
            <w:r>
              <w:rPr>
                <w:rFonts w:ascii="Arial" w:cs="Arial" w:eastAsia="Arial" w:hAnsi="Arial"/>
                <w:sz w:val="16"/>
                <w:szCs w:val="16"/>
                <w:color w:val="auto"/>
                <w:w w:val="94"/>
              </w:rPr>
              <w:t>achievement of a three-year cumulative revenue goal and are subject to adjustment based</w:t>
            </w:r>
          </w:p>
        </w:tc>
        <w:tc>
          <w:tcPr>
            <w:tcW w:w="0" w:type="dxa"/>
            <w:vAlign w:val="bottom"/>
          </w:tcPr>
          <w:p>
            <w:pPr>
              <w:spacing w:after="0"/>
              <w:rPr>
                <w:sz w:val="1"/>
                <w:szCs w:val="1"/>
                <w:color w:val="auto"/>
              </w:rPr>
            </w:pPr>
          </w:p>
        </w:tc>
      </w:tr>
      <w:tr>
        <w:trPr>
          <w:trHeight w:val="206"/>
        </w:trPr>
        <w:tc>
          <w:tcPr>
            <w:tcW w:w="5120" w:type="dxa"/>
            <w:vAlign w:val="bottom"/>
            <w:shd w:val="clear" w:color="auto" w:fill="DBE5F1"/>
          </w:tcPr>
          <w:p>
            <w:pPr>
              <w:spacing w:after="0"/>
              <w:rPr>
                <w:sz w:val="17"/>
                <w:szCs w:val="17"/>
                <w:color w:val="auto"/>
              </w:rPr>
            </w:pPr>
          </w:p>
        </w:tc>
        <w:tc>
          <w:tcPr>
            <w:tcW w:w="6220" w:type="dxa"/>
            <w:vAlign w:val="bottom"/>
            <w:shd w:val="clear" w:color="auto" w:fill="DBE5F1"/>
          </w:tcPr>
          <w:p>
            <w:pPr>
              <w:ind w:left="160"/>
              <w:spacing w:after="0"/>
              <w:rPr>
                <w:sz w:val="20"/>
                <w:szCs w:val="20"/>
                <w:color w:val="auto"/>
              </w:rPr>
            </w:pPr>
            <w:r>
              <w:rPr>
                <w:rFonts w:ascii="Arial" w:cs="Arial" w:eastAsia="Arial" w:hAnsi="Arial"/>
                <w:sz w:val="16"/>
                <w:szCs w:val="16"/>
                <w:color w:val="auto"/>
              </w:rPr>
              <w:t>on the Company’s total stockholder return over the same period).</w:t>
            </w:r>
          </w:p>
        </w:tc>
        <w:tc>
          <w:tcPr>
            <w:tcW w:w="0" w:type="dxa"/>
            <w:vAlign w:val="bottom"/>
          </w:tcPr>
          <w:p>
            <w:pPr>
              <w:spacing w:after="0"/>
              <w:rPr>
                <w:sz w:val="1"/>
                <w:szCs w:val="1"/>
                <w:color w:val="auto"/>
              </w:rPr>
            </w:pPr>
          </w:p>
        </w:tc>
      </w:tr>
      <w:tr>
        <w:trPr>
          <w:trHeight w:val="388"/>
        </w:trPr>
        <w:tc>
          <w:tcPr>
            <w:tcW w:w="5120" w:type="dxa"/>
            <w:vAlign w:val="bottom"/>
            <w:shd w:val="clear" w:color="auto" w:fill="DBE5F1"/>
          </w:tcPr>
          <w:p>
            <w:pPr>
              <w:ind w:left="100"/>
              <w:spacing w:after="0"/>
              <w:rPr>
                <w:sz w:val="20"/>
                <w:szCs w:val="20"/>
                <w:color w:val="auto"/>
              </w:rPr>
            </w:pPr>
            <w:r>
              <w:rPr>
                <w:rFonts w:ascii="Arial" w:cs="Arial" w:eastAsia="Arial" w:hAnsi="Arial"/>
                <w:sz w:val="16"/>
                <w:szCs w:val="16"/>
                <w:color w:val="auto"/>
                <w:w w:val="96"/>
              </w:rPr>
              <w:t>Structure executive compensation program to include both long-term and</w:t>
            </w:r>
          </w:p>
        </w:tc>
        <w:tc>
          <w:tcPr>
            <w:tcW w:w="6220" w:type="dxa"/>
            <w:vAlign w:val="bottom"/>
            <w:shd w:val="clear" w:color="auto" w:fill="DBE5F1"/>
          </w:tcPr>
          <w:p>
            <w:pPr>
              <w:ind w:left="160"/>
              <w:spacing w:after="0"/>
              <w:rPr>
                <w:sz w:val="20"/>
                <w:szCs w:val="20"/>
                <w:color w:val="auto"/>
              </w:rPr>
            </w:pPr>
            <w:r>
              <w:rPr>
                <w:rFonts w:ascii="Arial" w:cs="Arial" w:eastAsia="Arial" w:hAnsi="Arial"/>
                <w:sz w:val="16"/>
                <w:szCs w:val="16"/>
                <w:color w:val="auto"/>
              </w:rPr>
              <w:t>Equity incentive plan includes a three-year performance metric for the long-term</w:t>
            </w:r>
          </w:p>
        </w:tc>
        <w:tc>
          <w:tcPr>
            <w:tcW w:w="0" w:type="dxa"/>
            <w:vAlign w:val="bottom"/>
          </w:tcPr>
          <w:p>
            <w:pPr>
              <w:spacing w:after="0"/>
              <w:rPr>
                <w:sz w:val="1"/>
                <w:szCs w:val="1"/>
                <w:color w:val="auto"/>
              </w:rPr>
            </w:pPr>
          </w:p>
        </w:tc>
      </w:tr>
      <w:tr>
        <w:trPr>
          <w:trHeight w:val="243"/>
        </w:trPr>
        <w:tc>
          <w:tcPr>
            <w:tcW w:w="5120" w:type="dxa"/>
            <w:vAlign w:val="bottom"/>
            <w:shd w:val="clear" w:color="auto" w:fill="DBE5F1"/>
          </w:tcPr>
          <w:p>
            <w:pPr>
              <w:ind w:left="120"/>
              <w:spacing w:after="0"/>
              <w:rPr>
                <w:sz w:val="20"/>
                <w:szCs w:val="20"/>
                <w:color w:val="auto"/>
              </w:rPr>
            </w:pPr>
            <w:r>
              <w:rPr>
                <w:rFonts w:ascii="Arial" w:cs="Arial" w:eastAsia="Arial" w:hAnsi="Arial"/>
                <w:sz w:val="16"/>
                <w:szCs w:val="16"/>
                <w:color w:val="auto"/>
              </w:rPr>
              <w:t>short-term performance goals.</w:t>
            </w:r>
          </w:p>
        </w:tc>
        <w:tc>
          <w:tcPr>
            <w:tcW w:w="6220" w:type="dxa"/>
            <w:vAlign w:val="bottom"/>
            <w:shd w:val="clear" w:color="auto" w:fill="DBE5F1"/>
          </w:tcPr>
          <w:p>
            <w:pPr>
              <w:ind w:left="160"/>
              <w:spacing w:after="0"/>
              <w:rPr>
                <w:sz w:val="20"/>
                <w:szCs w:val="20"/>
                <w:color w:val="auto"/>
              </w:rPr>
            </w:pPr>
            <w:r>
              <w:rPr>
                <w:rFonts w:ascii="Arial" w:cs="Arial" w:eastAsia="Arial" w:hAnsi="Arial"/>
                <w:sz w:val="16"/>
                <w:szCs w:val="16"/>
                <w:color w:val="auto"/>
                <w:w w:val="98"/>
              </w:rPr>
              <w:t>performance shares, a one-year performance metric for the annual performance-based</w:t>
            </w:r>
          </w:p>
        </w:tc>
        <w:tc>
          <w:tcPr>
            <w:tcW w:w="0" w:type="dxa"/>
            <w:vAlign w:val="bottom"/>
          </w:tcPr>
          <w:p>
            <w:pPr>
              <w:spacing w:after="0"/>
              <w:rPr>
                <w:sz w:val="1"/>
                <w:szCs w:val="1"/>
                <w:color w:val="auto"/>
              </w:rPr>
            </w:pPr>
          </w:p>
        </w:tc>
      </w:tr>
      <w:tr>
        <w:trPr>
          <w:trHeight w:val="203"/>
        </w:trPr>
        <w:tc>
          <w:tcPr>
            <w:tcW w:w="5120" w:type="dxa"/>
            <w:vAlign w:val="bottom"/>
            <w:shd w:val="clear" w:color="auto" w:fill="DBE5F1"/>
          </w:tcPr>
          <w:p>
            <w:pPr>
              <w:spacing w:after="0"/>
              <w:rPr>
                <w:sz w:val="17"/>
                <w:szCs w:val="17"/>
                <w:color w:val="auto"/>
              </w:rPr>
            </w:pPr>
          </w:p>
        </w:tc>
        <w:tc>
          <w:tcPr>
            <w:tcW w:w="6220" w:type="dxa"/>
            <w:vAlign w:val="bottom"/>
            <w:shd w:val="clear" w:color="auto" w:fill="DBE5F1"/>
          </w:tcPr>
          <w:p>
            <w:pPr>
              <w:ind w:left="160"/>
              <w:spacing w:after="0"/>
              <w:rPr>
                <w:sz w:val="20"/>
                <w:szCs w:val="20"/>
                <w:color w:val="auto"/>
              </w:rPr>
            </w:pPr>
            <w:r>
              <w:rPr>
                <w:rFonts w:ascii="Arial" w:cs="Arial" w:eastAsia="Arial" w:hAnsi="Arial"/>
                <w:sz w:val="16"/>
                <w:szCs w:val="16"/>
                <w:color w:val="auto"/>
                <w:w w:val="95"/>
              </w:rPr>
              <w:t>restricted stock and our annual incentive plan includes a one-year performance metric for</w:t>
            </w:r>
          </w:p>
        </w:tc>
        <w:tc>
          <w:tcPr>
            <w:tcW w:w="0" w:type="dxa"/>
            <w:vAlign w:val="bottom"/>
          </w:tcPr>
          <w:p>
            <w:pPr>
              <w:spacing w:after="0"/>
              <w:rPr>
                <w:sz w:val="1"/>
                <w:szCs w:val="1"/>
                <w:color w:val="auto"/>
              </w:rPr>
            </w:pPr>
          </w:p>
        </w:tc>
      </w:tr>
      <w:tr>
        <w:trPr>
          <w:trHeight w:val="206"/>
        </w:trPr>
        <w:tc>
          <w:tcPr>
            <w:tcW w:w="5120" w:type="dxa"/>
            <w:vAlign w:val="bottom"/>
            <w:shd w:val="clear" w:color="auto" w:fill="DBE5F1"/>
          </w:tcPr>
          <w:p>
            <w:pPr>
              <w:spacing w:after="0"/>
              <w:rPr>
                <w:sz w:val="17"/>
                <w:szCs w:val="17"/>
                <w:color w:val="auto"/>
              </w:rPr>
            </w:pPr>
          </w:p>
        </w:tc>
        <w:tc>
          <w:tcPr>
            <w:tcW w:w="6220" w:type="dxa"/>
            <w:vAlign w:val="bottom"/>
            <w:shd w:val="clear" w:color="auto" w:fill="DBE5F1"/>
          </w:tcPr>
          <w:p>
            <w:pPr>
              <w:ind w:left="160"/>
              <w:spacing w:after="0"/>
              <w:rPr>
                <w:sz w:val="20"/>
                <w:szCs w:val="20"/>
                <w:color w:val="auto"/>
              </w:rPr>
            </w:pPr>
            <w:r>
              <w:rPr>
                <w:rFonts w:ascii="Arial" w:cs="Arial" w:eastAsia="Arial" w:hAnsi="Arial"/>
                <w:sz w:val="16"/>
                <w:szCs w:val="16"/>
                <w:color w:val="auto"/>
              </w:rPr>
              <w:t>cash incentive awards.</w:t>
            </w:r>
          </w:p>
        </w:tc>
        <w:tc>
          <w:tcPr>
            <w:tcW w:w="0" w:type="dxa"/>
            <w:vAlign w:val="bottom"/>
          </w:tcPr>
          <w:p>
            <w:pPr>
              <w:spacing w:after="0"/>
              <w:rPr>
                <w:sz w:val="1"/>
                <w:szCs w:val="1"/>
                <w:color w:val="auto"/>
              </w:rPr>
            </w:pPr>
          </w:p>
        </w:tc>
      </w:tr>
      <w:tr>
        <w:trPr>
          <w:trHeight w:val="428"/>
        </w:trPr>
        <w:tc>
          <w:tcPr>
            <w:tcW w:w="5120" w:type="dxa"/>
            <w:vAlign w:val="bottom"/>
            <w:shd w:val="clear" w:color="auto" w:fill="DBE5F1"/>
          </w:tcPr>
          <w:p>
            <w:pPr>
              <w:ind w:left="100"/>
              <w:spacing w:after="0"/>
              <w:rPr>
                <w:sz w:val="20"/>
                <w:szCs w:val="20"/>
                <w:color w:val="auto"/>
              </w:rPr>
            </w:pPr>
            <w:r>
              <w:rPr>
                <w:rFonts w:ascii="Arial" w:cs="Arial" w:eastAsia="Arial" w:hAnsi="Arial"/>
                <w:sz w:val="16"/>
                <w:szCs w:val="16"/>
                <w:color w:val="auto"/>
              </w:rPr>
              <w:t>Align executives’ interests with stockholders’ interests.</w:t>
            </w:r>
          </w:p>
        </w:tc>
        <w:tc>
          <w:tcPr>
            <w:tcW w:w="6220" w:type="dxa"/>
            <w:vAlign w:val="bottom"/>
            <w:shd w:val="clear" w:color="auto" w:fill="DBE5F1"/>
          </w:tcPr>
          <w:p>
            <w:pPr>
              <w:ind w:left="160"/>
              <w:spacing w:after="0"/>
              <w:rPr>
                <w:sz w:val="20"/>
                <w:szCs w:val="20"/>
                <w:color w:val="auto"/>
              </w:rPr>
            </w:pPr>
            <w:r>
              <w:rPr>
                <w:rFonts w:ascii="Arial" w:cs="Arial" w:eastAsia="Arial" w:hAnsi="Arial"/>
                <w:sz w:val="16"/>
                <w:szCs w:val="16"/>
                <w:color w:val="auto"/>
              </w:rPr>
              <w:t>In order to even more closely align long-term incentives with stockholder results, the</w:t>
            </w:r>
          </w:p>
        </w:tc>
        <w:tc>
          <w:tcPr>
            <w:tcW w:w="0" w:type="dxa"/>
            <w:vAlign w:val="bottom"/>
          </w:tcPr>
          <w:p>
            <w:pPr>
              <w:spacing w:after="0"/>
              <w:rPr>
                <w:sz w:val="1"/>
                <w:szCs w:val="1"/>
                <w:color w:val="auto"/>
              </w:rPr>
            </w:pPr>
          </w:p>
        </w:tc>
      </w:tr>
      <w:tr>
        <w:trPr>
          <w:trHeight w:val="203"/>
        </w:trPr>
        <w:tc>
          <w:tcPr>
            <w:tcW w:w="5120" w:type="dxa"/>
            <w:vAlign w:val="bottom"/>
            <w:shd w:val="clear" w:color="auto" w:fill="DBE5F1"/>
          </w:tcPr>
          <w:p>
            <w:pPr>
              <w:spacing w:after="0"/>
              <w:rPr>
                <w:sz w:val="17"/>
                <w:szCs w:val="17"/>
                <w:color w:val="auto"/>
              </w:rPr>
            </w:pPr>
          </w:p>
        </w:tc>
        <w:tc>
          <w:tcPr>
            <w:tcW w:w="6220" w:type="dxa"/>
            <w:vAlign w:val="bottom"/>
            <w:shd w:val="clear" w:color="auto" w:fill="DBE5F1"/>
          </w:tcPr>
          <w:p>
            <w:pPr>
              <w:ind w:left="160"/>
              <w:spacing w:after="0"/>
              <w:rPr>
                <w:sz w:val="20"/>
                <w:szCs w:val="20"/>
                <w:color w:val="auto"/>
              </w:rPr>
            </w:pPr>
            <w:r>
              <w:rPr>
                <w:rFonts w:ascii="Arial" w:cs="Arial" w:eastAsia="Arial" w:hAnsi="Arial"/>
                <w:sz w:val="16"/>
                <w:szCs w:val="16"/>
                <w:color w:val="auto"/>
                <w:w w:val="95"/>
              </w:rPr>
              <w:t>equity incentive plan provides for adjustment of the long-term performance shares issued</w:t>
            </w:r>
          </w:p>
        </w:tc>
        <w:tc>
          <w:tcPr>
            <w:tcW w:w="0" w:type="dxa"/>
            <w:vAlign w:val="bottom"/>
          </w:tcPr>
          <w:p>
            <w:pPr>
              <w:spacing w:after="0"/>
              <w:rPr>
                <w:sz w:val="1"/>
                <w:szCs w:val="1"/>
                <w:color w:val="auto"/>
              </w:rPr>
            </w:pPr>
          </w:p>
        </w:tc>
      </w:tr>
      <w:tr>
        <w:trPr>
          <w:trHeight w:val="203"/>
        </w:trPr>
        <w:tc>
          <w:tcPr>
            <w:tcW w:w="5120" w:type="dxa"/>
            <w:vAlign w:val="bottom"/>
            <w:shd w:val="clear" w:color="auto" w:fill="DBE5F1"/>
          </w:tcPr>
          <w:p>
            <w:pPr>
              <w:spacing w:after="0"/>
              <w:rPr>
                <w:sz w:val="17"/>
                <w:szCs w:val="17"/>
                <w:color w:val="auto"/>
              </w:rPr>
            </w:pPr>
          </w:p>
        </w:tc>
        <w:tc>
          <w:tcPr>
            <w:tcW w:w="6220" w:type="dxa"/>
            <w:vAlign w:val="bottom"/>
            <w:shd w:val="clear" w:color="auto" w:fill="DBE5F1"/>
          </w:tcPr>
          <w:p>
            <w:pPr>
              <w:ind w:left="160"/>
              <w:spacing w:after="0"/>
              <w:rPr>
                <w:sz w:val="20"/>
                <w:szCs w:val="20"/>
                <w:color w:val="auto"/>
              </w:rPr>
            </w:pPr>
            <w:r>
              <w:rPr>
                <w:rFonts w:ascii="Arial" w:cs="Arial" w:eastAsia="Arial" w:hAnsi="Arial"/>
                <w:sz w:val="16"/>
                <w:szCs w:val="16"/>
                <w:color w:val="auto"/>
                <w:w w:val="94"/>
              </w:rPr>
              <w:t>to executives based on the Company’s total stockholder return relative to the Russell 1000</w:t>
            </w:r>
          </w:p>
        </w:tc>
        <w:tc>
          <w:tcPr>
            <w:tcW w:w="0" w:type="dxa"/>
            <w:vAlign w:val="bottom"/>
          </w:tcPr>
          <w:p>
            <w:pPr>
              <w:spacing w:after="0"/>
              <w:rPr>
                <w:sz w:val="1"/>
                <w:szCs w:val="1"/>
                <w:color w:val="auto"/>
              </w:rPr>
            </w:pPr>
          </w:p>
        </w:tc>
      </w:tr>
      <w:tr>
        <w:trPr>
          <w:trHeight w:val="206"/>
        </w:trPr>
        <w:tc>
          <w:tcPr>
            <w:tcW w:w="5120" w:type="dxa"/>
            <w:vAlign w:val="bottom"/>
            <w:shd w:val="clear" w:color="auto" w:fill="DBE5F1"/>
          </w:tcPr>
          <w:p>
            <w:pPr>
              <w:spacing w:after="0"/>
              <w:rPr>
                <w:sz w:val="17"/>
                <w:szCs w:val="17"/>
                <w:color w:val="auto"/>
              </w:rPr>
            </w:pPr>
          </w:p>
        </w:tc>
        <w:tc>
          <w:tcPr>
            <w:tcW w:w="6220" w:type="dxa"/>
            <w:vAlign w:val="bottom"/>
            <w:shd w:val="clear" w:color="auto" w:fill="DBE5F1"/>
          </w:tcPr>
          <w:p>
            <w:pPr>
              <w:ind w:left="160"/>
              <w:spacing w:after="0"/>
              <w:rPr>
                <w:sz w:val="20"/>
                <w:szCs w:val="20"/>
                <w:color w:val="auto"/>
              </w:rPr>
            </w:pPr>
            <w:r>
              <w:rPr>
                <w:rFonts w:ascii="Arial" w:cs="Arial" w:eastAsia="Arial" w:hAnsi="Arial"/>
                <w:sz w:val="16"/>
                <w:szCs w:val="16"/>
                <w:color w:val="auto"/>
              </w:rPr>
              <w:t>index.</w:t>
            </w:r>
          </w:p>
        </w:tc>
        <w:tc>
          <w:tcPr>
            <w:tcW w:w="0" w:type="dxa"/>
            <w:vAlign w:val="bottom"/>
          </w:tcPr>
          <w:p>
            <w:pPr>
              <w:spacing w:after="0"/>
              <w:rPr>
                <w:sz w:val="1"/>
                <w:szCs w:val="1"/>
                <w:color w:val="auto"/>
              </w:rPr>
            </w:pPr>
          </w:p>
        </w:tc>
      </w:tr>
      <w:tr>
        <w:trPr>
          <w:trHeight w:val="388"/>
        </w:trPr>
        <w:tc>
          <w:tcPr>
            <w:tcW w:w="5120" w:type="dxa"/>
            <w:vAlign w:val="bottom"/>
            <w:shd w:val="clear" w:color="auto" w:fill="DBE5F1"/>
          </w:tcPr>
          <w:p>
            <w:pPr>
              <w:ind w:left="100"/>
              <w:spacing w:after="0"/>
              <w:rPr>
                <w:sz w:val="20"/>
                <w:szCs w:val="20"/>
                <w:color w:val="auto"/>
              </w:rPr>
            </w:pPr>
            <w:r>
              <w:rPr>
                <w:rFonts w:ascii="Arial" w:cs="Arial" w:eastAsia="Arial" w:hAnsi="Arial"/>
                <w:sz w:val="16"/>
                <w:szCs w:val="16"/>
                <w:color w:val="auto"/>
                <w:w w:val="91"/>
              </w:rPr>
              <w:t>Structure annual and long-term incentive plans, so that payouts are based on</w:t>
            </w:r>
          </w:p>
        </w:tc>
        <w:tc>
          <w:tcPr>
            <w:tcW w:w="6220" w:type="dxa"/>
            <w:vAlign w:val="bottom"/>
            <w:vMerge w:val="restart"/>
            <w:shd w:val="clear" w:color="auto" w:fill="DBE5F1"/>
          </w:tcPr>
          <w:p>
            <w:pPr>
              <w:ind w:left="200"/>
              <w:spacing w:after="0"/>
              <w:rPr>
                <w:sz w:val="20"/>
                <w:szCs w:val="20"/>
                <w:color w:val="auto"/>
              </w:rPr>
            </w:pPr>
            <w:r>
              <w:rPr>
                <w:rFonts w:ascii="Arial" w:cs="Arial" w:eastAsia="Arial" w:hAnsi="Arial"/>
                <w:sz w:val="16"/>
                <w:szCs w:val="16"/>
                <w:color w:val="auto"/>
                <w:w w:val="99"/>
              </w:rPr>
              <w:t>The executive compensation program utilizes distinct performance metrics as follows:</w:t>
            </w:r>
          </w:p>
        </w:tc>
        <w:tc>
          <w:tcPr>
            <w:tcW w:w="0" w:type="dxa"/>
            <w:vAlign w:val="bottom"/>
          </w:tcPr>
          <w:p>
            <w:pPr>
              <w:spacing w:after="0"/>
              <w:rPr>
                <w:sz w:val="1"/>
                <w:szCs w:val="1"/>
                <w:color w:val="auto"/>
              </w:rPr>
            </w:pPr>
          </w:p>
        </w:tc>
      </w:tr>
      <w:tr>
        <w:trPr>
          <w:trHeight w:val="71"/>
        </w:trPr>
        <w:tc>
          <w:tcPr>
            <w:tcW w:w="5120" w:type="dxa"/>
            <w:vAlign w:val="bottom"/>
            <w:vMerge w:val="restart"/>
            <w:shd w:val="clear" w:color="auto" w:fill="DBE5F1"/>
          </w:tcPr>
          <w:p>
            <w:pPr>
              <w:ind w:left="120"/>
              <w:spacing w:after="0"/>
              <w:rPr>
                <w:sz w:val="20"/>
                <w:szCs w:val="20"/>
                <w:color w:val="auto"/>
              </w:rPr>
            </w:pPr>
            <w:r>
              <w:rPr>
                <w:rFonts w:ascii="Arial" w:cs="Arial" w:eastAsia="Arial" w:hAnsi="Arial"/>
                <w:sz w:val="16"/>
                <w:szCs w:val="16"/>
                <w:color w:val="auto"/>
              </w:rPr>
              <w:t>different performance metrics.</w:t>
            </w:r>
          </w:p>
        </w:tc>
        <w:tc>
          <w:tcPr>
            <w:tcW w:w="6220" w:type="dxa"/>
            <w:vAlign w:val="bottom"/>
            <w:vMerge w:val="continue"/>
            <w:shd w:val="clear" w:color="auto" w:fill="DBE5F1"/>
          </w:tcPr>
          <w:p>
            <w:pPr>
              <w:spacing w:after="0"/>
              <w:rPr>
                <w:sz w:val="6"/>
                <w:szCs w:val="6"/>
                <w:color w:val="auto"/>
              </w:rPr>
            </w:pPr>
          </w:p>
        </w:tc>
        <w:tc>
          <w:tcPr>
            <w:tcW w:w="0" w:type="dxa"/>
            <w:vAlign w:val="bottom"/>
          </w:tcPr>
          <w:p>
            <w:pPr>
              <w:spacing w:after="0"/>
              <w:rPr>
                <w:sz w:val="1"/>
                <w:szCs w:val="1"/>
                <w:color w:val="auto"/>
              </w:rPr>
            </w:pPr>
          </w:p>
        </w:tc>
      </w:tr>
      <w:tr>
        <w:trPr>
          <w:trHeight w:val="135"/>
        </w:trPr>
        <w:tc>
          <w:tcPr>
            <w:tcW w:w="5120" w:type="dxa"/>
            <w:vAlign w:val="bottom"/>
            <w:vMerge w:val="continue"/>
            <w:shd w:val="clear" w:color="auto" w:fill="DBE5F1"/>
          </w:tcPr>
          <w:p>
            <w:pPr>
              <w:spacing w:after="0"/>
              <w:rPr>
                <w:sz w:val="11"/>
                <w:szCs w:val="11"/>
                <w:color w:val="auto"/>
              </w:rPr>
            </w:pPr>
          </w:p>
        </w:tc>
        <w:tc>
          <w:tcPr>
            <w:tcW w:w="6220" w:type="dxa"/>
            <w:vAlign w:val="bottom"/>
            <w:shd w:val="clear" w:color="auto" w:fill="DBE5F1"/>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5120" w:type="dxa"/>
            <w:vAlign w:val="bottom"/>
            <w:shd w:val="clear" w:color="auto" w:fill="DBE5F1"/>
          </w:tcPr>
          <w:p>
            <w:pPr>
              <w:spacing w:after="0"/>
              <w:rPr>
                <w:sz w:val="18"/>
                <w:szCs w:val="18"/>
                <w:color w:val="auto"/>
              </w:rPr>
            </w:pPr>
          </w:p>
        </w:tc>
        <w:tc>
          <w:tcPr>
            <w:tcW w:w="6220" w:type="dxa"/>
            <w:vAlign w:val="bottom"/>
            <w:shd w:val="clear" w:color="auto" w:fill="DBE5F1"/>
          </w:tcPr>
          <w:p>
            <w:pPr>
              <w:ind w:left="280"/>
              <w:spacing w:after="0"/>
              <w:rPr>
                <w:sz w:val="20"/>
                <w:szCs w:val="20"/>
                <w:color w:val="auto"/>
              </w:rPr>
            </w:pPr>
            <w:r>
              <w:rPr>
                <w:rFonts w:ascii="Arial" w:cs="Arial" w:eastAsia="Arial" w:hAnsi="Arial"/>
                <w:sz w:val="16"/>
                <w:szCs w:val="16"/>
                <w:color w:val="5978A5"/>
              </w:rPr>
              <w:t xml:space="preserve">•  </w:t>
            </w:r>
            <w:r>
              <w:rPr>
                <w:rFonts w:ascii="Arial" w:cs="Arial" w:eastAsia="Arial" w:hAnsi="Arial"/>
                <w:sz w:val="16"/>
                <w:szCs w:val="16"/>
                <w:color w:val="000000"/>
              </w:rPr>
              <w:t>Annual incentive plan – adjusted EBITDA and individual objectives</w:t>
            </w:r>
          </w:p>
        </w:tc>
        <w:tc>
          <w:tcPr>
            <w:tcW w:w="0" w:type="dxa"/>
            <w:vAlign w:val="bottom"/>
          </w:tcPr>
          <w:p>
            <w:pPr>
              <w:spacing w:after="0"/>
              <w:rPr>
                <w:sz w:val="1"/>
                <w:szCs w:val="1"/>
                <w:color w:val="auto"/>
              </w:rPr>
            </w:pPr>
          </w:p>
        </w:tc>
      </w:tr>
      <w:tr>
        <w:trPr>
          <w:trHeight w:val="351"/>
        </w:trPr>
        <w:tc>
          <w:tcPr>
            <w:tcW w:w="5120" w:type="dxa"/>
            <w:vAlign w:val="bottom"/>
            <w:shd w:val="clear" w:color="auto" w:fill="DBE5F1"/>
          </w:tcPr>
          <w:p>
            <w:pPr>
              <w:spacing w:after="0"/>
              <w:rPr>
                <w:sz w:val="24"/>
                <w:szCs w:val="24"/>
                <w:color w:val="auto"/>
              </w:rPr>
            </w:pPr>
          </w:p>
        </w:tc>
        <w:tc>
          <w:tcPr>
            <w:tcW w:w="6220" w:type="dxa"/>
            <w:vAlign w:val="bottom"/>
            <w:shd w:val="clear" w:color="auto" w:fill="DBE5F1"/>
          </w:tcPr>
          <w:p>
            <w:pPr>
              <w:ind w:left="280"/>
              <w:spacing w:after="0"/>
              <w:rPr>
                <w:sz w:val="20"/>
                <w:szCs w:val="20"/>
                <w:color w:val="auto"/>
              </w:rPr>
            </w:pPr>
            <w:r>
              <w:rPr>
                <w:rFonts w:ascii="Arial" w:cs="Arial" w:eastAsia="Arial" w:hAnsi="Arial"/>
                <w:sz w:val="16"/>
                <w:szCs w:val="16"/>
                <w:color w:val="5978A5"/>
              </w:rPr>
              <w:t xml:space="preserve">•  </w:t>
            </w:r>
            <w:r>
              <w:rPr>
                <w:rFonts w:ascii="Arial" w:cs="Arial" w:eastAsia="Arial" w:hAnsi="Arial"/>
                <w:sz w:val="16"/>
                <w:szCs w:val="16"/>
                <w:color w:val="000000"/>
              </w:rPr>
              <w:t>Annual performance-based restricted stock – non-GAAP net income</w:t>
            </w:r>
          </w:p>
        </w:tc>
        <w:tc>
          <w:tcPr>
            <w:tcW w:w="0" w:type="dxa"/>
            <w:vAlign w:val="bottom"/>
          </w:tcPr>
          <w:p>
            <w:pPr>
              <w:spacing w:after="0"/>
              <w:rPr>
                <w:sz w:val="1"/>
                <w:szCs w:val="1"/>
                <w:color w:val="auto"/>
              </w:rPr>
            </w:pPr>
          </w:p>
        </w:tc>
      </w:tr>
      <w:tr>
        <w:trPr>
          <w:trHeight w:val="347"/>
        </w:trPr>
        <w:tc>
          <w:tcPr>
            <w:tcW w:w="5120" w:type="dxa"/>
            <w:vAlign w:val="bottom"/>
            <w:shd w:val="clear" w:color="auto" w:fill="DBE5F1"/>
          </w:tcPr>
          <w:p>
            <w:pPr>
              <w:spacing w:after="0"/>
              <w:rPr>
                <w:sz w:val="24"/>
                <w:szCs w:val="24"/>
                <w:color w:val="auto"/>
              </w:rPr>
            </w:pPr>
          </w:p>
        </w:tc>
        <w:tc>
          <w:tcPr>
            <w:tcW w:w="6220" w:type="dxa"/>
            <w:vAlign w:val="bottom"/>
            <w:shd w:val="clear" w:color="auto" w:fill="DBE5F1"/>
          </w:tcPr>
          <w:p>
            <w:pPr>
              <w:ind w:left="280"/>
              <w:spacing w:after="0"/>
              <w:rPr>
                <w:sz w:val="20"/>
                <w:szCs w:val="20"/>
                <w:color w:val="auto"/>
              </w:rPr>
            </w:pPr>
            <w:r>
              <w:rPr>
                <w:rFonts w:ascii="Arial" w:cs="Arial" w:eastAsia="Arial" w:hAnsi="Arial"/>
                <w:sz w:val="16"/>
                <w:szCs w:val="16"/>
                <w:color w:val="5978A5"/>
              </w:rPr>
              <w:t xml:space="preserve">•  </w:t>
            </w:r>
            <w:r>
              <w:rPr>
                <w:rFonts w:ascii="Arial" w:cs="Arial" w:eastAsia="Arial" w:hAnsi="Arial"/>
                <w:sz w:val="16"/>
                <w:szCs w:val="16"/>
                <w:color w:val="000000"/>
              </w:rPr>
              <w:t>Performance shares – 3-year cumulative revenue goal, adjusted by relative total</w:t>
            </w:r>
          </w:p>
        </w:tc>
        <w:tc>
          <w:tcPr>
            <w:tcW w:w="0" w:type="dxa"/>
            <w:vAlign w:val="bottom"/>
          </w:tcPr>
          <w:p>
            <w:pPr>
              <w:spacing w:after="0"/>
              <w:rPr>
                <w:sz w:val="1"/>
                <w:szCs w:val="1"/>
                <w:color w:val="auto"/>
              </w:rPr>
            </w:pPr>
          </w:p>
        </w:tc>
      </w:tr>
      <w:tr>
        <w:trPr>
          <w:trHeight w:val="206"/>
        </w:trPr>
        <w:tc>
          <w:tcPr>
            <w:tcW w:w="5120" w:type="dxa"/>
            <w:vAlign w:val="bottom"/>
            <w:shd w:val="clear" w:color="auto" w:fill="DBE5F1"/>
          </w:tcPr>
          <w:p>
            <w:pPr>
              <w:spacing w:after="0"/>
              <w:rPr>
                <w:sz w:val="17"/>
                <w:szCs w:val="17"/>
                <w:color w:val="auto"/>
              </w:rPr>
            </w:pPr>
          </w:p>
        </w:tc>
        <w:tc>
          <w:tcPr>
            <w:tcW w:w="6220" w:type="dxa"/>
            <w:vAlign w:val="bottom"/>
            <w:shd w:val="clear" w:color="auto" w:fill="DBE5F1"/>
          </w:tcPr>
          <w:p>
            <w:pPr>
              <w:ind w:left="540"/>
              <w:spacing w:after="0"/>
              <w:rPr>
                <w:sz w:val="20"/>
                <w:szCs w:val="20"/>
                <w:color w:val="auto"/>
              </w:rPr>
            </w:pPr>
            <w:r>
              <w:rPr>
                <w:rFonts w:ascii="Arial" w:cs="Arial" w:eastAsia="Arial" w:hAnsi="Arial"/>
                <w:sz w:val="16"/>
                <w:szCs w:val="16"/>
                <w:color w:val="auto"/>
              </w:rPr>
              <w:t>stockholder return (measured against the Russell 1000 index)</w:t>
            </w:r>
          </w:p>
        </w:tc>
        <w:tc>
          <w:tcPr>
            <w:tcW w:w="0" w:type="dxa"/>
            <w:vAlign w:val="bottom"/>
          </w:tcPr>
          <w:p>
            <w:pPr>
              <w:spacing w:after="0"/>
              <w:rPr>
                <w:sz w:val="1"/>
                <w:szCs w:val="1"/>
                <w:color w:val="auto"/>
              </w:rPr>
            </w:pPr>
          </w:p>
        </w:tc>
      </w:tr>
      <w:tr>
        <w:trPr>
          <w:trHeight w:val="347"/>
        </w:trPr>
        <w:tc>
          <w:tcPr>
            <w:tcW w:w="5120" w:type="dxa"/>
            <w:vAlign w:val="bottom"/>
            <w:shd w:val="clear" w:color="auto" w:fill="DBE5F1"/>
          </w:tcPr>
          <w:p>
            <w:pPr>
              <w:ind w:left="100"/>
              <w:spacing w:after="0"/>
              <w:rPr>
                <w:sz w:val="20"/>
                <w:szCs w:val="20"/>
                <w:color w:val="auto"/>
              </w:rPr>
            </w:pPr>
            <w:r>
              <w:rPr>
                <w:rFonts w:ascii="Arial" w:cs="Arial" w:eastAsia="Arial" w:hAnsi="Arial"/>
                <w:sz w:val="16"/>
                <w:szCs w:val="16"/>
                <w:color w:val="auto"/>
                <w:w w:val="93"/>
              </w:rPr>
              <w:t>Structure executive compensation to motivate and reward performance and</w:t>
            </w:r>
          </w:p>
        </w:tc>
        <w:tc>
          <w:tcPr>
            <w:tcW w:w="6220" w:type="dxa"/>
            <w:vAlign w:val="bottom"/>
            <w:shd w:val="clear" w:color="auto" w:fill="DBE5F1"/>
          </w:tcPr>
          <w:p>
            <w:pPr>
              <w:ind w:left="160"/>
              <w:spacing w:after="0"/>
              <w:rPr>
                <w:sz w:val="20"/>
                <w:szCs w:val="20"/>
                <w:color w:val="auto"/>
              </w:rPr>
            </w:pPr>
            <w:r>
              <w:rPr>
                <w:rFonts w:ascii="Arial" w:cs="Arial" w:eastAsia="Arial" w:hAnsi="Arial"/>
                <w:sz w:val="16"/>
                <w:szCs w:val="16"/>
                <w:color w:val="auto"/>
                <w:w w:val="97"/>
              </w:rPr>
              <w:t>Aggregate equity compensation granted to executives in 2015 generally targeted within</w:t>
            </w:r>
          </w:p>
        </w:tc>
        <w:tc>
          <w:tcPr>
            <w:tcW w:w="0" w:type="dxa"/>
            <w:vAlign w:val="bottom"/>
          </w:tcPr>
          <w:p>
            <w:pPr>
              <w:spacing w:after="0"/>
              <w:rPr>
                <w:sz w:val="1"/>
                <w:szCs w:val="1"/>
                <w:color w:val="auto"/>
              </w:rPr>
            </w:pPr>
          </w:p>
        </w:tc>
      </w:tr>
      <w:tr>
        <w:trPr>
          <w:trHeight w:val="247"/>
        </w:trPr>
        <w:tc>
          <w:tcPr>
            <w:tcW w:w="5120" w:type="dxa"/>
            <w:vAlign w:val="bottom"/>
            <w:shd w:val="clear" w:color="auto" w:fill="DBE5F1"/>
          </w:tcPr>
          <w:p>
            <w:pPr>
              <w:ind w:left="120"/>
              <w:spacing w:after="0"/>
              <w:rPr>
                <w:sz w:val="20"/>
                <w:szCs w:val="20"/>
                <w:color w:val="auto"/>
              </w:rPr>
            </w:pPr>
            <w:r>
              <w:rPr>
                <w:rFonts w:ascii="Arial" w:cs="Arial" w:eastAsia="Arial" w:hAnsi="Arial"/>
                <w:sz w:val="16"/>
                <w:szCs w:val="16"/>
                <w:color w:val="auto"/>
              </w:rPr>
              <w:t>retain executives, but generally keep in line with median peer values.</w:t>
            </w:r>
          </w:p>
        </w:tc>
        <w:tc>
          <w:tcPr>
            <w:tcW w:w="6220" w:type="dxa"/>
            <w:vAlign w:val="bottom"/>
            <w:shd w:val="clear" w:color="auto" w:fill="DBE5F1"/>
          </w:tcPr>
          <w:p>
            <w:pPr>
              <w:ind w:left="160"/>
              <w:spacing w:after="0"/>
              <w:rPr>
                <w:sz w:val="20"/>
                <w:szCs w:val="20"/>
                <w:color w:val="auto"/>
              </w:rPr>
            </w:pPr>
            <w:r>
              <w:rPr>
                <w:rFonts w:ascii="Arial" w:cs="Arial" w:eastAsia="Arial" w:hAnsi="Arial"/>
                <w:sz w:val="16"/>
                <w:szCs w:val="16"/>
                <w:color w:val="auto"/>
              </w:rPr>
              <w:t>+/15% of the median peer values.</w:t>
            </w:r>
          </w:p>
        </w:tc>
        <w:tc>
          <w:tcPr>
            <w:tcW w:w="0" w:type="dxa"/>
            <w:vAlign w:val="bottom"/>
          </w:tcPr>
          <w:p>
            <w:pPr>
              <w:spacing w:after="0"/>
              <w:rPr>
                <w:sz w:val="1"/>
                <w:szCs w:val="1"/>
                <w:color w:val="auto"/>
              </w:rPr>
            </w:pPr>
          </w:p>
        </w:tc>
      </w:tr>
      <w:tr>
        <w:trPr>
          <w:trHeight w:val="378"/>
        </w:trPr>
        <w:tc>
          <w:tcPr>
            <w:tcW w:w="5120" w:type="dxa"/>
            <w:vAlign w:val="bottom"/>
            <w:shd w:val="clear" w:color="auto" w:fill="DBE5F1"/>
          </w:tcPr>
          <w:p>
            <w:pPr>
              <w:ind w:left="100"/>
              <w:spacing w:after="0"/>
              <w:rPr>
                <w:sz w:val="20"/>
                <w:szCs w:val="20"/>
                <w:color w:val="auto"/>
              </w:rPr>
            </w:pPr>
            <w:r>
              <w:rPr>
                <w:rFonts w:ascii="Arial" w:cs="Arial" w:eastAsia="Arial" w:hAnsi="Arial"/>
                <w:sz w:val="16"/>
                <w:szCs w:val="16"/>
                <w:color w:val="auto"/>
                <w:w w:val="98"/>
              </w:rPr>
              <w:t>Maintain robust executive compensation corporate governance policies.</w:t>
            </w:r>
          </w:p>
        </w:tc>
        <w:tc>
          <w:tcPr>
            <w:tcW w:w="6220" w:type="dxa"/>
            <w:vAlign w:val="bottom"/>
            <w:vMerge w:val="restart"/>
            <w:shd w:val="clear" w:color="auto" w:fill="DBE5F1"/>
          </w:tcPr>
          <w:p>
            <w:pPr>
              <w:ind w:left="200"/>
              <w:spacing w:after="0"/>
              <w:rPr>
                <w:sz w:val="20"/>
                <w:szCs w:val="20"/>
                <w:color w:val="auto"/>
              </w:rPr>
            </w:pPr>
            <w:r>
              <w:rPr>
                <w:rFonts w:ascii="Arial" w:cs="Arial" w:eastAsia="Arial" w:hAnsi="Arial"/>
                <w:sz w:val="16"/>
                <w:szCs w:val="16"/>
                <w:color w:val="auto"/>
              </w:rPr>
              <w:t>The Company has executive and Director stock ownership policies as follows:</w:t>
            </w:r>
          </w:p>
        </w:tc>
        <w:tc>
          <w:tcPr>
            <w:tcW w:w="0" w:type="dxa"/>
            <w:vAlign w:val="bottom"/>
          </w:tcPr>
          <w:p>
            <w:pPr>
              <w:spacing w:after="0"/>
              <w:rPr>
                <w:sz w:val="1"/>
                <w:szCs w:val="1"/>
                <w:color w:val="auto"/>
              </w:rPr>
            </w:pPr>
          </w:p>
        </w:tc>
      </w:tr>
      <w:tr>
        <w:trPr>
          <w:trHeight w:val="68"/>
        </w:trPr>
        <w:tc>
          <w:tcPr>
            <w:tcW w:w="5120" w:type="dxa"/>
            <w:vAlign w:val="bottom"/>
            <w:shd w:val="clear" w:color="auto" w:fill="DBE5F1"/>
          </w:tcPr>
          <w:p>
            <w:pPr>
              <w:spacing w:after="0"/>
              <w:rPr>
                <w:sz w:val="5"/>
                <w:szCs w:val="5"/>
                <w:color w:val="auto"/>
              </w:rPr>
            </w:pPr>
          </w:p>
        </w:tc>
        <w:tc>
          <w:tcPr>
            <w:tcW w:w="6220" w:type="dxa"/>
            <w:vAlign w:val="bottom"/>
            <w:vMerge w:val="continue"/>
            <w:shd w:val="clear" w:color="auto" w:fill="DBE5F1"/>
          </w:tcPr>
          <w:p>
            <w:pPr>
              <w:spacing w:after="0"/>
              <w:rPr>
                <w:sz w:val="5"/>
                <w:szCs w:val="5"/>
                <w:color w:val="auto"/>
              </w:rPr>
            </w:pPr>
          </w:p>
        </w:tc>
        <w:tc>
          <w:tcPr>
            <w:tcW w:w="0" w:type="dxa"/>
            <w:vAlign w:val="bottom"/>
          </w:tcPr>
          <w:p>
            <w:pPr>
              <w:spacing w:after="0"/>
              <w:rPr>
                <w:sz w:val="1"/>
                <w:szCs w:val="1"/>
                <w:color w:val="auto"/>
              </w:rPr>
            </w:pPr>
          </w:p>
        </w:tc>
      </w:tr>
      <w:tr>
        <w:trPr>
          <w:trHeight w:val="351"/>
        </w:trPr>
        <w:tc>
          <w:tcPr>
            <w:tcW w:w="5120" w:type="dxa"/>
            <w:vAlign w:val="bottom"/>
            <w:shd w:val="clear" w:color="auto" w:fill="DBE5F1"/>
          </w:tcPr>
          <w:p>
            <w:pPr>
              <w:spacing w:after="0"/>
              <w:rPr>
                <w:sz w:val="24"/>
                <w:szCs w:val="24"/>
                <w:color w:val="auto"/>
              </w:rPr>
            </w:pPr>
          </w:p>
        </w:tc>
        <w:tc>
          <w:tcPr>
            <w:tcW w:w="6220" w:type="dxa"/>
            <w:vAlign w:val="bottom"/>
            <w:shd w:val="clear" w:color="auto" w:fill="DBE5F1"/>
          </w:tcPr>
          <w:p>
            <w:pPr>
              <w:ind w:left="280"/>
              <w:spacing w:after="0"/>
              <w:rPr>
                <w:sz w:val="20"/>
                <w:szCs w:val="20"/>
                <w:color w:val="auto"/>
              </w:rPr>
            </w:pPr>
            <w:r>
              <w:rPr>
                <w:rFonts w:ascii="Arial" w:cs="Arial" w:eastAsia="Arial" w:hAnsi="Arial"/>
                <w:sz w:val="16"/>
                <w:szCs w:val="16"/>
                <w:color w:val="5978A5"/>
              </w:rPr>
              <w:t xml:space="preserve">•  </w:t>
            </w:r>
            <w:r>
              <w:rPr>
                <w:rFonts w:ascii="Arial" w:cs="Arial" w:eastAsia="Arial" w:hAnsi="Arial"/>
                <w:sz w:val="16"/>
                <w:szCs w:val="16"/>
                <w:color w:val="000000"/>
              </w:rPr>
              <w:t>CEO and President – 6X base salary</w:t>
            </w:r>
          </w:p>
        </w:tc>
        <w:tc>
          <w:tcPr>
            <w:tcW w:w="0" w:type="dxa"/>
            <w:vAlign w:val="bottom"/>
          </w:tcPr>
          <w:p>
            <w:pPr>
              <w:spacing w:after="0"/>
              <w:rPr>
                <w:sz w:val="1"/>
                <w:szCs w:val="1"/>
                <w:color w:val="auto"/>
              </w:rPr>
            </w:pPr>
          </w:p>
        </w:tc>
      </w:tr>
      <w:tr>
        <w:trPr>
          <w:trHeight w:val="351"/>
        </w:trPr>
        <w:tc>
          <w:tcPr>
            <w:tcW w:w="5120" w:type="dxa"/>
            <w:vAlign w:val="bottom"/>
            <w:shd w:val="clear" w:color="auto" w:fill="DBE5F1"/>
          </w:tcPr>
          <w:p>
            <w:pPr>
              <w:spacing w:after="0"/>
              <w:rPr>
                <w:sz w:val="24"/>
                <w:szCs w:val="24"/>
                <w:color w:val="auto"/>
              </w:rPr>
            </w:pPr>
          </w:p>
        </w:tc>
        <w:tc>
          <w:tcPr>
            <w:tcW w:w="6220" w:type="dxa"/>
            <w:vAlign w:val="bottom"/>
            <w:shd w:val="clear" w:color="auto" w:fill="DBE5F1"/>
          </w:tcPr>
          <w:p>
            <w:pPr>
              <w:ind w:left="280"/>
              <w:spacing w:after="0"/>
              <w:rPr>
                <w:sz w:val="20"/>
                <w:szCs w:val="20"/>
                <w:color w:val="auto"/>
              </w:rPr>
            </w:pPr>
            <w:r>
              <w:rPr>
                <w:rFonts w:ascii="Arial" w:cs="Arial" w:eastAsia="Arial" w:hAnsi="Arial"/>
                <w:sz w:val="16"/>
                <w:szCs w:val="16"/>
                <w:color w:val="5978A5"/>
              </w:rPr>
              <w:t xml:space="preserve">•  </w:t>
            </w:r>
            <w:r>
              <w:rPr>
                <w:rFonts w:ascii="Arial" w:cs="Arial" w:eastAsia="Arial" w:hAnsi="Arial"/>
                <w:sz w:val="16"/>
                <w:szCs w:val="16"/>
                <w:color w:val="000000"/>
              </w:rPr>
              <w:t>Other executive officers - 2X base salary</w:t>
            </w:r>
          </w:p>
        </w:tc>
        <w:tc>
          <w:tcPr>
            <w:tcW w:w="0" w:type="dxa"/>
            <w:vAlign w:val="bottom"/>
          </w:tcPr>
          <w:p>
            <w:pPr>
              <w:spacing w:after="0"/>
              <w:rPr>
                <w:sz w:val="1"/>
                <w:szCs w:val="1"/>
                <w:color w:val="auto"/>
              </w:rPr>
            </w:pPr>
          </w:p>
        </w:tc>
      </w:tr>
      <w:tr>
        <w:trPr>
          <w:trHeight w:val="351"/>
        </w:trPr>
        <w:tc>
          <w:tcPr>
            <w:tcW w:w="5120" w:type="dxa"/>
            <w:vAlign w:val="bottom"/>
            <w:shd w:val="clear" w:color="auto" w:fill="DBE5F1"/>
          </w:tcPr>
          <w:p>
            <w:pPr>
              <w:spacing w:after="0"/>
              <w:rPr>
                <w:sz w:val="24"/>
                <w:szCs w:val="24"/>
                <w:color w:val="auto"/>
              </w:rPr>
            </w:pPr>
          </w:p>
        </w:tc>
        <w:tc>
          <w:tcPr>
            <w:tcW w:w="6220" w:type="dxa"/>
            <w:vAlign w:val="bottom"/>
            <w:shd w:val="clear" w:color="auto" w:fill="DBE5F1"/>
          </w:tcPr>
          <w:p>
            <w:pPr>
              <w:ind w:left="280"/>
              <w:spacing w:after="0"/>
              <w:rPr>
                <w:sz w:val="20"/>
                <w:szCs w:val="20"/>
                <w:color w:val="auto"/>
              </w:rPr>
            </w:pPr>
            <w:r>
              <w:rPr>
                <w:rFonts w:ascii="Arial" w:cs="Arial" w:eastAsia="Arial" w:hAnsi="Arial"/>
                <w:sz w:val="16"/>
                <w:szCs w:val="16"/>
                <w:color w:val="5978A5"/>
              </w:rPr>
              <w:t xml:space="preserve">•  </w:t>
            </w:r>
            <w:r>
              <w:rPr>
                <w:rFonts w:ascii="Arial" w:cs="Arial" w:eastAsia="Arial" w:hAnsi="Arial"/>
                <w:sz w:val="16"/>
                <w:szCs w:val="16"/>
                <w:color w:val="000000"/>
              </w:rPr>
              <w:t>Non-employee Directors – 5X annual, standard Director cash retainer</w:t>
            </w:r>
          </w:p>
        </w:tc>
        <w:tc>
          <w:tcPr>
            <w:tcW w:w="0" w:type="dxa"/>
            <w:vAlign w:val="bottom"/>
          </w:tcPr>
          <w:p>
            <w:pPr>
              <w:spacing w:after="0"/>
              <w:rPr>
                <w:sz w:val="1"/>
                <w:szCs w:val="1"/>
                <w:color w:val="auto"/>
              </w:rPr>
            </w:pPr>
          </w:p>
        </w:tc>
      </w:tr>
      <w:tr>
        <w:trPr>
          <w:trHeight w:val="338"/>
        </w:trPr>
        <w:tc>
          <w:tcPr>
            <w:tcW w:w="5120" w:type="dxa"/>
            <w:vAlign w:val="bottom"/>
            <w:shd w:val="clear" w:color="auto" w:fill="DBE5F1"/>
          </w:tcPr>
          <w:p>
            <w:pPr>
              <w:spacing w:after="0"/>
              <w:rPr>
                <w:sz w:val="24"/>
                <w:szCs w:val="24"/>
                <w:color w:val="auto"/>
              </w:rPr>
            </w:pPr>
          </w:p>
        </w:tc>
        <w:tc>
          <w:tcPr>
            <w:tcW w:w="6220" w:type="dxa"/>
            <w:vAlign w:val="bottom"/>
            <w:shd w:val="clear" w:color="auto" w:fill="DBE5F1"/>
          </w:tcPr>
          <w:p>
            <w:pPr>
              <w:ind w:left="240"/>
              <w:spacing w:after="0"/>
              <w:rPr>
                <w:sz w:val="20"/>
                <w:szCs w:val="20"/>
                <w:color w:val="auto"/>
              </w:rPr>
            </w:pPr>
            <w:r>
              <w:rPr>
                <w:rFonts w:ascii="Arial" w:cs="Arial" w:eastAsia="Arial" w:hAnsi="Arial"/>
                <w:sz w:val="16"/>
                <w:szCs w:val="16"/>
                <w:color w:val="auto"/>
              </w:rPr>
              <w:t>The Company has a clawback policy</w:t>
            </w:r>
          </w:p>
        </w:tc>
        <w:tc>
          <w:tcPr>
            <w:tcW w:w="0" w:type="dxa"/>
            <w:vAlign w:val="bottom"/>
          </w:tcPr>
          <w:p>
            <w:pPr>
              <w:spacing w:after="0"/>
              <w:rPr>
                <w:sz w:val="1"/>
                <w:szCs w:val="1"/>
                <w:color w:val="auto"/>
              </w:rPr>
            </w:pPr>
          </w:p>
        </w:tc>
      </w:tr>
      <w:tr>
        <w:trPr>
          <w:trHeight w:val="338"/>
        </w:trPr>
        <w:tc>
          <w:tcPr>
            <w:tcW w:w="5120" w:type="dxa"/>
            <w:vAlign w:val="bottom"/>
            <w:shd w:val="clear" w:color="auto" w:fill="DBE5F1"/>
          </w:tcPr>
          <w:p>
            <w:pPr>
              <w:spacing w:after="0"/>
              <w:rPr>
                <w:sz w:val="24"/>
                <w:szCs w:val="24"/>
                <w:color w:val="auto"/>
              </w:rPr>
            </w:pPr>
          </w:p>
        </w:tc>
        <w:tc>
          <w:tcPr>
            <w:tcW w:w="6220" w:type="dxa"/>
            <w:vAlign w:val="bottom"/>
            <w:shd w:val="clear" w:color="auto" w:fill="DBE5F1"/>
          </w:tcPr>
          <w:p>
            <w:pPr>
              <w:ind w:left="240"/>
              <w:spacing w:after="0"/>
              <w:rPr>
                <w:sz w:val="20"/>
                <w:szCs w:val="20"/>
                <w:color w:val="auto"/>
              </w:rPr>
            </w:pPr>
            <w:r>
              <w:rPr>
                <w:rFonts w:ascii="Arial" w:cs="Arial" w:eastAsia="Arial" w:hAnsi="Arial"/>
                <w:sz w:val="16"/>
                <w:szCs w:val="16"/>
                <w:color w:val="auto"/>
              </w:rPr>
              <w:t>The Company maintains Principles of Corporate Governance</w:t>
            </w:r>
          </w:p>
        </w:tc>
        <w:tc>
          <w:tcPr>
            <w:tcW w:w="0" w:type="dxa"/>
            <w:vAlign w:val="bottom"/>
          </w:tcPr>
          <w:p>
            <w:pPr>
              <w:spacing w:after="0"/>
              <w:rPr>
                <w:sz w:val="1"/>
                <w:szCs w:val="1"/>
                <w:color w:val="auto"/>
              </w:rPr>
            </w:pPr>
          </w:p>
        </w:tc>
      </w:tr>
      <w:tr>
        <w:trPr>
          <w:trHeight w:val="101"/>
        </w:trPr>
        <w:tc>
          <w:tcPr>
            <w:tcW w:w="5120" w:type="dxa"/>
            <w:vAlign w:val="bottom"/>
            <w:shd w:val="clear" w:color="auto" w:fill="DBE5F1"/>
          </w:tcPr>
          <w:p>
            <w:pPr>
              <w:spacing w:after="0"/>
              <w:rPr>
                <w:sz w:val="8"/>
                <w:szCs w:val="8"/>
                <w:color w:val="auto"/>
              </w:rPr>
            </w:pPr>
          </w:p>
        </w:tc>
        <w:tc>
          <w:tcPr>
            <w:tcW w:w="6220" w:type="dxa"/>
            <w:vAlign w:val="bottom"/>
            <w:shd w:val="clear" w:color="auto" w:fill="DBE5F1"/>
          </w:tcPr>
          <w:p>
            <w:pPr>
              <w:spacing w:after="0"/>
              <w:rPr>
                <w:sz w:val="8"/>
                <w:szCs w:val="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340"/>
          </w:cols>
          <w:pgMar w:left="240" w:top="360" w:right="319" w:bottom="1440" w:gutter="0" w:footer="0" w:header="0"/>
        </w:sectPr>
      </w:pPr>
    </w:p>
    <w:bookmarkStart w:id="52" w:name="page53"/>
    <w:bookmarkEnd w:id="52"/>
    <w:p>
      <w:pPr>
        <w:spacing w:after="0"/>
        <w:rPr>
          <w:sz w:val="20"/>
          <w:szCs w:val="20"/>
          <w:color w:val="auto"/>
        </w:rPr>
      </w:pPr>
      <w:r>
        <w:rPr>
          <w:rFonts w:ascii="Arial" w:cs="Arial" w:eastAsia="Arial" w:hAnsi="Arial"/>
          <w:sz w:val="20"/>
          <w:szCs w:val="20"/>
          <w:b w:val="1"/>
          <w:bCs w:val="1"/>
          <w:color w:val="auto"/>
        </w:rPr>
        <w:t>EXECUTIVE COMPENSATION PRACTICES</w:t>
      </w:r>
    </w:p>
    <w:p>
      <w:pPr>
        <w:spacing w:after="0" w:line="11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Below we highlight certain executive compensation practices we employ to align executive compensation with stockholder interests. Also listed below are certain compensation practices we do not employ because we do not believe they would serve our stockholders’ long-term interests.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5978A5"/>
        </w:rPr>
        <w:t>What We Do</w:t>
      </w:r>
    </w:p>
    <w:p>
      <w:pPr>
        <w:spacing w:after="0" w:line="117"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Pay for Performance. </w:t>
      </w:r>
      <w:r>
        <w:rPr>
          <w:rFonts w:ascii="Arial" w:cs="Arial" w:eastAsia="Arial" w:hAnsi="Arial"/>
          <w:sz w:val="18"/>
          <w:szCs w:val="18"/>
          <w:color w:val="auto"/>
        </w:rPr>
        <w:t>We tie annual pay to objective performance metrics, including our fiscal year 2015 adjusted EBITDA and non-GAAP net income. We</w:t>
      </w:r>
      <w:r>
        <w:rPr>
          <w:rFonts w:ascii="Arial" w:cs="Arial" w:eastAsia="Arial" w:hAnsi="Arial"/>
          <w:sz w:val="18"/>
          <w:szCs w:val="18"/>
          <w:b w:val="1"/>
          <w:bCs w:val="1"/>
          <w:color w:val="auto"/>
        </w:rPr>
        <w:t xml:space="preserve"> </w:t>
      </w:r>
      <w:r>
        <w:rPr>
          <w:rFonts w:ascii="Arial" w:cs="Arial" w:eastAsia="Arial" w:hAnsi="Arial"/>
          <w:sz w:val="18"/>
          <w:szCs w:val="18"/>
          <w:color w:val="auto"/>
        </w:rPr>
        <w:t>tie long-term pay to three-year cumulative revenue and total stockholder return. We ask our independent compensation consultant to evaluate the alignment of pay and performance relative to our peer group.</w:t>
      </w:r>
    </w:p>
    <w:p>
      <w:pPr>
        <w:spacing w:after="0" w:line="176"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Total Stockholder Return Metric. </w:t>
      </w:r>
      <w:r>
        <w:rPr>
          <w:rFonts w:ascii="Arial" w:cs="Arial" w:eastAsia="Arial" w:hAnsi="Arial"/>
          <w:sz w:val="18"/>
          <w:szCs w:val="18"/>
          <w:color w:val="auto"/>
        </w:rPr>
        <w:t>Linking executive compensation to stockholder performance is important, therefore the Compensation Committee made</w:t>
      </w:r>
      <w:r>
        <w:rPr>
          <w:rFonts w:ascii="Arial" w:cs="Arial" w:eastAsia="Arial" w:hAnsi="Arial"/>
          <w:sz w:val="18"/>
          <w:szCs w:val="18"/>
          <w:b w:val="1"/>
          <w:bCs w:val="1"/>
          <w:color w:val="auto"/>
        </w:rPr>
        <w:t xml:space="preserve"> </w:t>
      </w:r>
      <w:r>
        <w:rPr>
          <w:rFonts w:ascii="Arial" w:cs="Arial" w:eastAsia="Arial" w:hAnsi="Arial"/>
          <w:sz w:val="18"/>
          <w:szCs w:val="18"/>
          <w:color w:val="auto"/>
        </w:rPr>
        <w:t>relative stockholder return a factor in determining performance share payouts. Further, stock options and performance-based restricted stock are awarded annually, and the value of those awards to the executives is ultimately based on stock price performance.</w:t>
      </w:r>
    </w:p>
    <w:p>
      <w:pPr>
        <w:spacing w:after="0" w:line="176"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 xml:space="preserve">Executive Stock Ownership Guidelines. </w:t>
      </w:r>
      <w:r>
        <w:rPr>
          <w:rFonts w:ascii="Arial" w:cs="Arial" w:eastAsia="Arial" w:hAnsi="Arial"/>
          <w:sz w:val="18"/>
          <w:szCs w:val="18"/>
          <w:color w:val="auto"/>
        </w:rPr>
        <w:t>Executives are expected to own shares of CoStar common stock with a value equal to at least two to six times base</w:t>
      </w:r>
      <w:r>
        <w:rPr>
          <w:rFonts w:ascii="Arial" w:cs="Arial" w:eastAsia="Arial" w:hAnsi="Arial"/>
          <w:sz w:val="18"/>
          <w:szCs w:val="18"/>
          <w:b w:val="1"/>
          <w:bCs w:val="1"/>
          <w:color w:val="auto"/>
        </w:rPr>
        <w:t xml:space="preserve"> </w:t>
      </w:r>
      <w:r>
        <w:rPr>
          <w:rFonts w:ascii="Arial" w:cs="Arial" w:eastAsia="Arial" w:hAnsi="Arial"/>
          <w:sz w:val="18"/>
          <w:szCs w:val="18"/>
          <w:color w:val="auto"/>
        </w:rPr>
        <w:t>salary, depending on position.</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Vesting Period on Equity Awards. </w:t>
      </w:r>
      <w:r>
        <w:rPr>
          <w:rFonts w:ascii="Arial" w:cs="Arial" w:eastAsia="Arial" w:hAnsi="Arial"/>
          <w:sz w:val="18"/>
          <w:szCs w:val="18"/>
          <w:color w:val="auto"/>
        </w:rPr>
        <w:t>Options and annual performance-based restricted stock vest ratably over three years.</w:t>
      </w:r>
    </w:p>
    <w:p>
      <w:pPr>
        <w:spacing w:after="0" w:line="225" w:lineRule="exact"/>
        <w:rPr>
          <w:sz w:val="20"/>
          <w:szCs w:val="20"/>
          <w:color w:val="auto"/>
        </w:rPr>
      </w:pPr>
    </w:p>
    <w:p>
      <w:pPr>
        <w:jc w:val="both"/>
        <w:spacing w:after="0" w:line="298" w:lineRule="auto"/>
        <w:rPr>
          <w:sz w:val="20"/>
          <w:szCs w:val="20"/>
          <w:color w:val="auto"/>
        </w:rPr>
      </w:pPr>
      <w:r>
        <w:rPr>
          <w:rFonts w:ascii="Arial" w:cs="Arial" w:eastAsia="Arial" w:hAnsi="Arial"/>
          <w:sz w:val="16"/>
          <w:szCs w:val="16"/>
          <w:b w:val="1"/>
          <w:bCs w:val="1"/>
          <w:color w:val="auto"/>
        </w:rPr>
        <w:t xml:space="preserve">Clawback Policy. </w:t>
      </w:r>
      <w:r>
        <w:rPr>
          <w:rFonts w:ascii="Arial" w:cs="Arial" w:eastAsia="Arial" w:hAnsi="Arial"/>
          <w:sz w:val="16"/>
          <w:szCs w:val="16"/>
          <w:color w:val="auto"/>
        </w:rPr>
        <w:t>If a restatement of our financial statements is required due to material non-compliance with financial reporting requirements and the Board</w:t>
      </w:r>
      <w:r>
        <w:rPr>
          <w:rFonts w:ascii="Arial" w:cs="Arial" w:eastAsia="Arial" w:hAnsi="Arial"/>
          <w:sz w:val="16"/>
          <w:szCs w:val="16"/>
          <w:b w:val="1"/>
          <w:bCs w:val="1"/>
          <w:color w:val="auto"/>
        </w:rPr>
        <w:t xml:space="preserve"> </w:t>
      </w:r>
      <w:r>
        <w:rPr>
          <w:rFonts w:ascii="Arial" w:cs="Arial" w:eastAsia="Arial" w:hAnsi="Arial"/>
          <w:sz w:val="16"/>
          <w:szCs w:val="16"/>
          <w:color w:val="auto"/>
        </w:rPr>
        <w:t>determines that cash incentive payments or performance-based equity grants, which were granted or vested based on financial results during the three years prior to the date the restatement is required, would have been lower had they been determined or calculated based on restated results, the Board will, to the extent permitted by governing law, seek to recover the value of such payments made to executive officers whom the Board determines engaged in willful misconduct or gross negligence. The Compensation Committee believes that this policy will lessen any potential for excessive risk-taking.</w:t>
      </w:r>
    </w:p>
    <w:p>
      <w:pPr>
        <w:spacing w:after="0" w:line="154"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Target Pay. </w:t>
      </w:r>
      <w:r>
        <w:rPr>
          <w:rFonts w:ascii="Arial" w:cs="Arial" w:eastAsia="Arial" w:hAnsi="Arial"/>
          <w:sz w:val="18"/>
          <w:szCs w:val="18"/>
          <w:color w:val="auto"/>
        </w:rPr>
        <w:t>We generally target each component of pay at +/- 15% of the median of the peer group, except as may otherwise be appropriate to reflect</w:t>
      </w:r>
      <w:r>
        <w:rPr>
          <w:rFonts w:ascii="Arial" w:cs="Arial" w:eastAsia="Arial" w:hAnsi="Arial"/>
          <w:sz w:val="18"/>
          <w:szCs w:val="18"/>
          <w:b w:val="1"/>
          <w:bCs w:val="1"/>
          <w:color w:val="auto"/>
        </w:rPr>
        <w:t xml:space="preserve"> </w:t>
      </w:r>
      <w:r>
        <w:rPr>
          <w:rFonts w:ascii="Arial" w:cs="Arial" w:eastAsia="Arial" w:hAnsi="Arial"/>
          <w:sz w:val="18"/>
          <w:szCs w:val="18"/>
          <w:color w:val="auto"/>
        </w:rPr>
        <w:t>promotions, tenure, new-hire needs, internal pay equity, etc. The Compensation Committee periodically reviews the compensation peer group and makes adjustments, when appropriate, to keep pay practices competitive and in line with investor expectations.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5978A5"/>
        </w:rPr>
        <w:t>What We Don’t Do</w:t>
      </w:r>
    </w:p>
    <w:p>
      <w:pPr>
        <w:spacing w:after="0" w:line="117" w:lineRule="exact"/>
        <w:rPr>
          <w:sz w:val="20"/>
          <w:szCs w:val="20"/>
          <w:color w:val="auto"/>
        </w:rPr>
      </w:pPr>
    </w:p>
    <w:p>
      <w:pPr>
        <w:jc w:val="both"/>
        <w:spacing w:after="0" w:line="295" w:lineRule="auto"/>
        <w:rPr>
          <w:sz w:val="20"/>
          <w:szCs w:val="20"/>
          <w:color w:val="auto"/>
        </w:rPr>
      </w:pPr>
      <w:r>
        <w:rPr>
          <w:rFonts w:ascii="Arial" w:cs="Arial" w:eastAsia="Arial" w:hAnsi="Arial"/>
          <w:sz w:val="16"/>
          <w:szCs w:val="16"/>
          <w:b w:val="1"/>
          <w:bCs w:val="1"/>
          <w:color w:val="auto"/>
        </w:rPr>
        <w:t xml:space="preserve">Limited Employment Agreements. </w:t>
      </w:r>
      <w:r>
        <w:rPr>
          <w:rFonts w:ascii="Arial" w:cs="Arial" w:eastAsia="Arial" w:hAnsi="Arial"/>
          <w:sz w:val="16"/>
          <w:szCs w:val="16"/>
          <w:color w:val="auto"/>
        </w:rPr>
        <w:t>We do not provide our named executive officers, with the exception of the Chief Executive Officer, with employment</w:t>
      </w:r>
      <w:r>
        <w:rPr>
          <w:rFonts w:ascii="Arial" w:cs="Arial" w:eastAsia="Arial" w:hAnsi="Arial"/>
          <w:sz w:val="16"/>
          <w:szCs w:val="16"/>
          <w:b w:val="1"/>
          <w:bCs w:val="1"/>
          <w:color w:val="auto"/>
        </w:rPr>
        <w:t xml:space="preserve"> </w:t>
      </w:r>
      <w:r>
        <w:rPr>
          <w:rFonts w:ascii="Arial" w:cs="Arial" w:eastAsia="Arial" w:hAnsi="Arial"/>
          <w:sz w:val="16"/>
          <w:szCs w:val="16"/>
          <w:color w:val="auto"/>
        </w:rPr>
        <w:t>agreements that provide severance payments, medical or insurance benefits or other perquisites in the event the executive is terminated or resigns. Mr. Linnington, our Executive Vice President of Sales, has employment terms pursuant to an offer letter that provide for a severance payment in the event he is terminated without cause. Mr. Wheeler, our Chief Financial Officer, has employment terms pursuant to an offer letter that provide for a severance payment in the event he is terminated by the Company without cause or he terminates his employment for good reason. A Company-wide severance policy provides minimal severance pay tied to tenure to executives when employment ends and is available generally to all salaried employees.</w:t>
      </w:r>
    </w:p>
    <w:p>
      <w:pPr>
        <w:spacing w:after="0" w:line="156"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 xml:space="preserve">Limited Golden Parachute Gross-Up. </w:t>
      </w:r>
      <w:r>
        <w:rPr>
          <w:rFonts w:ascii="Arial" w:cs="Arial" w:eastAsia="Arial" w:hAnsi="Arial"/>
          <w:sz w:val="18"/>
          <w:szCs w:val="18"/>
          <w:color w:val="auto"/>
        </w:rPr>
        <w:t>We do not provide a 280G golden parachute excise tax gross up to any executive other than our Chief Executive</w:t>
      </w:r>
      <w:r>
        <w:rPr>
          <w:rFonts w:ascii="Arial" w:cs="Arial" w:eastAsia="Arial" w:hAnsi="Arial"/>
          <w:sz w:val="18"/>
          <w:szCs w:val="18"/>
          <w:b w:val="1"/>
          <w:bCs w:val="1"/>
          <w:color w:val="auto"/>
        </w:rPr>
        <w:t xml:space="preserve"> </w:t>
      </w:r>
      <w:r>
        <w:rPr>
          <w:rFonts w:ascii="Arial" w:cs="Arial" w:eastAsia="Arial" w:hAnsi="Arial"/>
          <w:sz w:val="18"/>
          <w:szCs w:val="18"/>
          <w:color w:val="auto"/>
        </w:rPr>
        <w:t>Officer, who has had the provision in his employment agreement since 1998.</w:t>
      </w:r>
    </w:p>
    <w:p>
      <w:pPr>
        <w:spacing w:after="0" w:line="16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No Minimum Payouts. </w:t>
      </w:r>
      <w:r>
        <w:rPr>
          <w:rFonts w:ascii="Arial" w:cs="Arial" w:eastAsia="Arial" w:hAnsi="Arial"/>
          <w:sz w:val="17"/>
          <w:szCs w:val="17"/>
          <w:color w:val="auto"/>
        </w:rPr>
        <w:t>We do not have guaranteed minimum payment levels for executives’ cash incentives or performance-based equity awards.</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 Repricings. </w:t>
      </w:r>
      <w:r>
        <w:rPr>
          <w:rFonts w:ascii="Arial" w:cs="Arial" w:eastAsia="Arial" w:hAnsi="Arial"/>
          <w:sz w:val="18"/>
          <w:szCs w:val="18"/>
          <w:color w:val="auto"/>
        </w:rPr>
        <w:t>Our stock incentive plans and NASDAQ listing standards prohibit us from repricing options without stockholder approval.</w:t>
      </w: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360" w:right="239" w:bottom="1440" w:gutter="0" w:footer="0" w:header="0"/>
        </w:sectPr>
      </w:pPr>
    </w:p>
    <w:bookmarkStart w:id="53" w:name="page54"/>
    <w:bookmarkEnd w:id="53"/>
    <w:p>
      <w:pPr>
        <w:ind w:left="40"/>
        <w:spacing w:after="0"/>
        <w:rPr>
          <w:sz w:val="20"/>
          <w:szCs w:val="20"/>
          <w:color w:val="auto"/>
        </w:rPr>
      </w:pPr>
      <w:r>
        <w:rPr>
          <w:rFonts w:ascii="Arial" w:cs="Arial" w:eastAsia="Arial" w:hAnsi="Arial"/>
          <w:sz w:val="29"/>
          <w:szCs w:val="29"/>
          <w:b w:val="1"/>
          <w:bCs w:val="1"/>
          <w:color w:val="FFFFFF"/>
        </w:rPr>
        <w:t>EXECUTIVE COMPENSATION PROGRAM OBJECTIVES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-207645</wp:posOffset>
            </wp:positionV>
            <wp:extent cx="7246620" cy="24892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248920"/>
                    </a:xfrm>
                    <a:prstGeom prst="rect">
                      <a:avLst/>
                    </a:prstGeom>
                    <a:noFill/>
                  </pic:spPr>
                </pic:pic>
              </a:graphicData>
            </a:graphic>
          </wp:anchor>
        </w:drawing>
      </w:r>
    </w:p>
    <w:p>
      <w:pPr>
        <w:spacing w:after="0" w:line="32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Company’s Compensation Committee (the “Committee”) is responsible for designing and maintaining the Company’s executive compensation program consistent with the objectives below. The Company’s executive compensation program seeks to:</w:t>
      </w:r>
    </w:p>
    <w:p>
      <w:pPr>
        <w:spacing w:after="0" w:line="170" w:lineRule="exact"/>
        <w:rPr>
          <w:sz w:val="20"/>
          <w:szCs w:val="20"/>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Link executive compensation with the achievement of overall corporate goals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Encourage and reward superior performance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Maintain competitive compensation levels in order to attract, motivate and retain talented executives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Align executives’ interests with those of the Company’s stockholders</w:t>
      </w:r>
    </w:p>
    <w:p>
      <w:pPr>
        <w:spacing w:after="0" w:line="21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Accordingly, executive compensation is structured so that a significant portion of compensation paid to named executive officers is directly related to the Company’s short-term and long-term performance, thereby aligning the interests of named executive officers with those of the Company’s stockholders. For example, as discussed below, a significant portion of the named executive officers’ opportunities under the Company’s cash incentive and equity compensation programs is tied to the Company’s achievement of earnings and revenue growth objectives. The annual incentives paid to each of our named executive officers vary with individual performance and annual corporate financial results. The Committee also recognizes that the market for executives in the commercial real estate information and online marketplace services industry is highly competitive, and therefore seeks to provide a competitive total compensation package so that the Company may maintain its leadership position in this industry by attracting, retaining, and motivating executives capable of enhancing stockholder value.</w:t>
      </w:r>
    </w:p>
    <w:p>
      <w:pPr>
        <w:spacing w:after="0" w:line="337" w:lineRule="exact"/>
        <w:rPr>
          <w:sz w:val="20"/>
          <w:szCs w:val="20"/>
          <w:color w:val="auto"/>
        </w:rPr>
      </w:pPr>
    </w:p>
    <w:p>
      <w:pPr>
        <w:ind w:left="40"/>
        <w:spacing w:after="0"/>
        <w:rPr>
          <w:sz w:val="20"/>
          <w:szCs w:val="20"/>
          <w:color w:val="auto"/>
        </w:rPr>
      </w:pPr>
      <w:r>
        <w:rPr>
          <w:rFonts w:ascii="Arial" w:cs="Arial" w:eastAsia="Arial" w:hAnsi="Arial"/>
          <w:sz w:val="29"/>
          <w:szCs w:val="29"/>
          <w:b w:val="1"/>
          <w:bCs w:val="1"/>
          <w:color w:val="FFFFFF"/>
        </w:rPr>
        <w:t>DETERMINING 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-207645</wp:posOffset>
            </wp:positionV>
            <wp:extent cx="7246620" cy="24892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248920"/>
                    </a:xfrm>
                    <a:prstGeom prst="rect">
                      <a:avLst/>
                    </a:prstGeom>
                    <a:noFill/>
                  </pic:spPr>
                </pic:pic>
              </a:graphicData>
            </a:graphic>
          </wp:anchor>
        </w:drawing>
      </w:r>
    </w:p>
    <w:p>
      <w:pPr>
        <w:spacing w:after="0" w:line="353" w:lineRule="exact"/>
        <w:rPr>
          <w:sz w:val="20"/>
          <w:szCs w:val="20"/>
          <w:color w:val="auto"/>
        </w:rPr>
      </w:pPr>
    </w:p>
    <w:p>
      <w:pPr>
        <w:jc w:val="both"/>
        <w:spacing w:after="0" w:line="283" w:lineRule="auto"/>
        <w:rPr>
          <w:sz w:val="20"/>
          <w:szCs w:val="20"/>
          <w:color w:val="auto"/>
        </w:rPr>
      </w:pPr>
      <w:r>
        <w:rPr>
          <w:rFonts w:ascii="Arial" w:cs="Arial" w:eastAsia="Arial" w:hAnsi="Arial"/>
          <w:sz w:val="16"/>
          <w:szCs w:val="16"/>
          <w:color w:val="auto"/>
        </w:rPr>
        <w:t>The Committee annually establishes and reviews all forms of direct compensation, including base salaries, annual incentive bonuses, and both the terms and types of equity awards, for the Company’s named executive officers as well as other officers of the Company. As part of the compensation review process, the Committee annually reviews and approves each element and the mix of compensation that comprises each named executive officer’s total compensation package. Our independent compensation consulting firm and Chief Executive Officer make recommendations to the Committee for each element of compensation awarded to named executive officers (including establishment of individual and corporate financial goals), but the Committee must approve each element of (and any changes to) a named executive officer’s compensation. The Committee may consider a number of factors in establishing or revising each named executive officer’s total compensation, including individual performance, the Company’s financial performance, external market and peer group practices, current compensation arrangements, internal pay equity considerations and long-term potential to enhance stockholder value. Particular factors considered by the Committee with respect to each element of executive compensation are discussed below.</w:t>
      </w:r>
    </w:p>
    <w:p>
      <w:pPr>
        <w:spacing w:after="0" w:line="7" w:lineRule="exact"/>
        <w:rPr>
          <w:sz w:val="20"/>
          <w:szCs w:val="20"/>
          <w:color w:val="auto"/>
        </w:rPr>
      </w:pPr>
    </w:p>
    <w:p>
      <w:pPr>
        <w:spacing w:after="0"/>
        <w:rPr>
          <w:sz w:val="20"/>
          <w:szCs w:val="20"/>
          <w:color w:val="auto"/>
        </w:rPr>
      </w:pPr>
      <w:r>
        <w:rPr>
          <w:rFonts w:ascii="Arial" w:cs="Arial" w:eastAsia="Arial" w:hAnsi="Arial"/>
          <w:sz w:val="25"/>
          <w:szCs w:val="25"/>
          <w:b w:val="1"/>
          <w:bCs w:val="1"/>
          <w:color w:val="FFFFFF"/>
        </w:rPr>
        <w:t>EXECUTIVE COMPENSATION</w:t>
      </w:r>
    </w:p>
    <w:p>
      <w:pPr>
        <w:spacing w:after="0" w:line="11"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Periodically the Committee retains independent compensation consulting firms (historically Towers Watson, now known as Willis Towers Watson) to assist it in gathering comparison data and to provide it with information about trends in compensation among comparable companies based on factors such as market capitalization, annual revenues, earnings, service offerings, number of employees, business model, and potential competition for talent or business. The Committee believes that comparing the compensation of each of the Company’s named executive officers with executives in comparable positions at these peer companies supports the Committee’s goal that the total compensation provided to the Company’s named executive officers be set at an appropriate level to attract, reward and retain top performers over the long term. In general, the Committee currently believes that compensation is competitive if it falls within +/- 15% of the median levels of peer company data provided by its compensation consultant, as discussed below. Where peer company data is not available, the Committee reviews individual responsibility and performance, prior compensation, external market and competitive practices (including available general industry executive compensation data), and internal pay equity considerations when setting an executive officer’s compensation.</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729" w:right="239" w:bottom="1440" w:gutter="0" w:footer="0" w:header="0"/>
        </w:sectPr>
      </w:pPr>
    </w:p>
    <w:bookmarkStart w:id="54" w:name="page55"/>
    <w:bookmarkEnd w:id="54"/>
    <w:p>
      <w:pPr>
        <w:jc w:val="both"/>
        <w:spacing w:after="0" w:line="259" w:lineRule="auto"/>
        <w:rPr>
          <w:sz w:val="20"/>
          <w:szCs w:val="20"/>
          <w:color w:val="auto"/>
        </w:rPr>
      </w:pPr>
      <w:r>
        <w:rPr>
          <w:rFonts w:ascii="Arial" w:cs="Arial" w:eastAsia="Arial" w:hAnsi="Arial"/>
          <w:sz w:val="18"/>
          <w:szCs w:val="18"/>
          <w:color w:val="auto"/>
        </w:rPr>
        <w:t>The Committee assesses each element of the compensation program within the whole, however, and may target certain elements of executive compensation at different levels (i.e. higher or lower than +/- 15% of the median levels of peer companies) depending on the Company’s current goals, individual achievement and internal pay equity considerations, as discussed in more detail below. Changes to different elements may result in total target compensation being higher or lower than +/- 15% of the median levels of the peer company data.</w:t>
      </w:r>
    </w:p>
    <w:p>
      <w:pPr>
        <w:spacing w:after="0" w:line="18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Committee engaged Willis Towers Watson in early 2015 to review and revise the Company’s competitive peer group and to update its review and competitive assessment of the Company’s executive compensation program based on the updated peer group and in light of the Company’s completed acquisition of Apartments.com. The Committee engaged Willis Towers Watson again in late 2015 to review and revise the Company’s competitive peer group and to update its review and competitive assessment of the Company’s executive compensation program based on the updated peer group and in light of the Company’s completed acquisition of Apartment Finder. The Committee’s decisions regarding executive compensation for 2015, including executives’ long-term incentive or equity compensation for 2015, were based on Willis Towers Watson’s recommendations resulting from both its early 2015 and late 2015 engagements.</w:t>
      </w:r>
    </w:p>
    <w:p>
      <w:pPr>
        <w:spacing w:after="0" w:line="18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Willis Towers Watson reported directly to the Committee through its chair when performing the executive compensation studies and, at the direction of the Committee chair, also worked directly with the Company’s management to develop materials and proposals with respect to named executive officer compensation. In the future, the Committee plans at its discretion to retain Willis Towers Watson or another consulting firm from time to time to update or perform new studies to be used in connection with its executive compensation decisions.</w:t>
      </w:r>
    </w:p>
    <w:p>
      <w:pPr>
        <w:spacing w:after="0" w:line="187" w:lineRule="exact"/>
        <w:rPr>
          <w:sz w:val="20"/>
          <w:szCs w:val="20"/>
          <w:color w:val="auto"/>
        </w:rPr>
      </w:pPr>
    </w:p>
    <w:p>
      <w:pPr>
        <w:jc w:val="both"/>
        <w:spacing w:after="0" w:line="247" w:lineRule="auto"/>
        <w:rPr>
          <w:sz w:val="20"/>
          <w:szCs w:val="20"/>
          <w:color w:val="auto"/>
        </w:rPr>
      </w:pPr>
      <w:r>
        <w:rPr>
          <w:rFonts w:ascii="Arial" w:cs="Arial" w:eastAsia="Arial" w:hAnsi="Arial"/>
          <w:sz w:val="17"/>
          <w:szCs w:val="17"/>
          <w:color w:val="auto"/>
        </w:rPr>
        <w:t>The following is the list of peer companies selected and approved by the Committee in early 2015, based upon the recommendation of Willis Towers Watson from its early 2015 study, as comparable to the Company in terms of size (including revenues, earnings and market capitalization), business model and financial performance, with secondary consideration given to peer companies selected by proxy advisors. Willis Towers Watson’s recommended peer companies culminated from review of peer companies included in the Internet Software &amp; Services GICS code (including peer companies used previously and peers selected by proxy advisors), to which size screening criteria were applied. Willis Towers Watson screened these peers by considering companies with revenue, net income, EBITDA, market cap and/or number of employees between .5x and 2.5x of CoStar’s. The potential peer list was further refined based on the number of criteria met through the size screening and the business model or focus (business analytics software products and services). After its review, Towers Watson recommended removing and replacing two companies from the Company’s previous peer group who were acquired. Within the selected peer group, the Company fell near the 55</w:t>
      </w:r>
      <w:r>
        <w:rPr>
          <w:rFonts w:ascii="Arial" w:cs="Arial" w:eastAsia="Arial" w:hAnsi="Arial"/>
          <w:sz w:val="24"/>
          <w:szCs w:val="24"/>
          <w:color w:val="auto"/>
          <w:vertAlign w:val="superscript"/>
        </w:rPr>
        <w:t>th</w:t>
      </w:r>
      <w:r>
        <w:rPr>
          <w:rFonts w:ascii="Arial" w:cs="Arial" w:eastAsia="Arial" w:hAnsi="Arial"/>
          <w:sz w:val="17"/>
          <w:szCs w:val="17"/>
          <w:color w:val="auto"/>
        </w:rPr>
        <w:t xml:space="preserve"> percentile in terms of revenues, 65</w:t>
      </w:r>
      <w:r>
        <w:rPr>
          <w:rFonts w:ascii="Arial" w:cs="Arial" w:eastAsia="Arial" w:hAnsi="Arial"/>
          <w:sz w:val="24"/>
          <w:szCs w:val="24"/>
          <w:color w:val="auto"/>
          <w:vertAlign w:val="superscript"/>
        </w:rPr>
        <w:t>th</w:t>
      </w:r>
      <w:r>
        <w:rPr>
          <w:rFonts w:ascii="Arial" w:cs="Arial" w:eastAsia="Arial" w:hAnsi="Arial"/>
          <w:sz w:val="17"/>
          <w:szCs w:val="17"/>
          <w:color w:val="auto"/>
        </w:rPr>
        <w:t xml:space="preserve"> percentile in terms of earnings and 90</w:t>
      </w:r>
      <w:r>
        <w:rPr>
          <w:rFonts w:ascii="Arial" w:cs="Arial" w:eastAsia="Arial" w:hAnsi="Arial"/>
          <w:sz w:val="24"/>
          <w:szCs w:val="24"/>
          <w:color w:val="auto"/>
          <w:vertAlign w:val="superscript"/>
        </w:rPr>
        <w:t>th</w:t>
      </w:r>
      <w:r>
        <w:rPr>
          <w:rFonts w:ascii="Arial" w:cs="Arial" w:eastAsia="Arial" w:hAnsi="Arial"/>
          <w:sz w:val="17"/>
          <w:szCs w:val="17"/>
          <w:color w:val="auto"/>
        </w:rPr>
        <w:t xml:space="preserve"> percentile in terms of market capitalization.</w:t>
      </w:r>
    </w:p>
    <w:p>
      <w:pPr>
        <w:spacing w:after="0" w:line="362" w:lineRule="exact"/>
        <w:rPr>
          <w:sz w:val="20"/>
          <w:szCs w:val="20"/>
          <w:color w:val="auto"/>
        </w:rPr>
      </w:pPr>
    </w:p>
    <w:tbl>
      <w:tblPr>
        <w:tblLayout w:type="fixed"/>
        <w:tblInd w:w="1340" w:type="dxa"/>
        <w:tblCellMar>
          <w:top w:w="0" w:type="dxa"/>
          <w:left w:w="0" w:type="dxa"/>
          <w:bottom w:w="0" w:type="dxa"/>
          <w:right w:w="0" w:type="dxa"/>
        </w:tblCellMar>
      </w:tblPr>
      <w:tr>
        <w:trPr>
          <w:trHeight w:val="230"/>
        </w:trPr>
        <w:tc>
          <w:tcPr>
            <w:tcW w:w="140" w:type="dxa"/>
            <w:vAlign w:val="bottom"/>
          </w:tcPr>
          <w:p>
            <w:pPr>
              <w:spacing w:after="0"/>
              <w:rPr>
                <w:sz w:val="20"/>
                <w:szCs w:val="20"/>
                <w:color w:val="auto"/>
              </w:rPr>
            </w:pPr>
            <w:r>
              <w:rPr>
                <w:rFonts w:ascii="Arial" w:cs="Arial" w:eastAsia="Arial" w:hAnsi="Arial"/>
                <w:sz w:val="18"/>
                <w:szCs w:val="18"/>
                <w:color w:val="auto"/>
              </w:rPr>
              <w:t>•</w:t>
            </w:r>
          </w:p>
        </w:tc>
        <w:tc>
          <w:tcPr>
            <w:tcW w:w="3280" w:type="dxa"/>
            <w:vAlign w:val="bottom"/>
          </w:tcPr>
          <w:p>
            <w:pPr>
              <w:ind w:left="100"/>
              <w:spacing w:after="0"/>
              <w:rPr>
                <w:sz w:val="20"/>
                <w:szCs w:val="20"/>
                <w:color w:val="auto"/>
              </w:rPr>
            </w:pPr>
            <w:r>
              <w:rPr>
                <w:rFonts w:ascii="Arial" w:cs="Arial" w:eastAsia="Arial" w:hAnsi="Arial"/>
                <w:sz w:val="18"/>
                <w:szCs w:val="18"/>
                <w:color w:val="auto"/>
              </w:rPr>
              <w:t>Advent Software, Inc.</w:t>
            </w:r>
          </w:p>
        </w:tc>
        <w:tc>
          <w:tcPr>
            <w:tcW w:w="1120" w:type="dxa"/>
            <w:vAlign w:val="bottom"/>
          </w:tcPr>
          <w:p>
            <w:pPr>
              <w:ind w:left="960"/>
              <w:spacing w:after="0"/>
              <w:rPr>
                <w:sz w:val="20"/>
                <w:szCs w:val="20"/>
                <w:color w:val="auto"/>
              </w:rPr>
            </w:pPr>
            <w:r>
              <w:rPr>
                <w:rFonts w:ascii="Arial" w:cs="Arial" w:eastAsia="Arial" w:hAnsi="Arial"/>
                <w:sz w:val="18"/>
                <w:szCs w:val="18"/>
                <w:color w:val="auto"/>
              </w:rPr>
              <w:t>•</w:t>
            </w:r>
          </w:p>
        </w:tc>
        <w:tc>
          <w:tcPr>
            <w:tcW w:w="2600" w:type="dxa"/>
            <w:vAlign w:val="bottom"/>
          </w:tcPr>
          <w:p>
            <w:pPr>
              <w:ind w:left="100"/>
              <w:spacing w:after="0"/>
              <w:rPr>
                <w:sz w:val="20"/>
                <w:szCs w:val="20"/>
                <w:color w:val="auto"/>
              </w:rPr>
            </w:pPr>
            <w:r>
              <w:rPr>
                <w:rFonts w:ascii="Arial" w:cs="Arial" w:eastAsia="Arial" w:hAnsi="Arial"/>
                <w:sz w:val="18"/>
                <w:szCs w:val="18"/>
                <w:color w:val="auto"/>
              </w:rPr>
              <w:t>Qlik Technologies, Inc.</w:t>
            </w:r>
          </w:p>
        </w:tc>
      </w:tr>
      <w:tr>
        <w:trPr>
          <w:trHeight w:val="270"/>
        </w:trPr>
        <w:tc>
          <w:tcPr>
            <w:tcW w:w="140" w:type="dxa"/>
            <w:vAlign w:val="bottom"/>
          </w:tcPr>
          <w:p>
            <w:pPr>
              <w:spacing w:after="0"/>
              <w:rPr>
                <w:sz w:val="20"/>
                <w:szCs w:val="20"/>
                <w:color w:val="auto"/>
              </w:rPr>
            </w:pPr>
            <w:r>
              <w:rPr>
                <w:rFonts w:ascii="Arial" w:cs="Arial" w:eastAsia="Arial" w:hAnsi="Arial"/>
                <w:sz w:val="18"/>
                <w:szCs w:val="18"/>
                <w:color w:val="auto"/>
              </w:rPr>
              <w:t>•</w:t>
            </w:r>
          </w:p>
        </w:tc>
        <w:tc>
          <w:tcPr>
            <w:tcW w:w="3280" w:type="dxa"/>
            <w:vAlign w:val="bottom"/>
          </w:tcPr>
          <w:p>
            <w:pPr>
              <w:ind w:left="100"/>
              <w:spacing w:after="0"/>
              <w:rPr>
                <w:sz w:val="20"/>
                <w:szCs w:val="20"/>
                <w:color w:val="auto"/>
              </w:rPr>
            </w:pPr>
            <w:r>
              <w:rPr>
                <w:rFonts w:ascii="Arial" w:cs="Arial" w:eastAsia="Arial" w:hAnsi="Arial"/>
                <w:sz w:val="18"/>
                <w:szCs w:val="18"/>
                <w:color w:val="auto"/>
              </w:rPr>
              <w:t>athenahealth, Inc.</w:t>
            </w:r>
          </w:p>
        </w:tc>
        <w:tc>
          <w:tcPr>
            <w:tcW w:w="1120" w:type="dxa"/>
            <w:vAlign w:val="bottom"/>
          </w:tcPr>
          <w:p>
            <w:pPr>
              <w:ind w:left="960"/>
              <w:spacing w:after="0"/>
              <w:rPr>
                <w:sz w:val="20"/>
                <w:szCs w:val="20"/>
                <w:color w:val="auto"/>
              </w:rPr>
            </w:pPr>
            <w:r>
              <w:rPr>
                <w:rFonts w:ascii="Arial" w:cs="Arial" w:eastAsia="Arial" w:hAnsi="Arial"/>
                <w:sz w:val="18"/>
                <w:szCs w:val="18"/>
                <w:color w:val="auto"/>
              </w:rPr>
              <w:t>•</w:t>
            </w:r>
          </w:p>
        </w:tc>
        <w:tc>
          <w:tcPr>
            <w:tcW w:w="2600" w:type="dxa"/>
            <w:vAlign w:val="bottom"/>
          </w:tcPr>
          <w:p>
            <w:pPr>
              <w:ind w:left="100"/>
              <w:spacing w:after="0"/>
              <w:rPr>
                <w:sz w:val="20"/>
                <w:szCs w:val="20"/>
                <w:color w:val="auto"/>
              </w:rPr>
            </w:pPr>
            <w:r>
              <w:rPr>
                <w:rFonts w:ascii="Arial" w:cs="Arial" w:eastAsia="Arial" w:hAnsi="Arial"/>
                <w:sz w:val="18"/>
                <w:szCs w:val="18"/>
                <w:color w:val="auto"/>
              </w:rPr>
              <w:t>RealPage, Inc.</w:t>
            </w:r>
          </w:p>
        </w:tc>
      </w:tr>
      <w:tr>
        <w:trPr>
          <w:trHeight w:val="270"/>
        </w:trPr>
        <w:tc>
          <w:tcPr>
            <w:tcW w:w="140" w:type="dxa"/>
            <w:vAlign w:val="bottom"/>
          </w:tcPr>
          <w:p>
            <w:pPr>
              <w:spacing w:after="0"/>
              <w:rPr>
                <w:sz w:val="20"/>
                <w:szCs w:val="20"/>
                <w:color w:val="auto"/>
              </w:rPr>
            </w:pPr>
            <w:r>
              <w:rPr>
                <w:rFonts w:ascii="Arial" w:cs="Arial" w:eastAsia="Arial" w:hAnsi="Arial"/>
                <w:sz w:val="18"/>
                <w:szCs w:val="18"/>
                <w:color w:val="auto"/>
              </w:rPr>
              <w:t>•</w:t>
            </w:r>
          </w:p>
        </w:tc>
        <w:tc>
          <w:tcPr>
            <w:tcW w:w="3280" w:type="dxa"/>
            <w:vAlign w:val="bottom"/>
          </w:tcPr>
          <w:p>
            <w:pPr>
              <w:ind w:left="100"/>
              <w:spacing w:after="0"/>
              <w:rPr>
                <w:sz w:val="20"/>
                <w:szCs w:val="20"/>
                <w:color w:val="auto"/>
              </w:rPr>
            </w:pPr>
            <w:r>
              <w:rPr>
                <w:rFonts w:ascii="Arial" w:cs="Arial" w:eastAsia="Arial" w:hAnsi="Arial"/>
                <w:sz w:val="18"/>
                <w:szCs w:val="18"/>
                <w:color w:val="auto"/>
              </w:rPr>
              <w:t>CommVault Systems, Inc.</w:t>
            </w:r>
          </w:p>
        </w:tc>
        <w:tc>
          <w:tcPr>
            <w:tcW w:w="1120" w:type="dxa"/>
            <w:vAlign w:val="bottom"/>
          </w:tcPr>
          <w:p>
            <w:pPr>
              <w:ind w:left="960"/>
              <w:spacing w:after="0"/>
              <w:rPr>
                <w:sz w:val="20"/>
                <w:szCs w:val="20"/>
                <w:color w:val="auto"/>
              </w:rPr>
            </w:pPr>
            <w:r>
              <w:rPr>
                <w:rFonts w:ascii="Arial" w:cs="Arial" w:eastAsia="Arial" w:hAnsi="Arial"/>
                <w:sz w:val="18"/>
                <w:szCs w:val="18"/>
                <w:color w:val="auto"/>
              </w:rPr>
              <w:t>•</w:t>
            </w:r>
          </w:p>
        </w:tc>
        <w:tc>
          <w:tcPr>
            <w:tcW w:w="2600" w:type="dxa"/>
            <w:vAlign w:val="bottom"/>
          </w:tcPr>
          <w:p>
            <w:pPr>
              <w:ind w:left="100"/>
              <w:spacing w:after="0"/>
              <w:rPr>
                <w:sz w:val="20"/>
                <w:szCs w:val="20"/>
                <w:color w:val="auto"/>
              </w:rPr>
            </w:pPr>
            <w:r>
              <w:rPr>
                <w:rFonts w:ascii="Arial" w:cs="Arial" w:eastAsia="Arial" w:hAnsi="Arial"/>
                <w:sz w:val="18"/>
                <w:szCs w:val="18"/>
                <w:color w:val="auto"/>
              </w:rPr>
              <w:t>Solera Holdings Inc.</w:t>
            </w:r>
          </w:p>
        </w:tc>
      </w:tr>
      <w:tr>
        <w:trPr>
          <w:trHeight w:val="270"/>
        </w:trPr>
        <w:tc>
          <w:tcPr>
            <w:tcW w:w="140" w:type="dxa"/>
            <w:vAlign w:val="bottom"/>
          </w:tcPr>
          <w:p>
            <w:pPr>
              <w:spacing w:after="0"/>
              <w:rPr>
                <w:sz w:val="20"/>
                <w:szCs w:val="20"/>
                <w:color w:val="auto"/>
              </w:rPr>
            </w:pPr>
            <w:r>
              <w:rPr>
                <w:rFonts w:ascii="Arial" w:cs="Arial" w:eastAsia="Arial" w:hAnsi="Arial"/>
                <w:sz w:val="18"/>
                <w:szCs w:val="18"/>
                <w:color w:val="auto"/>
              </w:rPr>
              <w:t>•</w:t>
            </w:r>
          </w:p>
        </w:tc>
        <w:tc>
          <w:tcPr>
            <w:tcW w:w="3280" w:type="dxa"/>
            <w:vAlign w:val="bottom"/>
          </w:tcPr>
          <w:p>
            <w:pPr>
              <w:ind w:left="100"/>
              <w:spacing w:after="0"/>
              <w:rPr>
                <w:sz w:val="20"/>
                <w:szCs w:val="20"/>
                <w:color w:val="auto"/>
              </w:rPr>
            </w:pPr>
            <w:r>
              <w:rPr>
                <w:rFonts w:ascii="Arial" w:cs="Arial" w:eastAsia="Arial" w:hAnsi="Arial"/>
                <w:sz w:val="18"/>
                <w:szCs w:val="18"/>
                <w:color w:val="auto"/>
              </w:rPr>
              <w:t>comScore Inc.</w:t>
            </w:r>
          </w:p>
        </w:tc>
        <w:tc>
          <w:tcPr>
            <w:tcW w:w="3720" w:type="dxa"/>
            <w:vAlign w:val="bottom"/>
            <w:gridSpan w:val="2"/>
          </w:tcPr>
          <w:p>
            <w:pPr>
              <w:ind w:left="960"/>
              <w:spacing w:after="0"/>
              <w:rPr>
                <w:sz w:val="20"/>
                <w:szCs w:val="20"/>
                <w:color w:val="auto"/>
              </w:rPr>
            </w:pPr>
            <w:r>
              <w:rPr>
                <w:rFonts w:ascii="Arial" w:cs="Arial" w:eastAsia="Arial" w:hAnsi="Arial"/>
                <w:sz w:val="18"/>
                <w:szCs w:val="18"/>
                <w:color w:val="auto"/>
                <w:w w:val="94"/>
              </w:rPr>
              <w:t>•  The Ultimate Software Group, Inc.</w:t>
            </w:r>
          </w:p>
        </w:tc>
      </w:tr>
      <w:tr>
        <w:trPr>
          <w:trHeight w:val="270"/>
        </w:trPr>
        <w:tc>
          <w:tcPr>
            <w:tcW w:w="140" w:type="dxa"/>
            <w:vAlign w:val="bottom"/>
          </w:tcPr>
          <w:p>
            <w:pPr>
              <w:spacing w:after="0"/>
              <w:rPr>
                <w:sz w:val="20"/>
                <w:szCs w:val="20"/>
                <w:color w:val="auto"/>
              </w:rPr>
            </w:pPr>
            <w:r>
              <w:rPr>
                <w:rFonts w:ascii="Arial" w:cs="Arial" w:eastAsia="Arial" w:hAnsi="Arial"/>
                <w:sz w:val="18"/>
                <w:szCs w:val="18"/>
                <w:color w:val="auto"/>
              </w:rPr>
              <w:t>•</w:t>
            </w:r>
          </w:p>
        </w:tc>
        <w:tc>
          <w:tcPr>
            <w:tcW w:w="3280" w:type="dxa"/>
            <w:vAlign w:val="bottom"/>
          </w:tcPr>
          <w:p>
            <w:pPr>
              <w:ind w:left="100"/>
              <w:spacing w:after="0"/>
              <w:rPr>
                <w:sz w:val="20"/>
                <w:szCs w:val="20"/>
                <w:color w:val="auto"/>
              </w:rPr>
            </w:pPr>
            <w:r>
              <w:rPr>
                <w:rFonts w:ascii="Arial" w:cs="Arial" w:eastAsia="Arial" w:hAnsi="Arial"/>
                <w:sz w:val="18"/>
                <w:szCs w:val="18"/>
                <w:color w:val="auto"/>
              </w:rPr>
              <w:t>Dealertrack Technologies, Inc.</w:t>
            </w:r>
          </w:p>
        </w:tc>
        <w:tc>
          <w:tcPr>
            <w:tcW w:w="1120" w:type="dxa"/>
            <w:vAlign w:val="bottom"/>
          </w:tcPr>
          <w:p>
            <w:pPr>
              <w:ind w:left="960"/>
              <w:spacing w:after="0"/>
              <w:rPr>
                <w:sz w:val="20"/>
                <w:szCs w:val="20"/>
                <w:color w:val="auto"/>
              </w:rPr>
            </w:pPr>
            <w:r>
              <w:rPr>
                <w:rFonts w:ascii="Arial" w:cs="Arial" w:eastAsia="Arial" w:hAnsi="Arial"/>
                <w:sz w:val="18"/>
                <w:szCs w:val="18"/>
                <w:color w:val="auto"/>
              </w:rPr>
              <w:t>•</w:t>
            </w:r>
          </w:p>
        </w:tc>
        <w:tc>
          <w:tcPr>
            <w:tcW w:w="2600" w:type="dxa"/>
            <w:vAlign w:val="bottom"/>
          </w:tcPr>
          <w:p>
            <w:pPr>
              <w:ind w:left="80"/>
              <w:spacing w:after="0"/>
              <w:rPr>
                <w:sz w:val="20"/>
                <w:szCs w:val="20"/>
                <w:color w:val="auto"/>
              </w:rPr>
            </w:pPr>
            <w:r>
              <w:rPr>
                <w:rFonts w:ascii="Arial" w:cs="Arial" w:eastAsia="Arial" w:hAnsi="Arial"/>
                <w:sz w:val="18"/>
                <w:szCs w:val="18"/>
                <w:color w:val="auto"/>
              </w:rPr>
              <w:t>VeriSign, Inc.</w:t>
            </w:r>
          </w:p>
        </w:tc>
      </w:tr>
      <w:tr>
        <w:trPr>
          <w:trHeight w:val="270"/>
        </w:trPr>
        <w:tc>
          <w:tcPr>
            <w:tcW w:w="140" w:type="dxa"/>
            <w:vAlign w:val="bottom"/>
          </w:tcPr>
          <w:p>
            <w:pPr>
              <w:spacing w:after="0"/>
              <w:rPr>
                <w:sz w:val="20"/>
                <w:szCs w:val="20"/>
                <w:color w:val="auto"/>
              </w:rPr>
            </w:pPr>
            <w:r>
              <w:rPr>
                <w:rFonts w:ascii="Arial" w:cs="Arial" w:eastAsia="Arial" w:hAnsi="Arial"/>
                <w:sz w:val="18"/>
                <w:szCs w:val="18"/>
                <w:color w:val="auto"/>
              </w:rPr>
              <w:t>•</w:t>
            </w:r>
          </w:p>
        </w:tc>
        <w:tc>
          <w:tcPr>
            <w:tcW w:w="3280" w:type="dxa"/>
            <w:vAlign w:val="bottom"/>
          </w:tcPr>
          <w:p>
            <w:pPr>
              <w:ind w:left="100"/>
              <w:spacing w:after="0"/>
              <w:rPr>
                <w:sz w:val="20"/>
                <w:szCs w:val="20"/>
                <w:color w:val="auto"/>
              </w:rPr>
            </w:pPr>
            <w:r>
              <w:rPr>
                <w:rFonts w:ascii="Arial" w:cs="Arial" w:eastAsia="Arial" w:hAnsi="Arial"/>
                <w:sz w:val="18"/>
                <w:szCs w:val="18"/>
                <w:color w:val="auto"/>
              </w:rPr>
              <w:t>Fair Isaac Corp.</w:t>
            </w:r>
          </w:p>
        </w:tc>
        <w:tc>
          <w:tcPr>
            <w:tcW w:w="1120" w:type="dxa"/>
            <w:vAlign w:val="bottom"/>
          </w:tcPr>
          <w:p>
            <w:pPr>
              <w:ind w:left="960"/>
              <w:spacing w:after="0"/>
              <w:rPr>
                <w:sz w:val="20"/>
                <w:szCs w:val="20"/>
                <w:color w:val="auto"/>
              </w:rPr>
            </w:pPr>
            <w:r>
              <w:rPr>
                <w:rFonts w:ascii="Arial" w:cs="Arial" w:eastAsia="Arial" w:hAnsi="Arial"/>
                <w:sz w:val="18"/>
                <w:szCs w:val="18"/>
                <w:color w:val="auto"/>
              </w:rPr>
              <w:t>•</w:t>
            </w:r>
          </w:p>
        </w:tc>
        <w:tc>
          <w:tcPr>
            <w:tcW w:w="2600" w:type="dxa"/>
            <w:vAlign w:val="bottom"/>
          </w:tcPr>
          <w:p>
            <w:pPr>
              <w:ind w:left="80"/>
              <w:spacing w:after="0"/>
              <w:rPr>
                <w:sz w:val="20"/>
                <w:szCs w:val="20"/>
                <w:color w:val="auto"/>
              </w:rPr>
            </w:pPr>
            <w:r>
              <w:rPr>
                <w:rFonts w:ascii="Arial" w:cs="Arial" w:eastAsia="Arial" w:hAnsi="Arial"/>
                <w:sz w:val="18"/>
                <w:szCs w:val="18"/>
                <w:color w:val="auto"/>
              </w:rPr>
              <w:t>Web.com Group, Inc.</w:t>
            </w:r>
          </w:p>
        </w:tc>
      </w:tr>
      <w:tr>
        <w:trPr>
          <w:trHeight w:val="270"/>
        </w:trPr>
        <w:tc>
          <w:tcPr>
            <w:tcW w:w="140" w:type="dxa"/>
            <w:vAlign w:val="bottom"/>
          </w:tcPr>
          <w:p>
            <w:pPr>
              <w:spacing w:after="0"/>
              <w:rPr>
                <w:sz w:val="20"/>
                <w:szCs w:val="20"/>
                <w:color w:val="auto"/>
              </w:rPr>
            </w:pPr>
            <w:r>
              <w:rPr>
                <w:rFonts w:ascii="Arial" w:cs="Arial" w:eastAsia="Arial" w:hAnsi="Arial"/>
                <w:sz w:val="18"/>
                <w:szCs w:val="18"/>
                <w:color w:val="auto"/>
              </w:rPr>
              <w:t>•</w:t>
            </w:r>
          </w:p>
        </w:tc>
        <w:tc>
          <w:tcPr>
            <w:tcW w:w="3280" w:type="dxa"/>
            <w:vAlign w:val="bottom"/>
          </w:tcPr>
          <w:p>
            <w:pPr>
              <w:ind w:left="100"/>
              <w:spacing w:after="0"/>
              <w:rPr>
                <w:sz w:val="20"/>
                <w:szCs w:val="20"/>
                <w:color w:val="auto"/>
              </w:rPr>
            </w:pPr>
            <w:r>
              <w:rPr>
                <w:rFonts w:ascii="Arial" w:cs="Arial" w:eastAsia="Arial" w:hAnsi="Arial"/>
                <w:sz w:val="18"/>
                <w:szCs w:val="18"/>
                <w:color w:val="auto"/>
              </w:rPr>
              <w:t>NetSuite Inc.</w:t>
            </w:r>
          </w:p>
        </w:tc>
        <w:tc>
          <w:tcPr>
            <w:tcW w:w="1120" w:type="dxa"/>
            <w:vAlign w:val="bottom"/>
          </w:tcPr>
          <w:p>
            <w:pPr>
              <w:ind w:left="960"/>
              <w:spacing w:after="0"/>
              <w:rPr>
                <w:sz w:val="20"/>
                <w:szCs w:val="20"/>
                <w:color w:val="auto"/>
              </w:rPr>
            </w:pPr>
            <w:r>
              <w:rPr>
                <w:rFonts w:ascii="Arial" w:cs="Arial" w:eastAsia="Arial" w:hAnsi="Arial"/>
                <w:sz w:val="18"/>
                <w:szCs w:val="18"/>
                <w:color w:val="auto"/>
              </w:rPr>
              <w:t>•</w:t>
            </w:r>
          </w:p>
        </w:tc>
        <w:tc>
          <w:tcPr>
            <w:tcW w:w="2600" w:type="dxa"/>
            <w:vAlign w:val="bottom"/>
          </w:tcPr>
          <w:p>
            <w:pPr>
              <w:ind w:left="80"/>
              <w:spacing w:after="0"/>
              <w:rPr>
                <w:sz w:val="20"/>
                <w:szCs w:val="20"/>
                <w:color w:val="auto"/>
              </w:rPr>
            </w:pPr>
            <w:r>
              <w:rPr>
                <w:rFonts w:ascii="Arial" w:cs="Arial" w:eastAsia="Arial" w:hAnsi="Arial"/>
                <w:sz w:val="18"/>
                <w:szCs w:val="18"/>
                <w:color w:val="auto"/>
              </w:rPr>
              <w:t>WebMD Health Corp.</w:t>
            </w:r>
          </w:p>
        </w:tc>
      </w:tr>
      <w:tr>
        <w:trPr>
          <w:trHeight w:val="270"/>
        </w:trPr>
        <w:tc>
          <w:tcPr>
            <w:tcW w:w="140" w:type="dxa"/>
            <w:vAlign w:val="bottom"/>
          </w:tcPr>
          <w:p>
            <w:pPr>
              <w:spacing w:after="0"/>
              <w:rPr>
                <w:sz w:val="20"/>
                <w:szCs w:val="20"/>
                <w:color w:val="auto"/>
              </w:rPr>
            </w:pPr>
            <w:r>
              <w:rPr>
                <w:rFonts w:ascii="Arial" w:cs="Arial" w:eastAsia="Arial" w:hAnsi="Arial"/>
                <w:sz w:val="18"/>
                <w:szCs w:val="18"/>
                <w:color w:val="auto"/>
              </w:rPr>
              <w:t>•</w:t>
            </w:r>
          </w:p>
        </w:tc>
        <w:tc>
          <w:tcPr>
            <w:tcW w:w="3280" w:type="dxa"/>
            <w:vAlign w:val="bottom"/>
          </w:tcPr>
          <w:p>
            <w:pPr>
              <w:ind w:left="100"/>
              <w:spacing w:after="0"/>
              <w:rPr>
                <w:sz w:val="20"/>
                <w:szCs w:val="20"/>
                <w:color w:val="auto"/>
              </w:rPr>
            </w:pPr>
            <w:r>
              <w:rPr>
                <w:rFonts w:ascii="Arial" w:cs="Arial" w:eastAsia="Arial" w:hAnsi="Arial"/>
                <w:sz w:val="18"/>
                <w:szCs w:val="18"/>
                <w:color w:val="auto"/>
              </w:rPr>
              <w:t>NeuStar Inc.</w:t>
            </w:r>
          </w:p>
        </w:tc>
        <w:tc>
          <w:tcPr>
            <w:tcW w:w="1120" w:type="dxa"/>
            <w:vAlign w:val="bottom"/>
          </w:tcPr>
          <w:p>
            <w:pPr>
              <w:spacing w:after="0"/>
              <w:rPr>
                <w:sz w:val="23"/>
                <w:szCs w:val="23"/>
                <w:color w:val="auto"/>
              </w:rPr>
            </w:pPr>
          </w:p>
        </w:tc>
        <w:tc>
          <w:tcPr>
            <w:tcW w:w="2600" w:type="dxa"/>
            <w:vAlign w:val="bottom"/>
          </w:tcPr>
          <w:p>
            <w:pPr>
              <w:spacing w:after="0"/>
              <w:rPr>
                <w:sz w:val="23"/>
                <w:szCs w:val="23"/>
                <w:color w:val="auto"/>
              </w:rPr>
            </w:pPr>
          </w:p>
        </w:tc>
      </w:tr>
    </w:tbl>
    <w:p>
      <w:pPr>
        <w:spacing w:after="0" w:line="229"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In addition to the proxy statement data from the peer group above, the early 2015 Willis Towers Watson study also considered general industry executive compensation data from Mercer’s 2014 Executive Compensation Survey and high technology industry data from Towers Watson’s 2014 executive compensation database, aged to March 1, 2015 using a 3% update factor and, in the case of Towers Watson’s data, size-adjusted based on CoStar’s estimated annual revenues. The Company was not made aware of the names of the companies included in either the general industry executive compensation data or in the high technology industry data. Where available for the competitive analysis, Willis Towers Watson created blended market data using a 75% weighting for proxy data and a 25% weighting for published survey data. Further, where available, the Committee utilized the peer company data (including the blended market data where available) as the primary competitive benchmark when evaluating the executives’ compensation, including base salaries, cash incentives, and long-term equity incentive awards, as the peer company data reflects companies that are believed to be more similar to CoStar in terms of size, business model and financial performance. In those cases where peer data was unavailable, the Committee took into account individual responsibility and</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368" w:right="239" w:bottom="1440" w:gutter="0" w:footer="0" w:header="0"/>
        </w:sectPr>
      </w:pPr>
    </w:p>
    <w:bookmarkStart w:id="55" w:name="page56"/>
    <w:bookmarkEnd w:id="55"/>
    <w:p>
      <w:pPr>
        <w:jc w:val="both"/>
        <w:spacing w:after="0" w:line="277" w:lineRule="auto"/>
        <w:rPr>
          <w:sz w:val="20"/>
          <w:szCs w:val="20"/>
          <w:color w:val="auto"/>
        </w:rPr>
      </w:pPr>
      <w:r>
        <w:rPr>
          <w:rFonts w:ascii="Arial" w:cs="Arial" w:eastAsia="Arial" w:hAnsi="Arial"/>
          <w:sz w:val="18"/>
          <w:szCs w:val="18"/>
          <w:color w:val="auto"/>
        </w:rPr>
        <w:t>performance, previous cash compensation and equity awards to the respective named executive officers, external market and competitive practices (including available industry executive compensation data), as well as internal pay equity considerations.</w:t>
      </w:r>
    </w:p>
    <w:p>
      <w:pPr>
        <w:spacing w:after="0" w:line="170" w:lineRule="exact"/>
        <w:rPr>
          <w:sz w:val="20"/>
          <w:szCs w:val="20"/>
          <w:color w:val="auto"/>
        </w:rPr>
      </w:pPr>
    </w:p>
    <w:p>
      <w:pPr>
        <w:jc w:val="both"/>
        <w:spacing w:after="0" w:line="280" w:lineRule="auto"/>
        <w:rPr>
          <w:sz w:val="20"/>
          <w:szCs w:val="20"/>
          <w:color w:val="auto"/>
        </w:rPr>
      </w:pPr>
      <w:r>
        <w:rPr>
          <w:rFonts w:ascii="Arial" w:cs="Arial" w:eastAsia="Arial" w:hAnsi="Arial"/>
          <w:sz w:val="16"/>
          <w:szCs w:val="16"/>
          <w:color w:val="auto"/>
        </w:rPr>
        <w:t>In connection with its engagement in late 2015 and its recommendations with respect to executives’ 2016 compensation, including equity grants awarded in 2016 for 2015 performance and options and performance share awards granted in 2016, Willis Towers Watson recommended an updated peer group of 17 companies similar to the Company in terms of size (including revenues, earnings, assets and market capitalization), employee headcount, and business model. The following is the list of peer companies selected and approved based upon the recommendation of Willis Towers Watson as comparable to the Company. Within the selected peer group, the Company fell near the 41</w:t>
      </w:r>
      <w:r>
        <w:rPr>
          <w:rFonts w:ascii="Arial" w:cs="Arial" w:eastAsia="Arial" w:hAnsi="Arial"/>
          <w:sz w:val="22"/>
          <w:szCs w:val="22"/>
          <w:color w:val="auto"/>
          <w:vertAlign w:val="superscript"/>
        </w:rPr>
        <w:t>st</w:t>
      </w:r>
      <w:r>
        <w:rPr>
          <w:rFonts w:ascii="Arial" w:cs="Arial" w:eastAsia="Arial" w:hAnsi="Arial"/>
          <w:sz w:val="16"/>
          <w:szCs w:val="16"/>
          <w:color w:val="auto"/>
        </w:rPr>
        <w:t xml:space="preserve"> percentile in terms of revenues (including Apartment Finder annualized revenue), 44</w:t>
      </w:r>
      <w:r>
        <w:rPr>
          <w:rFonts w:ascii="Arial" w:cs="Arial" w:eastAsia="Arial" w:hAnsi="Arial"/>
          <w:sz w:val="22"/>
          <w:szCs w:val="22"/>
          <w:color w:val="auto"/>
          <w:vertAlign w:val="superscript"/>
        </w:rPr>
        <w:t>th</w:t>
      </w:r>
      <w:r>
        <w:rPr>
          <w:rFonts w:ascii="Arial" w:cs="Arial" w:eastAsia="Arial" w:hAnsi="Arial"/>
          <w:sz w:val="16"/>
          <w:szCs w:val="16"/>
          <w:color w:val="auto"/>
        </w:rPr>
        <w:t xml:space="preserve"> percentile in terms of earnings, 56</w:t>
      </w:r>
      <w:r>
        <w:rPr>
          <w:rFonts w:ascii="Arial" w:cs="Arial" w:eastAsia="Arial" w:hAnsi="Arial"/>
          <w:sz w:val="22"/>
          <w:szCs w:val="22"/>
          <w:color w:val="auto"/>
          <w:vertAlign w:val="superscript"/>
        </w:rPr>
        <w:t>th</w:t>
      </w:r>
      <w:r>
        <w:rPr>
          <w:rFonts w:ascii="Arial" w:cs="Arial" w:eastAsia="Arial" w:hAnsi="Arial"/>
          <w:sz w:val="16"/>
          <w:szCs w:val="16"/>
          <w:color w:val="auto"/>
        </w:rPr>
        <w:t xml:space="preserve"> percentile in terms of assets, and 61</w:t>
      </w:r>
      <w:r>
        <w:rPr>
          <w:rFonts w:ascii="Arial" w:cs="Arial" w:eastAsia="Arial" w:hAnsi="Arial"/>
          <w:sz w:val="22"/>
          <w:szCs w:val="22"/>
          <w:color w:val="auto"/>
          <w:vertAlign w:val="superscript"/>
        </w:rPr>
        <w:t>st</w:t>
      </w:r>
      <w:r>
        <w:rPr>
          <w:rFonts w:ascii="Arial" w:cs="Arial" w:eastAsia="Arial" w:hAnsi="Arial"/>
          <w:sz w:val="16"/>
          <w:szCs w:val="16"/>
          <w:color w:val="auto"/>
        </w:rPr>
        <w:t xml:space="preserve"> percentile in terms of market capitalization (based on a 12-month average).</w:t>
      </w:r>
    </w:p>
    <w:p>
      <w:pPr>
        <w:spacing w:after="0" w:line="226" w:lineRule="exact"/>
        <w:rPr>
          <w:sz w:val="20"/>
          <w:szCs w:val="20"/>
          <w:color w:val="auto"/>
        </w:rPr>
      </w:pPr>
    </w:p>
    <w:tbl>
      <w:tblPr>
        <w:tblLayout w:type="fixed"/>
        <w:tblInd w:w="1340" w:type="dxa"/>
        <w:tblCellMar>
          <w:top w:w="0" w:type="dxa"/>
          <w:left w:w="0" w:type="dxa"/>
          <w:bottom w:w="0" w:type="dxa"/>
          <w:right w:w="0" w:type="dxa"/>
        </w:tblCellMar>
      </w:tblPr>
      <w:tr>
        <w:trPr>
          <w:trHeight w:val="230"/>
        </w:trPr>
        <w:tc>
          <w:tcPr>
            <w:tcW w:w="160" w:type="dxa"/>
            <w:vAlign w:val="bottom"/>
          </w:tcPr>
          <w:p>
            <w:pPr>
              <w:spacing w:after="0"/>
              <w:rPr>
                <w:sz w:val="20"/>
                <w:szCs w:val="20"/>
                <w:color w:val="auto"/>
              </w:rPr>
            </w:pPr>
            <w:r>
              <w:rPr>
                <w:rFonts w:ascii="Arial" w:cs="Arial" w:eastAsia="Arial" w:hAnsi="Arial"/>
                <w:sz w:val="18"/>
                <w:szCs w:val="18"/>
                <w:color w:val="auto"/>
              </w:rPr>
              <w:t>•</w:t>
            </w:r>
          </w:p>
        </w:tc>
        <w:tc>
          <w:tcPr>
            <w:tcW w:w="3260" w:type="dxa"/>
            <w:vAlign w:val="bottom"/>
          </w:tcPr>
          <w:p>
            <w:pPr>
              <w:ind w:left="80"/>
              <w:spacing w:after="0"/>
              <w:rPr>
                <w:sz w:val="20"/>
                <w:szCs w:val="20"/>
                <w:color w:val="auto"/>
              </w:rPr>
            </w:pPr>
            <w:r>
              <w:rPr>
                <w:rFonts w:ascii="Arial" w:cs="Arial" w:eastAsia="Arial" w:hAnsi="Arial"/>
                <w:sz w:val="18"/>
                <w:szCs w:val="18"/>
                <w:color w:val="auto"/>
              </w:rPr>
              <w:t>athenahealth, Inc.</w:t>
            </w:r>
          </w:p>
        </w:tc>
        <w:tc>
          <w:tcPr>
            <w:tcW w:w="1120" w:type="dxa"/>
            <w:vAlign w:val="bottom"/>
          </w:tcPr>
          <w:p>
            <w:pPr>
              <w:ind w:left="960"/>
              <w:spacing w:after="0"/>
              <w:rPr>
                <w:sz w:val="20"/>
                <w:szCs w:val="20"/>
                <w:color w:val="auto"/>
              </w:rPr>
            </w:pPr>
            <w:r>
              <w:rPr>
                <w:rFonts w:ascii="Arial" w:cs="Arial" w:eastAsia="Arial" w:hAnsi="Arial"/>
                <w:sz w:val="18"/>
                <w:szCs w:val="18"/>
                <w:color w:val="auto"/>
              </w:rPr>
              <w:t>•</w:t>
            </w:r>
          </w:p>
        </w:tc>
        <w:tc>
          <w:tcPr>
            <w:tcW w:w="2600" w:type="dxa"/>
            <w:vAlign w:val="bottom"/>
          </w:tcPr>
          <w:p>
            <w:pPr>
              <w:ind w:left="100"/>
              <w:spacing w:after="0"/>
              <w:rPr>
                <w:sz w:val="20"/>
                <w:szCs w:val="20"/>
                <w:color w:val="auto"/>
              </w:rPr>
            </w:pPr>
            <w:r>
              <w:rPr>
                <w:rFonts w:ascii="Arial" w:cs="Arial" w:eastAsia="Arial" w:hAnsi="Arial"/>
                <w:sz w:val="18"/>
                <w:szCs w:val="18"/>
                <w:color w:val="auto"/>
              </w:rPr>
              <w:t>ServiceNow, Inc.</w:t>
            </w:r>
          </w:p>
        </w:tc>
      </w:tr>
      <w:tr>
        <w:trPr>
          <w:trHeight w:val="270"/>
        </w:trPr>
        <w:tc>
          <w:tcPr>
            <w:tcW w:w="160" w:type="dxa"/>
            <w:vAlign w:val="bottom"/>
          </w:tcPr>
          <w:p>
            <w:pPr>
              <w:spacing w:after="0"/>
              <w:rPr>
                <w:sz w:val="20"/>
                <w:szCs w:val="20"/>
                <w:color w:val="auto"/>
              </w:rPr>
            </w:pPr>
            <w:r>
              <w:rPr>
                <w:rFonts w:ascii="Arial" w:cs="Arial" w:eastAsia="Arial" w:hAnsi="Arial"/>
                <w:sz w:val="18"/>
                <w:szCs w:val="18"/>
                <w:color w:val="auto"/>
              </w:rPr>
              <w:t>•</w:t>
            </w:r>
          </w:p>
        </w:tc>
        <w:tc>
          <w:tcPr>
            <w:tcW w:w="3260" w:type="dxa"/>
            <w:vAlign w:val="bottom"/>
          </w:tcPr>
          <w:p>
            <w:pPr>
              <w:ind w:left="80"/>
              <w:spacing w:after="0"/>
              <w:rPr>
                <w:sz w:val="20"/>
                <w:szCs w:val="20"/>
                <w:color w:val="auto"/>
              </w:rPr>
            </w:pPr>
            <w:r>
              <w:rPr>
                <w:rFonts w:ascii="Arial" w:cs="Arial" w:eastAsia="Arial" w:hAnsi="Arial"/>
                <w:sz w:val="18"/>
                <w:szCs w:val="18"/>
                <w:color w:val="auto"/>
              </w:rPr>
              <w:t>CommVault Systems, Inc.</w:t>
            </w:r>
          </w:p>
        </w:tc>
        <w:tc>
          <w:tcPr>
            <w:tcW w:w="1120" w:type="dxa"/>
            <w:vAlign w:val="bottom"/>
          </w:tcPr>
          <w:p>
            <w:pPr>
              <w:ind w:left="960"/>
              <w:spacing w:after="0"/>
              <w:rPr>
                <w:sz w:val="20"/>
                <w:szCs w:val="20"/>
                <w:color w:val="auto"/>
              </w:rPr>
            </w:pPr>
            <w:r>
              <w:rPr>
                <w:rFonts w:ascii="Arial" w:cs="Arial" w:eastAsia="Arial" w:hAnsi="Arial"/>
                <w:sz w:val="18"/>
                <w:szCs w:val="18"/>
                <w:color w:val="auto"/>
              </w:rPr>
              <w:t>•</w:t>
            </w:r>
          </w:p>
        </w:tc>
        <w:tc>
          <w:tcPr>
            <w:tcW w:w="2600" w:type="dxa"/>
            <w:vAlign w:val="bottom"/>
          </w:tcPr>
          <w:p>
            <w:pPr>
              <w:ind w:left="100"/>
              <w:spacing w:after="0"/>
              <w:rPr>
                <w:sz w:val="20"/>
                <w:szCs w:val="20"/>
                <w:color w:val="auto"/>
              </w:rPr>
            </w:pPr>
            <w:r>
              <w:rPr>
                <w:rFonts w:ascii="Arial" w:cs="Arial" w:eastAsia="Arial" w:hAnsi="Arial"/>
                <w:sz w:val="18"/>
                <w:szCs w:val="18"/>
                <w:color w:val="auto"/>
              </w:rPr>
              <w:t>Solera Holdings Inc.</w:t>
            </w:r>
          </w:p>
        </w:tc>
      </w:tr>
      <w:tr>
        <w:trPr>
          <w:trHeight w:val="270"/>
        </w:trPr>
        <w:tc>
          <w:tcPr>
            <w:tcW w:w="160" w:type="dxa"/>
            <w:vAlign w:val="bottom"/>
          </w:tcPr>
          <w:p>
            <w:pPr>
              <w:spacing w:after="0"/>
              <w:rPr>
                <w:sz w:val="20"/>
                <w:szCs w:val="20"/>
                <w:color w:val="auto"/>
              </w:rPr>
            </w:pPr>
            <w:r>
              <w:rPr>
                <w:rFonts w:ascii="Arial" w:cs="Arial" w:eastAsia="Arial" w:hAnsi="Arial"/>
                <w:sz w:val="18"/>
                <w:szCs w:val="18"/>
                <w:color w:val="auto"/>
              </w:rPr>
              <w:t>•</w:t>
            </w:r>
          </w:p>
        </w:tc>
        <w:tc>
          <w:tcPr>
            <w:tcW w:w="3260" w:type="dxa"/>
            <w:vAlign w:val="bottom"/>
          </w:tcPr>
          <w:p>
            <w:pPr>
              <w:ind w:left="80"/>
              <w:spacing w:after="0"/>
              <w:rPr>
                <w:sz w:val="20"/>
                <w:szCs w:val="20"/>
                <w:color w:val="auto"/>
              </w:rPr>
            </w:pPr>
            <w:r>
              <w:rPr>
                <w:rFonts w:ascii="Arial" w:cs="Arial" w:eastAsia="Arial" w:hAnsi="Arial"/>
                <w:sz w:val="18"/>
                <w:szCs w:val="18"/>
                <w:color w:val="auto"/>
              </w:rPr>
              <w:t>CoreLogic, Inc.</w:t>
            </w:r>
          </w:p>
        </w:tc>
        <w:tc>
          <w:tcPr>
            <w:tcW w:w="3720" w:type="dxa"/>
            <w:vAlign w:val="bottom"/>
            <w:gridSpan w:val="2"/>
          </w:tcPr>
          <w:p>
            <w:pPr>
              <w:ind w:left="960"/>
              <w:spacing w:after="0"/>
              <w:rPr>
                <w:sz w:val="20"/>
                <w:szCs w:val="20"/>
                <w:color w:val="auto"/>
              </w:rPr>
            </w:pPr>
            <w:r>
              <w:rPr>
                <w:rFonts w:ascii="Arial" w:cs="Arial" w:eastAsia="Arial" w:hAnsi="Arial"/>
                <w:sz w:val="18"/>
                <w:szCs w:val="18"/>
                <w:color w:val="auto"/>
              </w:rPr>
              <w:t>•  The Advisory Board Company</w:t>
            </w:r>
          </w:p>
        </w:tc>
      </w:tr>
      <w:tr>
        <w:trPr>
          <w:trHeight w:val="270"/>
        </w:trPr>
        <w:tc>
          <w:tcPr>
            <w:tcW w:w="160" w:type="dxa"/>
            <w:vAlign w:val="bottom"/>
          </w:tcPr>
          <w:p>
            <w:pPr>
              <w:spacing w:after="0"/>
              <w:rPr>
                <w:sz w:val="20"/>
                <w:szCs w:val="20"/>
                <w:color w:val="auto"/>
              </w:rPr>
            </w:pPr>
            <w:r>
              <w:rPr>
                <w:rFonts w:ascii="Arial" w:cs="Arial" w:eastAsia="Arial" w:hAnsi="Arial"/>
                <w:sz w:val="18"/>
                <w:szCs w:val="18"/>
                <w:color w:val="auto"/>
              </w:rPr>
              <w:t>•</w:t>
            </w:r>
          </w:p>
        </w:tc>
        <w:tc>
          <w:tcPr>
            <w:tcW w:w="3260" w:type="dxa"/>
            <w:vAlign w:val="bottom"/>
          </w:tcPr>
          <w:p>
            <w:pPr>
              <w:ind w:left="80"/>
              <w:spacing w:after="0"/>
              <w:rPr>
                <w:sz w:val="20"/>
                <w:szCs w:val="20"/>
                <w:color w:val="auto"/>
              </w:rPr>
            </w:pPr>
            <w:r>
              <w:rPr>
                <w:rFonts w:ascii="Arial" w:cs="Arial" w:eastAsia="Arial" w:hAnsi="Arial"/>
                <w:sz w:val="18"/>
                <w:szCs w:val="18"/>
                <w:color w:val="auto"/>
              </w:rPr>
              <w:t>Fair Isaac Corp.</w:t>
            </w:r>
          </w:p>
        </w:tc>
        <w:tc>
          <w:tcPr>
            <w:tcW w:w="3720" w:type="dxa"/>
            <w:vAlign w:val="bottom"/>
            <w:gridSpan w:val="2"/>
          </w:tcPr>
          <w:p>
            <w:pPr>
              <w:ind w:left="960"/>
              <w:spacing w:after="0"/>
              <w:rPr>
                <w:sz w:val="20"/>
                <w:szCs w:val="20"/>
                <w:color w:val="auto"/>
              </w:rPr>
            </w:pPr>
            <w:r>
              <w:rPr>
                <w:rFonts w:ascii="Arial" w:cs="Arial" w:eastAsia="Arial" w:hAnsi="Arial"/>
                <w:sz w:val="18"/>
                <w:szCs w:val="18"/>
                <w:color w:val="auto"/>
                <w:w w:val="94"/>
              </w:rPr>
              <w:t>•  The Ultimate Software Group, Inc.</w:t>
            </w:r>
          </w:p>
        </w:tc>
      </w:tr>
      <w:tr>
        <w:trPr>
          <w:trHeight w:val="270"/>
        </w:trPr>
        <w:tc>
          <w:tcPr>
            <w:tcW w:w="160" w:type="dxa"/>
            <w:vAlign w:val="bottom"/>
          </w:tcPr>
          <w:p>
            <w:pPr>
              <w:spacing w:after="0"/>
              <w:rPr>
                <w:sz w:val="20"/>
                <w:szCs w:val="20"/>
                <w:color w:val="auto"/>
              </w:rPr>
            </w:pPr>
            <w:r>
              <w:rPr>
                <w:rFonts w:ascii="Arial" w:cs="Arial" w:eastAsia="Arial" w:hAnsi="Arial"/>
                <w:sz w:val="18"/>
                <w:szCs w:val="18"/>
                <w:color w:val="auto"/>
              </w:rPr>
              <w:t>•</w:t>
            </w:r>
          </w:p>
        </w:tc>
        <w:tc>
          <w:tcPr>
            <w:tcW w:w="3260" w:type="dxa"/>
            <w:vAlign w:val="bottom"/>
          </w:tcPr>
          <w:p>
            <w:pPr>
              <w:ind w:left="80"/>
              <w:spacing w:after="0"/>
              <w:rPr>
                <w:sz w:val="20"/>
                <w:szCs w:val="20"/>
                <w:color w:val="auto"/>
              </w:rPr>
            </w:pPr>
            <w:r>
              <w:rPr>
                <w:rFonts w:ascii="Arial" w:cs="Arial" w:eastAsia="Arial" w:hAnsi="Arial"/>
                <w:sz w:val="18"/>
                <w:szCs w:val="18"/>
                <w:color w:val="auto"/>
              </w:rPr>
              <w:t>FactSet Research Systems Inc.</w:t>
            </w:r>
          </w:p>
        </w:tc>
        <w:tc>
          <w:tcPr>
            <w:tcW w:w="1120" w:type="dxa"/>
            <w:vAlign w:val="bottom"/>
          </w:tcPr>
          <w:p>
            <w:pPr>
              <w:ind w:left="960"/>
              <w:spacing w:after="0"/>
              <w:rPr>
                <w:sz w:val="20"/>
                <w:szCs w:val="20"/>
                <w:color w:val="auto"/>
              </w:rPr>
            </w:pPr>
            <w:r>
              <w:rPr>
                <w:rFonts w:ascii="Arial" w:cs="Arial" w:eastAsia="Arial" w:hAnsi="Arial"/>
                <w:sz w:val="18"/>
                <w:szCs w:val="18"/>
                <w:color w:val="auto"/>
              </w:rPr>
              <w:t>•</w:t>
            </w:r>
          </w:p>
        </w:tc>
        <w:tc>
          <w:tcPr>
            <w:tcW w:w="2600" w:type="dxa"/>
            <w:vAlign w:val="bottom"/>
          </w:tcPr>
          <w:p>
            <w:pPr>
              <w:ind w:left="80"/>
              <w:spacing w:after="0"/>
              <w:rPr>
                <w:sz w:val="20"/>
                <w:szCs w:val="20"/>
                <w:color w:val="auto"/>
              </w:rPr>
            </w:pPr>
            <w:r>
              <w:rPr>
                <w:rFonts w:ascii="Arial" w:cs="Arial" w:eastAsia="Arial" w:hAnsi="Arial"/>
                <w:sz w:val="18"/>
                <w:szCs w:val="18"/>
                <w:color w:val="auto"/>
              </w:rPr>
              <w:t>VeriSign, Inc.</w:t>
            </w:r>
          </w:p>
        </w:tc>
      </w:tr>
      <w:tr>
        <w:trPr>
          <w:trHeight w:val="270"/>
        </w:trPr>
        <w:tc>
          <w:tcPr>
            <w:tcW w:w="160" w:type="dxa"/>
            <w:vAlign w:val="bottom"/>
          </w:tcPr>
          <w:p>
            <w:pPr>
              <w:spacing w:after="0"/>
              <w:rPr>
                <w:sz w:val="20"/>
                <w:szCs w:val="20"/>
                <w:color w:val="auto"/>
              </w:rPr>
            </w:pPr>
            <w:r>
              <w:rPr>
                <w:rFonts w:ascii="Arial" w:cs="Arial" w:eastAsia="Arial" w:hAnsi="Arial"/>
                <w:sz w:val="18"/>
                <w:szCs w:val="18"/>
                <w:color w:val="auto"/>
              </w:rPr>
              <w:t>•</w:t>
            </w:r>
          </w:p>
        </w:tc>
        <w:tc>
          <w:tcPr>
            <w:tcW w:w="3260" w:type="dxa"/>
            <w:vAlign w:val="bottom"/>
          </w:tcPr>
          <w:p>
            <w:pPr>
              <w:ind w:left="80"/>
              <w:spacing w:after="0"/>
              <w:rPr>
                <w:sz w:val="20"/>
                <w:szCs w:val="20"/>
                <w:color w:val="auto"/>
              </w:rPr>
            </w:pPr>
            <w:r>
              <w:rPr>
                <w:rFonts w:ascii="Arial" w:cs="Arial" w:eastAsia="Arial" w:hAnsi="Arial"/>
                <w:sz w:val="18"/>
                <w:szCs w:val="18"/>
                <w:color w:val="auto"/>
              </w:rPr>
              <w:t>MSCI Inc.</w:t>
            </w:r>
          </w:p>
        </w:tc>
        <w:tc>
          <w:tcPr>
            <w:tcW w:w="1120" w:type="dxa"/>
            <w:vAlign w:val="bottom"/>
          </w:tcPr>
          <w:p>
            <w:pPr>
              <w:ind w:left="960"/>
              <w:spacing w:after="0"/>
              <w:rPr>
                <w:sz w:val="20"/>
                <w:szCs w:val="20"/>
                <w:color w:val="auto"/>
              </w:rPr>
            </w:pPr>
            <w:r>
              <w:rPr>
                <w:rFonts w:ascii="Arial" w:cs="Arial" w:eastAsia="Arial" w:hAnsi="Arial"/>
                <w:sz w:val="18"/>
                <w:szCs w:val="18"/>
                <w:color w:val="auto"/>
              </w:rPr>
              <w:t>•</w:t>
            </w:r>
          </w:p>
        </w:tc>
        <w:tc>
          <w:tcPr>
            <w:tcW w:w="2600" w:type="dxa"/>
            <w:vAlign w:val="bottom"/>
          </w:tcPr>
          <w:p>
            <w:pPr>
              <w:ind w:left="80"/>
              <w:spacing w:after="0"/>
              <w:rPr>
                <w:sz w:val="20"/>
                <w:szCs w:val="20"/>
                <w:color w:val="auto"/>
              </w:rPr>
            </w:pPr>
            <w:r>
              <w:rPr>
                <w:rFonts w:ascii="Arial" w:cs="Arial" w:eastAsia="Arial" w:hAnsi="Arial"/>
                <w:sz w:val="18"/>
                <w:szCs w:val="18"/>
                <w:color w:val="auto"/>
              </w:rPr>
              <w:t>Verisk Analytics, Inc.</w:t>
            </w:r>
          </w:p>
        </w:tc>
      </w:tr>
      <w:tr>
        <w:trPr>
          <w:trHeight w:val="270"/>
        </w:trPr>
        <w:tc>
          <w:tcPr>
            <w:tcW w:w="160" w:type="dxa"/>
            <w:vAlign w:val="bottom"/>
          </w:tcPr>
          <w:p>
            <w:pPr>
              <w:spacing w:after="0"/>
              <w:rPr>
                <w:sz w:val="20"/>
                <w:szCs w:val="20"/>
                <w:color w:val="auto"/>
              </w:rPr>
            </w:pPr>
            <w:r>
              <w:rPr>
                <w:rFonts w:ascii="Arial" w:cs="Arial" w:eastAsia="Arial" w:hAnsi="Arial"/>
                <w:sz w:val="18"/>
                <w:szCs w:val="18"/>
                <w:color w:val="auto"/>
              </w:rPr>
              <w:t>•</w:t>
            </w:r>
          </w:p>
        </w:tc>
        <w:tc>
          <w:tcPr>
            <w:tcW w:w="3260" w:type="dxa"/>
            <w:vAlign w:val="bottom"/>
          </w:tcPr>
          <w:p>
            <w:pPr>
              <w:ind w:left="80"/>
              <w:spacing w:after="0"/>
              <w:rPr>
                <w:sz w:val="20"/>
                <w:szCs w:val="20"/>
                <w:color w:val="auto"/>
              </w:rPr>
            </w:pPr>
            <w:r>
              <w:rPr>
                <w:rFonts w:ascii="Arial" w:cs="Arial" w:eastAsia="Arial" w:hAnsi="Arial"/>
                <w:sz w:val="18"/>
                <w:szCs w:val="18"/>
                <w:color w:val="auto"/>
              </w:rPr>
              <w:t>NetSuite Inc.</w:t>
            </w:r>
          </w:p>
        </w:tc>
        <w:tc>
          <w:tcPr>
            <w:tcW w:w="1120" w:type="dxa"/>
            <w:vAlign w:val="bottom"/>
          </w:tcPr>
          <w:p>
            <w:pPr>
              <w:ind w:left="960"/>
              <w:spacing w:after="0"/>
              <w:rPr>
                <w:sz w:val="20"/>
                <w:szCs w:val="20"/>
                <w:color w:val="auto"/>
              </w:rPr>
            </w:pPr>
            <w:r>
              <w:rPr>
                <w:rFonts w:ascii="Arial" w:cs="Arial" w:eastAsia="Arial" w:hAnsi="Arial"/>
                <w:sz w:val="18"/>
                <w:szCs w:val="18"/>
                <w:color w:val="auto"/>
              </w:rPr>
              <w:t>•</w:t>
            </w:r>
          </w:p>
        </w:tc>
        <w:tc>
          <w:tcPr>
            <w:tcW w:w="2600" w:type="dxa"/>
            <w:vAlign w:val="bottom"/>
          </w:tcPr>
          <w:p>
            <w:pPr>
              <w:ind w:left="80"/>
              <w:spacing w:after="0"/>
              <w:rPr>
                <w:sz w:val="20"/>
                <w:szCs w:val="20"/>
                <w:color w:val="auto"/>
              </w:rPr>
            </w:pPr>
            <w:r>
              <w:rPr>
                <w:rFonts w:ascii="Arial" w:cs="Arial" w:eastAsia="Arial" w:hAnsi="Arial"/>
                <w:sz w:val="18"/>
                <w:szCs w:val="18"/>
                <w:color w:val="auto"/>
              </w:rPr>
              <w:t>Workday, Inc.</w:t>
            </w:r>
          </w:p>
        </w:tc>
      </w:tr>
      <w:tr>
        <w:trPr>
          <w:trHeight w:val="270"/>
        </w:trPr>
        <w:tc>
          <w:tcPr>
            <w:tcW w:w="160" w:type="dxa"/>
            <w:vAlign w:val="bottom"/>
          </w:tcPr>
          <w:p>
            <w:pPr>
              <w:spacing w:after="0"/>
              <w:rPr>
                <w:sz w:val="20"/>
                <w:szCs w:val="20"/>
                <w:color w:val="auto"/>
              </w:rPr>
            </w:pPr>
            <w:r>
              <w:rPr>
                <w:rFonts w:ascii="Arial" w:cs="Arial" w:eastAsia="Arial" w:hAnsi="Arial"/>
                <w:sz w:val="18"/>
                <w:szCs w:val="18"/>
                <w:color w:val="auto"/>
              </w:rPr>
              <w:t>•</w:t>
            </w:r>
          </w:p>
        </w:tc>
        <w:tc>
          <w:tcPr>
            <w:tcW w:w="3260" w:type="dxa"/>
            <w:vAlign w:val="bottom"/>
          </w:tcPr>
          <w:p>
            <w:pPr>
              <w:ind w:left="80"/>
              <w:spacing w:after="0"/>
              <w:rPr>
                <w:sz w:val="20"/>
                <w:szCs w:val="20"/>
                <w:color w:val="auto"/>
              </w:rPr>
            </w:pPr>
            <w:r>
              <w:rPr>
                <w:rFonts w:ascii="Arial" w:cs="Arial" w:eastAsia="Arial" w:hAnsi="Arial"/>
                <w:sz w:val="18"/>
                <w:szCs w:val="18"/>
                <w:color w:val="auto"/>
              </w:rPr>
              <w:t>Qlik Technologies, Inc.</w:t>
            </w:r>
          </w:p>
        </w:tc>
        <w:tc>
          <w:tcPr>
            <w:tcW w:w="1120" w:type="dxa"/>
            <w:vAlign w:val="bottom"/>
          </w:tcPr>
          <w:p>
            <w:pPr>
              <w:ind w:left="960"/>
              <w:spacing w:after="0"/>
              <w:rPr>
                <w:sz w:val="20"/>
                <w:szCs w:val="20"/>
                <w:color w:val="auto"/>
              </w:rPr>
            </w:pPr>
            <w:r>
              <w:rPr>
                <w:rFonts w:ascii="Arial" w:cs="Arial" w:eastAsia="Arial" w:hAnsi="Arial"/>
                <w:sz w:val="18"/>
                <w:szCs w:val="18"/>
                <w:color w:val="auto"/>
              </w:rPr>
              <w:t>•</w:t>
            </w:r>
          </w:p>
        </w:tc>
        <w:tc>
          <w:tcPr>
            <w:tcW w:w="2600" w:type="dxa"/>
            <w:vAlign w:val="bottom"/>
          </w:tcPr>
          <w:p>
            <w:pPr>
              <w:ind w:left="100"/>
              <w:spacing w:after="0"/>
              <w:rPr>
                <w:sz w:val="20"/>
                <w:szCs w:val="20"/>
                <w:color w:val="auto"/>
              </w:rPr>
            </w:pPr>
            <w:r>
              <w:rPr>
                <w:rFonts w:ascii="Arial" w:cs="Arial" w:eastAsia="Arial" w:hAnsi="Arial"/>
                <w:sz w:val="18"/>
                <w:szCs w:val="18"/>
                <w:color w:val="auto"/>
              </w:rPr>
              <w:t>Zillow Group, Inc.</w:t>
            </w:r>
          </w:p>
        </w:tc>
      </w:tr>
      <w:tr>
        <w:trPr>
          <w:trHeight w:val="270"/>
        </w:trPr>
        <w:tc>
          <w:tcPr>
            <w:tcW w:w="160" w:type="dxa"/>
            <w:vAlign w:val="bottom"/>
          </w:tcPr>
          <w:p>
            <w:pPr>
              <w:spacing w:after="0"/>
              <w:rPr>
                <w:sz w:val="20"/>
                <w:szCs w:val="20"/>
                <w:color w:val="auto"/>
              </w:rPr>
            </w:pPr>
            <w:r>
              <w:rPr>
                <w:rFonts w:ascii="Arial" w:cs="Arial" w:eastAsia="Arial" w:hAnsi="Arial"/>
                <w:sz w:val="18"/>
                <w:szCs w:val="18"/>
                <w:color w:val="auto"/>
              </w:rPr>
              <w:t>•</w:t>
            </w:r>
          </w:p>
        </w:tc>
        <w:tc>
          <w:tcPr>
            <w:tcW w:w="3260" w:type="dxa"/>
            <w:vAlign w:val="bottom"/>
          </w:tcPr>
          <w:p>
            <w:pPr>
              <w:ind w:left="80"/>
              <w:spacing w:after="0"/>
              <w:rPr>
                <w:sz w:val="20"/>
                <w:szCs w:val="20"/>
                <w:color w:val="auto"/>
              </w:rPr>
            </w:pPr>
            <w:r>
              <w:rPr>
                <w:rFonts w:ascii="Arial" w:cs="Arial" w:eastAsia="Arial" w:hAnsi="Arial"/>
                <w:sz w:val="18"/>
                <w:szCs w:val="18"/>
                <w:color w:val="auto"/>
              </w:rPr>
              <w:t>RealPage, Inc.</w:t>
            </w:r>
          </w:p>
        </w:tc>
        <w:tc>
          <w:tcPr>
            <w:tcW w:w="1120" w:type="dxa"/>
            <w:vAlign w:val="bottom"/>
          </w:tcPr>
          <w:p>
            <w:pPr>
              <w:spacing w:after="0"/>
              <w:rPr>
                <w:sz w:val="23"/>
                <w:szCs w:val="23"/>
                <w:color w:val="auto"/>
              </w:rPr>
            </w:pPr>
          </w:p>
        </w:tc>
        <w:tc>
          <w:tcPr>
            <w:tcW w:w="2600" w:type="dxa"/>
            <w:vAlign w:val="bottom"/>
          </w:tcPr>
          <w:p>
            <w:pPr>
              <w:spacing w:after="0"/>
              <w:rPr>
                <w:sz w:val="23"/>
                <w:szCs w:val="23"/>
                <w:color w:val="auto"/>
              </w:rPr>
            </w:pPr>
          </w:p>
        </w:tc>
      </w:tr>
    </w:tbl>
    <w:p>
      <w:pPr>
        <w:spacing w:after="0" w:line="229"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The late 2015 Willis Towers Watson study also considered high technology industry data from Towers Watson’s 2015 executive compensation database and the Radford 2015 Executive Compensation Survey – Global Tech Custom Cut, as well as general industry executive compensation data from the Mercer 2015 Executive Compensation Survey, in each case aged to March 1, 2016 using a 3% update factor. Survey data from Towers Watson and Mercer were also size-adjusted based on CoStar’s estimated annual revenues. The Company was not made aware of the names of the companies included in either the general industry executive compensation data or in the high technology industry data. Where available for the competitive analysis, Willis Towers Watson created blended market data using a 75% weighting for proxy data and a 25% weighting for published survey data. Further, where available, the Committee utilized the peer company data (including the blended market data where available) as the primary competitive benchmark when evaluating the executives’ compensation as the peer company data reflects companies that are believed to be more similar to CoStar in terms of size, business model and financial performance. In those cases where peer data was unavailable, the Committee took into account individual responsibility and performance, previous compensation awards to the respective named executive officers, external market and competitive practices (including available industry executive compensation data), as well as internal pay equity considerations.</w:t>
      </w: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368" w:right="239" w:bottom="1440" w:gutter="0" w:footer="0" w:header="0"/>
        </w:sectPr>
      </w:pPr>
    </w:p>
    <w:bookmarkStart w:id="56" w:name="page57"/>
    <w:bookmarkEnd w:id="56"/>
    <w:p>
      <w:pPr>
        <w:spacing w:after="0"/>
        <w:rPr>
          <w:sz w:val="20"/>
          <w:szCs w:val="20"/>
          <w:color w:val="auto"/>
        </w:rPr>
      </w:pPr>
      <w:r>
        <w:rPr>
          <w:rFonts w:ascii="Arial" w:cs="Arial" w:eastAsia="Arial" w:hAnsi="Arial"/>
          <w:sz w:val="20"/>
          <w:szCs w:val="20"/>
          <w:b w:val="1"/>
          <w:bCs w:val="1"/>
          <w:color w:val="auto"/>
        </w:rPr>
        <w:t>ELEMENTS OF COMPENSATION</w:t>
      </w:r>
    </w:p>
    <w:p>
      <w:pPr>
        <w:spacing w:after="0" w:line="116" w:lineRule="exact"/>
        <w:rPr>
          <w:sz w:val="20"/>
          <w:szCs w:val="20"/>
          <w:color w:val="auto"/>
        </w:rPr>
      </w:pPr>
    </w:p>
    <w:p>
      <w:pPr>
        <w:jc w:val="both"/>
        <w:ind w:right="20"/>
        <w:spacing w:after="0" w:line="255" w:lineRule="auto"/>
        <w:rPr>
          <w:sz w:val="20"/>
          <w:szCs w:val="20"/>
          <w:color w:val="auto"/>
        </w:rPr>
      </w:pPr>
      <w:r>
        <w:rPr>
          <w:rFonts w:ascii="Arial" w:cs="Arial" w:eastAsia="Arial" w:hAnsi="Arial"/>
          <w:sz w:val="18"/>
          <w:szCs w:val="18"/>
          <w:color w:val="auto"/>
        </w:rPr>
        <w:t>Each year, the Committee approves a compensation arrangement for each of its named executive officers that specifies a named executive officer’s (i) base salary, (ii) annual cash bonus potential based on a percentage of base compensation subject to achievement of individual and corporate goals (or commissions in the case of Mr. Linnington), and (iii) equity awards, including the annual performance-based restricted stock that is granted based on achievement of prior year corporate goals and stock options, both of which vest over time and/or in full after a specified period of time, as well as performance-based restricted stock that vests based on achievement of pre-determined, objective goals over a multi-year period. Additionally, our U.S. named executive officers are eligible to receive Company-paid matching contributions to their 401(k) plan accounts, as well as health insurance and other welfare benefits that are generally available to the Company’s U.S. employees.</w:t>
      </w:r>
    </w:p>
    <w:p>
      <w:pPr>
        <w:spacing w:after="0" w:line="339" w:lineRule="exact"/>
        <w:rPr>
          <w:sz w:val="20"/>
          <w:szCs w:val="20"/>
          <w:color w:val="auto"/>
        </w:rPr>
      </w:pPr>
    </w:p>
    <w:tbl>
      <w:tblPr>
        <w:tblLayout w:type="fixed"/>
        <w:tblInd w:w="90" w:type="dxa"/>
        <w:tblCellMar>
          <w:top w:w="0" w:type="dxa"/>
          <w:left w:w="0" w:type="dxa"/>
          <w:bottom w:w="0" w:type="dxa"/>
          <w:right w:w="0" w:type="dxa"/>
        </w:tblCellMar>
      </w:tblPr>
      <w:tr>
        <w:trPr>
          <w:trHeight w:val="277"/>
        </w:trPr>
        <w:tc>
          <w:tcPr>
            <w:tcW w:w="1280" w:type="dxa"/>
            <w:vAlign w:val="bottom"/>
            <w:tcBorders>
              <w:left w:val="single" w:sz="8" w:color="D9D9D9"/>
              <w:bottom w:val="single" w:sz="8" w:color="B8CCE4"/>
              <w:right w:val="single" w:sz="8" w:color="D9D9D9"/>
            </w:tcBorders>
            <w:shd w:val="clear" w:color="auto" w:fill="B8CCE4"/>
          </w:tcPr>
          <w:p>
            <w:pPr>
              <w:spacing w:after="0"/>
              <w:rPr>
                <w:sz w:val="24"/>
                <w:szCs w:val="24"/>
                <w:color w:val="auto"/>
              </w:rPr>
            </w:pPr>
          </w:p>
        </w:tc>
        <w:tc>
          <w:tcPr>
            <w:tcW w:w="2140" w:type="dxa"/>
            <w:vAlign w:val="bottom"/>
            <w:tcBorders>
              <w:bottom w:val="single" w:sz="8" w:color="B8CCE4"/>
            </w:tcBorders>
            <w:shd w:val="clear" w:color="auto" w:fill="B8CCE4"/>
          </w:tcPr>
          <w:p>
            <w:pPr>
              <w:ind w:left="620"/>
              <w:spacing w:after="0"/>
              <w:rPr>
                <w:sz w:val="20"/>
                <w:szCs w:val="20"/>
                <w:color w:val="auto"/>
              </w:rPr>
            </w:pPr>
            <w:r>
              <w:rPr>
                <w:rFonts w:ascii="Arial" w:cs="Arial" w:eastAsia="Arial" w:hAnsi="Arial"/>
                <w:sz w:val="18"/>
                <w:szCs w:val="18"/>
                <w:b w:val="1"/>
                <w:bCs w:val="1"/>
                <w:color w:val="auto"/>
              </w:rPr>
              <w:t>Component</w:t>
            </w:r>
          </w:p>
        </w:tc>
        <w:tc>
          <w:tcPr>
            <w:tcW w:w="100" w:type="dxa"/>
            <w:vAlign w:val="bottom"/>
            <w:tcBorders>
              <w:bottom w:val="single" w:sz="8" w:color="B8CCE4"/>
            </w:tcBorders>
            <w:shd w:val="clear" w:color="auto" w:fill="B8CCE4"/>
          </w:tcPr>
          <w:p>
            <w:pPr>
              <w:spacing w:after="0"/>
              <w:rPr>
                <w:sz w:val="24"/>
                <w:szCs w:val="24"/>
                <w:color w:val="auto"/>
              </w:rPr>
            </w:pPr>
          </w:p>
        </w:tc>
        <w:tc>
          <w:tcPr>
            <w:tcW w:w="3420" w:type="dxa"/>
            <w:vAlign w:val="bottom"/>
            <w:tcBorders>
              <w:bottom w:val="single" w:sz="8" w:color="B8CCE4"/>
              <w:right w:val="single" w:sz="8" w:color="D9D9D9"/>
            </w:tcBorders>
            <w:shd w:val="clear" w:color="auto" w:fill="B8CCE4"/>
          </w:tcPr>
          <w:p>
            <w:pPr>
              <w:ind w:left="1480"/>
              <w:spacing w:after="0"/>
              <w:rPr>
                <w:sz w:val="20"/>
                <w:szCs w:val="20"/>
                <w:color w:val="auto"/>
              </w:rPr>
            </w:pPr>
            <w:r>
              <w:rPr>
                <w:rFonts w:ascii="Arial" w:cs="Arial" w:eastAsia="Arial" w:hAnsi="Arial"/>
                <w:sz w:val="18"/>
                <w:szCs w:val="18"/>
                <w:b w:val="1"/>
                <w:bCs w:val="1"/>
                <w:color w:val="auto"/>
              </w:rPr>
              <w:t>Role</w:t>
            </w:r>
          </w:p>
        </w:tc>
        <w:tc>
          <w:tcPr>
            <w:tcW w:w="100" w:type="dxa"/>
            <w:vAlign w:val="bottom"/>
            <w:tcBorders>
              <w:bottom w:val="single" w:sz="8" w:color="B8CCE4"/>
            </w:tcBorders>
            <w:shd w:val="clear" w:color="auto" w:fill="B8CCE4"/>
          </w:tcPr>
          <w:p>
            <w:pPr>
              <w:spacing w:after="0"/>
              <w:rPr>
                <w:sz w:val="24"/>
                <w:szCs w:val="24"/>
                <w:color w:val="auto"/>
              </w:rPr>
            </w:pPr>
          </w:p>
        </w:tc>
        <w:tc>
          <w:tcPr>
            <w:tcW w:w="4320" w:type="dxa"/>
            <w:vAlign w:val="bottom"/>
            <w:tcBorders>
              <w:bottom w:val="single" w:sz="8" w:color="B8CCE4"/>
              <w:right w:val="single" w:sz="8" w:color="D9D9D9"/>
            </w:tcBorders>
            <w:shd w:val="clear" w:color="auto" w:fill="B8CCE4"/>
          </w:tcPr>
          <w:p>
            <w:pPr>
              <w:ind w:left="760"/>
              <w:spacing w:after="0"/>
              <w:rPr>
                <w:sz w:val="20"/>
                <w:szCs w:val="20"/>
                <w:color w:val="auto"/>
              </w:rPr>
            </w:pPr>
            <w:r>
              <w:rPr>
                <w:rFonts w:ascii="Arial" w:cs="Arial" w:eastAsia="Arial" w:hAnsi="Arial"/>
                <w:sz w:val="18"/>
                <w:szCs w:val="18"/>
                <w:b w:val="1"/>
                <w:bCs w:val="1"/>
                <w:color w:val="auto"/>
              </w:rPr>
              <w:t>How It’s Set/Links to Performance</w:t>
            </w:r>
          </w:p>
        </w:tc>
        <w:tc>
          <w:tcPr>
            <w:tcW w:w="0" w:type="dxa"/>
            <w:vAlign w:val="bottom"/>
          </w:tcPr>
          <w:p>
            <w:pPr>
              <w:spacing w:after="0"/>
              <w:rPr>
                <w:sz w:val="1"/>
                <w:szCs w:val="1"/>
                <w:color w:val="auto"/>
              </w:rPr>
            </w:pPr>
          </w:p>
        </w:tc>
      </w:tr>
      <w:tr>
        <w:trPr>
          <w:trHeight w:val="257"/>
        </w:trPr>
        <w:tc>
          <w:tcPr>
            <w:tcW w:w="1280" w:type="dxa"/>
            <w:vAlign w:val="bottom"/>
            <w:tcBorders>
              <w:left w:val="single" w:sz="8" w:color="D9D9D9"/>
              <w:right w:val="single" w:sz="8" w:color="D9D9D9"/>
            </w:tcBorders>
            <w:vMerge w:val="restart"/>
            <w:shd w:val="clear" w:color="auto" w:fill="F2F2F2"/>
          </w:tcPr>
          <w:p>
            <w:pPr>
              <w:ind w:left="40"/>
              <w:spacing w:after="0"/>
              <w:rPr>
                <w:sz w:val="20"/>
                <w:szCs w:val="20"/>
                <w:color w:val="auto"/>
              </w:rPr>
            </w:pPr>
            <w:r>
              <w:rPr>
                <w:rFonts w:ascii="Arial" w:cs="Arial" w:eastAsia="Arial" w:hAnsi="Arial"/>
                <w:sz w:val="14"/>
                <w:szCs w:val="14"/>
                <w:b w:val="1"/>
                <w:bCs w:val="1"/>
                <w:color w:val="404040"/>
              </w:rPr>
              <w:t>FIXED</w:t>
            </w:r>
          </w:p>
        </w:tc>
        <w:tc>
          <w:tcPr>
            <w:tcW w:w="2140" w:type="dxa"/>
            <w:vAlign w:val="bottom"/>
            <w:vMerge w:val="restart"/>
          </w:tcPr>
          <w:p>
            <w:pPr>
              <w:ind w:left="20"/>
              <w:spacing w:after="0"/>
              <w:rPr>
                <w:sz w:val="20"/>
                <w:szCs w:val="20"/>
                <w:color w:val="auto"/>
              </w:rPr>
            </w:pPr>
            <w:r>
              <w:rPr>
                <w:rFonts w:ascii="Arial" w:cs="Arial" w:eastAsia="Arial" w:hAnsi="Arial"/>
                <w:sz w:val="16"/>
                <w:szCs w:val="16"/>
                <w:b w:val="1"/>
                <w:bCs w:val="1"/>
                <w:color w:val="404040"/>
              </w:rPr>
              <w:t>Base Salary</w:t>
            </w:r>
          </w:p>
        </w:tc>
        <w:tc>
          <w:tcPr>
            <w:tcW w:w="100" w:type="dxa"/>
            <w:vAlign w:val="bottom"/>
          </w:tcPr>
          <w:p>
            <w:pPr>
              <w:spacing w:after="0"/>
              <w:rPr>
                <w:sz w:val="20"/>
                <w:szCs w:val="20"/>
                <w:color w:val="auto"/>
              </w:rPr>
            </w:pPr>
            <w:r>
              <w:rPr>
                <w:rFonts w:ascii="Arial" w:cs="Arial" w:eastAsia="Arial" w:hAnsi="Arial"/>
                <w:sz w:val="15"/>
                <w:szCs w:val="15"/>
                <w:color w:val="auto"/>
              </w:rPr>
              <w:t>•</w:t>
            </w:r>
          </w:p>
        </w:tc>
        <w:tc>
          <w:tcPr>
            <w:tcW w:w="3420" w:type="dxa"/>
            <w:vAlign w:val="bottom"/>
          </w:tcPr>
          <w:p>
            <w:pPr>
              <w:ind w:left="140"/>
              <w:spacing w:after="0"/>
              <w:rPr>
                <w:sz w:val="20"/>
                <w:szCs w:val="20"/>
                <w:color w:val="auto"/>
              </w:rPr>
            </w:pPr>
            <w:r>
              <w:rPr>
                <w:rFonts w:ascii="Arial" w:cs="Arial" w:eastAsia="Arial" w:hAnsi="Arial"/>
                <w:sz w:val="15"/>
                <w:szCs w:val="15"/>
                <w:color w:val="404040"/>
              </w:rPr>
              <w:t>To provide a stable, reliable monthly income</w:t>
            </w:r>
          </w:p>
        </w:tc>
        <w:tc>
          <w:tcPr>
            <w:tcW w:w="100" w:type="dxa"/>
            <w:vAlign w:val="bottom"/>
          </w:tcPr>
          <w:p>
            <w:pPr>
              <w:spacing w:after="0"/>
              <w:rPr>
                <w:sz w:val="20"/>
                <w:szCs w:val="20"/>
                <w:color w:val="auto"/>
              </w:rPr>
            </w:pPr>
            <w:r>
              <w:rPr>
                <w:rFonts w:ascii="Arial" w:cs="Arial" w:eastAsia="Arial" w:hAnsi="Arial"/>
                <w:sz w:val="15"/>
                <w:szCs w:val="15"/>
                <w:color w:val="auto"/>
              </w:rPr>
              <w:t>•</w:t>
            </w:r>
          </w:p>
        </w:tc>
        <w:tc>
          <w:tcPr>
            <w:tcW w:w="4320" w:type="dxa"/>
            <w:vAlign w:val="bottom"/>
            <w:tcBorders>
              <w:right w:val="single" w:sz="8" w:color="D9D9D9"/>
            </w:tcBorders>
          </w:tcPr>
          <w:p>
            <w:pPr>
              <w:ind w:left="140"/>
              <w:spacing w:after="0"/>
              <w:rPr>
                <w:sz w:val="20"/>
                <w:szCs w:val="20"/>
                <w:color w:val="auto"/>
              </w:rPr>
            </w:pPr>
            <w:r>
              <w:rPr>
                <w:rFonts w:ascii="Arial" w:cs="Arial" w:eastAsia="Arial" w:hAnsi="Arial"/>
                <w:sz w:val="15"/>
                <w:szCs w:val="15"/>
                <w:color w:val="404040"/>
              </w:rPr>
              <w:t>Reviewed annually in light of responsibilities, performance,</w:t>
            </w:r>
          </w:p>
        </w:tc>
        <w:tc>
          <w:tcPr>
            <w:tcW w:w="0" w:type="dxa"/>
            <w:vAlign w:val="bottom"/>
          </w:tcPr>
          <w:p>
            <w:pPr>
              <w:spacing w:after="0"/>
              <w:rPr>
                <w:sz w:val="1"/>
                <w:szCs w:val="1"/>
                <w:color w:val="auto"/>
              </w:rPr>
            </w:pPr>
          </w:p>
        </w:tc>
      </w:tr>
      <w:tr>
        <w:trPr>
          <w:trHeight w:val="162"/>
        </w:trPr>
        <w:tc>
          <w:tcPr>
            <w:tcW w:w="1280" w:type="dxa"/>
            <w:vAlign w:val="bottom"/>
            <w:tcBorders>
              <w:left w:val="single" w:sz="8" w:color="D9D9D9"/>
              <w:right w:val="single" w:sz="8" w:color="D9D9D9"/>
            </w:tcBorders>
            <w:vMerge w:val="continue"/>
            <w:shd w:val="clear" w:color="auto" w:fill="F2F2F2"/>
          </w:tcPr>
          <w:p>
            <w:pPr>
              <w:spacing w:after="0"/>
              <w:rPr>
                <w:sz w:val="14"/>
                <w:szCs w:val="14"/>
                <w:color w:val="auto"/>
              </w:rPr>
            </w:pPr>
          </w:p>
        </w:tc>
        <w:tc>
          <w:tcPr>
            <w:tcW w:w="2140" w:type="dxa"/>
            <w:vAlign w:val="bottom"/>
            <w:vMerge w:val="continue"/>
          </w:tcPr>
          <w:p>
            <w:pPr>
              <w:spacing w:after="0"/>
              <w:rPr>
                <w:sz w:val="14"/>
                <w:szCs w:val="14"/>
                <w:color w:val="auto"/>
              </w:rPr>
            </w:pPr>
          </w:p>
        </w:tc>
        <w:tc>
          <w:tcPr>
            <w:tcW w:w="100" w:type="dxa"/>
            <w:vAlign w:val="bottom"/>
          </w:tcPr>
          <w:p>
            <w:pPr>
              <w:spacing w:after="0" w:line="162" w:lineRule="exact"/>
              <w:rPr>
                <w:sz w:val="20"/>
                <w:szCs w:val="20"/>
                <w:color w:val="auto"/>
              </w:rPr>
            </w:pPr>
            <w:r>
              <w:rPr>
                <w:rFonts w:ascii="Arial" w:cs="Arial" w:eastAsia="Arial" w:hAnsi="Arial"/>
                <w:sz w:val="15"/>
                <w:szCs w:val="15"/>
                <w:color w:val="auto"/>
              </w:rPr>
              <w:t>•</w:t>
            </w:r>
          </w:p>
        </w:tc>
        <w:tc>
          <w:tcPr>
            <w:tcW w:w="3420" w:type="dxa"/>
            <w:vAlign w:val="bottom"/>
          </w:tcPr>
          <w:p>
            <w:pPr>
              <w:ind w:left="140"/>
              <w:spacing w:after="0" w:line="162" w:lineRule="exact"/>
              <w:rPr>
                <w:sz w:val="20"/>
                <w:szCs w:val="20"/>
                <w:color w:val="auto"/>
              </w:rPr>
            </w:pPr>
            <w:r>
              <w:rPr>
                <w:rFonts w:ascii="Arial" w:cs="Arial" w:eastAsia="Arial" w:hAnsi="Arial"/>
                <w:sz w:val="15"/>
                <w:szCs w:val="15"/>
                <w:color w:val="404040"/>
                <w:w w:val="94"/>
              </w:rPr>
              <w:t>Set at levels that should comprise a low percentage</w:t>
            </w:r>
          </w:p>
        </w:tc>
        <w:tc>
          <w:tcPr>
            <w:tcW w:w="100" w:type="dxa"/>
            <w:vAlign w:val="bottom"/>
          </w:tcPr>
          <w:p>
            <w:pPr>
              <w:spacing w:after="0"/>
              <w:rPr>
                <w:sz w:val="14"/>
                <w:szCs w:val="14"/>
                <w:color w:val="auto"/>
              </w:rPr>
            </w:pPr>
          </w:p>
        </w:tc>
        <w:tc>
          <w:tcPr>
            <w:tcW w:w="4320" w:type="dxa"/>
            <w:vAlign w:val="bottom"/>
            <w:tcBorders>
              <w:right w:val="single" w:sz="8" w:color="D9D9D9"/>
            </w:tcBorders>
          </w:tcPr>
          <w:p>
            <w:pPr>
              <w:ind w:left="40"/>
              <w:spacing w:after="0" w:line="162" w:lineRule="exact"/>
              <w:rPr>
                <w:sz w:val="20"/>
                <w:szCs w:val="20"/>
                <w:color w:val="auto"/>
              </w:rPr>
            </w:pPr>
            <w:r>
              <w:rPr>
                <w:rFonts w:ascii="Arial" w:cs="Arial" w:eastAsia="Arial" w:hAnsi="Arial"/>
                <w:sz w:val="15"/>
                <w:szCs w:val="15"/>
                <w:color w:val="404040"/>
                <w:w w:val="93"/>
              </w:rPr>
              <w:t>internal pay equity, total compensation, market practices and advice</w:t>
            </w:r>
          </w:p>
        </w:tc>
        <w:tc>
          <w:tcPr>
            <w:tcW w:w="0" w:type="dxa"/>
            <w:vAlign w:val="bottom"/>
          </w:tcPr>
          <w:p>
            <w:pPr>
              <w:spacing w:after="0"/>
              <w:rPr>
                <w:sz w:val="1"/>
                <w:szCs w:val="1"/>
                <w:color w:val="auto"/>
              </w:rPr>
            </w:pPr>
          </w:p>
        </w:tc>
      </w:tr>
      <w:tr>
        <w:trPr>
          <w:trHeight w:val="225"/>
        </w:trPr>
        <w:tc>
          <w:tcPr>
            <w:tcW w:w="1280" w:type="dxa"/>
            <w:vAlign w:val="bottom"/>
            <w:tcBorders>
              <w:left w:val="single" w:sz="8" w:color="D9D9D9"/>
              <w:bottom w:val="single" w:sz="8" w:color="D9D9D9"/>
              <w:right w:val="single" w:sz="8" w:color="D9D9D9"/>
            </w:tcBorders>
            <w:shd w:val="clear" w:color="auto" w:fill="F2F2F2"/>
          </w:tcPr>
          <w:p>
            <w:pPr>
              <w:spacing w:after="0"/>
              <w:rPr>
                <w:sz w:val="19"/>
                <w:szCs w:val="19"/>
                <w:color w:val="auto"/>
              </w:rPr>
            </w:pPr>
          </w:p>
        </w:tc>
        <w:tc>
          <w:tcPr>
            <w:tcW w:w="2140" w:type="dxa"/>
            <w:vAlign w:val="bottom"/>
            <w:tcBorders>
              <w:bottom w:val="single" w:sz="8" w:color="D9D9D9"/>
            </w:tcBorders>
          </w:tcPr>
          <w:p>
            <w:pPr>
              <w:spacing w:after="0"/>
              <w:rPr>
                <w:sz w:val="19"/>
                <w:szCs w:val="19"/>
                <w:color w:val="auto"/>
              </w:rPr>
            </w:pPr>
          </w:p>
        </w:tc>
        <w:tc>
          <w:tcPr>
            <w:tcW w:w="100" w:type="dxa"/>
            <w:vAlign w:val="bottom"/>
            <w:tcBorders>
              <w:bottom w:val="single" w:sz="8" w:color="D9D9D9"/>
            </w:tcBorders>
          </w:tcPr>
          <w:p>
            <w:pPr>
              <w:spacing w:after="0"/>
              <w:rPr>
                <w:sz w:val="19"/>
                <w:szCs w:val="19"/>
                <w:color w:val="auto"/>
              </w:rPr>
            </w:pPr>
          </w:p>
        </w:tc>
        <w:tc>
          <w:tcPr>
            <w:tcW w:w="3420" w:type="dxa"/>
            <w:vAlign w:val="bottom"/>
            <w:tcBorders>
              <w:bottom w:val="single" w:sz="8" w:color="D9D9D9"/>
            </w:tcBorders>
          </w:tcPr>
          <w:p>
            <w:pPr>
              <w:ind w:left="60"/>
              <w:spacing w:after="0"/>
              <w:rPr>
                <w:sz w:val="20"/>
                <w:szCs w:val="20"/>
                <w:color w:val="auto"/>
              </w:rPr>
            </w:pPr>
            <w:r>
              <w:rPr>
                <w:rFonts w:ascii="Arial" w:cs="Arial" w:eastAsia="Arial" w:hAnsi="Arial"/>
                <w:sz w:val="15"/>
                <w:szCs w:val="15"/>
                <w:color w:val="404040"/>
              </w:rPr>
              <w:t>of total compensation</w:t>
            </w:r>
          </w:p>
        </w:tc>
        <w:tc>
          <w:tcPr>
            <w:tcW w:w="100" w:type="dxa"/>
            <w:vAlign w:val="bottom"/>
            <w:tcBorders>
              <w:bottom w:val="single" w:sz="8" w:color="D9D9D9"/>
            </w:tcBorders>
          </w:tcPr>
          <w:p>
            <w:pPr>
              <w:spacing w:after="0"/>
              <w:rPr>
                <w:sz w:val="19"/>
                <w:szCs w:val="19"/>
                <w:color w:val="auto"/>
              </w:rPr>
            </w:pPr>
          </w:p>
        </w:tc>
        <w:tc>
          <w:tcPr>
            <w:tcW w:w="4320" w:type="dxa"/>
            <w:vAlign w:val="bottom"/>
            <w:tcBorders>
              <w:bottom w:val="single" w:sz="8" w:color="D9D9D9"/>
              <w:right w:val="single" w:sz="8" w:color="D9D9D9"/>
            </w:tcBorders>
          </w:tcPr>
          <w:p>
            <w:pPr>
              <w:ind w:left="40"/>
              <w:spacing w:after="0"/>
              <w:rPr>
                <w:sz w:val="20"/>
                <w:szCs w:val="20"/>
                <w:color w:val="auto"/>
              </w:rPr>
            </w:pPr>
            <w:r>
              <w:rPr>
                <w:rFonts w:ascii="Arial" w:cs="Arial" w:eastAsia="Arial" w:hAnsi="Arial"/>
                <w:sz w:val="15"/>
                <w:szCs w:val="15"/>
                <w:color w:val="404040"/>
              </w:rPr>
              <w:t>of the Committee’s independent consultant</w:t>
            </w:r>
          </w:p>
        </w:tc>
        <w:tc>
          <w:tcPr>
            <w:tcW w:w="0" w:type="dxa"/>
            <w:vAlign w:val="bottom"/>
          </w:tcPr>
          <w:p>
            <w:pPr>
              <w:spacing w:after="0"/>
              <w:rPr>
                <w:sz w:val="1"/>
                <w:szCs w:val="1"/>
                <w:color w:val="auto"/>
              </w:rPr>
            </w:pPr>
          </w:p>
        </w:tc>
      </w:tr>
      <w:tr>
        <w:trPr>
          <w:trHeight w:val="281"/>
        </w:trPr>
        <w:tc>
          <w:tcPr>
            <w:tcW w:w="1280" w:type="dxa"/>
            <w:vAlign w:val="bottom"/>
            <w:tcBorders>
              <w:left w:val="single" w:sz="8" w:color="D9D9D9"/>
              <w:right w:val="single" w:sz="8" w:color="D9D9D9"/>
            </w:tcBorders>
            <w:shd w:val="clear" w:color="auto" w:fill="F2F2F2"/>
          </w:tcPr>
          <w:p>
            <w:pPr>
              <w:spacing w:after="0"/>
              <w:rPr>
                <w:sz w:val="24"/>
                <w:szCs w:val="24"/>
                <w:color w:val="auto"/>
              </w:rPr>
            </w:pPr>
          </w:p>
        </w:tc>
        <w:tc>
          <w:tcPr>
            <w:tcW w:w="2140" w:type="dxa"/>
            <w:vAlign w:val="bottom"/>
            <w:vMerge w:val="restart"/>
          </w:tcPr>
          <w:p>
            <w:pPr>
              <w:ind w:left="20"/>
              <w:spacing w:after="0"/>
              <w:rPr>
                <w:sz w:val="20"/>
                <w:szCs w:val="20"/>
                <w:color w:val="auto"/>
              </w:rPr>
            </w:pPr>
            <w:r>
              <w:rPr>
                <w:rFonts w:ascii="Arial" w:cs="Arial" w:eastAsia="Arial" w:hAnsi="Arial"/>
                <w:sz w:val="16"/>
                <w:szCs w:val="16"/>
                <w:b w:val="1"/>
                <w:bCs w:val="1"/>
                <w:color w:val="404040"/>
              </w:rPr>
              <w:t>Annual Cash Incentive</w:t>
            </w:r>
          </w:p>
        </w:tc>
        <w:tc>
          <w:tcPr>
            <w:tcW w:w="3520" w:type="dxa"/>
            <w:vAlign w:val="bottom"/>
            <w:gridSpan w:val="2"/>
          </w:tcPr>
          <w:p>
            <w:pPr>
              <w:spacing w:after="0"/>
              <w:rPr>
                <w:sz w:val="20"/>
                <w:szCs w:val="20"/>
                <w:color w:val="auto"/>
              </w:rPr>
            </w:pPr>
            <w:r>
              <w:rPr>
                <w:rFonts w:ascii="Arial" w:cs="Arial" w:eastAsia="Arial" w:hAnsi="Arial"/>
                <w:sz w:val="15"/>
                <w:szCs w:val="15"/>
                <w:color w:val="auto"/>
                <w:w w:val="95"/>
              </w:rPr>
              <w:t xml:space="preserve">•   </w:t>
            </w:r>
            <w:r>
              <w:rPr>
                <w:rFonts w:ascii="Arial" w:cs="Arial" w:eastAsia="Arial" w:hAnsi="Arial"/>
                <w:sz w:val="15"/>
                <w:szCs w:val="15"/>
                <w:color w:val="404040"/>
                <w:w w:val="95"/>
              </w:rPr>
              <w:t>To reward the achievement of annual financial goals</w:t>
            </w:r>
          </w:p>
        </w:tc>
        <w:tc>
          <w:tcPr>
            <w:tcW w:w="100" w:type="dxa"/>
            <w:vAlign w:val="bottom"/>
            <w:vMerge w:val="restart"/>
          </w:tcPr>
          <w:p>
            <w:pPr>
              <w:spacing w:after="0"/>
              <w:rPr>
                <w:sz w:val="20"/>
                <w:szCs w:val="20"/>
                <w:color w:val="auto"/>
              </w:rPr>
            </w:pPr>
            <w:r>
              <w:rPr>
                <w:rFonts w:ascii="Arial" w:cs="Arial" w:eastAsia="Arial" w:hAnsi="Arial"/>
                <w:sz w:val="15"/>
                <w:szCs w:val="15"/>
                <w:color w:val="auto"/>
              </w:rPr>
              <w:t>•</w:t>
            </w:r>
          </w:p>
        </w:tc>
        <w:tc>
          <w:tcPr>
            <w:tcW w:w="4320" w:type="dxa"/>
            <w:vAlign w:val="bottom"/>
            <w:tcBorders>
              <w:right w:val="single" w:sz="8" w:color="D9D9D9"/>
            </w:tcBorders>
            <w:vMerge w:val="restart"/>
          </w:tcPr>
          <w:p>
            <w:pPr>
              <w:ind w:left="140"/>
              <w:spacing w:after="0"/>
              <w:rPr>
                <w:sz w:val="20"/>
                <w:szCs w:val="20"/>
                <w:color w:val="auto"/>
              </w:rPr>
            </w:pPr>
            <w:r>
              <w:rPr>
                <w:rFonts w:ascii="Arial" w:cs="Arial" w:eastAsia="Arial" w:hAnsi="Arial"/>
                <w:sz w:val="15"/>
                <w:szCs w:val="15"/>
                <w:color w:val="404040"/>
              </w:rPr>
              <w:t>Variable based on the Company’s corporate performance and</w:t>
            </w:r>
          </w:p>
        </w:tc>
        <w:tc>
          <w:tcPr>
            <w:tcW w:w="0" w:type="dxa"/>
            <w:vAlign w:val="bottom"/>
          </w:tcPr>
          <w:p>
            <w:pPr>
              <w:spacing w:after="0"/>
              <w:rPr>
                <w:sz w:val="1"/>
                <w:szCs w:val="1"/>
                <w:color w:val="auto"/>
              </w:rPr>
            </w:pPr>
          </w:p>
        </w:tc>
      </w:tr>
      <w:tr>
        <w:trPr>
          <w:trHeight w:val="148"/>
        </w:trPr>
        <w:tc>
          <w:tcPr>
            <w:tcW w:w="1280" w:type="dxa"/>
            <w:vAlign w:val="bottom"/>
            <w:tcBorders>
              <w:left w:val="single" w:sz="8" w:color="D9D9D9"/>
              <w:right w:val="single" w:sz="8" w:color="D9D9D9"/>
            </w:tcBorders>
            <w:shd w:val="clear" w:color="auto" w:fill="F2F2F2"/>
          </w:tcPr>
          <w:p>
            <w:pPr>
              <w:spacing w:after="0"/>
              <w:rPr>
                <w:sz w:val="12"/>
                <w:szCs w:val="12"/>
                <w:color w:val="auto"/>
              </w:rPr>
            </w:pPr>
          </w:p>
        </w:tc>
        <w:tc>
          <w:tcPr>
            <w:tcW w:w="21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3420" w:type="dxa"/>
            <w:vAlign w:val="bottom"/>
          </w:tcPr>
          <w:p>
            <w:pPr>
              <w:ind w:left="60"/>
              <w:spacing w:after="0" w:line="149" w:lineRule="exact"/>
              <w:rPr>
                <w:sz w:val="20"/>
                <w:szCs w:val="20"/>
                <w:color w:val="auto"/>
              </w:rPr>
            </w:pPr>
            <w:r>
              <w:rPr>
                <w:rFonts w:ascii="Arial" w:cs="Arial" w:eastAsia="Arial" w:hAnsi="Arial"/>
                <w:sz w:val="15"/>
                <w:szCs w:val="15"/>
                <w:color w:val="404040"/>
              </w:rPr>
              <w:t>and personal performance</w:t>
            </w:r>
          </w:p>
        </w:tc>
        <w:tc>
          <w:tcPr>
            <w:tcW w:w="100" w:type="dxa"/>
            <w:vAlign w:val="bottom"/>
            <w:vMerge w:val="continue"/>
          </w:tcPr>
          <w:p>
            <w:pPr>
              <w:spacing w:after="0"/>
              <w:rPr>
                <w:sz w:val="12"/>
                <w:szCs w:val="12"/>
                <w:color w:val="auto"/>
              </w:rPr>
            </w:pPr>
          </w:p>
        </w:tc>
        <w:tc>
          <w:tcPr>
            <w:tcW w:w="4320" w:type="dxa"/>
            <w:vAlign w:val="bottom"/>
            <w:tcBorders>
              <w:right w:val="single" w:sz="8" w:color="D9D9D9"/>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1280" w:type="dxa"/>
            <w:vAlign w:val="bottom"/>
            <w:tcBorders>
              <w:left w:val="single" w:sz="8" w:color="D9D9D9"/>
              <w:right w:val="single" w:sz="8" w:color="D9D9D9"/>
            </w:tcBorders>
            <w:shd w:val="clear" w:color="auto" w:fill="F2F2F2"/>
          </w:tcPr>
          <w:p>
            <w:pPr>
              <w:spacing w:after="0"/>
              <w:rPr>
                <w:sz w:val="17"/>
                <w:szCs w:val="17"/>
                <w:color w:val="auto"/>
              </w:rPr>
            </w:pPr>
          </w:p>
        </w:tc>
        <w:tc>
          <w:tcPr>
            <w:tcW w:w="2140" w:type="dxa"/>
            <w:vAlign w:val="bottom"/>
          </w:tcPr>
          <w:p>
            <w:pPr>
              <w:ind w:left="20"/>
              <w:spacing w:after="0"/>
              <w:rPr>
                <w:sz w:val="20"/>
                <w:szCs w:val="20"/>
                <w:color w:val="auto"/>
              </w:rPr>
            </w:pPr>
            <w:r>
              <w:rPr>
                <w:rFonts w:ascii="Arial" w:cs="Arial" w:eastAsia="Arial" w:hAnsi="Arial"/>
                <w:sz w:val="16"/>
                <w:szCs w:val="16"/>
                <w:b w:val="1"/>
                <w:bCs w:val="1"/>
                <w:color w:val="404040"/>
              </w:rPr>
              <w:t>Compensation</w:t>
            </w:r>
          </w:p>
        </w:tc>
        <w:tc>
          <w:tcPr>
            <w:tcW w:w="100" w:type="dxa"/>
            <w:vAlign w:val="bottom"/>
          </w:tcPr>
          <w:p>
            <w:pPr>
              <w:spacing w:after="0"/>
              <w:rPr>
                <w:sz w:val="20"/>
                <w:szCs w:val="20"/>
                <w:color w:val="auto"/>
              </w:rPr>
            </w:pPr>
            <w:r>
              <w:rPr>
                <w:rFonts w:ascii="Arial" w:cs="Arial" w:eastAsia="Arial" w:hAnsi="Arial"/>
                <w:sz w:val="15"/>
                <w:szCs w:val="15"/>
                <w:color w:val="auto"/>
              </w:rPr>
              <w:t>•</w:t>
            </w:r>
          </w:p>
        </w:tc>
        <w:tc>
          <w:tcPr>
            <w:tcW w:w="3420" w:type="dxa"/>
            <w:vAlign w:val="bottom"/>
          </w:tcPr>
          <w:p>
            <w:pPr>
              <w:ind w:left="140"/>
              <w:spacing w:after="0"/>
              <w:rPr>
                <w:sz w:val="20"/>
                <w:szCs w:val="20"/>
                <w:color w:val="auto"/>
              </w:rPr>
            </w:pPr>
            <w:r>
              <w:rPr>
                <w:rFonts w:ascii="Arial" w:cs="Arial" w:eastAsia="Arial" w:hAnsi="Arial"/>
                <w:sz w:val="15"/>
                <w:szCs w:val="15"/>
                <w:color w:val="404040"/>
              </w:rPr>
              <w:t>Links compensation to performance since award</w:t>
            </w:r>
          </w:p>
        </w:tc>
        <w:tc>
          <w:tcPr>
            <w:tcW w:w="100" w:type="dxa"/>
            <w:vAlign w:val="bottom"/>
          </w:tcPr>
          <w:p>
            <w:pPr>
              <w:spacing w:after="0"/>
              <w:rPr>
                <w:sz w:val="17"/>
                <w:szCs w:val="17"/>
                <w:color w:val="auto"/>
              </w:rPr>
            </w:pPr>
          </w:p>
        </w:tc>
        <w:tc>
          <w:tcPr>
            <w:tcW w:w="4320" w:type="dxa"/>
            <w:vAlign w:val="bottom"/>
            <w:tcBorders>
              <w:right w:val="single" w:sz="8" w:color="D9D9D9"/>
            </w:tcBorders>
          </w:tcPr>
          <w:p>
            <w:pPr>
              <w:ind w:left="40"/>
              <w:spacing w:after="0"/>
              <w:rPr>
                <w:sz w:val="20"/>
                <w:szCs w:val="20"/>
                <w:color w:val="auto"/>
              </w:rPr>
            </w:pPr>
            <w:r>
              <w:rPr>
                <w:rFonts w:ascii="Arial" w:cs="Arial" w:eastAsia="Arial" w:hAnsi="Arial"/>
                <w:sz w:val="15"/>
                <w:szCs w:val="15"/>
                <w:color w:val="404040"/>
              </w:rPr>
              <w:t>achievement of individual goals for the prior year</w:t>
            </w:r>
          </w:p>
        </w:tc>
        <w:tc>
          <w:tcPr>
            <w:tcW w:w="0" w:type="dxa"/>
            <w:vAlign w:val="bottom"/>
          </w:tcPr>
          <w:p>
            <w:pPr>
              <w:spacing w:after="0"/>
              <w:rPr>
                <w:sz w:val="1"/>
                <w:szCs w:val="1"/>
                <w:color w:val="auto"/>
              </w:rPr>
            </w:pPr>
          </w:p>
        </w:tc>
      </w:tr>
      <w:tr>
        <w:trPr>
          <w:trHeight w:val="189"/>
        </w:trPr>
        <w:tc>
          <w:tcPr>
            <w:tcW w:w="1280" w:type="dxa"/>
            <w:vAlign w:val="bottom"/>
            <w:tcBorders>
              <w:left w:val="single" w:sz="8" w:color="D9D9D9"/>
              <w:right w:val="single" w:sz="8" w:color="D9D9D9"/>
            </w:tcBorders>
            <w:shd w:val="clear" w:color="auto" w:fill="F2F2F2"/>
          </w:tcPr>
          <w:p>
            <w:pPr>
              <w:spacing w:after="0"/>
              <w:rPr>
                <w:sz w:val="16"/>
                <w:szCs w:val="16"/>
                <w:color w:val="auto"/>
              </w:rPr>
            </w:pPr>
          </w:p>
        </w:tc>
        <w:tc>
          <w:tcPr>
            <w:tcW w:w="2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520" w:type="dxa"/>
            <w:vAlign w:val="bottom"/>
            <w:gridSpan w:val="2"/>
          </w:tcPr>
          <w:p>
            <w:pPr>
              <w:ind w:left="60"/>
              <w:spacing w:after="0"/>
              <w:rPr>
                <w:sz w:val="20"/>
                <w:szCs w:val="20"/>
                <w:color w:val="auto"/>
              </w:rPr>
            </w:pPr>
            <w:r>
              <w:rPr>
                <w:rFonts w:ascii="Arial" w:cs="Arial" w:eastAsia="Arial" w:hAnsi="Arial"/>
                <w:sz w:val="15"/>
                <w:szCs w:val="15"/>
                <w:color w:val="404040"/>
                <w:w w:val="92"/>
              </w:rPr>
              <w:t xml:space="preserve">amounts are determined after fiscal year end based on </w:t>
            </w:r>
            <w:r>
              <w:rPr>
                <w:rFonts w:ascii="Arial" w:cs="Arial" w:eastAsia="Arial" w:hAnsi="Arial"/>
                <w:sz w:val="15"/>
                <w:szCs w:val="15"/>
                <w:color w:val="000000"/>
                <w:w w:val="92"/>
              </w:rPr>
              <w:t>•</w:t>
            </w:r>
          </w:p>
        </w:tc>
        <w:tc>
          <w:tcPr>
            <w:tcW w:w="4320" w:type="dxa"/>
            <w:vAlign w:val="bottom"/>
            <w:tcBorders>
              <w:right w:val="single" w:sz="8" w:color="D9D9D9"/>
            </w:tcBorders>
          </w:tcPr>
          <w:p>
            <w:pPr>
              <w:ind w:left="140"/>
              <w:spacing w:after="0"/>
              <w:rPr>
                <w:sz w:val="20"/>
                <w:szCs w:val="20"/>
                <w:color w:val="auto"/>
              </w:rPr>
            </w:pPr>
            <w:r>
              <w:rPr>
                <w:rFonts w:ascii="Arial" w:cs="Arial" w:eastAsia="Arial" w:hAnsi="Arial"/>
                <w:sz w:val="15"/>
                <w:szCs w:val="15"/>
                <w:color w:val="404040"/>
              </w:rPr>
              <w:t>Key metric for fiscal 2015: adjusted EBITDA</w:t>
            </w:r>
          </w:p>
        </w:tc>
        <w:tc>
          <w:tcPr>
            <w:tcW w:w="0" w:type="dxa"/>
            <w:vAlign w:val="bottom"/>
          </w:tcPr>
          <w:p>
            <w:pPr>
              <w:spacing w:after="0"/>
              <w:rPr>
                <w:sz w:val="1"/>
                <w:szCs w:val="1"/>
                <w:color w:val="auto"/>
              </w:rPr>
            </w:pPr>
          </w:p>
        </w:tc>
      </w:tr>
      <w:tr>
        <w:trPr>
          <w:trHeight w:val="194"/>
        </w:trPr>
        <w:tc>
          <w:tcPr>
            <w:tcW w:w="1280" w:type="dxa"/>
            <w:vAlign w:val="bottom"/>
            <w:tcBorders>
              <w:left w:val="single" w:sz="8" w:color="D9D9D9"/>
              <w:right w:val="single" w:sz="8" w:color="D9D9D9"/>
            </w:tcBorders>
            <w:shd w:val="clear" w:color="auto" w:fill="F2F2F2"/>
          </w:tcPr>
          <w:p>
            <w:pPr>
              <w:spacing w:after="0"/>
              <w:rPr>
                <w:sz w:val="16"/>
                <w:szCs w:val="16"/>
                <w:color w:val="auto"/>
              </w:rPr>
            </w:pPr>
          </w:p>
        </w:tc>
        <w:tc>
          <w:tcPr>
            <w:tcW w:w="2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20" w:type="dxa"/>
            <w:vAlign w:val="bottom"/>
          </w:tcPr>
          <w:p>
            <w:pPr>
              <w:ind w:left="60"/>
              <w:spacing w:after="0"/>
              <w:rPr>
                <w:sz w:val="20"/>
                <w:szCs w:val="20"/>
                <w:color w:val="auto"/>
              </w:rPr>
            </w:pPr>
            <w:r>
              <w:rPr>
                <w:rFonts w:ascii="Arial" w:cs="Arial" w:eastAsia="Arial" w:hAnsi="Arial"/>
                <w:sz w:val="15"/>
                <w:szCs w:val="15"/>
                <w:color w:val="404040"/>
              </w:rPr>
              <w:t>actual results</w:t>
            </w:r>
          </w:p>
        </w:tc>
        <w:tc>
          <w:tcPr>
            <w:tcW w:w="100" w:type="dxa"/>
            <w:vAlign w:val="bottom"/>
          </w:tcPr>
          <w:p>
            <w:pPr>
              <w:spacing w:after="0"/>
              <w:rPr>
                <w:sz w:val="16"/>
                <w:szCs w:val="16"/>
                <w:color w:val="auto"/>
              </w:rPr>
            </w:pPr>
          </w:p>
        </w:tc>
        <w:tc>
          <w:tcPr>
            <w:tcW w:w="4320" w:type="dxa"/>
            <w:vAlign w:val="bottom"/>
            <w:tcBorders>
              <w:right w:val="single" w:sz="8" w:color="D9D9D9"/>
            </w:tcBorders>
          </w:tcPr>
          <w:p>
            <w:pPr>
              <w:spacing w:after="0"/>
              <w:rPr>
                <w:sz w:val="16"/>
                <w:szCs w:val="16"/>
                <w:color w:val="auto"/>
              </w:rPr>
            </w:pPr>
          </w:p>
        </w:tc>
        <w:tc>
          <w:tcPr>
            <w:tcW w:w="0" w:type="dxa"/>
            <w:vAlign w:val="bottom"/>
          </w:tcPr>
          <w:p>
            <w:pPr>
              <w:spacing w:after="0"/>
              <w:rPr>
                <w:sz w:val="1"/>
                <w:szCs w:val="1"/>
                <w:color w:val="auto"/>
              </w:rPr>
            </w:pPr>
          </w:p>
        </w:tc>
      </w:tr>
      <w:tr>
        <w:trPr>
          <w:trHeight w:val="62"/>
        </w:trPr>
        <w:tc>
          <w:tcPr>
            <w:tcW w:w="1280" w:type="dxa"/>
            <w:vAlign w:val="bottom"/>
            <w:tcBorders>
              <w:left w:val="single" w:sz="8" w:color="D9D9D9"/>
              <w:bottom w:val="single" w:sz="8" w:color="F2F2F2"/>
              <w:right w:val="single" w:sz="8" w:color="D9D9D9"/>
            </w:tcBorders>
            <w:shd w:val="clear" w:color="auto" w:fill="F2F2F2"/>
          </w:tcPr>
          <w:p>
            <w:pPr>
              <w:spacing w:after="0"/>
              <w:rPr>
                <w:sz w:val="5"/>
                <w:szCs w:val="5"/>
                <w:color w:val="auto"/>
              </w:rPr>
            </w:pPr>
          </w:p>
        </w:tc>
        <w:tc>
          <w:tcPr>
            <w:tcW w:w="2140" w:type="dxa"/>
            <w:vAlign w:val="bottom"/>
          </w:tcPr>
          <w:p>
            <w:pPr>
              <w:spacing w:after="0"/>
              <w:rPr>
                <w:sz w:val="5"/>
                <w:szCs w:val="5"/>
                <w:color w:val="auto"/>
              </w:rPr>
            </w:pPr>
          </w:p>
        </w:tc>
        <w:tc>
          <w:tcPr>
            <w:tcW w:w="100" w:type="dxa"/>
            <w:vAlign w:val="bottom"/>
            <w:tcBorders>
              <w:bottom w:val="single" w:sz="8" w:color="D9D9D9"/>
            </w:tcBorders>
          </w:tcPr>
          <w:p>
            <w:pPr>
              <w:spacing w:after="0"/>
              <w:rPr>
                <w:sz w:val="5"/>
                <w:szCs w:val="5"/>
                <w:color w:val="auto"/>
              </w:rPr>
            </w:pPr>
          </w:p>
        </w:tc>
        <w:tc>
          <w:tcPr>
            <w:tcW w:w="3420" w:type="dxa"/>
            <w:vAlign w:val="bottom"/>
            <w:tcBorders>
              <w:bottom w:val="single" w:sz="8" w:color="D9D9D9"/>
            </w:tcBorders>
          </w:tcPr>
          <w:p>
            <w:pPr>
              <w:spacing w:after="0"/>
              <w:rPr>
                <w:sz w:val="5"/>
                <w:szCs w:val="5"/>
                <w:color w:val="auto"/>
              </w:rPr>
            </w:pPr>
          </w:p>
        </w:tc>
        <w:tc>
          <w:tcPr>
            <w:tcW w:w="4420" w:type="dxa"/>
            <w:vAlign w:val="bottom"/>
            <w:tcBorders>
              <w:bottom w:val="single" w:sz="8" w:color="D9D9D9"/>
              <w:right w:val="single" w:sz="8" w:color="D9D9D9"/>
            </w:tcBorders>
            <w:gridSpan w:val="2"/>
          </w:tcPr>
          <w:p>
            <w:pPr>
              <w:spacing w:after="0"/>
              <w:rPr>
                <w:sz w:val="5"/>
                <w:szCs w:val="5"/>
                <w:color w:val="auto"/>
              </w:rPr>
            </w:pPr>
          </w:p>
        </w:tc>
        <w:tc>
          <w:tcPr>
            <w:tcW w:w="0" w:type="dxa"/>
            <w:vAlign w:val="bottom"/>
          </w:tcPr>
          <w:p>
            <w:pPr>
              <w:spacing w:after="0"/>
              <w:rPr>
                <w:sz w:val="1"/>
                <w:szCs w:val="1"/>
                <w:color w:val="auto"/>
              </w:rPr>
            </w:pPr>
          </w:p>
        </w:tc>
      </w:tr>
      <w:tr>
        <w:trPr>
          <w:trHeight w:val="223"/>
        </w:trPr>
        <w:tc>
          <w:tcPr>
            <w:tcW w:w="1280" w:type="dxa"/>
            <w:vAlign w:val="bottom"/>
            <w:tcBorders>
              <w:left w:val="single" w:sz="8" w:color="D9D9D9"/>
              <w:right w:val="single" w:sz="8" w:color="D9D9D9"/>
            </w:tcBorders>
            <w:shd w:val="clear" w:color="auto" w:fill="F2F2F2"/>
          </w:tcPr>
          <w:p>
            <w:pPr>
              <w:spacing w:after="0"/>
              <w:rPr>
                <w:sz w:val="19"/>
                <w:szCs w:val="19"/>
                <w:color w:val="auto"/>
              </w:rPr>
            </w:pPr>
          </w:p>
        </w:tc>
        <w:tc>
          <w:tcPr>
            <w:tcW w:w="2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20" w:type="dxa"/>
            <w:vAlign w:val="bottom"/>
          </w:tcPr>
          <w:p>
            <w:pPr>
              <w:spacing w:after="0"/>
              <w:rPr>
                <w:sz w:val="19"/>
                <w:szCs w:val="19"/>
                <w:color w:val="auto"/>
              </w:rPr>
            </w:pPr>
          </w:p>
        </w:tc>
        <w:tc>
          <w:tcPr>
            <w:tcW w:w="4420" w:type="dxa"/>
            <w:vAlign w:val="bottom"/>
            <w:tcBorders>
              <w:right w:val="single" w:sz="8" w:color="D9D9D9"/>
            </w:tcBorders>
            <w:gridSpan w:val="2"/>
          </w:tcPr>
          <w:p>
            <w:pPr>
              <w:spacing w:after="0"/>
              <w:rPr>
                <w:sz w:val="20"/>
                <w:szCs w:val="20"/>
                <w:color w:val="auto"/>
              </w:rPr>
            </w:pPr>
            <w:r>
              <w:rPr>
                <w:rFonts w:ascii="Arial" w:cs="Arial" w:eastAsia="Arial" w:hAnsi="Arial"/>
                <w:sz w:val="15"/>
                <w:szCs w:val="15"/>
                <w:color w:val="auto"/>
                <w:w w:val="93"/>
              </w:rPr>
              <w:t xml:space="preserve">•   </w:t>
            </w:r>
            <w:r>
              <w:rPr>
                <w:rFonts w:ascii="Arial" w:cs="Arial" w:eastAsia="Arial" w:hAnsi="Arial"/>
                <w:sz w:val="15"/>
                <w:szCs w:val="15"/>
                <w:color w:val="404040"/>
                <w:w w:val="93"/>
              </w:rPr>
              <w:t>For the annual performance-based restricted stock awards: variable</w:t>
            </w:r>
          </w:p>
        </w:tc>
        <w:tc>
          <w:tcPr>
            <w:tcW w:w="0" w:type="dxa"/>
            <w:vAlign w:val="bottom"/>
          </w:tcPr>
          <w:p>
            <w:pPr>
              <w:spacing w:after="0"/>
              <w:rPr>
                <w:sz w:val="1"/>
                <w:szCs w:val="1"/>
                <w:color w:val="auto"/>
              </w:rPr>
            </w:pPr>
          </w:p>
        </w:tc>
      </w:tr>
      <w:tr>
        <w:trPr>
          <w:trHeight w:val="162"/>
        </w:trPr>
        <w:tc>
          <w:tcPr>
            <w:tcW w:w="1280" w:type="dxa"/>
            <w:vAlign w:val="bottom"/>
            <w:tcBorders>
              <w:left w:val="single" w:sz="8" w:color="D9D9D9"/>
              <w:right w:val="single" w:sz="8" w:color="D9D9D9"/>
            </w:tcBorders>
            <w:shd w:val="clear" w:color="auto" w:fill="F2F2F2"/>
          </w:tcPr>
          <w:p>
            <w:pPr>
              <w:spacing w:after="0"/>
              <w:rPr>
                <w:sz w:val="14"/>
                <w:szCs w:val="14"/>
                <w:color w:val="auto"/>
              </w:rPr>
            </w:pPr>
          </w:p>
        </w:tc>
        <w:tc>
          <w:tcPr>
            <w:tcW w:w="2140" w:type="dxa"/>
            <w:vAlign w:val="bottom"/>
            <w:vMerge w:val="restart"/>
          </w:tcPr>
          <w:p>
            <w:pPr>
              <w:ind w:left="20"/>
              <w:spacing w:after="0"/>
              <w:rPr>
                <w:sz w:val="20"/>
                <w:szCs w:val="20"/>
                <w:color w:val="auto"/>
              </w:rPr>
            </w:pPr>
            <w:r>
              <w:rPr>
                <w:rFonts w:ascii="Arial" w:cs="Arial" w:eastAsia="Arial" w:hAnsi="Arial"/>
                <w:sz w:val="16"/>
                <w:szCs w:val="16"/>
                <w:b w:val="1"/>
                <w:bCs w:val="1"/>
                <w:color w:val="404040"/>
              </w:rPr>
              <w:t>Stock Options and Annual</w:t>
            </w:r>
          </w:p>
        </w:tc>
        <w:tc>
          <w:tcPr>
            <w:tcW w:w="10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320" w:type="dxa"/>
            <w:vAlign w:val="bottom"/>
            <w:tcBorders>
              <w:right w:val="single" w:sz="8" w:color="D9D9D9"/>
            </w:tcBorders>
          </w:tcPr>
          <w:p>
            <w:pPr>
              <w:ind w:left="40"/>
              <w:spacing w:after="0" w:line="162" w:lineRule="exact"/>
              <w:rPr>
                <w:sz w:val="20"/>
                <w:szCs w:val="20"/>
                <w:color w:val="auto"/>
              </w:rPr>
            </w:pPr>
            <w:r>
              <w:rPr>
                <w:rFonts w:ascii="Arial" w:cs="Arial" w:eastAsia="Arial" w:hAnsi="Arial"/>
                <w:sz w:val="15"/>
                <w:szCs w:val="15"/>
                <w:color w:val="404040"/>
                <w:w w:val="95"/>
              </w:rPr>
              <w:t>and based on the Company’s corporate performance over the prior</w:t>
            </w:r>
          </w:p>
        </w:tc>
        <w:tc>
          <w:tcPr>
            <w:tcW w:w="0" w:type="dxa"/>
            <w:vAlign w:val="bottom"/>
          </w:tcPr>
          <w:p>
            <w:pPr>
              <w:spacing w:after="0"/>
              <w:rPr>
                <w:sz w:val="1"/>
                <w:szCs w:val="1"/>
                <w:color w:val="auto"/>
              </w:rPr>
            </w:pPr>
          </w:p>
        </w:tc>
      </w:tr>
      <w:tr>
        <w:trPr>
          <w:trHeight w:val="162"/>
        </w:trPr>
        <w:tc>
          <w:tcPr>
            <w:tcW w:w="1280" w:type="dxa"/>
            <w:vAlign w:val="bottom"/>
            <w:tcBorders>
              <w:left w:val="single" w:sz="8" w:color="D9D9D9"/>
              <w:right w:val="single" w:sz="8" w:color="D9D9D9"/>
            </w:tcBorders>
            <w:shd w:val="clear" w:color="auto" w:fill="F2F2F2"/>
          </w:tcPr>
          <w:p>
            <w:pPr>
              <w:spacing w:after="0"/>
              <w:rPr>
                <w:sz w:val="14"/>
                <w:szCs w:val="14"/>
                <w:color w:val="auto"/>
              </w:rPr>
            </w:pPr>
          </w:p>
        </w:tc>
        <w:tc>
          <w:tcPr>
            <w:tcW w:w="21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320" w:type="dxa"/>
            <w:vAlign w:val="bottom"/>
            <w:tcBorders>
              <w:right w:val="single" w:sz="8" w:color="D9D9D9"/>
            </w:tcBorders>
          </w:tcPr>
          <w:p>
            <w:pPr>
              <w:ind w:left="40"/>
              <w:spacing w:after="0" w:line="162" w:lineRule="exact"/>
              <w:rPr>
                <w:sz w:val="20"/>
                <w:szCs w:val="20"/>
                <w:color w:val="auto"/>
              </w:rPr>
            </w:pPr>
            <w:r>
              <w:rPr>
                <w:rFonts w:ascii="Arial" w:cs="Arial" w:eastAsia="Arial" w:hAnsi="Arial"/>
                <w:sz w:val="15"/>
                <w:szCs w:val="15"/>
                <w:color w:val="404040"/>
                <w:w w:val="97"/>
              </w:rPr>
              <w:t>year; key metric for fiscal 2014 was non-GAAP net income (which</w:t>
            </w:r>
          </w:p>
        </w:tc>
        <w:tc>
          <w:tcPr>
            <w:tcW w:w="0" w:type="dxa"/>
            <w:vAlign w:val="bottom"/>
          </w:tcPr>
          <w:p>
            <w:pPr>
              <w:spacing w:after="0"/>
              <w:rPr>
                <w:sz w:val="1"/>
                <w:szCs w:val="1"/>
                <w:color w:val="auto"/>
              </w:rPr>
            </w:pPr>
          </w:p>
        </w:tc>
      </w:tr>
      <w:tr>
        <w:trPr>
          <w:trHeight w:val="189"/>
        </w:trPr>
        <w:tc>
          <w:tcPr>
            <w:tcW w:w="1280" w:type="dxa"/>
            <w:vAlign w:val="bottom"/>
            <w:tcBorders>
              <w:left w:val="single" w:sz="8" w:color="D9D9D9"/>
              <w:right w:val="single" w:sz="8" w:color="D9D9D9"/>
            </w:tcBorders>
            <w:shd w:val="clear" w:color="auto" w:fill="F2F2F2"/>
          </w:tcPr>
          <w:p>
            <w:pPr>
              <w:spacing w:after="0"/>
              <w:rPr>
                <w:sz w:val="16"/>
                <w:szCs w:val="16"/>
                <w:color w:val="auto"/>
              </w:rPr>
            </w:pPr>
          </w:p>
        </w:tc>
        <w:tc>
          <w:tcPr>
            <w:tcW w:w="2140" w:type="dxa"/>
            <w:vAlign w:val="bottom"/>
          </w:tcPr>
          <w:p>
            <w:pPr>
              <w:ind w:left="20"/>
              <w:spacing w:after="0"/>
              <w:rPr>
                <w:sz w:val="20"/>
                <w:szCs w:val="20"/>
                <w:color w:val="auto"/>
              </w:rPr>
            </w:pPr>
            <w:r>
              <w:rPr>
                <w:rFonts w:ascii="Arial" w:cs="Arial" w:eastAsia="Arial" w:hAnsi="Arial"/>
                <w:sz w:val="16"/>
                <w:szCs w:val="16"/>
                <w:b w:val="1"/>
                <w:bCs w:val="1"/>
                <w:color w:val="404040"/>
              </w:rPr>
              <w:t>Performance-Based</w:t>
            </w:r>
          </w:p>
        </w:tc>
        <w:tc>
          <w:tcPr>
            <w:tcW w:w="3520" w:type="dxa"/>
            <w:vAlign w:val="bottom"/>
            <w:gridSpan w:val="2"/>
            <w:vMerge w:val="restart"/>
          </w:tcPr>
          <w:p>
            <w:pPr>
              <w:spacing w:after="0"/>
              <w:rPr>
                <w:sz w:val="20"/>
                <w:szCs w:val="20"/>
                <w:color w:val="auto"/>
              </w:rPr>
            </w:pPr>
            <w:r>
              <w:rPr>
                <w:rFonts w:ascii="Arial" w:cs="Arial" w:eastAsia="Arial" w:hAnsi="Arial"/>
                <w:sz w:val="15"/>
                <w:szCs w:val="15"/>
                <w:color w:val="auto"/>
              </w:rPr>
              <w:t xml:space="preserve">•   </w:t>
            </w:r>
            <w:r>
              <w:rPr>
                <w:rFonts w:ascii="Arial" w:cs="Arial" w:eastAsia="Arial" w:hAnsi="Arial"/>
                <w:sz w:val="15"/>
                <w:szCs w:val="15"/>
                <w:color w:val="404040"/>
              </w:rPr>
              <w:t>To increase alignment with stockholders</w:t>
            </w:r>
          </w:p>
        </w:tc>
        <w:tc>
          <w:tcPr>
            <w:tcW w:w="100" w:type="dxa"/>
            <w:vAlign w:val="bottom"/>
          </w:tcPr>
          <w:p>
            <w:pPr>
              <w:spacing w:after="0"/>
              <w:rPr>
                <w:sz w:val="16"/>
                <w:szCs w:val="16"/>
                <w:color w:val="auto"/>
              </w:rPr>
            </w:pPr>
          </w:p>
        </w:tc>
        <w:tc>
          <w:tcPr>
            <w:tcW w:w="4320" w:type="dxa"/>
            <w:vAlign w:val="bottom"/>
            <w:tcBorders>
              <w:right w:val="single" w:sz="8" w:color="D9D9D9"/>
            </w:tcBorders>
          </w:tcPr>
          <w:p>
            <w:pPr>
              <w:ind w:left="40"/>
              <w:spacing w:after="0"/>
              <w:rPr>
                <w:sz w:val="20"/>
                <w:szCs w:val="20"/>
                <w:color w:val="auto"/>
              </w:rPr>
            </w:pPr>
            <w:r>
              <w:rPr>
                <w:rFonts w:ascii="Arial" w:cs="Arial" w:eastAsia="Arial" w:hAnsi="Arial"/>
                <w:sz w:val="15"/>
                <w:szCs w:val="15"/>
                <w:color w:val="404040"/>
                <w:w w:val="96"/>
              </w:rPr>
              <w:t>determined the value of the awards granted in early 2015) and the</w:t>
            </w:r>
          </w:p>
        </w:tc>
        <w:tc>
          <w:tcPr>
            <w:tcW w:w="0" w:type="dxa"/>
            <w:vAlign w:val="bottom"/>
          </w:tcPr>
          <w:p>
            <w:pPr>
              <w:spacing w:after="0"/>
              <w:rPr>
                <w:sz w:val="1"/>
                <w:szCs w:val="1"/>
                <w:color w:val="auto"/>
              </w:rPr>
            </w:pPr>
          </w:p>
        </w:tc>
      </w:tr>
      <w:tr>
        <w:trPr>
          <w:trHeight w:val="135"/>
        </w:trPr>
        <w:tc>
          <w:tcPr>
            <w:tcW w:w="1280" w:type="dxa"/>
            <w:vAlign w:val="bottom"/>
            <w:tcBorders>
              <w:left w:val="single" w:sz="8" w:color="D9D9D9"/>
              <w:right w:val="single" w:sz="8" w:color="D9D9D9"/>
            </w:tcBorders>
            <w:shd w:val="clear" w:color="auto" w:fill="F2F2F2"/>
          </w:tcPr>
          <w:p>
            <w:pPr>
              <w:spacing w:after="0"/>
              <w:rPr>
                <w:sz w:val="11"/>
                <w:szCs w:val="11"/>
                <w:color w:val="auto"/>
              </w:rPr>
            </w:pPr>
          </w:p>
        </w:tc>
        <w:tc>
          <w:tcPr>
            <w:tcW w:w="2140" w:type="dxa"/>
            <w:vAlign w:val="bottom"/>
            <w:vMerge w:val="restart"/>
          </w:tcPr>
          <w:p>
            <w:pPr>
              <w:ind w:left="20"/>
              <w:spacing w:after="0"/>
              <w:rPr>
                <w:sz w:val="20"/>
                <w:szCs w:val="20"/>
                <w:color w:val="auto"/>
              </w:rPr>
            </w:pPr>
            <w:r>
              <w:rPr>
                <w:rFonts w:ascii="Arial" w:cs="Arial" w:eastAsia="Arial" w:hAnsi="Arial"/>
                <w:sz w:val="16"/>
                <w:szCs w:val="16"/>
                <w:b w:val="1"/>
                <w:bCs w:val="1"/>
                <w:color w:val="404040"/>
              </w:rPr>
              <w:t>Restricted Stock</w:t>
            </w:r>
          </w:p>
        </w:tc>
        <w:tc>
          <w:tcPr>
            <w:tcW w:w="352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4320" w:type="dxa"/>
            <w:vAlign w:val="bottom"/>
            <w:tcBorders>
              <w:right w:val="single" w:sz="8" w:color="D9D9D9"/>
            </w:tcBorders>
          </w:tcPr>
          <w:p>
            <w:pPr>
              <w:ind w:left="40"/>
              <w:spacing w:after="0" w:line="136" w:lineRule="exact"/>
              <w:rPr>
                <w:sz w:val="20"/>
                <w:szCs w:val="20"/>
                <w:color w:val="auto"/>
              </w:rPr>
            </w:pPr>
            <w:r>
              <w:rPr>
                <w:rFonts w:ascii="Arial" w:cs="Arial" w:eastAsia="Arial" w:hAnsi="Arial"/>
                <w:sz w:val="15"/>
                <w:szCs w:val="15"/>
                <w:color w:val="404040"/>
                <w:w w:val="94"/>
              </w:rPr>
              <w:t>key metric for fiscal 2015 is non-GAAP net income (which was used</w:t>
            </w:r>
          </w:p>
        </w:tc>
        <w:tc>
          <w:tcPr>
            <w:tcW w:w="0" w:type="dxa"/>
            <w:vAlign w:val="bottom"/>
          </w:tcPr>
          <w:p>
            <w:pPr>
              <w:spacing w:after="0"/>
              <w:rPr>
                <w:sz w:val="1"/>
                <w:szCs w:val="1"/>
                <w:color w:val="auto"/>
              </w:rPr>
            </w:pPr>
          </w:p>
        </w:tc>
      </w:tr>
      <w:tr>
        <w:trPr>
          <w:trHeight w:val="115"/>
        </w:trPr>
        <w:tc>
          <w:tcPr>
            <w:tcW w:w="1280" w:type="dxa"/>
            <w:vAlign w:val="bottom"/>
            <w:tcBorders>
              <w:left w:val="single" w:sz="8" w:color="D9D9D9"/>
              <w:right w:val="single" w:sz="8" w:color="D9D9D9"/>
            </w:tcBorders>
            <w:shd w:val="clear" w:color="auto" w:fill="F2F2F2"/>
          </w:tcPr>
          <w:p>
            <w:pPr>
              <w:spacing w:after="0"/>
              <w:rPr>
                <w:sz w:val="10"/>
                <w:szCs w:val="10"/>
                <w:color w:val="auto"/>
              </w:rPr>
            </w:pPr>
          </w:p>
        </w:tc>
        <w:tc>
          <w:tcPr>
            <w:tcW w:w="2140" w:type="dxa"/>
            <w:vAlign w:val="bottom"/>
            <w:vMerge w:val="continue"/>
          </w:tcPr>
          <w:p>
            <w:pPr>
              <w:spacing w:after="0"/>
              <w:rPr>
                <w:sz w:val="10"/>
                <w:szCs w:val="10"/>
                <w:color w:val="auto"/>
              </w:rPr>
            </w:pPr>
          </w:p>
        </w:tc>
        <w:tc>
          <w:tcPr>
            <w:tcW w:w="3520" w:type="dxa"/>
            <w:vAlign w:val="bottom"/>
            <w:gridSpan w:val="2"/>
            <w:vMerge w:val="restart"/>
          </w:tcPr>
          <w:p>
            <w:pPr>
              <w:spacing w:after="0"/>
              <w:rPr>
                <w:sz w:val="20"/>
                <w:szCs w:val="20"/>
                <w:color w:val="auto"/>
              </w:rPr>
            </w:pPr>
            <w:r>
              <w:rPr>
                <w:rFonts w:ascii="Arial" w:cs="Arial" w:eastAsia="Arial" w:hAnsi="Arial"/>
                <w:sz w:val="15"/>
                <w:szCs w:val="15"/>
                <w:color w:val="auto"/>
              </w:rPr>
              <w:t xml:space="preserve">•   </w:t>
            </w:r>
            <w:r>
              <w:rPr>
                <w:rFonts w:ascii="Arial" w:cs="Arial" w:eastAsia="Arial" w:hAnsi="Arial"/>
                <w:sz w:val="15"/>
                <w:szCs w:val="15"/>
                <w:color w:val="404040"/>
              </w:rPr>
              <w:t>To retain executive officers through multi-year</w:t>
            </w:r>
          </w:p>
        </w:tc>
        <w:tc>
          <w:tcPr>
            <w:tcW w:w="100" w:type="dxa"/>
            <w:vAlign w:val="bottom"/>
          </w:tcPr>
          <w:p>
            <w:pPr>
              <w:spacing w:after="0"/>
              <w:rPr>
                <w:sz w:val="10"/>
                <w:szCs w:val="10"/>
                <w:color w:val="auto"/>
              </w:rPr>
            </w:pPr>
          </w:p>
        </w:tc>
        <w:tc>
          <w:tcPr>
            <w:tcW w:w="4320" w:type="dxa"/>
            <w:vAlign w:val="bottom"/>
            <w:tcBorders>
              <w:right w:val="single" w:sz="8" w:color="D9D9D9"/>
            </w:tcBorders>
            <w:vMerge w:val="restart"/>
          </w:tcPr>
          <w:p>
            <w:pPr>
              <w:ind w:left="40"/>
              <w:spacing w:after="0" w:line="162" w:lineRule="exact"/>
              <w:rPr>
                <w:sz w:val="20"/>
                <w:szCs w:val="20"/>
                <w:color w:val="auto"/>
              </w:rPr>
            </w:pPr>
            <w:r>
              <w:rPr>
                <w:rFonts w:ascii="Arial" w:cs="Arial" w:eastAsia="Arial" w:hAnsi="Arial"/>
                <w:sz w:val="15"/>
                <w:szCs w:val="15"/>
                <w:color w:val="404040"/>
                <w:w w:val="99"/>
              </w:rPr>
              <w:t>to determine the value of the awards granted in early 2016); and</w:t>
            </w:r>
          </w:p>
        </w:tc>
        <w:tc>
          <w:tcPr>
            <w:tcW w:w="0" w:type="dxa"/>
            <w:vAlign w:val="bottom"/>
          </w:tcPr>
          <w:p>
            <w:pPr>
              <w:spacing w:after="0"/>
              <w:rPr>
                <w:sz w:val="1"/>
                <w:szCs w:val="1"/>
                <w:color w:val="auto"/>
              </w:rPr>
            </w:pPr>
          </w:p>
        </w:tc>
      </w:tr>
      <w:tr>
        <w:trPr>
          <w:trHeight w:val="47"/>
        </w:trPr>
        <w:tc>
          <w:tcPr>
            <w:tcW w:w="1280" w:type="dxa"/>
            <w:vAlign w:val="bottom"/>
            <w:tcBorders>
              <w:left w:val="single" w:sz="8" w:color="D9D9D9"/>
              <w:right w:val="single" w:sz="8" w:color="D9D9D9"/>
            </w:tcBorders>
            <w:shd w:val="clear" w:color="auto" w:fill="F2F2F2"/>
          </w:tcPr>
          <w:p>
            <w:pPr>
              <w:spacing w:after="0"/>
              <w:rPr>
                <w:sz w:val="4"/>
                <w:szCs w:val="4"/>
                <w:color w:val="auto"/>
              </w:rPr>
            </w:pPr>
          </w:p>
        </w:tc>
        <w:tc>
          <w:tcPr>
            <w:tcW w:w="2140" w:type="dxa"/>
            <w:vAlign w:val="bottom"/>
          </w:tcPr>
          <w:p>
            <w:pPr>
              <w:spacing w:after="0"/>
              <w:rPr>
                <w:sz w:val="4"/>
                <w:szCs w:val="4"/>
                <w:color w:val="auto"/>
              </w:rPr>
            </w:pPr>
          </w:p>
        </w:tc>
        <w:tc>
          <w:tcPr>
            <w:tcW w:w="3520" w:type="dxa"/>
            <w:vAlign w:val="bottom"/>
            <w:gridSpan w:val="2"/>
            <w:vMerge w:val="continue"/>
          </w:tcPr>
          <w:p>
            <w:pPr>
              <w:spacing w:after="0"/>
              <w:rPr>
                <w:sz w:val="4"/>
                <w:szCs w:val="4"/>
                <w:color w:val="auto"/>
              </w:rPr>
            </w:pPr>
          </w:p>
        </w:tc>
        <w:tc>
          <w:tcPr>
            <w:tcW w:w="100" w:type="dxa"/>
            <w:vAlign w:val="bottom"/>
          </w:tcPr>
          <w:p>
            <w:pPr>
              <w:spacing w:after="0"/>
              <w:rPr>
                <w:sz w:val="4"/>
                <w:szCs w:val="4"/>
                <w:color w:val="auto"/>
              </w:rPr>
            </w:pPr>
          </w:p>
        </w:tc>
        <w:tc>
          <w:tcPr>
            <w:tcW w:w="4320" w:type="dxa"/>
            <w:vAlign w:val="bottom"/>
            <w:tcBorders>
              <w:right w:val="single" w:sz="8" w:color="D9D9D9"/>
            </w:tcBorders>
            <w:vMerge w:val="continue"/>
          </w:tcPr>
          <w:p>
            <w:pPr>
              <w:spacing w:after="0"/>
              <w:rPr>
                <w:sz w:val="4"/>
                <w:szCs w:val="4"/>
                <w:color w:val="auto"/>
              </w:rPr>
            </w:pPr>
          </w:p>
        </w:tc>
        <w:tc>
          <w:tcPr>
            <w:tcW w:w="0" w:type="dxa"/>
            <w:vAlign w:val="bottom"/>
          </w:tcPr>
          <w:p>
            <w:pPr>
              <w:spacing w:after="0"/>
              <w:rPr>
                <w:sz w:val="1"/>
                <w:szCs w:val="1"/>
                <w:color w:val="auto"/>
              </w:rPr>
            </w:pPr>
          </w:p>
        </w:tc>
      </w:tr>
      <w:tr>
        <w:trPr>
          <w:trHeight w:val="81"/>
        </w:trPr>
        <w:tc>
          <w:tcPr>
            <w:tcW w:w="1280" w:type="dxa"/>
            <w:vAlign w:val="bottom"/>
            <w:tcBorders>
              <w:left w:val="single" w:sz="8" w:color="D9D9D9"/>
              <w:right w:val="single" w:sz="8" w:color="D9D9D9"/>
            </w:tcBorders>
            <w:shd w:val="clear" w:color="auto" w:fill="F2F2F2"/>
          </w:tcPr>
          <w:p>
            <w:pPr>
              <w:spacing w:after="0"/>
              <w:rPr>
                <w:sz w:val="7"/>
                <w:szCs w:val="7"/>
                <w:color w:val="auto"/>
              </w:rPr>
            </w:pPr>
          </w:p>
        </w:tc>
        <w:tc>
          <w:tcPr>
            <w:tcW w:w="2140" w:type="dxa"/>
            <w:vAlign w:val="bottom"/>
          </w:tcPr>
          <w:p>
            <w:pPr>
              <w:spacing w:after="0"/>
              <w:rPr>
                <w:sz w:val="7"/>
                <w:szCs w:val="7"/>
                <w:color w:val="auto"/>
              </w:rPr>
            </w:pPr>
          </w:p>
        </w:tc>
        <w:tc>
          <w:tcPr>
            <w:tcW w:w="352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4320" w:type="dxa"/>
            <w:vAlign w:val="bottom"/>
            <w:tcBorders>
              <w:right w:val="single" w:sz="8" w:color="D9D9D9"/>
            </w:tcBorders>
            <w:vMerge w:val="restart"/>
          </w:tcPr>
          <w:p>
            <w:pPr>
              <w:ind w:left="40"/>
              <w:spacing w:after="0"/>
              <w:rPr>
                <w:sz w:val="20"/>
                <w:szCs w:val="20"/>
                <w:color w:val="auto"/>
              </w:rPr>
            </w:pPr>
            <w:r>
              <w:rPr>
                <w:rFonts w:ascii="Arial" w:cs="Arial" w:eastAsia="Arial" w:hAnsi="Arial"/>
                <w:sz w:val="15"/>
                <w:szCs w:val="15"/>
                <w:color w:val="404040"/>
              </w:rPr>
              <w:t>payout range is 0-200% of target award based on achievement.</w:t>
            </w:r>
          </w:p>
        </w:tc>
        <w:tc>
          <w:tcPr>
            <w:tcW w:w="0" w:type="dxa"/>
            <w:vAlign w:val="bottom"/>
          </w:tcPr>
          <w:p>
            <w:pPr>
              <w:spacing w:after="0"/>
              <w:rPr>
                <w:sz w:val="1"/>
                <w:szCs w:val="1"/>
                <w:color w:val="auto"/>
              </w:rPr>
            </w:pPr>
          </w:p>
        </w:tc>
      </w:tr>
      <w:tr>
        <w:trPr>
          <w:trHeight w:val="108"/>
        </w:trPr>
        <w:tc>
          <w:tcPr>
            <w:tcW w:w="1280" w:type="dxa"/>
            <w:vAlign w:val="bottom"/>
            <w:tcBorders>
              <w:left w:val="single" w:sz="8" w:color="D9D9D9"/>
              <w:right w:val="single" w:sz="8" w:color="D9D9D9"/>
            </w:tcBorders>
            <w:shd w:val="clear" w:color="auto" w:fill="F2F2F2"/>
          </w:tcPr>
          <w:p>
            <w:pPr>
              <w:spacing w:after="0"/>
              <w:rPr>
                <w:sz w:val="9"/>
                <w:szCs w:val="9"/>
                <w:color w:val="auto"/>
              </w:rPr>
            </w:pPr>
          </w:p>
        </w:tc>
        <w:tc>
          <w:tcPr>
            <w:tcW w:w="2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420" w:type="dxa"/>
            <w:vAlign w:val="bottom"/>
            <w:vMerge w:val="restart"/>
          </w:tcPr>
          <w:p>
            <w:pPr>
              <w:ind w:left="60"/>
              <w:spacing w:after="0"/>
              <w:rPr>
                <w:sz w:val="20"/>
                <w:szCs w:val="20"/>
                <w:color w:val="auto"/>
              </w:rPr>
            </w:pPr>
            <w:r>
              <w:rPr>
                <w:rFonts w:ascii="Arial" w:cs="Arial" w:eastAsia="Arial" w:hAnsi="Arial"/>
                <w:sz w:val="15"/>
                <w:szCs w:val="15"/>
                <w:color w:val="404040"/>
              </w:rPr>
              <w:t>vesting</w:t>
            </w:r>
          </w:p>
        </w:tc>
        <w:tc>
          <w:tcPr>
            <w:tcW w:w="100" w:type="dxa"/>
            <w:vAlign w:val="bottom"/>
          </w:tcPr>
          <w:p>
            <w:pPr>
              <w:spacing w:after="0"/>
              <w:rPr>
                <w:sz w:val="9"/>
                <w:szCs w:val="9"/>
                <w:color w:val="auto"/>
              </w:rPr>
            </w:pPr>
          </w:p>
        </w:tc>
        <w:tc>
          <w:tcPr>
            <w:tcW w:w="4320" w:type="dxa"/>
            <w:vAlign w:val="bottom"/>
            <w:tcBorders>
              <w:right w:val="single" w:sz="8" w:color="D9D9D9"/>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6"/>
        </w:trPr>
        <w:tc>
          <w:tcPr>
            <w:tcW w:w="1280" w:type="dxa"/>
            <w:vAlign w:val="bottom"/>
            <w:tcBorders>
              <w:left w:val="single" w:sz="8" w:color="D9D9D9"/>
              <w:right w:val="single" w:sz="8" w:color="D9D9D9"/>
            </w:tcBorders>
            <w:shd w:val="clear" w:color="auto" w:fill="F2F2F2"/>
          </w:tcPr>
          <w:p>
            <w:pPr>
              <w:spacing w:after="0"/>
              <w:rPr>
                <w:sz w:val="7"/>
                <w:szCs w:val="7"/>
                <w:color w:val="auto"/>
              </w:rPr>
            </w:pPr>
          </w:p>
        </w:tc>
        <w:tc>
          <w:tcPr>
            <w:tcW w:w="2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3420" w:type="dxa"/>
            <w:vAlign w:val="bottom"/>
            <w:vMerge w:val="continue"/>
          </w:tcPr>
          <w:p>
            <w:pPr>
              <w:spacing w:after="0"/>
              <w:rPr>
                <w:sz w:val="7"/>
                <w:szCs w:val="7"/>
                <w:color w:val="auto"/>
              </w:rPr>
            </w:pPr>
          </w:p>
        </w:tc>
        <w:tc>
          <w:tcPr>
            <w:tcW w:w="4420" w:type="dxa"/>
            <w:vAlign w:val="bottom"/>
            <w:tcBorders>
              <w:right w:val="single" w:sz="8" w:color="D9D9D9"/>
            </w:tcBorders>
            <w:gridSpan w:val="2"/>
            <w:vMerge w:val="restart"/>
          </w:tcPr>
          <w:p>
            <w:pPr>
              <w:spacing w:after="0"/>
              <w:rPr>
                <w:sz w:val="20"/>
                <w:szCs w:val="20"/>
                <w:color w:val="auto"/>
              </w:rPr>
            </w:pPr>
            <w:r>
              <w:rPr>
                <w:rFonts w:ascii="Arial" w:cs="Arial" w:eastAsia="Arial" w:hAnsi="Arial"/>
                <w:sz w:val="15"/>
                <w:szCs w:val="15"/>
                <w:color w:val="auto"/>
                <w:w w:val="98"/>
              </w:rPr>
              <w:t xml:space="preserve">•   </w:t>
            </w:r>
            <w:r>
              <w:rPr>
                <w:rFonts w:ascii="Arial" w:cs="Arial" w:eastAsia="Arial" w:hAnsi="Arial"/>
                <w:sz w:val="15"/>
                <w:szCs w:val="15"/>
                <w:color w:val="404040"/>
                <w:w w:val="98"/>
              </w:rPr>
              <w:t>Aligns executive interests with those of stockholders as potential</w:t>
            </w:r>
          </w:p>
        </w:tc>
        <w:tc>
          <w:tcPr>
            <w:tcW w:w="0" w:type="dxa"/>
            <w:vAlign w:val="bottom"/>
          </w:tcPr>
          <w:p>
            <w:pPr>
              <w:spacing w:after="0"/>
              <w:rPr>
                <w:sz w:val="1"/>
                <w:szCs w:val="1"/>
                <w:color w:val="auto"/>
              </w:rPr>
            </w:pPr>
          </w:p>
        </w:tc>
      </w:tr>
      <w:tr>
        <w:trPr>
          <w:trHeight w:val="103"/>
        </w:trPr>
        <w:tc>
          <w:tcPr>
            <w:tcW w:w="1280" w:type="dxa"/>
            <w:vAlign w:val="bottom"/>
            <w:tcBorders>
              <w:left w:val="single" w:sz="8" w:color="D9D9D9"/>
              <w:right w:val="single" w:sz="8" w:color="D9D9D9"/>
            </w:tcBorders>
            <w:vMerge w:val="restart"/>
            <w:shd w:val="clear" w:color="auto" w:fill="F2F2F2"/>
          </w:tcPr>
          <w:p>
            <w:pPr>
              <w:ind w:left="40"/>
              <w:spacing w:after="0"/>
              <w:rPr>
                <w:sz w:val="20"/>
                <w:szCs w:val="20"/>
                <w:color w:val="auto"/>
              </w:rPr>
            </w:pPr>
            <w:r>
              <w:rPr>
                <w:rFonts w:ascii="Arial" w:cs="Arial" w:eastAsia="Arial" w:hAnsi="Arial"/>
                <w:sz w:val="14"/>
                <w:szCs w:val="14"/>
                <w:b w:val="1"/>
                <w:bCs w:val="1"/>
                <w:color w:val="404040"/>
              </w:rPr>
              <w:t>VARIABLE</w:t>
            </w:r>
          </w:p>
        </w:tc>
        <w:tc>
          <w:tcPr>
            <w:tcW w:w="2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3420" w:type="dxa"/>
            <w:vAlign w:val="bottom"/>
          </w:tcPr>
          <w:p>
            <w:pPr>
              <w:spacing w:after="0"/>
              <w:rPr>
                <w:sz w:val="8"/>
                <w:szCs w:val="8"/>
                <w:color w:val="auto"/>
              </w:rPr>
            </w:pPr>
          </w:p>
        </w:tc>
        <w:tc>
          <w:tcPr>
            <w:tcW w:w="4420" w:type="dxa"/>
            <w:vAlign w:val="bottom"/>
            <w:tcBorders>
              <w:right w:val="single" w:sz="8" w:color="D9D9D9"/>
            </w:tcBorders>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9"/>
        </w:trPr>
        <w:tc>
          <w:tcPr>
            <w:tcW w:w="1280" w:type="dxa"/>
            <w:vAlign w:val="bottom"/>
            <w:tcBorders>
              <w:left w:val="single" w:sz="8" w:color="D9D9D9"/>
              <w:right w:val="single" w:sz="8" w:color="D9D9D9"/>
            </w:tcBorders>
            <w:vMerge w:val="continue"/>
            <w:shd w:val="clear" w:color="auto" w:fill="F2F2F2"/>
          </w:tcPr>
          <w:p>
            <w:pPr>
              <w:spacing w:after="0"/>
              <w:rPr>
                <w:sz w:val="9"/>
                <w:szCs w:val="9"/>
                <w:color w:val="auto"/>
              </w:rPr>
            </w:pPr>
          </w:p>
        </w:tc>
        <w:tc>
          <w:tcPr>
            <w:tcW w:w="2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4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320" w:type="dxa"/>
            <w:vAlign w:val="bottom"/>
            <w:tcBorders>
              <w:right w:val="single" w:sz="8" w:color="D9D9D9"/>
            </w:tcBorders>
            <w:vMerge w:val="restart"/>
          </w:tcPr>
          <w:p>
            <w:pPr>
              <w:ind w:left="40"/>
              <w:spacing w:after="0"/>
              <w:rPr>
                <w:sz w:val="20"/>
                <w:szCs w:val="20"/>
                <w:color w:val="auto"/>
              </w:rPr>
            </w:pPr>
            <w:r>
              <w:rPr>
                <w:rFonts w:ascii="Arial" w:cs="Arial" w:eastAsia="Arial" w:hAnsi="Arial"/>
                <w:sz w:val="15"/>
                <w:szCs w:val="15"/>
                <w:color w:val="404040"/>
              </w:rPr>
              <w:t>value of awards increases or decreases with stock price</w:t>
            </w:r>
          </w:p>
        </w:tc>
        <w:tc>
          <w:tcPr>
            <w:tcW w:w="0" w:type="dxa"/>
            <w:vAlign w:val="bottom"/>
          </w:tcPr>
          <w:p>
            <w:pPr>
              <w:spacing w:after="0"/>
              <w:rPr>
                <w:sz w:val="1"/>
                <w:szCs w:val="1"/>
                <w:color w:val="auto"/>
              </w:rPr>
            </w:pPr>
          </w:p>
        </w:tc>
      </w:tr>
      <w:tr>
        <w:trPr>
          <w:trHeight w:val="80"/>
        </w:trPr>
        <w:tc>
          <w:tcPr>
            <w:tcW w:w="1280" w:type="dxa"/>
            <w:vAlign w:val="bottom"/>
            <w:tcBorders>
              <w:left w:val="single" w:sz="8" w:color="D9D9D9"/>
              <w:right w:val="single" w:sz="8" w:color="D9D9D9"/>
            </w:tcBorders>
            <w:shd w:val="clear" w:color="auto" w:fill="F2F2F2"/>
          </w:tcPr>
          <w:p>
            <w:pPr>
              <w:spacing w:after="0"/>
              <w:rPr>
                <w:sz w:val="6"/>
                <w:szCs w:val="6"/>
                <w:color w:val="auto"/>
              </w:rPr>
            </w:pPr>
          </w:p>
        </w:tc>
        <w:tc>
          <w:tcPr>
            <w:tcW w:w="2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3420" w:type="dxa"/>
            <w:vAlign w:val="bottom"/>
          </w:tcPr>
          <w:p>
            <w:pPr>
              <w:spacing w:after="0"/>
              <w:rPr>
                <w:sz w:val="6"/>
                <w:szCs w:val="6"/>
                <w:color w:val="auto"/>
              </w:rPr>
            </w:pPr>
          </w:p>
        </w:tc>
        <w:tc>
          <w:tcPr>
            <w:tcW w:w="100" w:type="dxa"/>
            <w:vAlign w:val="bottom"/>
          </w:tcPr>
          <w:p>
            <w:pPr>
              <w:spacing w:after="0"/>
              <w:rPr>
                <w:sz w:val="6"/>
                <w:szCs w:val="6"/>
                <w:color w:val="auto"/>
              </w:rPr>
            </w:pPr>
          </w:p>
        </w:tc>
        <w:tc>
          <w:tcPr>
            <w:tcW w:w="4320" w:type="dxa"/>
            <w:vAlign w:val="bottom"/>
            <w:tcBorders>
              <w:right w:val="single" w:sz="8" w:color="D9D9D9"/>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1280" w:type="dxa"/>
            <w:vAlign w:val="bottom"/>
            <w:tcBorders>
              <w:left w:val="single" w:sz="8" w:color="D9D9D9"/>
              <w:right w:val="single" w:sz="8" w:color="D9D9D9"/>
            </w:tcBorders>
            <w:shd w:val="clear" w:color="auto" w:fill="F2F2F2"/>
          </w:tcPr>
          <w:p>
            <w:pPr>
              <w:spacing w:after="0"/>
              <w:rPr>
                <w:sz w:val="16"/>
                <w:szCs w:val="16"/>
                <w:color w:val="auto"/>
              </w:rPr>
            </w:pPr>
          </w:p>
        </w:tc>
        <w:tc>
          <w:tcPr>
            <w:tcW w:w="2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20" w:type="dxa"/>
            <w:vAlign w:val="bottom"/>
          </w:tcPr>
          <w:p>
            <w:pPr>
              <w:spacing w:after="0"/>
              <w:rPr>
                <w:sz w:val="16"/>
                <w:szCs w:val="16"/>
                <w:color w:val="auto"/>
              </w:rPr>
            </w:pPr>
          </w:p>
        </w:tc>
        <w:tc>
          <w:tcPr>
            <w:tcW w:w="4420" w:type="dxa"/>
            <w:vAlign w:val="bottom"/>
            <w:tcBorders>
              <w:right w:val="single" w:sz="8" w:color="D9D9D9"/>
            </w:tcBorders>
            <w:gridSpan w:val="2"/>
          </w:tcPr>
          <w:p>
            <w:pPr>
              <w:spacing w:after="0"/>
              <w:rPr>
                <w:sz w:val="20"/>
                <w:szCs w:val="20"/>
                <w:color w:val="auto"/>
              </w:rPr>
            </w:pPr>
            <w:r>
              <w:rPr>
                <w:rFonts w:ascii="Arial" w:cs="Arial" w:eastAsia="Arial" w:hAnsi="Arial"/>
                <w:sz w:val="15"/>
                <w:szCs w:val="15"/>
                <w:color w:val="auto"/>
                <w:w w:val="96"/>
              </w:rPr>
              <w:t xml:space="preserve">•   </w:t>
            </w:r>
            <w:r>
              <w:rPr>
                <w:rFonts w:ascii="Arial" w:cs="Arial" w:eastAsia="Arial" w:hAnsi="Arial"/>
                <w:sz w:val="15"/>
                <w:szCs w:val="15"/>
                <w:color w:val="404040"/>
                <w:w w:val="96"/>
              </w:rPr>
              <w:t>Options and annual performance-based restricted stock vest over</w:t>
            </w:r>
          </w:p>
        </w:tc>
        <w:tc>
          <w:tcPr>
            <w:tcW w:w="0" w:type="dxa"/>
            <w:vAlign w:val="bottom"/>
          </w:tcPr>
          <w:p>
            <w:pPr>
              <w:spacing w:after="0"/>
              <w:rPr>
                <w:sz w:val="1"/>
                <w:szCs w:val="1"/>
                <w:color w:val="auto"/>
              </w:rPr>
            </w:pPr>
          </w:p>
        </w:tc>
      </w:tr>
      <w:tr>
        <w:trPr>
          <w:trHeight w:val="198"/>
        </w:trPr>
        <w:tc>
          <w:tcPr>
            <w:tcW w:w="1280" w:type="dxa"/>
            <w:vAlign w:val="bottom"/>
            <w:tcBorders>
              <w:left w:val="single" w:sz="8" w:color="D9D9D9"/>
              <w:bottom w:val="single" w:sz="8" w:color="F2F2F2"/>
              <w:right w:val="single" w:sz="8" w:color="D9D9D9"/>
            </w:tcBorders>
            <w:shd w:val="clear" w:color="auto" w:fill="F2F2F2"/>
          </w:tcPr>
          <w:p>
            <w:pPr>
              <w:spacing w:after="0"/>
              <w:rPr>
                <w:sz w:val="17"/>
                <w:szCs w:val="17"/>
                <w:color w:val="auto"/>
              </w:rPr>
            </w:pPr>
          </w:p>
        </w:tc>
        <w:tc>
          <w:tcPr>
            <w:tcW w:w="2140" w:type="dxa"/>
            <w:vAlign w:val="bottom"/>
            <w:tcBorders>
              <w:bottom w:val="single" w:sz="8" w:color="D9D9D9"/>
            </w:tcBorders>
          </w:tcPr>
          <w:p>
            <w:pPr>
              <w:spacing w:after="0"/>
              <w:rPr>
                <w:sz w:val="17"/>
                <w:szCs w:val="17"/>
                <w:color w:val="auto"/>
              </w:rPr>
            </w:pPr>
          </w:p>
        </w:tc>
        <w:tc>
          <w:tcPr>
            <w:tcW w:w="100" w:type="dxa"/>
            <w:vAlign w:val="bottom"/>
            <w:tcBorders>
              <w:bottom w:val="single" w:sz="8" w:color="D9D9D9"/>
            </w:tcBorders>
          </w:tcPr>
          <w:p>
            <w:pPr>
              <w:spacing w:after="0"/>
              <w:rPr>
                <w:sz w:val="17"/>
                <w:szCs w:val="17"/>
                <w:color w:val="auto"/>
              </w:rPr>
            </w:pPr>
          </w:p>
        </w:tc>
        <w:tc>
          <w:tcPr>
            <w:tcW w:w="3420" w:type="dxa"/>
            <w:vAlign w:val="bottom"/>
            <w:tcBorders>
              <w:bottom w:val="single" w:sz="8" w:color="D9D9D9"/>
            </w:tcBorders>
          </w:tcPr>
          <w:p>
            <w:pPr>
              <w:spacing w:after="0"/>
              <w:rPr>
                <w:sz w:val="17"/>
                <w:szCs w:val="17"/>
                <w:color w:val="auto"/>
              </w:rPr>
            </w:pPr>
          </w:p>
        </w:tc>
        <w:tc>
          <w:tcPr>
            <w:tcW w:w="100" w:type="dxa"/>
            <w:vAlign w:val="bottom"/>
            <w:tcBorders>
              <w:bottom w:val="single" w:sz="8" w:color="D9D9D9"/>
            </w:tcBorders>
          </w:tcPr>
          <w:p>
            <w:pPr>
              <w:spacing w:after="0"/>
              <w:rPr>
                <w:sz w:val="17"/>
                <w:szCs w:val="17"/>
                <w:color w:val="auto"/>
              </w:rPr>
            </w:pPr>
          </w:p>
        </w:tc>
        <w:tc>
          <w:tcPr>
            <w:tcW w:w="4320" w:type="dxa"/>
            <w:vAlign w:val="bottom"/>
            <w:tcBorders>
              <w:bottom w:val="single" w:sz="8" w:color="D9D9D9"/>
              <w:right w:val="single" w:sz="8" w:color="D9D9D9"/>
            </w:tcBorders>
          </w:tcPr>
          <w:p>
            <w:pPr>
              <w:ind w:left="40"/>
              <w:spacing w:after="0"/>
              <w:rPr>
                <w:sz w:val="20"/>
                <w:szCs w:val="20"/>
                <w:color w:val="auto"/>
              </w:rPr>
            </w:pPr>
            <w:r>
              <w:rPr>
                <w:rFonts w:ascii="Arial" w:cs="Arial" w:eastAsia="Arial" w:hAnsi="Arial"/>
                <w:sz w:val="15"/>
                <w:szCs w:val="15"/>
                <w:color w:val="404040"/>
              </w:rPr>
              <w:t>three-year period</w:t>
            </w:r>
          </w:p>
        </w:tc>
        <w:tc>
          <w:tcPr>
            <w:tcW w:w="0" w:type="dxa"/>
            <w:vAlign w:val="bottom"/>
          </w:tcPr>
          <w:p>
            <w:pPr>
              <w:spacing w:after="0"/>
              <w:rPr>
                <w:sz w:val="1"/>
                <w:szCs w:val="1"/>
                <w:color w:val="auto"/>
              </w:rPr>
            </w:pPr>
          </w:p>
        </w:tc>
      </w:tr>
      <w:tr>
        <w:trPr>
          <w:trHeight w:val="227"/>
        </w:trPr>
        <w:tc>
          <w:tcPr>
            <w:tcW w:w="1280" w:type="dxa"/>
            <w:vAlign w:val="bottom"/>
            <w:tcBorders>
              <w:left w:val="single" w:sz="8" w:color="D9D9D9"/>
              <w:right w:val="single" w:sz="8" w:color="D9D9D9"/>
            </w:tcBorders>
            <w:shd w:val="clear" w:color="auto" w:fill="F2F2F2"/>
          </w:tcPr>
          <w:p>
            <w:pPr>
              <w:spacing w:after="0"/>
              <w:rPr>
                <w:sz w:val="19"/>
                <w:szCs w:val="19"/>
                <w:color w:val="auto"/>
              </w:rPr>
            </w:pPr>
          </w:p>
        </w:tc>
        <w:tc>
          <w:tcPr>
            <w:tcW w:w="2140" w:type="dxa"/>
            <w:vAlign w:val="bottom"/>
          </w:tcPr>
          <w:p>
            <w:pPr>
              <w:spacing w:after="0"/>
              <w:rPr>
                <w:sz w:val="19"/>
                <w:szCs w:val="19"/>
                <w:color w:val="auto"/>
              </w:rPr>
            </w:pPr>
          </w:p>
        </w:tc>
        <w:tc>
          <w:tcPr>
            <w:tcW w:w="3520" w:type="dxa"/>
            <w:vAlign w:val="bottom"/>
            <w:gridSpan w:val="2"/>
          </w:tcPr>
          <w:p>
            <w:pPr>
              <w:spacing w:after="0"/>
              <w:rPr>
                <w:sz w:val="20"/>
                <w:szCs w:val="20"/>
                <w:color w:val="auto"/>
              </w:rPr>
            </w:pPr>
            <w:r>
              <w:rPr>
                <w:rFonts w:ascii="Arial" w:cs="Arial" w:eastAsia="Arial" w:hAnsi="Arial"/>
                <w:sz w:val="15"/>
                <w:szCs w:val="15"/>
                <w:color w:val="auto"/>
              </w:rPr>
              <w:t xml:space="preserve">•   </w:t>
            </w:r>
            <w:r>
              <w:rPr>
                <w:rFonts w:ascii="Arial" w:cs="Arial" w:eastAsia="Arial" w:hAnsi="Arial"/>
                <w:sz w:val="15"/>
                <w:szCs w:val="15"/>
                <w:color w:val="404040"/>
              </w:rPr>
              <w:t>To reward achievement of longer-term financial</w:t>
            </w:r>
          </w:p>
        </w:tc>
        <w:tc>
          <w:tcPr>
            <w:tcW w:w="4420" w:type="dxa"/>
            <w:vAlign w:val="bottom"/>
            <w:tcBorders>
              <w:right w:val="single" w:sz="8" w:color="D9D9D9"/>
            </w:tcBorders>
            <w:gridSpan w:val="2"/>
            <w:vMerge w:val="restart"/>
          </w:tcPr>
          <w:p>
            <w:pPr>
              <w:spacing w:after="0"/>
              <w:rPr>
                <w:sz w:val="20"/>
                <w:szCs w:val="20"/>
                <w:color w:val="auto"/>
              </w:rPr>
            </w:pPr>
            <w:r>
              <w:rPr>
                <w:rFonts w:ascii="Arial" w:cs="Arial" w:eastAsia="Arial" w:hAnsi="Arial"/>
                <w:sz w:val="15"/>
                <w:szCs w:val="15"/>
                <w:color w:val="auto"/>
              </w:rPr>
              <w:t xml:space="preserve">•   </w:t>
            </w:r>
            <w:r>
              <w:rPr>
                <w:rFonts w:ascii="Arial" w:cs="Arial" w:eastAsia="Arial" w:hAnsi="Arial"/>
                <w:sz w:val="15"/>
                <w:szCs w:val="15"/>
                <w:color w:val="404040"/>
              </w:rPr>
              <w:t>Payout range is 0-200% of target award</w:t>
            </w:r>
          </w:p>
        </w:tc>
        <w:tc>
          <w:tcPr>
            <w:tcW w:w="0" w:type="dxa"/>
            <w:vAlign w:val="bottom"/>
          </w:tcPr>
          <w:p>
            <w:pPr>
              <w:spacing w:after="0"/>
              <w:rPr>
                <w:sz w:val="1"/>
                <w:szCs w:val="1"/>
                <w:color w:val="auto"/>
              </w:rPr>
            </w:pPr>
          </w:p>
        </w:tc>
      </w:tr>
      <w:tr>
        <w:trPr>
          <w:trHeight w:val="59"/>
        </w:trPr>
        <w:tc>
          <w:tcPr>
            <w:tcW w:w="1280" w:type="dxa"/>
            <w:vAlign w:val="bottom"/>
            <w:tcBorders>
              <w:left w:val="single" w:sz="8" w:color="D9D9D9"/>
              <w:right w:val="single" w:sz="8" w:color="D9D9D9"/>
            </w:tcBorders>
            <w:shd w:val="clear" w:color="auto" w:fill="F2F2F2"/>
          </w:tcPr>
          <w:p>
            <w:pPr>
              <w:spacing w:after="0"/>
              <w:rPr>
                <w:sz w:val="5"/>
                <w:szCs w:val="5"/>
                <w:color w:val="auto"/>
              </w:rPr>
            </w:pPr>
          </w:p>
        </w:tc>
        <w:tc>
          <w:tcPr>
            <w:tcW w:w="2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3420" w:type="dxa"/>
            <w:vAlign w:val="bottom"/>
            <w:vMerge w:val="restart"/>
          </w:tcPr>
          <w:p>
            <w:pPr>
              <w:ind w:left="60"/>
              <w:spacing w:after="0"/>
              <w:rPr>
                <w:sz w:val="20"/>
                <w:szCs w:val="20"/>
                <w:color w:val="auto"/>
              </w:rPr>
            </w:pPr>
            <w:r>
              <w:rPr>
                <w:rFonts w:ascii="Arial" w:cs="Arial" w:eastAsia="Arial" w:hAnsi="Arial"/>
                <w:sz w:val="15"/>
                <w:szCs w:val="15"/>
                <w:color w:val="404040"/>
              </w:rPr>
              <w:t>goals</w:t>
            </w:r>
          </w:p>
        </w:tc>
        <w:tc>
          <w:tcPr>
            <w:tcW w:w="4420" w:type="dxa"/>
            <w:vAlign w:val="bottom"/>
            <w:tcBorders>
              <w:right w:val="single" w:sz="8" w:color="D9D9D9"/>
            </w:tcBorders>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30"/>
        </w:trPr>
        <w:tc>
          <w:tcPr>
            <w:tcW w:w="1280" w:type="dxa"/>
            <w:vAlign w:val="bottom"/>
            <w:tcBorders>
              <w:left w:val="single" w:sz="8" w:color="D9D9D9"/>
              <w:right w:val="single" w:sz="8" w:color="D9D9D9"/>
            </w:tcBorders>
            <w:shd w:val="clear" w:color="auto" w:fill="F2F2F2"/>
          </w:tcPr>
          <w:p>
            <w:pPr>
              <w:spacing w:after="0"/>
              <w:rPr>
                <w:sz w:val="11"/>
                <w:szCs w:val="11"/>
                <w:color w:val="auto"/>
              </w:rPr>
            </w:pPr>
          </w:p>
        </w:tc>
        <w:tc>
          <w:tcPr>
            <w:tcW w:w="2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20" w:type="dxa"/>
            <w:vAlign w:val="bottom"/>
            <w:vMerge w:val="continue"/>
          </w:tcPr>
          <w:p>
            <w:pPr>
              <w:spacing w:after="0"/>
              <w:rPr>
                <w:sz w:val="11"/>
                <w:szCs w:val="11"/>
                <w:color w:val="auto"/>
              </w:rPr>
            </w:pPr>
          </w:p>
        </w:tc>
        <w:tc>
          <w:tcPr>
            <w:tcW w:w="4420" w:type="dxa"/>
            <w:vAlign w:val="bottom"/>
            <w:tcBorders>
              <w:right w:val="single" w:sz="8" w:color="D9D9D9"/>
            </w:tcBorders>
            <w:gridSpan w:val="2"/>
            <w:vMerge w:val="restart"/>
          </w:tcPr>
          <w:p>
            <w:pPr>
              <w:spacing w:after="0"/>
              <w:rPr>
                <w:sz w:val="20"/>
                <w:szCs w:val="20"/>
                <w:color w:val="auto"/>
              </w:rPr>
            </w:pPr>
            <w:r>
              <w:rPr>
                <w:rFonts w:ascii="Arial" w:cs="Arial" w:eastAsia="Arial" w:hAnsi="Arial"/>
                <w:sz w:val="15"/>
                <w:szCs w:val="15"/>
                <w:color w:val="auto"/>
                <w:w w:val="98"/>
              </w:rPr>
              <w:t xml:space="preserve">•   </w:t>
            </w:r>
            <w:r>
              <w:rPr>
                <w:rFonts w:ascii="Arial" w:cs="Arial" w:eastAsia="Arial" w:hAnsi="Arial"/>
                <w:sz w:val="15"/>
                <w:szCs w:val="15"/>
                <w:color w:val="404040"/>
                <w:w w:val="98"/>
              </w:rPr>
              <w:t>Vests based on achievement of a three-year cumulative revenue</w:t>
            </w:r>
          </w:p>
        </w:tc>
        <w:tc>
          <w:tcPr>
            <w:tcW w:w="0" w:type="dxa"/>
            <w:vAlign w:val="bottom"/>
          </w:tcPr>
          <w:p>
            <w:pPr>
              <w:spacing w:after="0"/>
              <w:rPr>
                <w:sz w:val="1"/>
                <w:szCs w:val="1"/>
                <w:color w:val="auto"/>
              </w:rPr>
            </w:pPr>
          </w:p>
        </w:tc>
      </w:tr>
      <w:tr>
        <w:trPr>
          <w:trHeight w:val="81"/>
        </w:trPr>
        <w:tc>
          <w:tcPr>
            <w:tcW w:w="1280" w:type="dxa"/>
            <w:vAlign w:val="bottom"/>
            <w:tcBorders>
              <w:left w:val="single" w:sz="8" w:color="D9D9D9"/>
              <w:right w:val="single" w:sz="8" w:color="D9D9D9"/>
            </w:tcBorders>
            <w:shd w:val="clear" w:color="auto" w:fill="F2F2F2"/>
          </w:tcPr>
          <w:p>
            <w:pPr>
              <w:spacing w:after="0"/>
              <w:rPr>
                <w:sz w:val="7"/>
                <w:szCs w:val="7"/>
                <w:color w:val="auto"/>
              </w:rPr>
            </w:pPr>
          </w:p>
        </w:tc>
        <w:tc>
          <w:tcPr>
            <w:tcW w:w="2140" w:type="dxa"/>
            <w:vAlign w:val="bottom"/>
            <w:vMerge w:val="restart"/>
          </w:tcPr>
          <w:p>
            <w:pPr>
              <w:ind w:left="20"/>
              <w:spacing w:after="0"/>
              <w:rPr>
                <w:sz w:val="20"/>
                <w:szCs w:val="20"/>
                <w:color w:val="auto"/>
              </w:rPr>
            </w:pPr>
            <w:r>
              <w:rPr>
                <w:rFonts w:ascii="Arial" w:cs="Arial" w:eastAsia="Arial" w:hAnsi="Arial"/>
                <w:sz w:val="16"/>
                <w:szCs w:val="16"/>
                <w:b w:val="1"/>
                <w:bCs w:val="1"/>
                <w:color w:val="404040"/>
              </w:rPr>
              <w:t>Performance Share Awards</w:t>
            </w:r>
          </w:p>
        </w:tc>
        <w:tc>
          <w:tcPr>
            <w:tcW w:w="100" w:type="dxa"/>
            <w:vAlign w:val="bottom"/>
            <w:vMerge w:val="restart"/>
          </w:tcPr>
          <w:p>
            <w:pPr>
              <w:spacing w:after="0"/>
              <w:rPr>
                <w:sz w:val="20"/>
                <w:szCs w:val="20"/>
                <w:color w:val="auto"/>
              </w:rPr>
            </w:pPr>
            <w:r>
              <w:rPr>
                <w:rFonts w:ascii="Arial" w:cs="Arial" w:eastAsia="Arial" w:hAnsi="Arial"/>
                <w:sz w:val="15"/>
                <w:szCs w:val="15"/>
                <w:color w:val="auto"/>
              </w:rPr>
              <w:t>•</w:t>
            </w:r>
          </w:p>
        </w:tc>
        <w:tc>
          <w:tcPr>
            <w:tcW w:w="3420" w:type="dxa"/>
            <w:vAlign w:val="bottom"/>
            <w:vMerge w:val="restart"/>
          </w:tcPr>
          <w:p>
            <w:pPr>
              <w:ind w:left="140"/>
              <w:spacing w:after="0"/>
              <w:rPr>
                <w:sz w:val="20"/>
                <w:szCs w:val="20"/>
                <w:color w:val="auto"/>
              </w:rPr>
            </w:pPr>
            <w:r>
              <w:rPr>
                <w:rFonts w:ascii="Arial" w:cs="Arial" w:eastAsia="Arial" w:hAnsi="Arial"/>
                <w:sz w:val="15"/>
                <w:szCs w:val="15"/>
                <w:color w:val="404040"/>
              </w:rPr>
              <w:t>To retain executives through three-year vesting</w:t>
            </w:r>
          </w:p>
        </w:tc>
        <w:tc>
          <w:tcPr>
            <w:tcW w:w="4420" w:type="dxa"/>
            <w:vAlign w:val="bottom"/>
            <w:tcBorders>
              <w:right w:val="single" w:sz="8" w:color="D9D9D9"/>
            </w:tcBorders>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48"/>
        </w:trPr>
        <w:tc>
          <w:tcPr>
            <w:tcW w:w="1280" w:type="dxa"/>
            <w:vAlign w:val="bottom"/>
            <w:tcBorders>
              <w:left w:val="single" w:sz="8" w:color="D9D9D9"/>
              <w:right w:val="single" w:sz="8" w:color="D9D9D9"/>
            </w:tcBorders>
            <w:shd w:val="clear" w:color="auto" w:fill="F2F2F2"/>
          </w:tcPr>
          <w:p>
            <w:pPr>
              <w:spacing w:after="0"/>
              <w:rPr>
                <w:sz w:val="12"/>
                <w:szCs w:val="12"/>
                <w:color w:val="auto"/>
              </w:rPr>
            </w:pPr>
          </w:p>
        </w:tc>
        <w:tc>
          <w:tcPr>
            <w:tcW w:w="2140" w:type="dxa"/>
            <w:vAlign w:val="bottom"/>
            <w:vMerge w:val="continue"/>
          </w:tcPr>
          <w:p>
            <w:pPr>
              <w:spacing w:after="0"/>
              <w:rPr>
                <w:sz w:val="12"/>
                <w:szCs w:val="12"/>
                <w:color w:val="auto"/>
              </w:rPr>
            </w:pPr>
          </w:p>
        </w:tc>
        <w:tc>
          <w:tcPr>
            <w:tcW w:w="100" w:type="dxa"/>
            <w:vAlign w:val="bottom"/>
            <w:vMerge w:val="continue"/>
          </w:tcPr>
          <w:p>
            <w:pPr>
              <w:spacing w:after="0"/>
              <w:rPr>
                <w:sz w:val="12"/>
                <w:szCs w:val="12"/>
                <w:color w:val="auto"/>
              </w:rPr>
            </w:pPr>
          </w:p>
        </w:tc>
        <w:tc>
          <w:tcPr>
            <w:tcW w:w="34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4320" w:type="dxa"/>
            <w:vAlign w:val="bottom"/>
            <w:tcBorders>
              <w:right w:val="single" w:sz="8" w:color="D9D9D9"/>
            </w:tcBorders>
          </w:tcPr>
          <w:p>
            <w:pPr>
              <w:ind w:left="40"/>
              <w:spacing w:after="0" w:line="149" w:lineRule="exact"/>
              <w:rPr>
                <w:sz w:val="20"/>
                <w:szCs w:val="20"/>
                <w:color w:val="auto"/>
              </w:rPr>
            </w:pPr>
            <w:r>
              <w:rPr>
                <w:rFonts w:ascii="Arial" w:cs="Arial" w:eastAsia="Arial" w:hAnsi="Arial"/>
                <w:sz w:val="15"/>
                <w:szCs w:val="15"/>
                <w:color w:val="404040"/>
              </w:rPr>
              <w:t>performance goal, subject to adjustment based on TSR</w:t>
            </w:r>
          </w:p>
        </w:tc>
        <w:tc>
          <w:tcPr>
            <w:tcW w:w="0" w:type="dxa"/>
            <w:vAlign w:val="bottom"/>
          </w:tcPr>
          <w:p>
            <w:pPr>
              <w:spacing w:after="0"/>
              <w:rPr>
                <w:sz w:val="1"/>
                <w:szCs w:val="1"/>
                <w:color w:val="auto"/>
              </w:rPr>
            </w:pPr>
          </w:p>
        </w:tc>
      </w:tr>
      <w:tr>
        <w:trPr>
          <w:trHeight w:val="149"/>
        </w:trPr>
        <w:tc>
          <w:tcPr>
            <w:tcW w:w="1280" w:type="dxa"/>
            <w:vAlign w:val="bottom"/>
            <w:tcBorders>
              <w:left w:val="single" w:sz="8" w:color="D9D9D9"/>
              <w:right w:val="single" w:sz="8" w:color="D9D9D9"/>
            </w:tcBorders>
            <w:shd w:val="clear" w:color="auto" w:fill="F2F2F2"/>
          </w:tcPr>
          <w:p>
            <w:pPr>
              <w:spacing w:after="0"/>
              <w:rPr>
                <w:sz w:val="12"/>
                <w:szCs w:val="12"/>
                <w:color w:val="auto"/>
              </w:rPr>
            </w:pPr>
          </w:p>
        </w:tc>
        <w:tc>
          <w:tcPr>
            <w:tcW w:w="2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20" w:type="dxa"/>
            <w:vAlign w:val="bottom"/>
          </w:tcPr>
          <w:p>
            <w:pPr>
              <w:ind w:left="60"/>
              <w:spacing w:after="0" w:line="149" w:lineRule="exact"/>
              <w:rPr>
                <w:sz w:val="20"/>
                <w:szCs w:val="20"/>
                <w:color w:val="auto"/>
              </w:rPr>
            </w:pPr>
            <w:r>
              <w:rPr>
                <w:rFonts w:ascii="Arial" w:cs="Arial" w:eastAsia="Arial" w:hAnsi="Arial"/>
                <w:sz w:val="15"/>
                <w:szCs w:val="15"/>
                <w:color w:val="404040"/>
              </w:rPr>
              <w:t>period</w:t>
            </w:r>
          </w:p>
        </w:tc>
        <w:tc>
          <w:tcPr>
            <w:tcW w:w="4420" w:type="dxa"/>
            <w:vAlign w:val="bottom"/>
            <w:tcBorders>
              <w:right w:val="single" w:sz="8" w:color="D9D9D9"/>
            </w:tcBorders>
            <w:gridSpan w:val="2"/>
            <w:vMerge w:val="restart"/>
          </w:tcPr>
          <w:p>
            <w:pPr>
              <w:spacing w:after="0"/>
              <w:rPr>
                <w:sz w:val="20"/>
                <w:szCs w:val="20"/>
                <w:color w:val="auto"/>
              </w:rPr>
            </w:pPr>
            <w:r>
              <w:rPr>
                <w:rFonts w:ascii="Arial" w:cs="Arial" w:eastAsia="Arial" w:hAnsi="Arial"/>
                <w:sz w:val="15"/>
                <w:szCs w:val="15"/>
                <w:color w:val="auto"/>
                <w:w w:val="97"/>
              </w:rPr>
              <w:t xml:space="preserve">•   </w:t>
            </w:r>
            <w:r>
              <w:rPr>
                <w:rFonts w:ascii="Arial" w:cs="Arial" w:eastAsia="Arial" w:hAnsi="Arial"/>
                <w:sz w:val="15"/>
                <w:szCs w:val="15"/>
                <w:color w:val="404040"/>
                <w:w w:val="97"/>
              </w:rPr>
              <w:t>Payout based on financial metric (cumulative three-year revenue)</w:t>
            </w:r>
          </w:p>
        </w:tc>
        <w:tc>
          <w:tcPr>
            <w:tcW w:w="0" w:type="dxa"/>
            <w:vAlign w:val="bottom"/>
          </w:tcPr>
          <w:p>
            <w:pPr>
              <w:spacing w:after="0"/>
              <w:rPr>
                <w:sz w:val="1"/>
                <w:szCs w:val="1"/>
                <w:color w:val="auto"/>
              </w:rPr>
            </w:pPr>
          </w:p>
        </w:tc>
      </w:tr>
      <w:tr>
        <w:trPr>
          <w:trHeight w:val="86"/>
        </w:trPr>
        <w:tc>
          <w:tcPr>
            <w:tcW w:w="1280" w:type="dxa"/>
            <w:vAlign w:val="bottom"/>
            <w:tcBorders>
              <w:left w:val="single" w:sz="8" w:color="D9D9D9"/>
              <w:right w:val="single" w:sz="8" w:color="D9D9D9"/>
            </w:tcBorders>
            <w:shd w:val="clear" w:color="auto" w:fill="F2F2F2"/>
          </w:tcPr>
          <w:p>
            <w:pPr>
              <w:spacing w:after="0"/>
              <w:rPr>
                <w:sz w:val="7"/>
                <w:szCs w:val="7"/>
                <w:color w:val="auto"/>
              </w:rPr>
            </w:pPr>
          </w:p>
        </w:tc>
        <w:tc>
          <w:tcPr>
            <w:tcW w:w="2140" w:type="dxa"/>
            <w:vAlign w:val="bottom"/>
          </w:tcPr>
          <w:p>
            <w:pPr>
              <w:spacing w:after="0"/>
              <w:rPr>
                <w:sz w:val="7"/>
                <w:szCs w:val="7"/>
                <w:color w:val="auto"/>
              </w:rPr>
            </w:pPr>
          </w:p>
        </w:tc>
        <w:tc>
          <w:tcPr>
            <w:tcW w:w="3520" w:type="dxa"/>
            <w:vAlign w:val="bottom"/>
            <w:gridSpan w:val="2"/>
            <w:vMerge w:val="restart"/>
          </w:tcPr>
          <w:p>
            <w:pPr>
              <w:spacing w:after="0"/>
              <w:rPr>
                <w:sz w:val="20"/>
                <w:szCs w:val="20"/>
                <w:color w:val="auto"/>
              </w:rPr>
            </w:pPr>
            <w:r>
              <w:rPr>
                <w:rFonts w:ascii="Arial" w:cs="Arial" w:eastAsia="Arial" w:hAnsi="Arial"/>
                <w:sz w:val="15"/>
                <w:szCs w:val="15"/>
                <w:color w:val="auto"/>
              </w:rPr>
              <w:t xml:space="preserve">•   </w:t>
            </w:r>
            <w:r>
              <w:rPr>
                <w:rFonts w:ascii="Arial" w:cs="Arial" w:eastAsia="Arial" w:hAnsi="Arial"/>
                <w:sz w:val="15"/>
                <w:szCs w:val="15"/>
                <w:color w:val="404040"/>
              </w:rPr>
              <w:t>Realized value attributable to three-year revenue</w:t>
            </w:r>
          </w:p>
        </w:tc>
        <w:tc>
          <w:tcPr>
            <w:tcW w:w="4420" w:type="dxa"/>
            <w:vAlign w:val="bottom"/>
            <w:tcBorders>
              <w:right w:val="single" w:sz="8" w:color="D9D9D9"/>
            </w:tcBorders>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03"/>
        </w:trPr>
        <w:tc>
          <w:tcPr>
            <w:tcW w:w="1280" w:type="dxa"/>
            <w:vAlign w:val="bottom"/>
            <w:tcBorders>
              <w:left w:val="single" w:sz="8" w:color="D9D9D9"/>
              <w:right w:val="single" w:sz="8" w:color="D9D9D9"/>
            </w:tcBorders>
            <w:shd w:val="clear" w:color="auto" w:fill="F2F2F2"/>
          </w:tcPr>
          <w:p>
            <w:pPr>
              <w:spacing w:after="0"/>
              <w:rPr>
                <w:sz w:val="8"/>
                <w:szCs w:val="8"/>
                <w:color w:val="auto"/>
              </w:rPr>
            </w:pPr>
          </w:p>
        </w:tc>
        <w:tc>
          <w:tcPr>
            <w:tcW w:w="2140" w:type="dxa"/>
            <w:vAlign w:val="bottom"/>
          </w:tcPr>
          <w:p>
            <w:pPr>
              <w:spacing w:after="0"/>
              <w:rPr>
                <w:sz w:val="8"/>
                <w:szCs w:val="8"/>
                <w:color w:val="auto"/>
              </w:rPr>
            </w:pPr>
          </w:p>
        </w:tc>
        <w:tc>
          <w:tcPr>
            <w:tcW w:w="3520" w:type="dxa"/>
            <w:vAlign w:val="bottom"/>
            <w:gridSpan w:val="2"/>
            <w:vMerge w:val="continue"/>
          </w:tcPr>
          <w:p>
            <w:pPr>
              <w:spacing w:after="0"/>
              <w:rPr>
                <w:sz w:val="8"/>
                <w:szCs w:val="8"/>
                <w:color w:val="auto"/>
              </w:rPr>
            </w:pPr>
          </w:p>
        </w:tc>
        <w:tc>
          <w:tcPr>
            <w:tcW w:w="4420" w:type="dxa"/>
            <w:vAlign w:val="bottom"/>
            <w:tcBorders>
              <w:right w:val="single" w:sz="8" w:color="D9D9D9"/>
            </w:tcBorders>
            <w:gridSpan w:val="2"/>
            <w:vMerge w:val="restart"/>
          </w:tcPr>
          <w:p>
            <w:pPr>
              <w:spacing w:after="0"/>
              <w:rPr>
                <w:sz w:val="20"/>
                <w:szCs w:val="20"/>
                <w:color w:val="auto"/>
              </w:rPr>
            </w:pPr>
            <w:r>
              <w:rPr>
                <w:rFonts w:ascii="Arial" w:cs="Arial" w:eastAsia="Arial" w:hAnsi="Arial"/>
                <w:sz w:val="15"/>
                <w:szCs w:val="15"/>
                <w:color w:val="auto"/>
              </w:rPr>
              <w:t xml:space="preserve">•   </w:t>
            </w:r>
            <w:r>
              <w:rPr>
                <w:rFonts w:ascii="Arial" w:cs="Arial" w:eastAsia="Arial" w:hAnsi="Arial"/>
                <w:sz w:val="15"/>
                <w:szCs w:val="15"/>
                <w:color w:val="404040"/>
              </w:rPr>
              <w:t>Relative total stockholder return can modify the ultimate payout</w:t>
            </w:r>
          </w:p>
        </w:tc>
        <w:tc>
          <w:tcPr>
            <w:tcW w:w="0" w:type="dxa"/>
            <w:vAlign w:val="bottom"/>
          </w:tcPr>
          <w:p>
            <w:pPr>
              <w:spacing w:after="0"/>
              <w:rPr>
                <w:sz w:val="1"/>
                <w:szCs w:val="1"/>
                <w:color w:val="auto"/>
              </w:rPr>
            </w:pPr>
          </w:p>
        </w:tc>
      </w:tr>
      <w:tr>
        <w:trPr>
          <w:trHeight w:val="108"/>
        </w:trPr>
        <w:tc>
          <w:tcPr>
            <w:tcW w:w="1280" w:type="dxa"/>
            <w:vAlign w:val="bottom"/>
            <w:tcBorders>
              <w:left w:val="single" w:sz="8" w:color="D9D9D9"/>
              <w:right w:val="single" w:sz="8" w:color="D9D9D9"/>
            </w:tcBorders>
            <w:shd w:val="clear" w:color="auto" w:fill="F2F2F2"/>
          </w:tcPr>
          <w:p>
            <w:pPr>
              <w:spacing w:after="0"/>
              <w:rPr>
                <w:sz w:val="9"/>
                <w:szCs w:val="9"/>
                <w:color w:val="auto"/>
              </w:rPr>
            </w:pPr>
          </w:p>
        </w:tc>
        <w:tc>
          <w:tcPr>
            <w:tcW w:w="2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420" w:type="dxa"/>
            <w:vAlign w:val="bottom"/>
            <w:vMerge w:val="restart"/>
          </w:tcPr>
          <w:p>
            <w:pPr>
              <w:ind w:left="60"/>
              <w:spacing w:after="0" w:line="162" w:lineRule="exact"/>
              <w:rPr>
                <w:sz w:val="20"/>
                <w:szCs w:val="20"/>
                <w:color w:val="auto"/>
              </w:rPr>
            </w:pPr>
            <w:r>
              <w:rPr>
                <w:rFonts w:ascii="Arial" w:cs="Arial" w:eastAsia="Arial" w:hAnsi="Arial"/>
                <w:sz w:val="15"/>
                <w:szCs w:val="15"/>
                <w:color w:val="404040"/>
                <w:w w:val="98"/>
              </w:rPr>
              <w:t>growth performance achievement and relative total</w:t>
            </w:r>
          </w:p>
        </w:tc>
        <w:tc>
          <w:tcPr>
            <w:tcW w:w="4420" w:type="dxa"/>
            <w:vAlign w:val="bottom"/>
            <w:tcBorders>
              <w:right w:val="single" w:sz="8" w:color="D9D9D9"/>
            </w:tcBorders>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1280" w:type="dxa"/>
            <w:vAlign w:val="bottom"/>
            <w:tcBorders>
              <w:left w:val="single" w:sz="8" w:color="D9D9D9"/>
              <w:right w:val="single" w:sz="8" w:color="D9D9D9"/>
            </w:tcBorders>
            <w:shd w:val="clear" w:color="auto" w:fill="F2F2F2"/>
          </w:tcPr>
          <w:p>
            <w:pPr>
              <w:spacing w:after="0"/>
              <w:rPr>
                <w:sz w:val="4"/>
                <w:szCs w:val="4"/>
                <w:color w:val="auto"/>
              </w:rPr>
            </w:pPr>
          </w:p>
        </w:tc>
        <w:tc>
          <w:tcPr>
            <w:tcW w:w="2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342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4320" w:type="dxa"/>
            <w:vAlign w:val="bottom"/>
            <w:tcBorders>
              <w:right w:val="single" w:sz="8" w:color="D9D9D9"/>
            </w:tcBorders>
            <w:vMerge w:val="restart"/>
          </w:tcPr>
          <w:p>
            <w:pPr>
              <w:ind w:left="40"/>
              <w:spacing w:after="0"/>
              <w:rPr>
                <w:sz w:val="20"/>
                <w:szCs w:val="20"/>
                <w:color w:val="auto"/>
              </w:rPr>
            </w:pPr>
            <w:r>
              <w:rPr>
                <w:rFonts w:ascii="Arial" w:cs="Arial" w:eastAsia="Arial" w:hAnsi="Arial"/>
                <w:sz w:val="15"/>
                <w:szCs w:val="15"/>
                <w:color w:val="404040"/>
              </w:rPr>
              <w:t>+/-20%</w:t>
            </w:r>
          </w:p>
        </w:tc>
        <w:tc>
          <w:tcPr>
            <w:tcW w:w="0" w:type="dxa"/>
            <w:vAlign w:val="bottom"/>
          </w:tcPr>
          <w:p>
            <w:pPr>
              <w:spacing w:after="0"/>
              <w:rPr>
                <w:sz w:val="1"/>
                <w:szCs w:val="1"/>
                <w:color w:val="auto"/>
              </w:rPr>
            </w:pPr>
          </w:p>
        </w:tc>
      </w:tr>
      <w:tr>
        <w:trPr>
          <w:trHeight w:val="140"/>
        </w:trPr>
        <w:tc>
          <w:tcPr>
            <w:tcW w:w="1280" w:type="dxa"/>
            <w:vAlign w:val="bottom"/>
            <w:tcBorders>
              <w:left w:val="single" w:sz="8" w:color="D9D9D9"/>
              <w:right w:val="single" w:sz="8" w:color="D9D9D9"/>
            </w:tcBorders>
            <w:shd w:val="clear" w:color="auto" w:fill="F2F2F2"/>
          </w:tcPr>
          <w:p>
            <w:pPr>
              <w:spacing w:after="0"/>
              <w:rPr>
                <w:sz w:val="12"/>
                <w:szCs w:val="12"/>
                <w:color w:val="auto"/>
              </w:rPr>
            </w:pPr>
          </w:p>
        </w:tc>
        <w:tc>
          <w:tcPr>
            <w:tcW w:w="2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20" w:type="dxa"/>
            <w:vAlign w:val="bottom"/>
            <w:vMerge w:val="restart"/>
          </w:tcPr>
          <w:p>
            <w:pPr>
              <w:ind w:left="60"/>
              <w:spacing w:after="0"/>
              <w:rPr>
                <w:sz w:val="20"/>
                <w:szCs w:val="20"/>
                <w:color w:val="auto"/>
              </w:rPr>
            </w:pPr>
            <w:r>
              <w:rPr>
                <w:rFonts w:ascii="Arial" w:cs="Arial" w:eastAsia="Arial" w:hAnsi="Arial"/>
                <w:sz w:val="15"/>
                <w:szCs w:val="15"/>
                <w:color w:val="404040"/>
              </w:rPr>
              <w:t>stockholder return</w:t>
            </w:r>
          </w:p>
        </w:tc>
        <w:tc>
          <w:tcPr>
            <w:tcW w:w="100" w:type="dxa"/>
            <w:vAlign w:val="bottom"/>
          </w:tcPr>
          <w:p>
            <w:pPr>
              <w:spacing w:after="0"/>
              <w:rPr>
                <w:sz w:val="12"/>
                <w:szCs w:val="12"/>
                <w:color w:val="auto"/>
              </w:rPr>
            </w:pPr>
          </w:p>
        </w:tc>
        <w:tc>
          <w:tcPr>
            <w:tcW w:w="4320" w:type="dxa"/>
            <w:vAlign w:val="bottom"/>
            <w:tcBorders>
              <w:right w:val="single" w:sz="8" w:color="D9D9D9"/>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58"/>
        </w:trPr>
        <w:tc>
          <w:tcPr>
            <w:tcW w:w="1280" w:type="dxa"/>
            <w:vAlign w:val="bottom"/>
            <w:tcBorders>
              <w:left w:val="single" w:sz="8" w:color="D9D9D9"/>
              <w:bottom w:val="single" w:sz="8" w:color="F2F2F2"/>
              <w:right w:val="single" w:sz="8" w:color="D9D9D9"/>
            </w:tcBorders>
            <w:shd w:val="clear" w:color="auto" w:fill="F2F2F2"/>
          </w:tcPr>
          <w:p>
            <w:pPr>
              <w:spacing w:after="0"/>
              <w:rPr>
                <w:sz w:val="5"/>
                <w:szCs w:val="5"/>
                <w:color w:val="auto"/>
              </w:rPr>
            </w:pPr>
          </w:p>
        </w:tc>
        <w:tc>
          <w:tcPr>
            <w:tcW w:w="2140" w:type="dxa"/>
            <w:vAlign w:val="bottom"/>
            <w:tcBorders>
              <w:bottom w:val="single" w:sz="8" w:color="D9D9D9"/>
            </w:tcBorders>
          </w:tcPr>
          <w:p>
            <w:pPr>
              <w:spacing w:after="0"/>
              <w:rPr>
                <w:sz w:val="5"/>
                <w:szCs w:val="5"/>
                <w:color w:val="auto"/>
              </w:rPr>
            </w:pPr>
          </w:p>
        </w:tc>
        <w:tc>
          <w:tcPr>
            <w:tcW w:w="100" w:type="dxa"/>
            <w:vAlign w:val="bottom"/>
            <w:tcBorders>
              <w:bottom w:val="single" w:sz="8" w:color="D9D9D9"/>
            </w:tcBorders>
          </w:tcPr>
          <w:p>
            <w:pPr>
              <w:spacing w:after="0"/>
              <w:rPr>
                <w:sz w:val="5"/>
                <w:szCs w:val="5"/>
                <w:color w:val="auto"/>
              </w:rPr>
            </w:pPr>
          </w:p>
        </w:tc>
        <w:tc>
          <w:tcPr>
            <w:tcW w:w="3420" w:type="dxa"/>
            <w:vAlign w:val="bottom"/>
            <w:tcBorders>
              <w:bottom w:val="single" w:sz="8" w:color="D9D9D9"/>
            </w:tcBorders>
            <w:vMerge w:val="continue"/>
          </w:tcPr>
          <w:p>
            <w:pPr>
              <w:spacing w:after="0"/>
              <w:rPr>
                <w:sz w:val="5"/>
                <w:szCs w:val="5"/>
                <w:color w:val="auto"/>
              </w:rPr>
            </w:pPr>
          </w:p>
        </w:tc>
        <w:tc>
          <w:tcPr>
            <w:tcW w:w="100" w:type="dxa"/>
            <w:vAlign w:val="bottom"/>
            <w:tcBorders>
              <w:bottom w:val="single" w:sz="8" w:color="D9D9D9"/>
            </w:tcBorders>
          </w:tcPr>
          <w:p>
            <w:pPr>
              <w:spacing w:after="0"/>
              <w:rPr>
                <w:sz w:val="5"/>
                <w:szCs w:val="5"/>
                <w:color w:val="auto"/>
              </w:rPr>
            </w:pPr>
          </w:p>
        </w:tc>
        <w:tc>
          <w:tcPr>
            <w:tcW w:w="4320" w:type="dxa"/>
            <w:vAlign w:val="bottom"/>
            <w:tcBorders>
              <w:bottom w:val="single" w:sz="8" w:color="D9D9D9"/>
              <w:right w:val="single" w:sz="8" w:color="D9D9D9"/>
            </w:tcBorders>
          </w:tcPr>
          <w:p>
            <w:pPr>
              <w:spacing w:after="0"/>
              <w:rPr>
                <w:sz w:val="5"/>
                <w:szCs w:val="5"/>
                <w:color w:val="auto"/>
              </w:rPr>
            </w:pPr>
          </w:p>
        </w:tc>
        <w:tc>
          <w:tcPr>
            <w:tcW w:w="0" w:type="dxa"/>
            <w:vAlign w:val="bottom"/>
          </w:tcPr>
          <w:p>
            <w:pPr>
              <w:spacing w:after="0"/>
              <w:rPr>
                <w:sz w:val="1"/>
                <w:szCs w:val="1"/>
                <w:color w:val="auto"/>
              </w:rPr>
            </w:pPr>
          </w:p>
        </w:tc>
      </w:tr>
      <w:tr>
        <w:trPr>
          <w:trHeight w:val="227"/>
        </w:trPr>
        <w:tc>
          <w:tcPr>
            <w:tcW w:w="1280" w:type="dxa"/>
            <w:vAlign w:val="bottom"/>
            <w:tcBorders>
              <w:left w:val="single" w:sz="8" w:color="D9D9D9"/>
              <w:right w:val="single" w:sz="8" w:color="D9D9D9"/>
            </w:tcBorders>
            <w:shd w:val="clear" w:color="auto" w:fill="F2F2F2"/>
          </w:tcPr>
          <w:p>
            <w:pPr>
              <w:spacing w:after="0"/>
              <w:rPr>
                <w:sz w:val="19"/>
                <w:szCs w:val="19"/>
                <w:color w:val="auto"/>
              </w:rPr>
            </w:pPr>
          </w:p>
        </w:tc>
        <w:tc>
          <w:tcPr>
            <w:tcW w:w="2140" w:type="dxa"/>
            <w:vAlign w:val="bottom"/>
            <w:vMerge w:val="restart"/>
          </w:tcPr>
          <w:p>
            <w:pPr>
              <w:ind w:left="20"/>
              <w:spacing w:after="0"/>
              <w:rPr>
                <w:sz w:val="20"/>
                <w:szCs w:val="20"/>
                <w:color w:val="auto"/>
              </w:rPr>
            </w:pPr>
            <w:r>
              <w:rPr>
                <w:rFonts w:ascii="Arial" w:cs="Arial" w:eastAsia="Arial" w:hAnsi="Arial"/>
                <w:sz w:val="16"/>
                <w:szCs w:val="16"/>
                <w:b w:val="1"/>
                <w:bCs w:val="1"/>
                <w:color w:val="404040"/>
              </w:rPr>
              <w:t>Other Compensation</w:t>
            </w:r>
          </w:p>
        </w:tc>
        <w:tc>
          <w:tcPr>
            <w:tcW w:w="3520" w:type="dxa"/>
            <w:vAlign w:val="bottom"/>
            <w:gridSpan w:val="2"/>
            <w:vMerge w:val="restart"/>
          </w:tcPr>
          <w:p>
            <w:pPr>
              <w:spacing w:after="0"/>
              <w:rPr>
                <w:sz w:val="20"/>
                <w:szCs w:val="20"/>
                <w:color w:val="auto"/>
              </w:rPr>
            </w:pPr>
            <w:r>
              <w:rPr>
                <w:rFonts w:ascii="Arial" w:cs="Arial" w:eastAsia="Arial" w:hAnsi="Arial"/>
                <w:sz w:val="15"/>
                <w:szCs w:val="15"/>
                <w:color w:val="auto"/>
              </w:rPr>
              <w:t xml:space="preserve">•   </w:t>
            </w:r>
            <w:r>
              <w:rPr>
                <w:rFonts w:ascii="Arial" w:cs="Arial" w:eastAsia="Arial" w:hAnsi="Arial"/>
                <w:sz w:val="15"/>
                <w:szCs w:val="15"/>
                <w:color w:val="404040"/>
              </w:rPr>
              <w:t>To allow executive officers to participate in other</w:t>
            </w:r>
          </w:p>
        </w:tc>
        <w:tc>
          <w:tcPr>
            <w:tcW w:w="4420" w:type="dxa"/>
            <w:vAlign w:val="bottom"/>
            <w:tcBorders>
              <w:right w:val="single" w:sz="8" w:color="D9D9D9"/>
            </w:tcBorders>
            <w:gridSpan w:val="2"/>
          </w:tcPr>
          <w:p>
            <w:pPr>
              <w:spacing w:after="0"/>
              <w:rPr>
                <w:sz w:val="20"/>
                <w:szCs w:val="20"/>
                <w:color w:val="auto"/>
              </w:rPr>
            </w:pPr>
            <w:r>
              <w:rPr>
                <w:rFonts w:ascii="Arial" w:cs="Arial" w:eastAsia="Arial" w:hAnsi="Arial"/>
                <w:sz w:val="15"/>
                <w:szCs w:val="15"/>
                <w:color w:val="auto"/>
                <w:w w:val="97"/>
              </w:rPr>
              <w:t xml:space="preserve">•   </w:t>
            </w:r>
            <w:r>
              <w:rPr>
                <w:rFonts w:ascii="Arial" w:cs="Arial" w:eastAsia="Arial" w:hAnsi="Arial"/>
                <w:sz w:val="15"/>
                <w:szCs w:val="15"/>
                <w:color w:val="404040"/>
                <w:w w:val="97"/>
              </w:rPr>
              <w:t>Executives may participate in all other CoStar compensation and</w:t>
            </w:r>
          </w:p>
        </w:tc>
        <w:tc>
          <w:tcPr>
            <w:tcW w:w="0" w:type="dxa"/>
            <w:vAlign w:val="bottom"/>
          </w:tcPr>
          <w:p>
            <w:pPr>
              <w:spacing w:after="0"/>
              <w:rPr>
                <w:sz w:val="1"/>
                <w:szCs w:val="1"/>
                <w:color w:val="auto"/>
              </w:rPr>
            </w:pPr>
          </w:p>
        </w:tc>
      </w:tr>
      <w:tr>
        <w:trPr>
          <w:trHeight w:val="81"/>
        </w:trPr>
        <w:tc>
          <w:tcPr>
            <w:tcW w:w="1280" w:type="dxa"/>
            <w:vAlign w:val="bottom"/>
            <w:tcBorders>
              <w:left w:val="single" w:sz="8" w:color="D9D9D9"/>
              <w:right w:val="single" w:sz="8" w:color="D9D9D9"/>
            </w:tcBorders>
            <w:shd w:val="clear" w:color="auto" w:fill="F2F2F2"/>
          </w:tcPr>
          <w:p>
            <w:pPr>
              <w:spacing w:after="0"/>
              <w:rPr>
                <w:sz w:val="7"/>
                <w:szCs w:val="7"/>
                <w:color w:val="auto"/>
              </w:rPr>
            </w:pPr>
          </w:p>
        </w:tc>
        <w:tc>
          <w:tcPr>
            <w:tcW w:w="2140" w:type="dxa"/>
            <w:vAlign w:val="bottom"/>
            <w:vMerge w:val="continue"/>
          </w:tcPr>
          <w:p>
            <w:pPr>
              <w:spacing w:after="0"/>
              <w:rPr>
                <w:sz w:val="7"/>
                <w:szCs w:val="7"/>
                <w:color w:val="auto"/>
              </w:rPr>
            </w:pPr>
          </w:p>
        </w:tc>
        <w:tc>
          <w:tcPr>
            <w:tcW w:w="352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4320" w:type="dxa"/>
            <w:vAlign w:val="bottom"/>
            <w:tcBorders>
              <w:right w:val="single" w:sz="8" w:color="D9D9D9"/>
            </w:tcBorders>
            <w:vMerge w:val="restart"/>
          </w:tcPr>
          <w:p>
            <w:pPr>
              <w:ind w:left="40"/>
              <w:spacing w:after="0" w:line="162" w:lineRule="exact"/>
              <w:rPr>
                <w:sz w:val="20"/>
                <w:szCs w:val="20"/>
                <w:color w:val="auto"/>
              </w:rPr>
            </w:pPr>
            <w:r>
              <w:rPr>
                <w:rFonts w:ascii="Arial" w:cs="Arial" w:eastAsia="Arial" w:hAnsi="Arial"/>
                <w:sz w:val="15"/>
                <w:szCs w:val="15"/>
                <w:color w:val="404040"/>
                <w:w w:val="97"/>
              </w:rPr>
              <w:t>benefit programs on the same terms as other employees, such as</w:t>
            </w:r>
          </w:p>
        </w:tc>
        <w:tc>
          <w:tcPr>
            <w:tcW w:w="0" w:type="dxa"/>
            <w:vAlign w:val="bottom"/>
          </w:tcPr>
          <w:p>
            <w:pPr>
              <w:spacing w:after="0"/>
              <w:rPr>
                <w:sz w:val="1"/>
                <w:szCs w:val="1"/>
                <w:color w:val="auto"/>
              </w:rPr>
            </w:pPr>
          </w:p>
        </w:tc>
      </w:tr>
      <w:tr>
        <w:trPr>
          <w:trHeight w:val="81"/>
        </w:trPr>
        <w:tc>
          <w:tcPr>
            <w:tcW w:w="1280" w:type="dxa"/>
            <w:vAlign w:val="bottom"/>
            <w:tcBorders>
              <w:left w:val="single" w:sz="8" w:color="D9D9D9"/>
              <w:right w:val="single" w:sz="8" w:color="D9D9D9"/>
            </w:tcBorders>
            <w:shd w:val="clear" w:color="auto" w:fill="F2F2F2"/>
          </w:tcPr>
          <w:p>
            <w:pPr>
              <w:spacing w:after="0"/>
              <w:rPr>
                <w:sz w:val="7"/>
                <w:szCs w:val="7"/>
                <w:color w:val="auto"/>
              </w:rPr>
            </w:pPr>
          </w:p>
        </w:tc>
        <w:tc>
          <w:tcPr>
            <w:tcW w:w="214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3420" w:type="dxa"/>
            <w:vAlign w:val="bottom"/>
            <w:vMerge w:val="restart"/>
          </w:tcPr>
          <w:p>
            <w:pPr>
              <w:ind w:left="60"/>
              <w:spacing w:after="0"/>
              <w:rPr>
                <w:sz w:val="20"/>
                <w:szCs w:val="20"/>
                <w:color w:val="auto"/>
              </w:rPr>
            </w:pPr>
            <w:r>
              <w:rPr>
                <w:rFonts w:ascii="Arial" w:cs="Arial" w:eastAsia="Arial" w:hAnsi="Arial"/>
                <w:sz w:val="15"/>
                <w:szCs w:val="15"/>
                <w:color w:val="404040"/>
              </w:rPr>
              <w:t>employee benefit plans</w:t>
            </w:r>
          </w:p>
        </w:tc>
        <w:tc>
          <w:tcPr>
            <w:tcW w:w="100" w:type="dxa"/>
            <w:vAlign w:val="bottom"/>
          </w:tcPr>
          <w:p>
            <w:pPr>
              <w:spacing w:after="0"/>
              <w:rPr>
                <w:sz w:val="7"/>
                <w:szCs w:val="7"/>
                <w:color w:val="auto"/>
              </w:rPr>
            </w:pPr>
          </w:p>
        </w:tc>
        <w:tc>
          <w:tcPr>
            <w:tcW w:w="4320" w:type="dxa"/>
            <w:vAlign w:val="bottom"/>
            <w:tcBorders>
              <w:right w:val="single" w:sz="8" w:color="D9D9D9"/>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13"/>
        </w:trPr>
        <w:tc>
          <w:tcPr>
            <w:tcW w:w="1280" w:type="dxa"/>
            <w:vAlign w:val="bottom"/>
            <w:tcBorders>
              <w:left w:val="single" w:sz="8" w:color="D9D9D9"/>
              <w:right w:val="single" w:sz="8" w:color="D9D9D9"/>
            </w:tcBorders>
            <w:shd w:val="clear" w:color="auto" w:fill="F2F2F2"/>
          </w:tcPr>
          <w:p>
            <w:pPr>
              <w:spacing w:after="0"/>
              <w:rPr>
                <w:sz w:val="9"/>
                <w:szCs w:val="9"/>
                <w:color w:val="auto"/>
              </w:rPr>
            </w:pPr>
          </w:p>
        </w:tc>
        <w:tc>
          <w:tcPr>
            <w:tcW w:w="2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42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4320" w:type="dxa"/>
            <w:vAlign w:val="bottom"/>
            <w:tcBorders>
              <w:right w:val="single" w:sz="8" w:color="D9D9D9"/>
            </w:tcBorders>
            <w:vMerge w:val="restart"/>
          </w:tcPr>
          <w:p>
            <w:pPr>
              <w:ind w:left="40"/>
              <w:spacing w:after="0"/>
              <w:rPr>
                <w:sz w:val="20"/>
                <w:szCs w:val="20"/>
                <w:color w:val="auto"/>
              </w:rPr>
            </w:pPr>
            <w:r>
              <w:rPr>
                <w:rFonts w:ascii="Arial" w:cs="Arial" w:eastAsia="Arial" w:hAnsi="Arial"/>
                <w:sz w:val="15"/>
                <w:szCs w:val="15"/>
                <w:color w:val="404040"/>
              </w:rPr>
              <w:t>health and welfare benefit plans and 401(k) Plan</w:t>
            </w:r>
          </w:p>
        </w:tc>
        <w:tc>
          <w:tcPr>
            <w:tcW w:w="0" w:type="dxa"/>
            <w:vAlign w:val="bottom"/>
          </w:tcPr>
          <w:p>
            <w:pPr>
              <w:spacing w:after="0"/>
              <w:rPr>
                <w:sz w:val="1"/>
                <w:szCs w:val="1"/>
                <w:color w:val="auto"/>
              </w:rPr>
            </w:pPr>
          </w:p>
        </w:tc>
      </w:tr>
      <w:tr>
        <w:trPr>
          <w:trHeight w:val="85"/>
        </w:trPr>
        <w:tc>
          <w:tcPr>
            <w:tcW w:w="1280" w:type="dxa"/>
            <w:vAlign w:val="bottom"/>
            <w:tcBorders>
              <w:left w:val="single" w:sz="8" w:color="D9D9D9"/>
              <w:bottom w:val="single" w:sz="8" w:color="D9D9D9"/>
              <w:right w:val="single" w:sz="8" w:color="D9D9D9"/>
            </w:tcBorders>
            <w:shd w:val="clear" w:color="auto" w:fill="F2F2F2"/>
          </w:tcPr>
          <w:p>
            <w:pPr>
              <w:spacing w:after="0"/>
              <w:rPr>
                <w:sz w:val="7"/>
                <w:szCs w:val="7"/>
                <w:color w:val="auto"/>
              </w:rPr>
            </w:pPr>
          </w:p>
        </w:tc>
        <w:tc>
          <w:tcPr>
            <w:tcW w:w="2140" w:type="dxa"/>
            <w:vAlign w:val="bottom"/>
            <w:tcBorders>
              <w:bottom w:val="single" w:sz="8" w:color="D9D9D9"/>
            </w:tcBorders>
          </w:tcPr>
          <w:p>
            <w:pPr>
              <w:spacing w:after="0"/>
              <w:rPr>
                <w:sz w:val="7"/>
                <w:szCs w:val="7"/>
                <w:color w:val="auto"/>
              </w:rPr>
            </w:pPr>
          </w:p>
        </w:tc>
        <w:tc>
          <w:tcPr>
            <w:tcW w:w="100" w:type="dxa"/>
            <w:vAlign w:val="bottom"/>
            <w:tcBorders>
              <w:bottom w:val="single" w:sz="8" w:color="D9D9D9"/>
            </w:tcBorders>
          </w:tcPr>
          <w:p>
            <w:pPr>
              <w:spacing w:after="0"/>
              <w:rPr>
                <w:sz w:val="7"/>
                <w:szCs w:val="7"/>
                <w:color w:val="auto"/>
              </w:rPr>
            </w:pPr>
          </w:p>
        </w:tc>
        <w:tc>
          <w:tcPr>
            <w:tcW w:w="3420" w:type="dxa"/>
            <w:vAlign w:val="bottom"/>
            <w:tcBorders>
              <w:bottom w:val="single" w:sz="8" w:color="D9D9D9"/>
            </w:tcBorders>
          </w:tcPr>
          <w:p>
            <w:pPr>
              <w:spacing w:after="0"/>
              <w:rPr>
                <w:sz w:val="7"/>
                <w:szCs w:val="7"/>
                <w:color w:val="auto"/>
              </w:rPr>
            </w:pPr>
          </w:p>
        </w:tc>
        <w:tc>
          <w:tcPr>
            <w:tcW w:w="100" w:type="dxa"/>
            <w:vAlign w:val="bottom"/>
            <w:tcBorders>
              <w:bottom w:val="single" w:sz="8" w:color="D9D9D9"/>
            </w:tcBorders>
          </w:tcPr>
          <w:p>
            <w:pPr>
              <w:spacing w:after="0"/>
              <w:rPr>
                <w:sz w:val="7"/>
                <w:szCs w:val="7"/>
                <w:color w:val="auto"/>
              </w:rPr>
            </w:pPr>
          </w:p>
        </w:tc>
        <w:tc>
          <w:tcPr>
            <w:tcW w:w="4320" w:type="dxa"/>
            <w:vAlign w:val="bottom"/>
            <w:tcBorders>
              <w:bottom w:val="single" w:sz="8" w:color="D9D9D9"/>
              <w:right w:val="single" w:sz="8" w:color="D9D9D9"/>
            </w:tcBorders>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854075</wp:posOffset>
            </wp:positionH>
            <wp:positionV relativeFrom="paragraph">
              <wp:posOffset>-2538095</wp:posOffset>
            </wp:positionV>
            <wp:extent cx="1363345"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36334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40"/>
          </w:cols>
          <w:pgMar w:left="240" w:top="360" w:right="219" w:bottom="1440" w:gutter="0" w:footer="0" w:header="0"/>
        </w:sectPr>
      </w:pPr>
    </w:p>
    <w:bookmarkStart w:id="57" w:name="page58"/>
    <w:bookmarkEnd w:id="57"/>
    <w:p>
      <w:pPr>
        <w:spacing w:after="0"/>
        <w:rPr>
          <w:sz w:val="20"/>
          <w:szCs w:val="20"/>
          <w:color w:val="auto"/>
        </w:rPr>
      </w:pPr>
      <w:r>
        <w:rPr>
          <w:rFonts w:ascii="Arial" w:cs="Arial" w:eastAsia="Arial" w:hAnsi="Arial"/>
          <w:sz w:val="20"/>
          <w:szCs w:val="20"/>
          <w:b w:val="1"/>
          <w:bCs w:val="1"/>
          <w:color w:val="auto"/>
        </w:rPr>
        <w:t>PERFORMANCE MEASURES AND TIME HORIZONS</w:t>
      </w:r>
    </w:p>
    <w:p>
      <w:pPr>
        <w:spacing w:after="0" w:line="13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404040"/>
        </w:rPr>
        <w:t xml:space="preserve">We use a combination of metrics and time </w:t>
      </w:r>
      <w:r>
        <w:rPr>
          <w:rFonts w:ascii="Arial" w:cs="Arial" w:eastAsia="Arial" w:hAnsi="Arial"/>
          <w:sz w:val="18"/>
          <w:szCs w:val="18"/>
          <w:color w:val="000000"/>
        </w:rPr>
        <w:t>horizons</w:t>
      </w:r>
      <w:r>
        <w:rPr>
          <w:rFonts w:ascii="Arial" w:cs="Arial" w:eastAsia="Arial" w:hAnsi="Arial"/>
          <w:sz w:val="18"/>
          <w:szCs w:val="18"/>
          <w:color w:val="404040"/>
        </w:rPr>
        <w:t xml:space="preserve"> to foster and reward performance. The following chart summarizes the relevant performance measures and time frames used for our variable pay elements.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134620</wp:posOffset>
            </wp:positionV>
            <wp:extent cx="5325745" cy="272732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325745" cy="27273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2015 Base Salaries</w:t>
      </w:r>
    </w:p>
    <w:p>
      <w:pPr>
        <w:spacing w:after="0" w:line="130"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Base salaries provide a minimum, fixed level of cash compensation for the named executive officers. Salary levels of the executive officers are reviewed annually by the Committee. In establishing salary levels, the Committee considers each executive’s individual responsibilities and performance, prior base salary and total compensation, the pay levels of similarly situated executives within the Company, market data on base salary and total compensation levels (including Willis Towers Watson peer group and survey data) and current market conditions. The early 2015 Willis Towers Watson study found that the named executive officers’ base salaries were generally in line with the median levels of blended market data, as they fell within +/- 15% of those median levels. Based on the early 2015 Willis Towers Watson study and in recognition of the Committee’s subjective view of their overall individual performance and responsibilities, in March 2015 the Committee determined to increase base salaries for 2015 for the named executive officers to keep them competitive in the marketplace, but also keep them within +/- 15% of the median levels of the blended market data. Mr. Florance’s base salary was increased approximately 6%, Mr. Radecki’s base salary was increased approximately 5%, Mr. Carchedi’s base salary was increased approximately 4%, and Mr. Linnington’s base salary was increased approximately 5%. The named executive officers increased base salaries are all within approximately +/- 15% of the median levels of the blended market data as reflected in the early 2015 Willis Towers Watson study.</w:t>
      </w:r>
    </w:p>
    <w:p>
      <w:pPr>
        <w:spacing w:after="0" w:line="250"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5978A5"/>
        </w:rPr>
        <w:t>DECISION SUPPORT</w:t>
      </w:r>
    </w:p>
    <w:p>
      <w:pPr>
        <w:spacing w:after="0" w:line="126" w:lineRule="exact"/>
        <w:rPr>
          <w:sz w:val="20"/>
          <w:szCs w:val="20"/>
          <w:color w:val="auto"/>
        </w:rPr>
      </w:pPr>
    </w:p>
    <w:p>
      <w:pPr>
        <w:jc w:val="both"/>
        <w:ind w:left="660"/>
        <w:spacing w:after="0" w:line="286" w:lineRule="auto"/>
        <w:rPr>
          <w:sz w:val="20"/>
          <w:szCs w:val="20"/>
          <w:color w:val="auto"/>
        </w:rPr>
      </w:pPr>
      <w:r>
        <w:rPr>
          <w:rFonts w:ascii="Arial" w:cs="Arial" w:eastAsia="Arial" w:hAnsi="Arial"/>
          <w:sz w:val="15"/>
          <w:szCs w:val="15"/>
          <w:color w:val="595959"/>
        </w:rPr>
        <w:t>As the Committee made its compensation decisions in early 2015, it took into account that 85% of the CoStar stockholders who voted on the advisory vote on executive compensation at the 2014 Annual Meeting of stockholders had voted in favor of approving the Company’s executive compensation, and concluded after discussions with stockholders that these voting results suggested that the stockholders generally supported the Committee’s approach.</w:t>
      </w:r>
    </w:p>
    <w:p>
      <w:pPr>
        <w:spacing w:after="0" w:line="5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named executive officers salaries were set by the Committee effective as of March 5, 2015, with the exception of Mr. Yinger, who was appointed Interim Chief Financial Officer as of August 3, 2015. Effective as of his appointment as Interim Chief Financial Officer, the Committee approved an increase to Mr. Yinger’s base salary for so long as he served in that position. As of August 3, 2015, Mr. Yinger’s annual base salary was set at $352,825, which amount is within +/- 15% of the median level of blended market data for the CFO role. The annual base salaries of our named executive officers for 2015 were as follows:</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387" w:right="239" w:bottom="1440" w:gutter="0" w:footer="0" w:header="0"/>
        </w:sectPr>
      </w:pPr>
    </w:p>
    <w:bookmarkStart w:id="58" w:name="page59"/>
    <w:bookmarkEnd w:id="58"/>
    <w:tbl>
      <w:tblPr>
        <w:tblLayout w:type="fixed"/>
        <w:tblInd w:w="0" w:type="dxa"/>
        <w:tblCellMar>
          <w:top w:w="0" w:type="dxa"/>
          <w:left w:w="0" w:type="dxa"/>
          <w:bottom w:w="0" w:type="dxa"/>
          <w:right w:w="0" w:type="dxa"/>
        </w:tblCellMar>
      </w:tblPr>
      <w:tr>
        <w:trPr>
          <w:trHeight w:val="324"/>
        </w:trPr>
        <w:tc>
          <w:tcPr>
            <w:tcW w:w="3880" w:type="dxa"/>
            <w:vAlign w:val="bottom"/>
            <w:gridSpan w:val="3"/>
            <w:shd w:val="clear" w:color="auto" w:fill="B8CCE4"/>
          </w:tcPr>
          <w:p>
            <w:pPr>
              <w:ind w:left="180"/>
              <w:spacing w:after="0"/>
              <w:rPr>
                <w:sz w:val="20"/>
                <w:szCs w:val="20"/>
                <w:color w:val="auto"/>
              </w:rPr>
            </w:pPr>
            <w:r>
              <w:rPr>
                <w:rFonts w:ascii="Arial" w:cs="Arial" w:eastAsia="Arial" w:hAnsi="Arial"/>
                <w:sz w:val="18"/>
                <w:szCs w:val="18"/>
                <w:b w:val="1"/>
                <w:bCs w:val="1"/>
                <w:color w:val="auto"/>
              </w:rPr>
              <w:t>Name</w:t>
            </w:r>
          </w:p>
        </w:tc>
        <w:tc>
          <w:tcPr>
            <w:tcW w:w="4680" w:type="dxa"/>
            <w:vAlign w:val="bottom"/>
            <w:shd w:val="clear" w:color="auto" w:fill="B8CCE4"/>
          </w:tcPr>
          <w:p>
            <w:pPr>
              <w:ind w:left="160"/>
              <w:spacing w:after="0"/>
              <w:rPr>
                <w:sz w:val="20"/>
                <w:szCs w:val="20"/>
                <w:color w:val="auto"/>
              </w:rPr>
            </w:pPr>
            <w:r>
              <w:rPr>
                <w:rFonts w:ascii="Arial" w:cs="Arial" w:eastAsia="Arial" w:hAnsi="Arial"/>
                <w:sz w:val="18"/>
                <w:szCs w:val="18"/>
                <w:b w:val="1"/>
                <w:bCs w:val="1"/>
                <w:color w:val="auto"/>
              </w:rPr>
              <w:t>Title</w:t>
            </w:r>
          </w:p>
        </w:tc>
        <w:tc>
          <w:tcPr>
            <w:tcW w:w="2840" w:type="dxa"/>
            <w:vAlign w:val="bottom"/>
            <w:shd w:val="clear" w:color="auto" w:fill="B8CCE4"/>
          </w:tcPr>
          <w:p>
            <w:pPr>
              <w:jc w:val="right"/>
              <w:ind w:right="577"/>
              <w:spacing w:after="0"/>
              <w:rPr>
                <w:sz w:val="20"/>
                <w:szCs w:val="20"/>
                <w:color w:val="auto"/>
              </w:rPr>
            </w:pPr>
            <w:r>
              <w:rPr>
                <w:rFonts w:ascii="Arial" w:cs="Arial" w:eastAsia="Arial" w:hAnsi="Arial"/>
                <w:sz w:val="18"/>
                <w:szCs w:val="18"/>
                <w:b w:val="1"/>
                <w:bCs w:val="1"/>
                <w:color w:val="auto"/>
              </w:rPr>
              <w:t>Annual Base Salary</w:t>
            </w:r>
          </w:p>
        </w:tc>
      </w:tr>
      <w:tr>
        <w:trPr>
          <w:trHeight w:val="108"/>
        </w:trPr>
        <w:tc>
          <w:tcPr>
            <w:tcW w:w="1620" w:type="dxa"/>
            <w:vAlign w:val="bottom"/>
            <w:shd w:val="clear" w:color="auto" w:fill="B8CCE4"/>
          </w:tcPr>
          <w:p>
            <w:pPr>
              <w:spacing w:after="0"/>
              <w:rPr>
                <w:sz w:val="9"/>
                <w:szCs w:val="9"/>
                <w:color w:val="auto"/>
              </w:rPr>
            </w:pPr>
          </w:p>
        </w:tc>
        <w:tc>
          <w:tcPr>
            <w:tcW w:w="360" w:type="dxa"/>
            <w:vAlign w:val="bottom"/>
            <w:shd w:val="clear" w:color="auto" w:fill="B8CCE4"/>
          </w:tcPr>
          <w:p>
            <w:pPr>
              <w:spacing w:after="0"/>
              <w:rPr>
                <w:sz w:val="9"/>
                <w:szCs w:val="9"/>
                <w:color w:val="auto"/>
              </w:rPr>
            </w:pPr>
          </w:p>
        </w:tc>
        <w:tc>
          <w:tcPr>
            <w:tcW w:w="1900" w:type="dxa"/>
            <w:vAlign w:val="bottom"/>
            <w:shd w:val="clear" w:color="auto" w:fill="B8CCE4"/>
          </w:tcPr>
          <w:p>
            <w:pPr>
              <w:spacing w:after="0"/>
              <w:rPr>
                <w:sz w:val="9"/>
                <w:szCs w:val="9"/>
                <w:color w:val="auto"/>
              </w:rPr>
            </w:pPr>
          </w:p>
        </w:tc>
        <w:tc>
          <w:tcPr>
            <w:tcW w:w="4680" w:type="dxa"/>
            <w:vAlign w:val="bottom"/>
            <w:shd w:val="clear" w:color="auto" w:fill="B8CCE4"/>
          </w:tcPr>
          <w:p>
            <w:pPr>
              <w:spacing w:after="0"/>
              <w:rPr>
                <w:sz w:val="9"/>
                <w:szCs w:val="9"/>
                <w:color w:val="auto"/>
              </w:rPr>
            </w:pPr>
          </w:p>
        </w:tc>
        <w:tc>
          <w:tcPr>
            <w:tcW w:w="2840" w:type="dxa"/>
            <w:vAlign w:val="bottom"/>
            <w:shd w:val="clear" w:color="auto" w:fill="B8CCE4"/>
          </w:tcPr>
          <w:p>
            <w:pPr>
              <w:spacing w:after="0"/>
              <w:rPr>
                <w:sz w:val="9"/>
                <w:szCs w:val="9"/>
                <w:color w:val="auto"/>
              </w:rPr>
            </w:pPr>
          </w:p>
        </w:tc>
      </w:tr>
      <w:tr>
        <w:trPr>
          <w:trHeight w:val="305"/>
        </w:trPr>
        <w:tc>
          <w:tcPr>
            <w:tcW w:w="3880" w:type="dxa"/>
            <w:vAlign w:val="bottom"/>
            <w:gridSpan w:val="3"/>
            <w:shd w:val="clear" w:color="auto" w:fill="DBE5F1"/>
          </w:tcPr>
          <w:p>
            <w:pPr>
              <w:ind w:left="180"/>
              <w:spacing w:after="0"/>
              <w:rPr>
                <w:sz w:val="20"/>
                <w:szCs w:val="20"/>
                <w:color w:val="auto"/>
              </w:rPr>
            </w:pPr>
            <w:r>
              <w:rPr>
                <w:rFonts w:ascii="Arial" w:cs="Arial" w:eastAsia="Arial" w:hAnsi="Arial"/>
                <w:sz w:val="16"/>
                <w:szCs w:val="16"/>
                <w:b w:val="1"/>
                <w:bCs w:val="1"/>
                <w:color w:val="auto"/>
              </w:rPr>
              <w:t>Andrew C. Florance</w:t>
            </w:r>
          </w:p>
        </w:tc>
        <w:tc>
          <w:tcPr>
            <w:tcW w:w="4680" w:type="dxa"/>
            <w:vAlign w:val="bottom"/>
            <w:shd w:val="clear" w:color="auto" w:fill="DBE5F1"/>
          </w:tcPr>
          <w:p>
            <w:pPr>
              <w:ind w:left="160"/>
              <w:spacing w:after="0"/>
              <w:rPr>
                <w:sz w:val="20"/>
                <w:szCs w:val="20"/>
                <w:color w:val="auto"/>
              </w:rPr>
            </w:pPr>
            <w:r>
              <w:rPr>
                <w:rFonts w:ascii="Arial" w:cs="Arial" w:eastAsia="Arial" w:hAnsi="Arial"/>
                <w:sz w:val="16"/>
                <w:szCs w:val="16"/>
                <w:color w:val="auto"/>
              </w:rPr>
              <w:t>CEO &amp; President</w:t>
            </w:r>
          </w:p>
        </w:tc>
        <w:tc>
          <w:tcPr>
            <w:tcW w:w="2840" w:type="dxa"/>
            <w:vAlign w:val="bottom"/>
            <w:shd w:val="clear" w:color="auto" w:fill="DBE5F1"/>
          </w:tcPr>
          <w:p>
            <w:pPr>
              <w:jc w:val="right"/>
              <w:ind w:right="37"/>
              <w:spacing w:after="0"/>
              <w:rPr>
                <w:sz w:val="20"/>
                <w:szCs w:val="20"/>
                <w:color w:val="auto"/>
              </w:rPr>
            </w:pPr>
            <w:r>
              <w:rPr>
                <w:rFonts w:ascii="Arial" w:cs="Arial" w:eastAsia="Arial" w:hAnsi="Arial"/>
                <w:sz w:val="16"/>
                <w:szCs w:val="16"/>
                <w:color w:val="auto"/>
              </w:rPr>
              <w:t>$695,000</w:t>
            </w:r>
          </w:p>
        </w:tc>
      </w:tr>
      <w:tr>
        <w:trPr>
          <w:trHeight w:val="493"/>
        </w:trPr>
        <w:tc>
          <w:tcPr>
            <w:tcW w:w="3880" w:type="dxa"/>
            <w:vAlign w:val="bottom"/>
            <w:gridSpan w:val="3"/>
            <w:shd w:val="clear" w:color="auto" w:fill="DBE5F1"/>
          </w:tcPr>
          <w:p>
            <w:pPr>
              <w:ind w:left="220"/>
              <w:spacing w:after="0"/>
              <w:rPr>
                <w:sz w:val="20"/>
                <w:szCs w:val="20"/>
                <w:color w:val="auto"/>
              </w:rPr>
            </w:pPr>
            <w:r>
              <w:rPr>
                <w:rFonts w:ascii="Arial" w:cs="Arial" w:eastAsia="Arial" w:hAnsi="Arial"/>
                <w:sz w:val="16"/>
                <w:szCs w:val="16"/>
                <w:b w:val="1"/>
                <w:bCs w:val="1"/>
                <w:color w:val="auto"/>
              </w:rPr>
              <w:t>Brian J. Radecki</w:t>
            </w:r>
            <w:r>
              <w:rPr>
                <w:rFonts w:ascii="Arial" w:cs="Arial" w:eastAsia="Arial" w:hAnsi="Arial"/>
                <w:sz w:val="21"/>
                <w:szCs w:val="21"/>
                <w:b w:val="1"/>
                <w:bCs w:val="1"/>
                <w:color w:val="auto"/>
                <w:vertAlign w:val="superscript"/>
              </w:rPr>
              <w:t>(1)</w:t>
            </w:r>
          </w:p>
        </w:tc>
        <w:tc>
          <w:tcPr>
            <w:tcW w:w="4680" w:type="dxa"/>
            <w:vAlign w:val="bottom"/>
            <w:shd w:val="clear" w:color="auto" w:fill="DBE5F1"/>
          </w:tcPr>
          <w:p>
            <w:pPr>
              <w:ind w:left="160"/>
              <w:spacing w:after="0"/>
              <w:rPr>
                <w:sz w:val="20"/>
                <w:szCs w:val="20"/>
                <w:color w:val="auto"/>
              </w:rPr>
            </w:pPr>
            <w:r>
              <w:rPr>
                <w:rFonts w:ascii="Arial" w:cs="Arial" w:eastAsia="Arial" w:hAnsi="Arial"/>
                <w:sz w:val="16"/>
                <w:szCs w:val="16"/>
                <w:color w:val="auto"/>
              </w:rPr>
              <w:t>Former Chief Financial Officer</w:t>
            </w:r>
          </w:p>
        </w:tc>
        <w:tc>
          <w:tcPr>
            <w:tcW w:w="2840" w:type="dxa"/>
            <w:vAlign w:val="bottom"/>
            <w:shd w:val="clear" w:color="auto" w:fill="DBE5F1"/>
          </w:tcPr>
          <w:p>
            <w:pPr>
              <w:jc w:val="right"/>
              <w:ind w:right="37"/>
              <w:spacing w:after="0"/>
              <w:rPr>
                <w:sz w:val="20"/>
                <w:szCs w:val="20"/>
                <w:color w:val="auto"/>
              </w:rPr>
            </w:pPr>
            <w:r>
              <w:rPr>
                <w:rFonts w:ascii="Arial" w:cs="Arial" w:eastAsia="Arial" w:hAnsi="Arial"/>
                <w:sz w:val="16"/>
                <w:szCs w:val="16"/>
                <w:color w:val="auto"/>
              </w:rPr>
              <w:t>$395,000</w:t>
            </w:r>
          </w:p>
        </w:tc>
      </w:tr>
      <w:tr>
        <w:trPr>
          <w:trHeight w:val="419"/>
        </w:trPr>
        <w:tc>
          <w:tcPr>
            <w:tcW w:w="3880" w:type="dxa"/>
            <w:vAlign w:val="bottom"/>
            <w:gridSpan w:val="3"/>
            <w:shd w:val="clear" w:color="auto" w:fill="DBE5F1"/>
          </w:tcPr>
          <w:p>
            <w:pPr>
              <w:ind w:left="220"/>
              <w:spacing w:after="0"/>
              <w:rPr>
                <w:sz w:val="20"/>
                <w:szCs w:val="20"/>
                <w:color w:val="auto"/>
              </w:rPr>
            </w:pPr>
            <w:r>
              <w:rPr>
                <w:rFonts w:ascii="Arial" w:cs="Arial" w:eastAsia="Arial" w:hAnsi="Arial"/>
                <w:sz w:val="16"/>
                <w:szCs w:val="16"/>
                <w:b w:val="1"/>
                <w:bCs w:val="1"/>
                <w:color w:val="auto"/>
              </w:rPr>
              <w:t>Scott L. Yinger</w:t>
            </w:r>
            <w:r>
              <w:rPr>
                <w:rFonts w:ascii="Arial" w:cs="Arial" w:eastAsia="Arial" w:hAnsi="Arial"/>
                <w:sz w:val="21"/>
                <w:szCs w:val="21"/>
                <w:b w:val="1"/>
                <w:bCs w:val="1"/>
                <w:color w:val="auto"/>
                <w:vertAlign w:val="superscript"/>
              </w:rPr>
              <w:t>(2)</w:t>
            </w:r>
          </w:p>
        </w:tc>
        <w:tc>
          <w:tcPr>
            <w:tcW w:w="4680" w:type="dxa"/>
            <w:vAlign w:val="bottom"/>
            <w:shd w:val="clear" w:color="auto" w:fill="DBE5F1"/>
          </w:tcPr>
          <w:p>
            <w:pPr>
              <w:ind w:left="160"/>
              <w:spacing w:after="0"/>
              <w:rPr>
                <w:sz w:val="20"/>
                <w:szCs w:val="20"/>
                <w:color w:val="auto"/>
              </w:rPr>
            </w:pPr>
            <w:r>
              <w:rPr>
                <w:rFonts w:ascii="Arial" w:cs="Arial" w:eastAsia="Arial" w:hAnsi="Arial"/>
                <w:sz w:val="16"/>
                <w:szCs w:val="16"/>
                <w:color w:val="auto"/>
              </w:rPr>
              <w:t>Interim Chief Financial Officer</w:t>
            </w:r>
          </w:p>
        </w:tc>
        <w:tc>
          <w:tcPr>
            <w:tcW w:w="2840" w:type="dxa"/>
            <w:vAlign w:val="bottom"/>
            <w:shd w:val="clear" w:color="auto" w:fill="DBE5F1"/>
          </w:tcPr>
          <w:p>
            <w:pPr>
              <w:jc w:val="right"/>
              <w:ind w:right="37"/>
              <w:spacing w:after="0"/>
              <w:rPr>
                <w:sz w:val="20"/>
                <w:szCs w:val="20"/>
                <w:color w:val="auto"/>
              </w:rPr>
            </w:pPr>
            <w:r>
              <w:rPr>
                <w:rFonts w:ascii="Arial" w:cs="Arial" w:eastAsia="Arial" w:hAnsi="Arial"/>
                <w:sz w:val="16"/>
                <w:szCs w:val="16"/>
                <w:color w:val="auto"/>
              </w:rPr>
              <w:t>$352,825</w:t>
            </w:r>
          </w:p>
        </w:tc>
      </w:tr>
      <w:tr>
        <w:trPr>
          <w:trHeight w:val="344"/>
        </w:trPr>
        <w:tc>
          <w:tcPr>
            <w:tcW w:w="3880" w:type="dxa"/>
            <w:vAlign w:val="bottom"/>
            <w:gridSpan w:val="3"/>
            <w:shd w:val="clear" w:color="auto" w:fill="DBE5F1"/>
          </w:tcPr>
          <w:p>
            <w:pPr>
              <w:ind w:left="220"/>
              <w:spacing w:after="0"/>
              <w:rPr>
                <w:sz w:val="20"/>
                <w:szCs w:val="20"/>
                <w:color w:val="auto"/>
              </w:rPr>
            </w:pPr>
            <w:r>
              <w:rPr>
                <w:rFonts w:ascii="Arial" w:cs="Arial" w:eastAsia="Arial" w:hAnsi="Arial"/>
                <w:sz w:val="16"/>
                <w:szCs w:val="16"/>
                <w:b w:val="1"/>
                <w:bCs w:val="1"/>
                <w:color w:val="auto"/>
              </w:rPr>
              <w:t>Francis A. Carchedi</w:t>
            </w:r>
          </w:p>
        </w:tc>
        <w:tc>
          <w:tcPr>
            <w:tcW w:w="4680" w:type="dxa"/>
            <w:vAlign w:val="bottom"/>
            <w:shd w:val="clear" w:color="auto" w:fill="DBE5F1"/>
          </w:tcPr>
          <w:p>
            <w:pPr>
              <w:ind w:left="160"/>
              <w:spacing w:after="0"/>
              <w:rPr>
                <w:sz w:val="20"/>
                <w:szCs w:val="20"/>
                <w:color w:val="auto"/>
              </w:rPr>
            </w:pPr>
            <w:r>
              <w:rPr>
                <w:rFonts w:ascii="Arial" w:cs="Arial" w:eastAsia="Arial" w:hAnsi="Arial"/>
                <w:sz w:val="16"/>
                <w:szCs w:val="16"/>
                <w:color w:val="auto"/>
              </w:rPr>
              <w:t>Executive Vice President, Corporate Development</w:t>
            </w:r>
          </w:p>
        </w:tc>
        <w:tc>
          <w:tcPr>
            <w:tcW w:w="2840" w:type="dxa"/>
            <w:vAlign w:val="bottom"/>
            <w:shd w:val="clear" w:color="auto" w:fill="DBE5F1"/>
          </w:tcPr>
          <w:p>
            <w:pPr>
              <w:jc w:val="right"/>
              <w:ind w:right="37"/>
              <w:spacing w:after="0"/>
              <w:rPr>
                <w:sz w:val="20"/>
                <w:szCs w:val="20"/>
                <w:color w:val="auto"/>
              </w:rPr>
            </w:pPr>
            <w:r>
              <w:rPr>
                <w:rFonts w:ascii="Arial" w:cs="Arial" w:eastAsia="Arial" w:hAnsi="Arial"/>
                <w:sz w:val="16"/>
                <w:szCs w:val="16"/>
                <w:color w:val="auto"/>
              </w:rPr>
              <w:t>$375,000</w:t>
            </w:r>
          </w:p>
        </w:tc>
      </w:tr>
      <w:tr>
        <w:trPr>
          <w:trHeight w:val="419"/>
        </w:trPr>
        <w:tc>
          <w:tcPr>
            <w:tcW w:w="3880" w:type="dxa"/>
            <w:vAlign w:val="bottom"/>
            <w:gridSpan w:val="3"/>
            <w:shd w:val="clear" w:color="auto" w:fill="DBE5F1"/>
          </w:tcPr>
          <w:p>
            <w:pPr>
              <w:ind w:left="180"/>
              <w:spacing w:after="0"/>
              <w:rPr>
                <w:sz w:val="20"/>
                <w:szCs w:val="20"/>
                <w:color w:val="auto"/>
              </w:rPr>
            </w:pPr>
            <w:r>
              <w:rPr>
                <w:rFonts w:ascii="Arial" w:cs="Arial" w:eastAsia="Arial" w:hAnsi="Arial"/>
                <w:sz w:val="16"/>
                <w:szCs w:val="16"/>
                <w:b w:val="1"/>
                <w:bCs w:val="1"/>
                <w:color w:val="auto"/>
              </w:rPr>
              <w:t>Matthew F.W. Linnington</w:t>
            </w:r>
          </w:p>
        </w:tc>
        <w:tc>
          <w:tcPr>
            <w:tcW w:w="4680" w:type="dxa"/>
            <w:vAlign w:val="bottom"/>
            <w:shd w:val="clear" w:color="auto" w:fill="DBE5F1"/>
          </w:tcPr>
          <w:p>
            <w:pPr>
              <w:ind w:left="160"/>
              <w:spacing w:after="0"/>
              <w:rPr>
                <w:sz w:val="20"/>
                <w:szCs w:val="20"/>
                <w:color w:val="auto"/>
              </w:rPr>
            </w:pPr>
            <w:r>
              <w:rPr>
                <w:rFonts w:ascii="Arial" w:cs="Arial" w:eastAsia="Arial" w:hAnsi="Arial"/>
                <w:sz w:val="16"/>
                <w:szCs w:val="16"/>
                <w:color w:val="auto"/>
              </w:rPr>
              <w:t>Executive Vice President, Sales</w:t>
            </w:r>
          </w:p>
        </w:tc>
        <w:tc>
          <w:tcPr>
            <w:tcW w:w="2840" w:type="dxa"/>
            <w:vAlign w:val="bottom"/>
            <w:shd w:val="clear" w:color="auto" w:fill="DBE5F1"/>
          </w:tcPr>
          <w:p>
            <w:pPr>
              <w:jc w:val="right"/>
              <w:ind w:right="37"/>
              <w:spacing w:after="0"/>
              <w:rPr>
                <w:sz w:val="20"/>
                <w:szCs w:val="20"/>
                <w:color w:val="auto"/>
              </w:rPr>
            </w:pPr>
            <w:r>
              <w:rPr>
                <w:rFonts w:ascii="Arial" w:cs="Arial" w:eastAsia="Arial" w:hAnsi="Arial"/>
                <w:sz w:val="16"/>
                <w:szCs w:val="16"/>
                <w:color w:val="auto"/>
              </w:rPr>
              <w:t>$340,000</w:t>
            </w:r>
          </w:p>
        </w:tc>
      </w:tr>
      <w:tr>
        <w:trPr>
          <w:trHeight w:val="114"/>
        </w:trPr>
        <w:tc>
          <w:tcPr>
            <w:tcW w:w="1620" w:type="dxa"/>
            <w:vAlign w:val="bottom"/>
            <w:shd w:val="clear" w:color="auto" w:fill="DBE5F1"/>
          </w:tcPr>
          <w:p>
            <w:pPr>
              <w:spacing w:after="0"/>
              <w:rPr>
                <w:sz w:val="9"/>
                <w:szCs w:val="9"/>
                <w:color w:val="auto"/>
              </w:rPr>
            </w:pPr>
          </w:p>
        </w:tc>
        <w:tc>
          <w:tcPr>
            <w:tcW w:w="360" w:type="dxa"/>
            <w:vAlign w:val="bottom"/>
            <w:shd w:val="clear" w:color="auto" w:fill="DBE5F1"/>
          </w:tcPr>
          <w:p>
            <w:pPr>
              <w:spacing w:after="0"/>
              <w:rPr>
                <w:sz w:val="9"/>
                <w:szCs w:val="9"/>
                <w:color w:val="auto"/>
              </w:rPr>
            </w:pPr>
          </w:p>
        </w:tc>
        <w:tc>
          <w:tcPr>
            <w:tcW w:w="1900" w:type="dxa"/>
            <w:vAlign w:val="bottom"/>
            <w:shd w:val="clear" w:color="auto" w:fill="DBE5F1"/>
          </w:tcPr>
          <w:p>
            <w:pPr>
              <w:spacing w:after="0"/>
              <w:rPr>
                <w:sz w:val="9"/>
                <w:szCs w:val="9"/>
                <w:color w:val="auto"/>
              </w:rPr>
            </w:pPr>
          </w:p>
        </w:tc>
        <w:tc>
          <w:tcPr>
            <w:tcW w:w="4680" w:type="dxa"/>
            <w:vAlign w:val="bottom"/>
            <w:shd w:val="clear" w:color="auto" w:fill="DBE5F1"/>
          </w:tcPr>
          <w:p>
            <w:pPr>
              <w:spacing w:after="0"/>
              <w:rPr>
                <w:sz w:val="9"/>
                <w:szCs w:val="9"/>
                <w:color w:val="auto"/>
              </w:rPr>
            </w:pPr>
          </w:p>
        </w:tc>
        <w:tc>
          <w:tcPr>
            <w:tcW w:w="2840" w:type="dxa"/>
            <w:vAlign w:val="bottom"/>
            <w:shd w:val="clear" w:color="auto" w:fill="DBE5F1"/>
          </w:tcPr>
          <w:p>
            <w:pPr>
              <w:spacing w:after="0"/>
              <w:rPr>
                <w:sz w:val="9"/>
                <w:szCs w:val="9"/>
                <w:color w:val="auto"/>
              </w:rPr>
            </w:pPr>
          </w:p>
        </w:tc>
      </w:tr>
      <w:tr>
        <w:trPr>
          <w:trHeight w:val="189"/>
        </w:trPr>
        <w:tc>
          <w:tcPr>
            <w:tcW w:w="162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900" w:type="dxa"/>
            <w:vAlign w:val="bottom"/>
          </w:tcPr>
          <w:p>
            <w:pPr>
              <w:spacing w:after="0"/>
              <w:rPr>
                <w:sz w:val="16"/>
                <w:szCs w:val="16"/>
                <w:color w:val="auto"/>
              </w:rPr>
            </w:pPr>
          </w:p>
        </w:tc>
        <w:tc>
          <w:tcPr>
            <w:tcW w:w="4680" w:type="dxa"/>
            <w:vAlign w:val="bottom"/>
          </w:tcPr>
          <w:p>
            <w:pPr>
              <w:spacing w:after="0"/>
              <w:rPr>
                <w:sz w:val="16"/>
                <w:szCs w:val="16"/>
                <w:color w:val="auto"/>
              </w:rPr>
            </w:pPr>
          </w:p>
        </w:tc>
        <w:tc>
          <w:tcPr>
            <w:tcW w:w="2840" w:type="dxa"/>
            <w:vAlign w:val="bottom"/>
          </w:tcPr>
          <w:p>
            <w:pPr>
              <w:spacing w:after="0"/>
              <w:rPr>
                <w:sz w:val="16"/>
                <w:szCs w:val="16"/>
                <w:color w:val="auto"/>
              </w:rPr>
            </w:pPr>
          </w:p>
        </w:tc>
      </w:tr>
    </w:tbl>
    <w:p>
      <w:pPr>
        <w:spacing w:after="0" w:line="1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328930</wp:posOffset>
            </wp:positionV>
            <wp:extent cx="7237730" cy="161226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37730" cy="1612265"/>
                    </a:xfrm>
                    <a:prstGeom prst="rect">
                      <a:avLst/>
                    </a:prstGeom>
                    <a:noFill/>
                  </pic:spPr>
                </pic:pic>
              </a:graphicData>
            </a:graphic>
          </wp:anchor>
        </w:drawing>
      </w:r>
    </w:p>
    <w:p>
      <w:pPr>
        <w:ind w:left="340" w:hanging="318"/>
        <w:spacing w:after="0" w:line="255" w:lineRule="auto"/>
        <w:tabs>
          <w:tab w:leader="none" w:pos="259" w:val="left"/>
        </w:tabs>
        <w:numPr>
          <w:ilvl w:val="0"/>
          <w:numId w:val="33"/>
        </w:numPr>
        <w:rPr>
          <w:rFonts w:ascii="Arial" w:cs="Arial" w:eastAsia="Arial" w:hAnsi="Arial"/>
          <w:sz w:val="16"/>
          <w:szCs w:val="16"/>
          <w:color w:val="auto"/>
        </w:rPr>
      </w:pPr>
      <w:r>
        <w:rPr>
          <w:rFonts w:ascii="Arial" w:cs="Arial" w:eastAsia="Arial" w:hAnsi="Arial"/>
          <w:sz w:val="16"/>
          <w:szCs w:val="16"/>
          <w:color w:val="auto"/>
        </w:rPr>
        <w:t>Mr. Radecki served as the Company’s CFO until August 3, 2015, at which time he remained an employee of the Company and was compensated at a level commensurate with his position as Executive Vice President.</w:t>
      </w:r>
    </w:p>
    <w:p>
      <w:pPr>
        <w:spacing w:after="0" w:line="1" w:lineRule="exact"/>
        <w:rPr>
          <w:rFonts w:ascii="Arial" w:cs="Arial" w:eastAsia="Arial" w:hAnsi="Arial"/>
          <w:sz w:val="16"/>
          <w:szCs w:val="16"/>
          <w:color w:val="auto"/>
        </w:rPr>
      </w:pPr>
    </w:p>
    <w:p>
      <w:pPr>
        <w:ind w:left="340" w:hanging="318"/>
        <w:spacing w:after="0" w:line="257" w:lineRule="auto"/>
        <w:tabs>
          <w:tab w:leader="none" w:pos="259" w:val="left"/>
        </w:tabs>
        <w:numPr>
          <w:ilvl w:val="0"/>
          <w:numId w:val="33"/>
        </w:numPr>
        <w:rPr>
          <w:rFonts w:ascii="Arial" w:cs="Arial" w:eastAsia="Arial" w:hAnsi="Arial"/>
          <w:sz w:val="16"/>
          <w:szCs w:val="16"/>
          <w:color w:val="auto"/>
        </w:rPr>
      </w:pPr>
      <w:r>
        <w:rPr>
          <w:rFonts w:ascii="Arial" w:cs="Arial" w:eastAsia="Arial" w:hAnsi="Arial"/>
          <w:sz w:val="16"/>
          <w:szCs w:val="16"/>
          <w:color w:val="auto"/>
        </w:rPr>
        <w:t>Reflects Mr. Yinger’s title and salary for the duration of his appointment as Interim CFO commencing August 3, 2015. Upon Mr. Wheeler’s appointment as CFO in January 2016, Mr. Yinger resumed the role of Vice President, Finance at a compensation level commensurate with that position.</w:t>
      </w:r>
    </w:p>
    <w:p>
      <w:pPr>
        <w:spacing w:after="0" w:line="20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2015 Annual Cash Incentive Program</w:t>
      </w:r>
    </w:p>
    <w:p>
      <w:pPr>
        <w:spacing w:after="0" w:line="130"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The Committee administers an annual cash incentive program under which the Company’s named executive officers may earn a cash incentive bonus based on a fixed target percentage of base salary during the fiscal year, if individual and corporate performance objectives for the fiscal year are achieved. At the beginning of each year, the Committee establishes individual goals for each named executive officer, other than the Chief Executive Officer, based upon recommendations from our Chief Executive Officer, as well as Company financial goals that apply to all named executive officers that are based upon recommendations from our Chief Executive Officer and our Chief Financial Officer. The Committee determines the target percentages of base pay for each named executive officer based on market and competitive conditions, peer company practices, and internal pay equity considerations. The Committee also determines the weighting of the various individual and Company financial goals, based upon position and functional accountability and responsibility, as well as recommendations from our Chief Executive Officer. The target percentages and weighting of the various individual and Company financial goals may vary among the named executive officers and are subject to change from year to year. The Committee seeks to establish performance goals that are challenging but realistic given the expected operating environment at the time they are established. These performance goals are intended to focus named executive officers on achieving the Company’s financial and operating goals. After the completion of each year, the Committee reviews individual and Company performance to determine the extent to which the goals were achieved and the actual cash bonuses to be paid to the named executive officers.</w:t>
      </w:r>
    </w:p>
    <w:p>
      <w:pPr>
        <w:spacing w:after="0" w:line="169"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In the Committee’s view, the use of annual performance-based cash incentive bonuses creates a direct link between executive compensation and individual and corporate performance. Therefore, the annual performance-based cash incentive bonus is generally divided into two components, one tied to corporate performance and one tied to individual performance. As discussed in greater detail below, the Committee sets a threshold, target and maximum award for the corporate performance objectives. Accordingly, the annual cash incentive plan provides each named executive officer with the potential to earn awards up to two times the amount of their target award value for exceptional performance as measured against metrics and goals, each of which is discussed below. If the maximum is achieved, the named executive officers receive 200% credit for the corporate performance portion of the award. If the target is achieved, the named executive officers receive 100% credit for the corporate performance portion of the award. If the threshold level of corporate performance is not reached, the executive officer does not receive any amount in respect of that portion of the award. Achievement of the individual performance goals are subjective and executives can receive between 0 and 200% credit for that portion of the award.</w:t>
      </w:r>
    </w:p>
    <w:p>
      <w:pPr>
        <w:spacing w:after="0" w:line="182"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Committee reviewed 2015 target and maximum award values (as a percentage of base salary) in March 2015 for all named executive officers except Mr. Yinger who was not an executive officer at that time. The Committee left unchanged Mr. Florance’s, Mr. Radecki’s and Mr. Carchedi’s target and maximum award values for 2015 based upon their individual responsibilities, competitive practices and internal pay equity considerations. Mr. Florance’s, Mr. Radecki’s, and Mr. Carchedi’s 2015 target award values remained generally aligned with market common practice (within +/- 15% of the median levels of the blended market data in the early 2015 Willis Towers Watson study). The Committee revised Mr. Linnington’s cash incentive plan to a commission-based plan in early 2015, consistent with market practice for his position, and therefore his cash incentive for 2015 is based solely on his commission plan. Mr. Linnington’s commission plan emphasizes and bases the potential payouts on sales of the Company’s information and marketplace services. The Committee determined that Mr. Linnington’s potential commission payments balance out his overall compensation package, and therefore, Mr. Linnington was not eligible for a cash incentive award in 2015</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20"/>
          </w:cols>
          <w:pgMar w:left="240" w:top="518" w:right="239" w:bottom="1440" w:gutter="0" w:footer="0" w:header="0"/>
        </w:sectPr>
      </w:pPr>
    </w:p>
    <w:bookmarkStart w:id="59" w:name="page60"/>
    <w:bookmarkEnd w:id="59"/>
    <w:p>
      <w:pPr>
        <w:spacing w:after="0" w:line="277" w:lineRule="auto"/>
        <w:rPr>
          <w:sz w:val="20"/>
          <w:szCs w:val="20"/>
          <w:color w:val="auto"/>
        </w:rPr>
      </w:pPr>
      <w:r>
        <w:rPr>
          <w:rFonts w:ascii="Arial" w:cs="Arial" w:eastAsia="Arial" w:hAnsi="Arial"/>
          <w:sz w:val="18"/>
          <w:szCs w:val="18"/>
          <w:color w:val="auto"/>
        </w:rPr>
        <w:t>apart from the commission plan. The following table shows each named executive officer’s fiscal 2015 potential cash incentive award values at threshold, target and maximum, expressed as a percentage of his base salary.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254875" cy="16637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4875" cy="1663700"/>
                    </a:xfrm>
                    <a:prstGeom prst="rect">
                      <a:avLst/>
                    </a:prstGeom>
                    <a:noFill/>
                  </pic:spPr>
                </pic:pic>
              </a:graphicData>
            </a:graphic>
          </wp:anchor>
        </w:drawing>
      </w:r>
    </w:p>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040" w:type="dxa"/>
            <w:vAlign w:val="bottom"/>
            <w:gridSpan w:val="3"/>
            <w:vMerge w:val="restart"/>
            <w:shd w:val="clear" w:color="auto" w:fill="B8CCE4"/>
          </w:tcPr>
          <w:p>
            <w:pPr>
              <w:ind w:left="180"/>
              <w:spacing w:after="0"/>
              <w:rPr>
                <w:sz w:val="20"/>
                <w:szCs w:val="20"/>
                <w:color w:val="auto"/>
              </w:rPr>
            </w:pPr>
            <w:r>
              <w:rPr>
                <w:rFonts w:ascii="Arial" w:cs="Arial" w:eastAsia="Arial" w:hAnsi="Arial"/>
                <w:sz w:val="18"/>
                <w:szCs w:val="18"/>
                <w:b w:val="1"/>
                <w:bCs w:val="1"/>
                <w:color w:val="auto"/>
              </w:rPr>
              <w:t>Name</w:t>
            </w:r>
          </w:p>
        </w:tc>
        <w:tc>
          <w:tcPr>
            <w:tcW w:w="4160" w:type="dxa"/>
            <w:vAlign w:val="bottom"/>
            <w:vMerge w:val="restart"/>
            <w:shd w:val="clear" w:color="auto" w:fill="B8CCE4"/>
          </w:tcPr>
          <w:p>
            <w:pPr>
              <w:ind w:left="160"/>
              <w:spacing w:after="0"/>
              <w:rPr>
                <w:sz w:val="20"/>
                <w:szCs w:val="20"/>
                <w:color w:val="auto"/>
              </w:rPr>
            </w:pPr>
            <w:r>
              <w:rPr>
                <w:rFonts w:ascii="Arial" w:cs="Arial" w:eastAsia="Arial" w:hAnsi="Arial"/>
                <w:sz w:val="18"/>
                <w:szCs w:val="18"/>
                <w:b w:val="1"/>
                <w:bCs w:val="1"/>
                <w:color w:val="auto"/>
              </w:rPr>
              <w:t>Title</w:t>
            </w:r>
          </w:p>
        </w:tc>
        <w:tc>
          <w:tcPr>
            <w:tcW w:w="1420" w:type="dxa"/>
            <w:vAlign w:val="bottom"/>
            <w:shd w:val="clear" w:color="auto" w:fill="B8CCE4"/>
          </w:tcPr>
          <w:p>
            <w:pPr>
              <w:jc w:val="right"/>
              <w:ind w:right="236"/>
              <w:spacing w:after="0"/>
              <w:rPr>
                <w:sz w:val="20"/>
                <w:szCs w:val="20"/>
                <w:color w:val="auto"/>
              </w:rPr>
            </w:pPr>
            <w:r>
              <w:rPr>
                <w:rFonts w:ascii="Arial" w:cs="Arial" w:eastAsia="Arial" w:hAnsi="Arial"/>
                <w:sz w:val="18"/>
                <w:szCs w:val="18"/>
                <w:b w:val="1"/>
                <w:bCs w:val="1"/>
                <w:color w:val="auto"/>
              </w:rPr>
              <w:t>Threshold</w:t>
            </w:r>
          </w:p>
        </w:tc>
        <w:tc>
          <w:tcPr>
            <w:tcW w:w="1420" w:type="dxa"/>
            <w:vAlign w:val="bottom"/>
            <w:vMerge w:val="restart"/>
            <w:shd w:val="clear" w:color="auto" w:fill="B8CCE4"/>
          </w:tcPr>
          <w:p>
            <w:pPr>
              <w:jc w:val="right"/>
              <w:ind w:right="377"/>
              <w:spacing w:after="0"/>
              <w:rPr>
                <w:sz w:val="20"/>
                <w:szCs w:val="20"/>
                <w:color w:val="auto"/>
              </w:rPr>
            </w:pPr>
            <w:r>
              <w:rPr>
                <w:rFonts w:ascii="Arial" w:cs="Arial" w:eastAsia="Arial" w:hAnsi="Arial"/>
                <w:sz w:val="18"/>
                <w:szCs w:val="18"/>
                <w:b w:val="1"/>
                <w:bCs w:val="1"/>
                <w:color w:val="auto"/>
              </w:rPr>
              <w:t>Target</w:t>
            </w:r>
          </w:p>
        </w:tc>
        <w:tc>
          <w:tcPr>
            <w:tcW w:w="1380" w:type="dxa"/>
            <w:vAlign w:val="bottom"/>
            <w:shd w:val="clear" w:color="auto" w:fill="B8CCE4"/>
          </w:tcPr>
          <w:p>
            <w:pPr>
              <w:jc w:val="right"/>
              <w:ind w:right="216"/>
              <w:spacing w:after="0"/>
              <w:rPr>
                <w:sz w:val="20"/>
                <w:szCs w:val="20"/>
                <w:color w:val="auto"/>
              </w:rPr>
            </w:pPr>
            <w:r>
              <w:rPr>
                <w:rFonts w:ascii="Arial" w:cs="Arial" w:eastAsia="Arial" w:hAnsi="Arial"/>
                <w:sz w:val="18"/>
                <w:szCs w:val="18"/>
                <w:b w:val="1"/>
                <w:bCs w:val="1"/>
                <w:color w:val="auto"/>
              </w:rPr>
              <w:t>Maximum</w:t>
            </w:r>
          </w:p>
        </w:tc>
        <w:tc>
          <w:tcPr>
            <w:tcW w:w="0" w:type="dxa"/>
            <w:vAlign w:val="bottom"/>
          </w:tcPr>
          <w:p>
            <w:pPr>
              <w:spacing w:after="0"/>
              <w:rPr>
                <w:sz w:val="1"/>
                <w:szCs w:val="1"/>
                <w:color w:val="auto"/>
              </w:rPr>
            </w:pPr>
          </w:p>
        </w:tc>
      </w:tr>
      <w:tr>
        <w:trPr>
          <w:trHeight w:val="126"/>
        </w:trPr>
        <w:tc>
          <w:tcPr>
            <w:tcW w:w="3040" w:type="dxa"/>
            <w:vAlign w:val="bottom"/>
            <w:gridSpan w:val="3"/>
            <w:vMerge w:val="continue"/>
            <w:shd w:val="clear" w:color="auto" w:fill="B8CCE4"/>
          </w:tcPr>
          <w:p>
            <w:pPr>
              <w:spacing w:after="0"/>
              <w:rPr>
                <w:sz w:val="10"/>
                <w:szCs w:val="10"/>
                <w:color w:val="auto"/>
              </w:rPr>
            </w:pPr>
          </w:p>
        </w:tc>
        <w:tc>
          <w:tcPr>
            <w:tcW w:w="4160" w:type="dxa"/>
            <w:vAlign w:val="bottom"/>
            <w:vMerge w:val="continue"/>
            <w:shd w:val="clear" w:color="auto" w:fill="B8CCE4"/>
          </w:tcPr>
          <w:p>
            <w:pPr>
              <w:spacing w:after="0"/>
              <w:rPr>
                <w:sz w:val="10"/>
                <w:szCs w:val="10"/>
                <w:color w:val="auto"/>
              </w:rPr>
            </w:pPr>
          </w:p>
        </w:tc>
        <w:tc>
          <w:tcPr>
            <w:tcW w:w="1420" w:type="dxa"/>
            <w:vAlign w:val="bottom"/>
            <w:vMerge w:val="restart"/>
            <w:shd w:val="clear" w:color="auto" w:fill="B8CCE4"/>
          </w:tcPr>
          <w:p>
            <w:pPr>
              <w:jc w:val="right"/>
              <w:ind w:right="36"/>
              <w:spacing w:after="0"/>
              <w:rPr>
                <w:sz w:val="20"/>
                <w:szCs w:val="20"/>
                <w:color w:val="auto"/>
              </w:rPr>
            </w:pPr>
            <w:r>
              <w:rPr>
                <w:rFonts w:ascii="Arial" w:cs="Arial" w:eastAsia="Arial" w:hAnsi="Arial"/>
                <w:sz w:val="18"/>
                <w:szCs w:val="18"/>
                <w:b w:val="1"/>
                <w:bCs w:val="1"/>
                <w:color w:val="auto"/>
              </w:rPr>
              <w:t>(50% of target)</w:t>
            </w:r>
          </w:p>
        </w:tc>
        <w:tc>
          <w:tcPr>
            <w:tcW w:w="1420" w:type="dxa"/>
            <w:vAlign w:val="bottom"/>
            <w:vMerge w:val="continue"/>
            <w:shd w:val="clear" w:color="auto" w:fill="B8CCE4"/>
          </w:tcPr>
          <w:p>
            <w:pPr>
              <w:spacing w:after="0"/>
              <w:rPr>
                <w:sz w:val="10"/>
                <w:szCs w:val="10"/>
                <w:color w:val="auto"/>
              </w:rPr>
            </w:pPr>
          </w:p>
        </w:tc>
        <w:tc>
          <w:tcPr>
            <w:tcW w:w="1380" w:type="dxa"/>
            <w:vAlign w:val="bottom"/>
            <w:vMerge w:val="restart"/>
            <w:shd w:val="clear" w:color="auto" w:fill="B8CCE4"/>
          </w:tcPr>
          <w:p>
            <w:pPr>
              <w:jc w:val="right"/>
              <w:spacing w:after="0"/>
              <w:rPr>
                <w:sz w:val="20"/>
                <w:szCs w:val="20"/>
                <w:color w:val="auto"/>
              </w:rPr>
            </w:pPr>
            <w:r>
              <w:rPr>
                <w:rFonts w:ascii="Arial" w:cs="Arial" w:eastAsia="Arial" w:hAnsi="Arial"/>
                <w:sz w:val="18"/>
                <w:szCs w:val="18"/>
                <w:b w:val="1"/>
                <w:bCs w:val="1"/>
                <w:color w:val="auto"/>
                <w:w w:val="96"/>
              </w:rPr>
              <w:t>(200% of target)</w:t>
            </w:r>
          </w:p>
        </w:tc>
        <w:tc>
          <w:tcPr>
            <w:tcW w:w="0" w:type="dxa"/>
            <w:vAlign w:val="bottom"/>
          </w:tcPr>
          <w:p>
            <w:pPr>
              <w:spacing w:after="0"/>
              <w:rPr>
                <w:sz w:val="1"/>
                <w:szCs w:val="1"/>
                <w:color w:val="auto"/>
              </w:rPr>
            </w:pPr>
          </w:p>
        </w:tc>
      </w:tr>
      <w:tr>
        <w:trPr>
          <w:trHeight w:val="129"/>
        </w:trPr>
        <w:tc>
          <w:tcPr>
            <w:tcW w:w="1300" w:type="dxa"/>
            <w:vAlign w:val="bottom"/>
            <w:tcBorders>
              <w:bottom w:val="single" w:sz="8" w:color="B8CCE4"/>
            </w:tcBorders>
            <w:shd w:val="clear" w:color="auto" w:fill="B8CCE4"/>
          </w:tcPr>
          <w:p>
            <w:pPr>
              <w:spacing w:after="0"/>
              <w:rPr>
                <w:sz w:val="11"/>
                <w:szCs w:val="11"/>
                <w:color w:val="auto"/>
              </w:rPr>
            </w:pPr>
          </w:p>
        </w:tc>
        <w:tc>
          <w:tcPr>
            <w:tcW w:w="300" w:type="dxa"/>
            <w:vAlign w:val="bottom"/>
            <w:tcBorders>
              <w:bottom w:val="single" w:sz="8" w:color="B8CCE4"/>
            </w:tcBorders>
            <w:shd w:val="clear" w:color="auto" w:fill="B8CCE4"/>
          </w:tcPr>
          <w:p>
            <w:pPr>
              <w:spacing w:after="0"/>
              <w:rPr>
                <w:sz w:val="11"/>
                <w:szCs w:val="11"/>
                <w:color w:val="auto"/>
              </w:rPr>
            </w:pPr>
          </w:p>
        </w:tc>
        <w:tc>
          <w:tcPr>
            <w:tcW w:w="1440" w:type="dxa"/>
            <w:vAlign w:val="bottom"/>
            <w:tcBorders>
              <w:bottom w:val="single" w:sz="8" w:color="B8CCE4"/>
            </w:tcBorders>
            <w:shd w:val="clear" w:color="auto" w:fill="B8CCE4"/>
          </w:tcPr>
          <w:p>
            <w:pPr>
              <w:spacing w:after="0"/>
              <w:rPr>
                <w:sz w:val="11"/>
                <w:szCs w:val="11"/>
                <w:color w:val="auto"/>
              </w:rPr>
            </w:pPr>
          </w:p>
        </w:tc>
        <w:tc>
          <w:tcPr>
            <w:tcW w:w="4160" w:type="dxa"/>
            <w:vAlign w:val="bottom"/>
            <w:tcBorders>
              <w:bottom w:val="single" w:sz="8" w:color="B8CCE4"/>
            </w:tcBorders>
            <w:shd w:val="clear" w:color="auto" w:fill="B8CCE4"/>
          </w:tcPr>
          <w:p>
            <w:pPr>
              <w:spacing w:after="0"/>
              <w:rPr>
                <w:sz w:val="11"/>
                <w:szCs w:val="11"/>
                <w:color w:val="auto"/>
              </w:rPr>
            </w:pPr>
          </w:p>
        </w:tc>
        <w:tc>
          <w:tcPr>
            <w:tcW w:w="1420" w:type="dxa"/>
            <w:vAlign w:val="bottom"/>
            <w:tcBorders>
              <w:bottom w:val="single" w:sz="8" w:color="B8CCE4"/>
            </w:tcBorders>
            <w:vMerge w:val="continue"/>
            <w:shd w:val="clear" w:color="auto" w:fill="B8CCE4"/>
          </w:tcPr>
          <w:p>
            <w:pPr>
              <w:spacing w:after="0"/>
              <w:rPr>
                <w:sz w:val="11"/>
                <w:szCs w:val="11"/>
                <w:color w:val="auto"/>
              </w:rPr>
            </w:pPr>
          </w:p>
        </w:tc>
        <w:tc>
          <w:tcPr>
            <w:tcW w:w="1420" w:type="dxa"/>
            <w:vAlign w:val="bottom"/>
            <w:tcBorders>
              <w:bottom w:val="single" w:sz="8" w:color="B8CCE4"/>
            </w:tcBorders>
            <w:shd w:val="clear" w:color="auto" w:fill="B8CCE4"/>
          </w:tcPr>
          <w:p>
            <w:pPr>
              <w:spacing w:after="0"/>
              <w:rPr>
                <w:sz w:val="11"/>
                <w:szCs w:val="11"/>
                <w:color w:val="auto"/>
              </w:rPr>
            </w:pPr>
          </w:p>
        </w:tc>
        <w:tc>
          <w:tcPr>
            <w:tcW w:w="1380" w:type="dxa"/>
            <w:vAlign w:val="bottom"/>
            <w:tcBorders>
              <w:bottom w:val="single" w:sz="8" w:color="B8CCE4"/>
            </w:tcBorders>
            <w:vMerge w:val="continue"/>
            <w:shd w:val="clear" w:color="auto" w:fill="B8CCE4"/>
          </w:tcPr>
          <w:p>
            <w:pPr>
              <w:spacing w:after="0"/>
              <w:rPr>
                <w:sz w:val="11"/>
                <w:szCs w:val="11"/>
                <w:color w:val="auto"/>
              </w:rPr>
            </w:pPr>
          </w:p>
        </w:tc>
        <w:tc>
          <w:tcPr>
            <w:tcW w:w="0" w:type="dxa"/>
            <w:vAlign w:val="bottom"/>
          </w:tcPr>
          <w:p>
            <w:pPr>
              <w:spacing w:after="0"/>
              <w:rPr>
                <w:sz w:val="1"/>
                <w:szCs w:val="1"/>
                <w:color w:val="auto"/>
              </w:rPr>
            </w:pPr>
          </w:p>
        </w:tc>
      </w:tr>
      <w:tr>
        <w:trPr>
          <w:trHeight w:val="278"/>
        </w:trPr>
        <w:tc>
          <w:tcPr>
            <w:tcW w:w="3040" w:type="dxa"/>
            <w:vAlign w:val="bottom"/>
            <w:gridSpan w:val="3"/>
            <w:shd w:val="clear" w:color="auto" w:fill="DBE5F1"/>
          </w:tcPr>
          <w:p>
            <w:pPr>
              <w:ind w:left="180"/>
              <w:spacing w:after="0"/>
              <w:rPr>
                <w:sz w:val="20"/>
                <w:szCs w:val="20"/>
                <w:color w:val="auto"/>
              </w:rPr>
            </w:pPr>
            <w:r>
              <w:rPr>
                <w:rFonts w:ascii="Arial" w:cs="Arial" w:eastAsia="Arial" w:hAnsi="Arial"/>
                <w:sz w:val="16"/>
                <w:szCs w:val="16"/>
                <w:b w:val="1"/>
                <w:bCs w:val="1"/>
                <w:color w:val="auto"/>
              </w:rPr>
              <w:t>Andrew C. Florance</w:t>
            </w:r>
          </w:p>
        </w:tc>
        <w:tc>
          <w:tcPr>
            <w:tcW w:w="4160" w:type="dxa"/>
            <w:vAlign w:val="bottom"/>
            <w:shd w:val="clear" w:color="auto" w:fill="DBE5F1"/>
          </w:tcPr>
          <w:p>
            <w:pPr>
              <w:ind w:left="160"/>
              <w:spacing w:after="0"/>
              <w:rPr>
                <w:sz w:val="20"/>
                <w:szCs w:val="20"/>
                <w:color w:val="auto"/>
              </w:rPr>
            </w:pPr>
            <w:r>
              <w:rPr>
                <w:rFonts w:ascii="Arial" w:cs="Arial" w:eastAsia="Arial" w:hAnsi="Arial"/>
                <w:sz w:val="16"/>
                <w:szCs w:val="16"/>
                <w:color w:val="auto"/>
              </w:rPr>
              <w:t>CEO &amp; President</w:t>
            </w:r>
          </w:p>
        </w:tc>
        <w:tc>
          <w:tcPr>
            <w:tcW w:w="1420" w:type="dxa"/>
            <w:vAlign w:val="bottom"/>
            <w:shd w:val="clear" w:color="auto" w:fill="DBE5F1"/>
          </w:tcPr>
          <w:p>
            <w:pPr>
              <w:jc w:val="right"/>
              <w:spacing w:after="0"/>
              <w:rPr>
                <w:sz w:val="20"/>
                <w:szCs w:val="20"/>
                <w:color w:val="auto"/>
              </w:rPr>
            </w:pPr>
            <w:r>
              <w:rPr>
                <w:rFonts w:ascii="Arial" w:cs="Arial" w:eastAsia="Arial" w:hAnsi="Arial"/>
                <w:sz w:val="16"/>
                <w:szCs w:val="16"/>
                <w:color w:val="auto"/>
              </w:rPr>
              <w:t>50.0%</w:t>
            </w:r>
          </w:p>
        </w:tc>
        <w:tc>
          <w:tcPr>
            <w:tcW w:w="1420" w:type="dxa"/>
            <w:vAlign w:val="bottom"/>
            <w:shd w:val="clear" w:color="auto" w:fill="DBE5F1"/>
          </w:tcPr>
          <w:p>
            <w:pPr>
              <w:jc w:val="right"/>
              <w:spacing w:after="0"/>
              <w:rPr>
                <w:sz w:val="20"/>
                <w:szCs w:val="20"/>
                <w:color w:val="auto"/>
              </w:rPr>
            </w:pPr>
            <w:r>
              <w:rPr>
                <w:rFonts w:ascii="Arial" w:cs="Arial" w:eastAsia="Arial" w:hAnsi="Arial"/>
                <w:sz w:val="16"/>
                <w:szCs w:val="16"/>
                <w:color w:val="auto"/>
              </w:rPr>
              <w:t>100.0%</w:t>
            </w:r>
          </w:p>
        </w:tc>
        <w:tc>
          <w:tcPr>
            <w:tcW w:w="1380" w:type="dxa"/>
            <w:vAlign w:val="bottom"/>
            <w:shd w:val="clear" w:color="auto" w:fill="DBE5F1"/>
          </w:tcPr>
          <w:p>
            <w:pPr>
              <w:jc w:val="right"/>
              <w:spacing w:after="0"/>
              <w:rPr>
                <w:sz w:val="20"/>
                <w:szCs w:val="20"/>
                <w:color w:val="auto"/>
              </w:rPr>
            </w:pPr>
            <w:r>
              <w:rPr>
                <w:rFonts w:ascii="Arial" w:cs="Arial" w:eastAsia="Arial" w:hAnsi="Arial"/>
                <w:sz w:val="16"/>
                <w:szCs w:val="16"/>
                <w:color w:val="auto"/>
              </w:rPr>
              <w:t>200.0%</w:t>
            </w:r>
          </w:p>
        </w:tc>
        <w:tc>
          <w:tcPr>
            <w:tcW w:w="0" w:type="dxa"/>
            <w:vAlign w:val="bottom"/>
          </w:tcPr>
          <w:p>
            <w:pPr>
              <w:spacing w:after="0"/>
              <w:rPr>
                <w:sz w:val="1"/>
                <w:szCs w:val="1"/>
                <w:color w:val="auto"/>
              </w:rPr>
            </w:pPr>
          </w:p>
        </w:tc>
      </w:tr>
      <w:tr>
        <w:trPr>
          <w:trHeight w:val="419"/>
        </w:trPr>
        <w:tc>
          <w:tcPr>
            <w:tcW w:w="3040" w:type="dxa"/>
            <w:vAlign w:val="bottom"/>
            <w:gridSpan w:val="3"/>
            <w:shd w:val="clear" w:color="auto" w:fill="DBE5F1"/>
          </w:tcPr>
          <w:p>
            <w:pPr>
              <w:ind w:left="180"/>
              <w:spacing w:after="0"/>
              <w:rPr>
                <w:sz w:val="20"/>
                <w:szCs w:val="20"/>
                <w:color w:val="auto"/>
              </w:rPr>
            </w:pPr>
            <w:r>
              <w:rPr>
                <w:rFonts w:ascii="Arial" w:cs="Arial" w:eastAsia="Arial" w:hAnsi="Arial"/>
                <w:sz w:val="16"/>
                <w:szCs w:val="16"/>
                <w:b w:val="1"/>
                <w:bCs w:val="1"/>
                <w:color w:val="auto"/>
              </w:rPr>
              <w:t>Brian J. Radecki</w:t>
            </w:r>
          </w:p>
        </w:tc>
        <w:tc>
          <w:tcPr>
            <w:tcW w:w="4160" w:type="dxa"/>
            <w:vAlign w:val="bottom"/>
            <w:shd w:val="clear" w:color="auto" w:fill="DBE5F1"/>
          </w:tcPr>
          <w:p>
            <w:pPr>
              <w:ind w:left="160"/>
              <w:spacing w:after="0"/>
              <w:rPr>
                <w:sz w:val="20"/>
                <w:szCs w:val="20"/>
                <w:color w:val="auto"/>
              </w:rPr>
            </w:pPr>
            <w:r>
              <w:rPr>
                <w:rFonts w:ascii="Arial" w:cs="Arial" w:eastAsia="Arial" w:hAnsi="Arial"/>
                <w:sz w:val="16"/>
                <w:szCs w:val="16"/>
                <w:color w:val="auto"/>
              </w:rPr>
              <w:t>Former CFO</w:t>
            </w:r>
          </w:p>
        </w:tc>
        <w:tc>
          <w:tcPr>
            <w:tcW w:w="1420" w:type="dxa"/>
            <w:vAlign w:val="bottom"/>
            <w:shd w:val="clear" w:color="auto" w:fill="DBE5F1"/>
          </w:tcPr>
          <w:p>
            <w:pPr>
              <w:jc w:val="right"/>
              <w:spacing w:after="0"/>
              <w:rPr>
                <w:sz w:val="20"/>
                <w:szCs w:val="20"/>
                <w:color w:val="auto"/>
              </w:rPr>
            </w:pPr>
            <w:r>
              <w:rPr>
                <w:rFonts w:ascii="Arial" w:cs="Arial" w:eastAsia="Arial" w:hAnsi="Arial"/>
                <w:sz w:val="16"/>
                <w:szCs w:val="16"/>
                <w:color w:val="auto"/>
              </w:rPr>
              <w:t>32.5%</w:t>
            </w:r>
          </w:p>
        </w:tc>
        <w:tc>
          <w:tcPr>
            <w:tcW w:w="1420" w:type="dxa"/>
            <w:vAlign w:val="bottom"/>
            <w:shd w:val="clear" w:color="auto" w:fill="DBE5F1"/>
          </w:tcPr>
          <w:p>
            <w:pPr>
              <w:jc w:val="right"/>
              <w:spacing w:after="0"/>
              <w:rPr>
                <w:sz w:val="20"/>
                <w:szCs w:val="20"/>
                <w:color w:val="auto"/>
              </w:rPr>
            </w:pPr>
            <w:r>
              <w:rPr>
                <w:rFonts w:ascii="Arial" w:cs="Arial" w:eastAsia="Arial" w:hAnsi="Arial"/>
                <w:sz w:val="16"/>
                <w:szCs w:val="16"/>
                <w:color w:val="auto"/>
              </w:rPr>
              <w:t>65.0%</w:t>
            </w:r>
          </w:p>
        </w:tc>
        <w:tc>
          <w:tcPr>
            <w:tcW w:w="1380" w:type="dxa"/>
            <w:vAlign w:val="bottom"/>
            <w:shd w:val="clear" w:color="auto" w:fill="DBE5F1"/>
          </w:tcPr>
          <w:p>
            <w:pPr>
              <w:jc w:val="right"/>
              <w:spacing w:after="0"/>
              <w:rPr>
                <w:sz w:val="20"/>
                <w:szCs w:val="20"/>
                <w:color w:val="auto"/>
              </w:rPr>
            </w:pPr>
            <w:r>
              <w:rPr>
                <w:rFonts w:ascii="Arial" w:cs="Arial" w:eastAsia="Arial" w:hAnsi="Arial"/>
                <w:sz w:val="16"/>
                <w:szCs w:val="16"/>
                <w:color w:val="auto"/>
              </w:rPr>
              <w:t>130.0%</w:t>
            </w:r>
          </w:p>
        </w:tc>
        <w:tc>
          <w:tcPr>
            <w:tcW w:w="0" w:type="dxa"/>
            <w:vAlign w:val="bottom"/>
          </w:tcPr>
          <w:p>
            <w:pPr>
              <w:spacing w:after="0"/>
              <w:rPr>
                <w:sz w:val="1"/>
                <w:szCs w:val="1"/>
                <w:color w:val="auto"/>
              </w:rPr>
            </w:pPr>
          </w:p>
        </w:tc>
      </w:tr>
      <w:tr>
        <w:trPr>
          <w:trHeight w:val="540"/>
        </w:trPr>
        <w:tc>
          <w:tcPr>
            <w:tcW w:w="3040" w:type="dxa"/>
            <w:vAlign w:val="bottom"/>
            <w:tcBorders>
              <w:bottom w:val="single" w:sz="8" w:color="DBE5F1"/>
            </w:tcBorders>
            <w:gridSpan w:val="3"/>
            <w:shd w:val="clear" w:color="auto" w:fill="DBE5F1"/>
          </w:tcPr>
          <w:p>
            <w:pPr>
              <w:ind w:left="220"/>
              <w:spacing w:after="0"/>
              <w:rPr>
                <w:sz w:val="20"/>
                <w:szCs w:val="20"/>
                <w:color w:val="auto"/>
              </w:rPr>
            </w:pPr>
            <w:r>
              <w:rPr>
                <w:rFonts w:ascii="Arial" w:cs="Arial" w:eastAsia="Arial" w:hAnsi="Arial"/>
                <w:sz w:val="16"/>
                <w:szCs w:val="16"/>
                <w:b w:val="1"/>
                <w:bCs w:val="1"/>
                <w:color w:val="auto"/>
              </w:rPr>
              <w:t>Scott L. Yinger</w:t>
            </w:r>
            <w:r>
              <w:rPr>
                <w:rFonts w:ascii="Arial" w:cs="Arial" w:eastAsia="Arial" w:hAnsi="Arial"/>
                <w:sz w:val="21"/>
                <w:szCs w:val="21"/>
                <w:b w:val="1"/>
                <w:bCs w:val="1"/>
                <w:color w:val="auto"/>
                <w:vertAlign w:val="superscript"/>
              </w:rPr>
              <w:t>(1)</w:t>
            </w:r>
          </w:p>
        </w:tc>
        <w:tc>
          <w:tcPr>
            <w:tcW w:w="4160" w:type="dxa"/>
            <w:vAlign w:val="bottom"/>
            <w:tcBorders>
              <w:bottom w:val="single" w:sz="8" w:color="DBE5F1"/>
            </w:tcBorders>
            <w:shd w:val="clear" w:color="auto" w:fill="DBE5F1"/>
          </w:tcPr>
          <w:p>
            <w:pPr>
              <w:ind w:left="160"/>
              <w:spacing w:after="0"/>
              <w:rPr>
                <w:sz w:val="20"/>
                <w:szCs w:val="20"/>
                <w:color w:val="auto"/>
              </w:rPr>
            </w:pPr>
            <w:r>
              <w:rPr>
                <w:rFonts w:ascii="Arial" w:cs="Arial" w:eastAsia="Arial" w:hAnsi="Arial"/>
                <w:sz w:val="16"/>
                <w:szCs w:val="16"/>
                <w:color w:val="auto"/>
              </w:rPr>
              <w:t>Interim CFO</w:t>
            </w:r>
          </w:p>
        </w:tc>
        <w:tc>
          <w:tcPr>
            <w:tcW w:w="1420" w:type="dxa"/>
            <w:vAlign w:val="bottom"/>
            <w:tcBorders>
              <w:bottom w:val="single" w:sz="8" w:color="DBE5F1"/>
            </w:tcBorders>
            <w:shd w:val="clear" w:color="auto" w:fill="DBE5F1"/>
          </w:tcPr>
          <w:p>
            <w:pPr>
              <w:jc w:val="right"/>
              <w:ind w:right="96"/>
              <w:spacing w:after="0"/>
              <w:rPr>
                <w:sz w:val="20"/>
                <w:szCs w:val="20"/>
                <w:color w:val="auto"/>
              </w:rPr>
            </w:pPr>
            <w:r>
              <w:rPr>
                <w:rFonts w:ascii="Arial" w:cs="Arial" w:eastAsia="Arial" w:hAnsi="Arial"/>
                <w:sz w:val="16"/>
                <w:szCs w:val="16"/>
                <w:color w:val="auto"/>
              </w:rPr>
              <w:t>—</w:t>
            </w:r>
          </w:p>
        </w:tc>
        <w:tc>
          <w:tcPr>
            <w:tcW w:w="1420" w:type="dxa"/>
            <w:vAlign w:val="bottom"/>
            <w:tcBorders>
              <w:bottom w:val="single" w:sz="8" w:color="DBE5F1"/>
            </w:tcBorders>
            <w:shd w:val="clear" w:color="auto" w:fill="DBE5F1"/>
          </w:tcPr>
          <w:p>
            <w:pPr>
              <w:jc w:val="right"/>
              <w:ind w:right="97"/>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DBE5F1"/>
            </w:tcBorders>
            <w:shd w:val="clear" w:color="auto" w:fill="DBE5F1"/>
          </w:tcPr>
          <w:p>
            <w:pPr>
              <w:jc w:val="right"/>
              <w:ind w:right="76"/>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78"/>
        </w:trPr>
        <w:tc>
          <w:tcPr>
            <w:tcW w:w="3040" w:type="dxa"/>
            <w:vAlign w:val="bottom"/>
            <w:gridSpan w:val="3"/>
            <w:shd w:val="clear" w:color="auto" w:fill="DBE5F1"/>
          </w:tcPr>
          <w:p>
            <w:pPr>
              <w:ind w:left="180"/>
              <w:spacing w:after="0"/>
              <w:rPr>
                <w:sz w:val="20"/>
                <w:szCs w:val="20"/>
                <w:color w:val="auto"/>
              </w:rPr>
            </w:pPr>
            <w:r>
              <w:rPr>
                <w:rFonts w:ascii="Arial" w:cs="Arial" w:eastAsia="Arial" w:hAnsi="Arial"/>
                <w:sz w:val="16"/>
                <w:szCs w:val="16"/>
                <w:b w:val="1"/>
                <w:bCs w:val="1"/>
                <w:color w:val="auto"/>
              </w:rPr>
              <w:t>Francis A. Carchedi</w:t>
            </w:r>
          </w:p>
        </w:tc>
        <w:tc>
          <w:tcPr>
            <w:tcW w:w="4160" w:type="dxa"/>
            <w:vAlign w:val="bottom"/>
            <w:shd w:val="clear" w:color="auto" w:fill="DBE5F1"/>
          </w:tcPr>
          <w:p>
            <w:pPr>
              <w:ind w:left="160"/>
              <w:spacing w:after="0"/>
              <w:rPr>
                <w:sz w:val="20"/>
                <w:szCs w:val="20"/>
                <w:color w:val="auto"/>
              </w:rPr>
            </w:pPr>
            <w:r>
              <w:rPr>
                <w:rFonts w:ascii="Arial" w:cs="Arial" w:eastAsia="Arial" w:hAnsi="Arial"/>
                <w:sz w:val="16"/>
                <w:szCs w:val="16"/>
                <w:color w:val="auto"/>
              </w:rPr>
              <w:t>Executive Vice President, Corporate Development</w:t>
            </w:r>
          </w:p>
        </w:tc>
        <w:tc>
          <w:tcPr>
            <w:tcW w:w="1420" w:type="dxa"/>
            <w:vAlign w:val="bottom"/>
          </w:tcPr>
          <w:p>
            <w:pPr>
              <w:jc w:val="right"/>
              <w:spacing w:after="0"/>
              <w:rPr>
                <w:sz w:val="20"/>
                <w:szCs w:val="20"/>
                <w:color w:val="auto"/>
              </w:rPr>
            </w:pPr>
            <w:r>
              <w:rPr>
                <w:rFonts w:ascii="Arial" w:cs="Arial" w:eastAsia="Arial" w:hAnsi="Arial"/>
                <w:sz w:val="16"/>
                <w:szCs w:val="16"/>
                <w:color w:val="auto"/>
              </w:rPr>
              <w:t>30.0%</w:t>
            </w:r>
          </w:p>
        </w:tc>
        <w:tc>
          <w:tcPr>
            <w:tcW w:w="1420" w:type="dxa"/>
            <w:vAlign w:val="bottom"/>
          </w:tcPr>
          <w:p>
            <w:pPr>
              <w:jc w:val="right"/>
              <w:spacing w:after="0"/>
              <w:rPr>
                <w:sz w:val="20"/>
                <w:szCs w:val="20"/>
                <w:color w:val="auto"/>
              </w:rPr>
            </w:pPr>
            <w:r>
              <w:rPr>
                <w:rFonts w:ascii="Arial" w:cs="Arial" w:eastAsia="Arial" w:hAnsi="Arial"/>
                <w:sz w:val="16"/>
                <w:szCs w:val="16"/>
                <w:color w:val="auto"/>
              </w:rPr>
              <w:t>60.0%</w:t>
            </w:r>
          </w:p>
        </w:tc>
        <w:tc>
          <w:tcPr>
            <w:tcW w:w="1380" w:type="dxa"/>
            <w:vAlign w:val="bottom"/>
          </w:tcPr>
          <w:p>
            <w:pPr>
              <w:jc w:val="right"/>
              <w:spacing w:after="0"/>
              <w:rPr>
                <w:sz w:val="20"/>
                <w:szCs w:val="20"/>
                <w:color w:val="auto"/>
              </w:rPr>
            </w:pPr>
            <w:r>
              <w:rPr>
                <w:rFonts w:ascii="Arial" w:cs="Arial" w:eastAsia="Arial" w:hAnsi="Arial"/>
                <w:sz w:val="16"/>
                <w:szCs w:val="16"/>
                <w:color w:val="auto"/>
              </w:rPr>
              <w:t>120.0%</w:t>
            </w:r>
          </w:p>
        </w:tc>
        <w:tc>
          <w:tcPr>
            <w:tcW w:w="0" w:type="dxa"/>
            <w:vAlign w:val="bottom"/>
          </w:tcPr>
          <w:p>
            <w:pPr>
              <w:spacing w:after="0"/>
              <w:rPr>
                <w:sz w:val="1"/>
                <w:szCs w:val="1"/>
                <w:color w:val="auto"/>
              </w:rPr>
            </w:pPr>
          </w:p>
        </w:tc>
      </w:tr>
      <w:tr>
        <w:trPr>
          <w:trHeight w:val="141"/>
        </w:trPr>
        <w:tc>
          <w:tcPr>
            <w:tcW w:w="3040" w:type="dxa"/>
            <w:vAlign w:val="bottom"/>
            <w:gridSpan w:val="3"/>
            <w:vMerge w:val="restart"/>
            <w:shd w:val="clear" w:color="auto" w:fill="DBE5F1"/>
          </w:tcPr>
          <w:p>
            <w:pPr>
              <w:ind w:left="220"/>
              <w:spacing w:after="0"/>
              <w:rPr>
                <w:sz w:val="20"/>
                <w:szCs w:val="20"/>
                <w:color w:val="auto"/>
              </w:rPr>
            </w:pPr>
            <w:r>
              <w:rPr>
                <w:rFonts w:ascii="Arial" w:cs="Arial" w:eastAsia="Arial" w:hAnsi="Arial"/>
                <w:sz w:val="16"/>
                <w:szCs w:val="16"/>
                <w:b w:val="1"/>
                <w:bCs w:val="1"/>
                <w:color w:val="auto"/>
              </w:rPr>
              <w:t>Matthew F.W. Linnington</w:t>
            </w:r>
            <w:r>
              <w:rPr>
                <w:rFonts w:ascii="Arial" w:cs="Arial" w:eastAsia="Arial" w:hAnsi="Arial"/>
                <w:sz w:val="21"/>
                <w:szCs w:val="21"/>
                <w:b w:val="1"/>
                <w:bCs w:val="1"/>
                <w:color w:val="auto"/>
                <w:vertAlign w:val="superscript"/>
              </w:rPr>
              <w:t>(2)</w:t>
            </w:r>
          </w:p>
        </w:tc>
        <w:tc>
          <w:tcPr>
            <w:tcW w:w="4160" w:type="dxa"/>
            <w:vAlign w:val="bottom"/>
            <w:vMerge w:val="restart"/>
            <w:shd w:val="clear" w:color="auto" w:fill="DBE5F1"/>
          </w:tcPr>
          <w:p>
            <w:pPr>
              <w:ind w:left="160"/>
              <w:spacing w:after="0"/>
              <w:rPr>
                <w:sz w:val="20"/>
                <w:szCs w:val="20"/>
                <w:color w:val="auto"/>
              </w:rPr>
            </w:pPr>
            <w:r>
              <w:rPr>
                <w:rFonts w:ascii="Arial" w:cs="Arial" w:eastAsia="Arial" w:hAnsi="Arial"/>
                <w:sz w:val="16"/>
                <w:szCs w:val="16"/>
                <w:color w:val="auto"/>
              </w:rPr>
              <w:t>Executive Vice President, Sales</w:t>
            </w:r>
          </w:p>
        </w:tc>
        <w:tc>
          <w:tcPr>
            <w:tcW w:w="142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99"/>
        </w:trPr>
        <w:tc>
          <w:tcPr>
            <w:tcW w:w="3040" w:type="dxa"/>
            <w:vAlign w:val="bottom"/>
            <w:tcBorders>
              <w:bottom w:val="single" w:sz="8" w:color="DBE5F1"/>
            </w:tcBorders>
            <w:gridSpan w:val="3"/>
            <w:vMerge w:val="continue"/>
            <w:shd w:val="clear" w:color="auto" w:fill="DBE5F1"/>
          </w:tcPr>
          <w:p>
            <w:pPr>
              <w:spacing w:after="0"/>
              <w:rPr>
                <w:sz w:val="24"/>
                <w:szCs w:val="24"/>
                <w:color w:val="auto"/>
              </w:rPr>
            </w:pPr>
          </w:p>
        </w:tc>
        <w:tc>
          <w:tcPr>
            <w:tcW w:w="4160" w:type="dxa"/>
            <w:vAlign w:val="bottom"/>
            <w:tcBorders>
              <w:bottom w:val="single" w:sz="8" w:color="DBE5F1"/>
            </w:tcBorders>
            <w:vMerge w:val="continue"/>
            <w:shd w:val="clear" w:color="auto" w:fill="DBE5F1"/>
          </w:tcPr>
          <w:p>
            <w:pPr>
              <w:spacing w:after="0"/>
              <w:rPr>
                <w:sz w:val="24"/>
                <w:szCs w:val="24"/>
                <w:color w:val="auto"/>
              </w:rPr>
            </w:pPr>
          </w:p>
        </w:tc>
        <w:tc>
          <w:tcPr>
            <w:tcW w:w="1420" w:type="dxa"/>
            <w:vAlign w:val="bottom"/>
          </w:tcPr>
          <w:p>
            <w:pPr>
              <w:jc w:val="right"/>
              <w:ind w:right="96"/>
              <w:spacing w:after="0"/>
              <w:rPr>
                <w:sz w:val="20"/>
                <w:szCs w:val="20"/>
                <w:color w:val="auto"/>
              </w:rPr>
            </w:pPr>
            <w:r>
              <w:rPr>
                <w:rFonts w:ascii="Arial" w:cs="Arial" w:eastAsia="Arial" w:hAnsi="Arial"/>
                <w:sz w:val="16"/>
                <w:szCs w:val="16"/>
                <w:color w:val="auto"/>
              </w:rPr>
              <w:t>—</w:t>
            </w:r>
          </w:p>
        </w:tc>
        <w:tc>
          <w:tcPr>
            <w:tcW w:w="1420" w:type="dxa"/>
            <w:vAlign w:val="bottom"/>
            <w:tcBorders>
              <w:bottom w:val="single" w:sz="8" w:color="DBE5F1"/>
            </w:tcBorders>
            <w:shd w:val="clear" w:color="auto" w:fill="DBE5F1"/>
          </w:tcPr>
          <w:p>
            <w:pPr>
              <w:jc w:val="right"/>
              <w:ind w:right="97"/>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DBE5F1"/>
            </w:tcBorders>
            <w:shd w:val="clear" w:color="auto" w:fill="DBE5F1"/>
          </w:tcPr>
          <w:p>
            <w:pPr>
              <w:jc w:val="right"/>
              <w:ind w:right="76"/>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49"/>
        </w:trPr>
        <w:tc>
          <w:tcPr>
            <w:tcW w:w="130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440" w:type="dxa"/>
            <w:vAlign w:val="bottom"/>
          </w:tcPr>
          <w:p>
            <w:pPr>
              <w:spacing w:after="0"/>
              <w:rPr>
                <w:sz w:val="12"/>
                <w:szCs w:val="12"/>
                <w:color w:val="auto"/>
              </w:rPr>
            </w:pPr>
          </w:p>
        </w:tc>
        <w:tc>
          <w:tcPr>
            <w:tcW w:w="416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4" w:lineRule="exact"/>
        <w:rPr>
          <w:sz w:val="20"/>
          <w:szCs w:val="20"/>
          <w:color w:val="auto"/>
        </w:rPr>
      </w:pPr>
    </w:p>
    <w:p>
      <w:pPr>
        <w:jc w:val="both"/>
        <w:ind w:left="340" w:hanging="332"/>
        <w:spacing w:after="0" w:line="252" w:lineRule="auto"/>
        <w:tabs>
          <w:tab w:leader="none" w:pos="340" w:val="left"/>
        </w:tabs>
        <w:numPr>
          <w:ilvl w:val="0"/>
          <w:numId w:val="34"/>
        </w:numPr>
        <w:rPr>
          <w:rFonts w:ascii="Arial" w:cs="Arial" w:eastAsia="Arial" w:hAnsi="Arial"/>
          <w:sz w:val="16"/>
          <w:szCs w:val="16"/>
          <w:color w:val="auto"/>
        </w:rPr>
      </w:pPr>
      <w:r>
        <w:rPr>
          <w:rFonts w:ascii="Arial" w:cs="Arial" w:eastAsia="Arial" w:hAnsi="Arial"/>
          <w:sz w:val="16"/>
          <w:szCs w:val="16"/>
          <w:color w:val="auto"/>
        </w:rPr>
        <w:t>Mr. Yinger was not an executive officer when the 2015 executive cash incentive plan was approved by the Committee and did not participate in the executive cash incentive plan in 2015. Mr. Yinger remained subject to the cash incentive plan approved by his manager prior to his appointment as Interim CFO, pursuant to which he was entitled to earn up to 45% of his base pay subject to achievement of individual, subjective goals.</w:t>
      </w:r>
    </w:p>
    <w:p>
      <w:pPr>
        <w:spacing w:after="0" w:line="1" w:lineRule="exact"/>
        <w:rPr>
          <w:rFonts w:ascii="Arial" w:cs="Arial" w:eastAsia="Arial" w:hAnsi="Arial"/>
          <w:sz w:val="16"/>
          <w:szCs w:val="16"/>
          <w:color w:val="auto"/>
        </w:rPr>
      </w:pPr>
    </w:p>
    <w:p>
      <w:pPr>
        <w:ind w:left="340" w:hanging="332"/>
        <w:spacing w:after="0" w:line="257" w:lineRule="auto"/>
        <w:tabs>
          <w:tab w:leader="none" w:pos="340" w:val="left"/>
        </w:tabs>
        <w:numPr>
          <w:ilvl w:val="0"/>
          <w:numId w:val="34"/>
        </w:numPr>
        <w:rPr>
          <w:rFonts w:ascii="Arial" w:cs="Arial" w:eastAsia="Arial" w:hAnsi="Arial"/>
          <w:sz w:val="16"/>
          <w:szCs w:val="16"/>
          <w:color w:val="auto"/>
        </w:rPr>
      </w:pPr>
      <w:r>
        <w:rPr>
          <w:rFonts w:ascii="Arial" w:cs="Arial" w:eastAsia="Arial" w:hAnsi="Arial"/>
          <w:sz w:val="16"/>
          <w:szCs w:val="16"/>
          <w:color w:val="auto"/>
        </w:rPr>
        <w:t>Mr. Linnington’s incentive cash compensation opportunity for 2015 consists entirely of potential commission payments based on achievement of Company-based performance objectives described below.</w:t>
      </w:r>
    </w:p>
    <w:p>
      <w:pPr>
        <w:spacing w:after="0" w:line="182"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Pursuant to the cash incentive program, each named executive officer may earn an incentive bonus equal to, greater than or less than the target percentage of his base salary depending on whether the individual and the Company achieve the specified performance objectives. These objectives include individual qualitative performance goals (except for Mr. Florance), as well as Company-wide financial goals. As noted in the table above, Mr. Yinger did not participate in the 2015 executive cash incentive plan. Mr. Yinger remained subject to the cash incentive plan approved for him by his manager prior to his appointment as Interim Chief Financial Officer. The Compensation Committee approved a Company-wide financial goal for the executive cash incentive plan based on the Company’s achievement of adjusted EBITDA included in the Company’s 2015 Operating Plan, which is a distinct metric from the non-GAAP net income goal used for the annual performance-based restricted stock awards within the executive compensation program. The adjusted EBITDA goal for 2015 reflects the Company’s expected investments and strategic initiatives in the Apartments.com and Apartment Finder businesses, related marketing campaign and acquisition integration costs, as well as the uncertainty and challenges the Company faced in the apartment rentals industry and in connection with implementation of its new business model for this sector. The adjusted EBITDA target for 2015 was set at a level the Compensation Committee believed was challenging given the Company’s very recent entry into the apartment rental listings industry, the changes and investments believed to be required to succeed in that sector and the challenges the Company was and is facing in order to succeed.</w:t>
      </w:r>
    </w:p>
    <w:p>
      <w:pPr>
        <w:spacing w:after="0" w:line="16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Adjusted EBITDA is our GAAP-basis net income (loss) before interest, income taxes, depreciation and amortization, stock-based compensation expense, acquisition-related and integration-related costs, restructuring charges and related costs and settlements and impairments incurred outside our ordinary course of business. Adjustments made in 2015 are identified in the reconciliation of adjusted EBITDA to its GAAP-basis result, in Exhibit 99.1 to the Company’s Current Report on Form 8-K filed with the Commission on February 24, 2016. The Committee determined that adjusted EBITDA is a good measure of stockholder value and use of this metric (which differs from the metrics used for the performance-based stock grants) avoids any potential for duplicative payouts to the named executive officers for the same areas of performance.</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5978A5"/>
        </w:rPr>
        <w:t>2015 Annual Cash Incentive Awards – Financial Goal</w:t>
      </w:r>
      <w:r>
        <w:rPr>
          <w:rFonts w:ascii="Arial" w:cs="Arial" w:eastAsia="Arial" w:hAnsi="Arial"/>
          <w:sz w:val="25"/>
          <w:szCs w:val="25"/>
          <w:color w:val="000000"/>
          <w:vertAlign w:val="superscript"/>
        </w:rPr>
        <w:t>(1)</w:t>
      </w:r>
    </w:p>
    <w:p>
      <w:pPr>
        <w:spacing w:after="0"/>
        <w:rPr>
          <w:sz w:val="20"/>
          <w:szCs w:val="20"/>
          <w:color w:val="auto"/>
        </w:rPr>
      </w:pPr>
      <w:r>
        <w:rPr>
          <w:rFonts w:ascii="Arial" w:cs="Arial" w:eastAsia="Arial" w:hAnsi="Arial"/>
          <w:sz w:val="18"/>
          <w:szCs w:val="18"/>
          <w:i w:val="1"/>
          <w:iCs w:val="1"/>
          <w:color w:val="auto"/>
        </w:rPr>
        <w:t>(dollar amounts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90170</wp:posOffset>
            </wp:positionV>
            <wp:extent cx="7254875" cy="81470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4875" cy="814705"/>
                    </a:xfrm>
                    <a:prstGeom prst="rect">
                      <a:avLst/>
                    </a:prstGeom>
                    <a:noFill/>
                  </pic:spPr>
                </pic:pic>
              </a:graphicData>
            </a:graphic>
          </wp:anchor>
        </w:drawing>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324"/>
        </w:trPr>
        <w:tc>
          <w:tcPr>
            <w:tcW w:w="3200" w:type="dxa"/>
            <w:vAlign w:val="bottom"/>
            <w:gridSpan w:val="3"/>
            <w:shd w:val="clear" w:color="auto" w:fill="B8CCE4"/>
          </w:tcPr>
          <w:p>
            <w:pPr>
              <w:ind w:left="180"/>
              <w:spacing w:after="0"/>
              <w:rPr>
                <w:sz w:val="20"/>
                <w:szCs w:val="20"/>
                <w:color w:val="auto"/>
              </w:rPr>
            </w:pPr>
            <w:r>
              <w:rPr>
                <w:rFonts w:ascii="Arial" w:cs="Arial" w:eastAsia="Arial" w:hAnsi="Arial"/>
                <w:sz w:val="18"/>
                <w:szCs w:val="18"/>
                <w:b w:val="1"/>
                <w:bCs w:val="1"/>
                <w:color w:val="auto"/>
              </w:rPr>
              <w:t>Performance Metric (Revised)</w:t>
            </w:r>
          </w:p>
        </w:tc>
        <w:tc>
          <w:tcPr>
            <w:tcW w:w="2140" w:type="dxa"/>
            <w:vAlign w:val="bottom"/>
            <w:shd w:val="clear" w:color="auto" w:fill="B8CCE4"/>
          </w:tcPr>
          <w:p>
            <w:pPr>
              <w:ind w:left="460"/>
              <w:spacing w:after="0"/>
              <w:rPr>
                <w:sz w:val="20"/>
                <w:szCs w:val="20"/>
                <w:color w:val="auto"/>
              </w:rPr>
            </w:pPr>
            <w:r>
              <w:rPr>
                <w:rFonts w:ascii="Arial" w:cs="Arial" w:eastAsia="Arial" w:hAnsi="Arial"/>
                <w:sz w:val="18"/>
                <w:szCs w:val="18"/>
                <w:b w:val="1"/>
                <w:bCs w:val="1"/>
                <w:color w:val="auto"/>
              </w:rPr>
              <w:t>Threshold Goal</w:t>
            </w:r>
          </w:p>
        </w:tc>
        <w:tc>
          <w:tcPr>
            <w:tcW w:w="1900" w:type="dxa"/>
            <w:vAlign w:val="bottom"/>
            <w:shd w:val="clear" w:color="auto" w:fill="B8CCE4"/>
          </w:tcPr>
          <w:p>
            <w:pPr>
              <w:ind w:left="500"/>
              <w:spacing w:after="0"/>
              <w:rPr>
                <w:sz w:val="20"/>
                <w:szCs w:val="20"/>
                <w:color w:val="auto"/>
              </w:rPr>
            </w:pPr>
            <w:r>
              <w:rPr>
                <w:rFonts w:ascii="Arial" w:cs="Arial" w:eastAsia="Arial" w:hAnsi="Arial"/>
                <w:sz w:val="18"/>
                <w:szCs w:val="18"/>
                <w:b w:val="1"/>
                <w:bCs w:val="1"/>
                <w:color w:val="auto"/>
              </w:rPr>
              <w:t>Target Goal</w:t>
            </w:r>
          </w:p>
        </w:tc>
        <w:tc>
          <w:tcPr>
            <w:tcW w:w="2200" w:type="dxa"/>
            <w:vAlign w:val="bottom"/>
            <w:shd w:val="clear" w:color="auto" w:fill="B8CCE4"/>
          </w:tcPr>
          <w:p>
            <w:pPr>
              <w:ind w:left="500"/>
              <w:spacing w:after="0"/>
              <w:rPr>
                <w:sz w:val="20"/>
                <w:szCs w:val="20"/>
                <w:color w:val="auto"/>
              </w:rPr>
            </w:pPr>
            <w:r>
              <w:rPr>
                <w:rFonts w:ascii="Arial" w:cs="Arial" w:eastAsia="Arial" w:hAnsi="Arial"/>
                <w:sz w:val="18"/>
                <w:szCs w:val="18"/>
                <w:b w:val="1"/>
                <w:bCs w:val="1"/>
                <w:color w:val="auto"/>
              </w:rPr>
              <w:t>Maximum Goal</w:t>
            </w:r>
          </w:p>
        </w:tc>
        <w:tc>
          <w:tcPr>
            <w:tcW w:w="1980" w:type="dxa"/>
            <w:vAlign w:val="bottom"/>
            <w:shd w:val="clear" w:color="auto" w:fill="B8CCE4"/>
          </w:tcPr>
          <w:p>
            <w:pPr>
              <w:ind w:left="500"/>
              <w:spacing w:after="0"/>
              <w:rPr>
                <w:sz w:val="20"/>
                <w:szCs w:val="20"/>
                <w:color w:val="auto"/>
              </w:rPr>
            </w:pPr>
            <w:r>
              <w:rPr>
                <w:rFonts w:ascii="Arial" w:cs="Arial" w:eastAsia="Arial" w:hAnsi="Arial"/>
                <w:sz w:val="18"/>
                <w:szCs w:val="18"/>
                <w:b w:val="1"/>
                <w:bCs w:val="1"/>
                <w:color w:val="auto"/>
              </w:rPr>
              <w:t>2015 Actual</w:t>
            </w:r>
          </w:p>
        </w:tc>
      </w:tr>
      <w:tr>
        <w:trPr>
          <w:trHeight w:val="108"/>
        </w:trPr>
        <w:tc>
          <w:tcPr>
            <w:tcW w:w="1300" w:type="dxa"/>
            <w:vAlign w:val="bottom"/>
            <w:shd w:val="clear" w:color="auto" w:fill="B8CCE4"/>
          </w:tcPr>
          <w:p>
            <w:pPr>
              <w:spacing w:after="0"/>
              <w:rPr>
                <w:sz w:val="9"/>
                <w:szCs w:val="9"/>
                <w:color w:val="auto"/>
              </w:rPr>
            </w:pPr>
          </w:p>
        </w:tc>
        <w:tc>
          <w:tcPr>
            <w:tcW w:w="300" w:type="dxa"/>
            <w:vAlign w:val="bottom"/>
            <w:shd w:val="clear" w:color="auto" w:fill="B8CCE4"/>
          </w:tcPr>
          <w:p>
            <w:pPr>
              <w:spacing w:after="0"/>
              <w:rPr>
                <w:sz w:val="9"/>
                <w:szCs w:val="9"/>
                <w:color w:val="auto"/>
              </w:rPr>
            </w:pPr>
          </w:p>
        </w:tc>
        <w:tc>
          <w:tcPr>
            <w:tcW w:w="1600" w:type="dxa"/>
            <w:vAlign w:val="bottom"/>
            <w:shd w:val="clear" w:color="auto" w:fill="B8CCE4"/>
          </w:tcPr>
          <w:p>
            <w:pPr>
              <w:spacing w:after="0"/>
              <w:rPr>
                <w:sz w:val="9"/>
                <w:szCs w:val="9"/>
                <w:color w:val="auto"/>
              </w:rPr>
            </w:pPr>
          </w:p>
        </w:tc>
        <w:tc>
          <w:tcPr>
            <w:tcW w:w="2140" w:type="dxa"/>
            <w:vAlign w:val="bottom"/>
            <w:shd w:val="clear" w:color="auto" w:fill="B8CCE4"/>
          </w:tcPr>
          <w:p>
            <w:pPr>
              <w:spacing w:after="0"/>
              <w:rPr>
                <w:sz w:val="9"/>
                <w:szCs w:val="9"/>
                <w:color w:val="auto"/>
              </w:rPr>
            </w:pPr>
          </w:p>
        </w:tc>
        <w:tc>
          <w:tcPr>
            <w:tcW w:w="1900" w:type="dxa"/>
            <w:vAlign w:val="bottom"/>
            <w:shd w:val="clear" w:color="auto" w:fill="B8CCE4"/>
          </w:tcPr>
          <w:p>
            <w:pPr>
              <w:spacing w:after="0"/>
              <w:rPr>
                <w:sz w:val="9"/>
                <w:szCs w:val="9"/>
                <w:color w:val="auto"/>
              </w:rPr>
            </w:pPr>
          </w:p>
        </w:tc>
        <w:tc>
          <w:tcPr>
            <w:tcW w:w="2200" w:type="dxa"/>
            <w:vAlign w:val="bottom"/>
            <w:shd w:val="clear" w:color="auto" w:fill="B8CCE4"/>
          </w:tcPr>
          <w:p>
            <w:pPr>
              <w:spacing w:after="0"/>
              <w:rPr>
                <w:sz w:val="9"/>
                <w:szCs w:val="9"/>
                <w:color w:val="auto"/>
              </w:rPr>
            </w:pPr>
          </w:p>
        </w:tc>
        <w:tc>
          <w:tcPr>
            <w:tcW w:w="1980" w:type="dxa"/>
            <w:vAlign w:val="bottom"/>
            <w:shd w:val="clear" w:color="auto" w:fill="B8CCE4"/>
          </w:tcPr>
          <w:p>
            <w:pPr>
              <w:spacing w:after="0"/>
              <w:rPr>
                <w:sz w:val="9"/>
                <w:szCs w:val="9"/>
                <w:color w:val="auto"/>
              </w:rPr>
            </w:pPr>
          </w:p>
        </w:tc>
      </w:tr>
      <w:tr>
        <w:trPr>
          <w:trHeight w:val="278"/>
        </w:trPr>
        <w:tc>
          <w:tcPr>
            <w:tcW w:w="3200" w:type="dxa"/>
            <w:vAlign w:val="bottom"/>
            <w:gridSpan w:val="3"/>
            <w:shd w:val="clear" w:color="auto" w:fill="DBE5F1"/>
          </w:tcPr>
          <w:p>
            <w:pPr>
              <w:ind w:left="180"/>
              <w:spacing w:after="0"/>
              <w:rPr>
                <w:sz w:val="20"/>
                <w:szCs w:val="20"/>
                <w:color w:val="auto"/>
              </w:rPr>
            </w:pPr>
            <w:r>
              <w:rPr>
                <w:rFonts w:ascii="Arial" w:cs="Arial" w:eastAsia="Arial" w:hAnsi="Arial"/>
                <w:sz w:val="16"/>
                <w:szCs w:val="16"/>
                <w:b w:val="1"/>
                <w:bCs w:val="1"/>
                <w:color w:val="auto"/>
              </w:rPr>
              <w:t>Adjusted EBITDA</w:t>
            </w:r>
          </w:p>
        </w:tc>
        <w:tc>
          <w:tcPr>
            <w:tcW w:w="2140" w:type="dxa"/>
            <w:vAlign w:val="bottom"/>
            <w:shd w:val="clear" w:color="auto" w:fill="DBE5F1"/>
          </w:tcPr>
          <w:p>
            <w:pPr>
              <w:jc w:val="right"/>
              <w:ind w:right="816"/>
              <w:spacing w:after="0"/>
              <w:rPr>
                <w:sz w:val="20"/>
                <w:szCs w:val="20"/>
                <w:color w:val="auto"/>
              </w:rPr>
            </w:pPr>
            <w:r>
              <w:rPr>
                <w:rFonts w:ascii="Arial" w:cs="Arial" w:eastAsia="Arial" w:hAnsi="Arial"/>
                <w:sz w:val="16"/>
                <w:szCs w:val="16"/>
                <w:color w:val="auto"/>
              </w:rPr>
              <w:t>$87.8</w:t>
            </w:r>
          </w:p>
        </w:tc>
        <w:tc>
          <w:tcPr>
            <w:tcW w:w="1900" w:type="dxa"/>
            <w:vAlign w:val="bottom"/>
            <w:shd w:val="clear" w:color="auto" w:fill="DBE5F1"/>
          </w:tcPr>
          <w:p>
            <w:pPr>
              <w:jc w:val="right"/>
              <w:ind w:right="636"/>
              <w:spacing w:after="0"/>
              <w:rPr>
                <w:sz w:val="20"/>
                <w:szCs w:val="20"/>
                <w:color w:val="auto"/>
              </w:rPr>
            </w:pPr>
            <w:r>
              <w:rPr>
                <w:rFonts w:ascii="Arial" w:cs="Arial" w:eastAsia="Arial" w:hAnsi="Arial"/>
                <w:sz w:val="16"/>
                <w:szCs w:val="16"/>
                <w:color w:val="auto"/>
              </w:rPr>
              <w:t>$109.8</w:t>
            </w:r>
          </w:p>
        </w:tc>
        <w:tc>
          <w:tcPr>
            <w:tcW w:w="2200" w:type="dxa"/>
            <w:vAlign w:val="bottom"/>
            <w:shd w:val="clear" w:color="auto" w:fill="DBE5F1"/>
          </w:tcPr>
          <w:p>
            <w:pPr>
              <w:jc w:val="right"/>
              <w:ind w:right="776"/>
              <w:spacing w:after="0"/>
              <w:rPr>
                <w:sz w:val="20"/>
                <w:szCs w:val="20"/>
                <w:color w:val="auto"/>
              </w:rPr>
            </w:pPr>
            <w:r>
              <w:rPr>
                <w:rFonts w:ascii="Arial" w:cs="Arial" w:eastAsia="Arial" w:hAnsi="Arial"/>
                <w:sz w:val="16"/>
                <w:szCs w:val="16"/>
                <w:color w:val="auto"/>
              </w:rPr>
              <w:t>$120.7</w:t>
            </w:r>
          </w:p>
        </w:tc>
        <w:tc>
          <w:tcPr>
            <w:tcW w:w="1980" w:type="dxa"/>
            <w:vAlign w:val="bottom"/>
            <w:shd w:val="clear" w:color="auto" w:fill="DBE5F1"/>
          </w:tcPr>
          <w:p>
            <w:pPr>
              <w:jc w:val="right"/>
              <w:ind w:right="716"/>
              <w:spacing w:after="0"/>
              <w:rPr>
                <w:sz w:val="20"/>
                <w:szCs w:val="20"/>
                <w:color w:val="auto"/>
              </w:rPr>
            </w:pPr>
            <w:r>
              <w:rPr>
                <w:rFonts w:ascii="Arial" w:cs="Arial" w:eastAsia="Arial" w:hAnsi="Arial"/>
                <w:sz w:val="16"/>
                <w:szCs w:val="16"/>
                <w:color w:val="auto"/>
              </w:rPr>
              <w:t>$135.6</w:t>
            </w:r>
          </w:p>
        </w:tc>
      </w:tr>
      <w:tr>
        <w:trPr>
          <w:trHeight w:val="419"/>
        </w:trPr>
        <w:tc>
          <w:tcPr>
            <w:tcW w:w="3200" w:type="dxa"/>
            <w:vAlign w:val="bottom"/>
            <w:gridSpan w:val="3"/>
            <w:shd w:val="clear" w:color="auto" w:fill="DBE5F1"/>
          </w:tcPr>
          <w:p>
            <w:pPr>
              <w:ind w:left="180"/>
              <w:spacing w:after="0"/>
              <w:rPr>
                <w:sz w:val="20"/>
                <w:szCs w:val="20"/>
                <w:color w:val="auto"/>
              </w:rPr>
            </w:pPr>
            <w:r>
              <w:rPr>
                <w:rFonts w:ascii="Arial" w:cs="Arial" w:eastAsia="Arial" w:hAnsi="Arial"/>
                <w:sz w:val="16"/>
                <w:szCs w:val="16"/>
                <w:b w:val="1"/>
                <w:bCs w:val="1"/>
                <w:i w:val="1"/>
                <w:iCs w:val="1"/>
                <w:color w:val="auto"/>
              </w:rPr>
              <w:t>Payout Percentage</w:t>
            </w:r>
          </w:p>
        </w:tc>
        <w:tc>
          <w:tcPr>
            <w:tcW w:w="2140" w:type="dxa"/>
            <w:vAlign w:val="bottom"/>
            <w:shd w:val="clear" w:color="auto" w:fill="DBE5F1"/>
          </w:tcPr>
          <w:p>
            <w:pPr>
              <w:jc w:val="right"/>
              <w:ind w:right="856"/>
              <w:spacing w:after="0"/>
              <w:rPr>
                <w:sz w:val="20"/>
                <w:szCs w:val="20"/>
                <w:color w:val="auto"/>
              </w:rPr>
            </w:pPr>
            <w:r>
              <w:rPr>
                <w:rFonts w:ascii="Arial" w:cs="Arial" w:eastAsia="Arial" w:hAnsi="Arial"/>
                <w:sz w:val="16"/>
                <w:szCs w:val="16"/>
                <w:i w:val="1"/>
                <w:iCs w:val="1"/>
                <w:color w:val="auto"/>
              </w:rPr>
              <w:t>50%</w:t>
            </w:r>
          </w:p>
        </w:tc>
        <w:tc>
          <w:tcPr>
            <w:tcW w:w="1900" w:type="dxa"/>
            <w:vAlign w:val="bottom"/>
            <w:shd w:val="clear" w:color="auto" w:fill="DBE5F1"/>
          </w:tcPr>
          <w:p>
            <w:pPr>
              <w:jc w:val="right"/>
              <w:ind w:right="676"/>
              <w:spacing w:after="0"/>
              <w:rPr>
                <w:sz w:val="20"/>
                <w:szCs w:val="20"/>
                <w:color w:val="auto"/>
              </w:rPr>
            </w:pPr>
            <w:r>
              <w:rPr>
                <w:rFonts w:ascii="Arial" w:cs="Arial" w:eastAsia="Arial" w:hAnsi="Arial"/>
                <w:sz w:val="16"/>
                <w:szCs w:val="16"/>
                <w:i w:val="1"/>
                <w:iCs w:val="1"/>
                <w:color w:val="auto"/>
              </w:rPr>
              <w:t>100%</w:t>
            </w:r>
          </w:p>
        </w:tc>
        <w:tc>
          <w:tcPr>
            <w:tcW w:w="2200" w:type="dxa"/>
            <w:vAlign w:val="bottom"/>
            <w:shd w:val="clear" w:color="auto" w:fill="DBE5F1"/>
          </w:tcPr>
          <w:p>
            <w:pPr>
              <w:jc w:val="right"/>
              <w:ind w:right="816"/>
              <w:spacing w:after="0"/>
              <w:rPr>
                <w:sz w:val="20"/>
                <w:szCs w:val="20"/>
                <w:color w:val="auto"/>
              </w:rPr>
            </w:pPr>
            <w:r>
              <w:rPr>
                <w:rFonts w:ascii="Arial" w:cs="Arial" w:eastAsia="Arial" w:hAnsi="Arial"/>
                <w:sz w:val="16"/>
                <w:szCs w:val="16"/>
                <w:i w:val="1"/>
                <w:iCs w:val="1"/>
                <w:color w:val="auto"/>
              </w:rPr>
              <w:t>200%</w:t>
            </w:r>
          </w:p>
        </w:tc>
        <w:tc>
          <w:tcPr>
            <w:tcW w:w="1980" w:type="dxa"/>
            <w:vAlign w:val="bottom"/>
            <w:shd w:val="clear" w:color="auto" w:fill="DBE5F1"/>
          </w:tcPr>
          <w:p>
            <w:pPr>
              <w:jc w:val="right"/>
              <w:ind w:right="756"/>
              <w:spacing w:after="0"/>
              <w:rPr>
                <w:sz w:val="20"/>
                <w:szCs w:val="20"/>
                <w:color w:val="auto"/>
              </w:rPr>
            </w:pPr>
            <w:r>
              <w:rPr>
                <w:rFonts w:ascii="Arial" w:cs="Arial" w:eastAsia="Arial" w:hAnsi="Arial"/>
                <w:sz w:val="16"/>
                <w:szCs w:val="16"/>
                <w:i w:val="1"/>
                <w:iCs w:val="1"/>
                <w:color w:val="auto"/>
              </w:rPr>
              <w:t>200%</w:t>
            </w:r>
          </w:p>
        </w:tc>
      </w:tr>
      <w:tr>
        <w:trPr>
          <w:trHeight w:val="141"/>
        </w:trPr>
        <w:tc>
          <w:tcPr>
            <w:tcW w:w="1300" w:type="dxa"/>
            <w:vAlign w:val="bottom"/>
            <w:shd w:val="clear" w:color="auto" w:fill="DBE5F1"/>
          </w:tcPr>
          <w:p>
            <w:pPr>
              <w:spacing w:after="0"/>
              <w:rPr>
                <w:sz w:val="12"/>
                <w:szCs w:val="12"/>
                <w:color w:val="auto"/>
              </w:rPr>
            </w:pPr>
          </w:p>
        </w:tc>
        <w:tc>
          <w:tcPr>
            <w:tcW w:w="300" w:type="dxa"/>
            <w:vAlign w:val="bottom"/>
            <w:shd w:val="clear" w:color="auto" w:fill="DBE5F1"/>
          </w:tcPr>
          <w:p>
            <w:pPr>
              <w:spacing w:after="0"/>
              <w:rPr>
                <w:sz w:val="12"/>
                <w:szCs w:val="12"/>
                <w:color w:val="auto"/>
              </w:rPr>
            </w:pPr>
          </w:p>
        </w:tc>
        <w:tc>
          <w:tcPr>
            <w:tcW w:w="1600" w:type="dxa"/>
            <w:vAlign w:val="bottom"/>
            <w:shd w:val="clear" w:color="auto" w:fill="DBE5F1"/>
          </w:tcPr>
          <w:p>
            <w:pPr>
              <w:spacing w:after="0"/>
              <w:rPr>
                <w:sz w:val="12"/>
                <w:szCs w:val="12"/>
                <w:color w:val="auto"/>
              </w:rPr>
            </w:pPr>
          </w:p>
        </w:tc>
        <w:tc>
          <w:tcPr>
            <w:tcW w:w="2140" w:type="dxa"/>
            <w:vAlign w:val="bottom"/>
            <w:shd w:val="clear" w:color="auto" w:fill="DBE5F1"/>
          </w:tcPr>
          <w:p>
            <w:pPr>
              <w:spacing w:after="0"/>
              <w:rPr>
                <w:sz w:val="12"/>
                <w:szCs w:val="12"/>
                <w:color w:val="auto"/>
              </w:rPr>
            </w:pPr>
          </w:p>
        </w:tc>
        <w:tc>
          <w:tcPr>
            <w:tcW w:w="1900" w:type="dxa"/>
            <w:vAlign w:val="bottom"/>
            <w:shd w:val="clear" w:color="auto" w:fill="DBE5F1"/>
          </w:tcPr>
          <w:p>
            <w:pPr>
              <w:spacing w:after="0"/>
              <w:rPr>
                <w:sz w:val="12"/>
                <w:szCs w:val="12"/>
                <w:color w:val="auto"/>
              </w:rPr>
            </w:pPr>
          </w:p>
        </w:tc>
        <w:tc>
          <w:tcPr>
            <w:tcW w:w="2200" w:type="dxa"/>
            <w:vAlign w:val="bottom"/>
            <w:shd w:val="clear" w:color="auto" w:fill="DBE5F1"/>
          </w:tcPr>
          <w:p>
            <w:pPr>
              <w:spacing w:after="0"/>
              <w:rPr>
                <w:sz w:val="12"/>
                <w:szCs w:val="12"/>
                <w:color w:val="auto"/>
              </w:rPr>
            </w:pPr>
          </w:p>
        </w:tc>
        <w:tc>
          <w:tcPr>
            <w:tcW w:w="1980" w:type="dxa"/>
            <w:vAlign w:val="bottom"/>
            <w:shd w:val="clear" w:color="auto" w:fill="DBE5F1"/>
          </w:tcPr>
          <w:p>
            <w:pPr>
              <w:spacing w:after="0"/>
              <w:rPr>
                <w:sz w:val="12"/>
                <w:szCs w:val="12"/>
                <w:color w:val="auto"/>
              </w:rPr>
            </w:pPr>
          </w:p>
        </w:tc>
      </w:tr>
      <w:tr>
        <w:trPr>
          <w:trHeight w:val="149"/>
        </w:trPr>
        <w:tc>
          <w:tcPr>
            <w:tcW w:w="130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600" w:type="dxa"/>
            <w:vAlign w:val="bottom"/>
          </w:tcPr>
          <w:p>
            <w:pPr>
              <w:spacing w:after="0"/>
              <w:rPr>
                <w:sz w:val="12"/>
                <w:szCs w:val="12"/>
                <w:color w:val="auto"/>
              </w:rPr>
            </w:pPr>
          </w:p>
        </w:tc>
        <w:tc>
          <w:tcPr>
            <w:tcW w:w="214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1980" w:type="dxa"/>
            <w:vAlign w:val="bottom"/>
          </w:tcPr>
          <w:p>
            <w:pPr>
              <w:spacing w:after="0"/>
              <w:rPr>
                <w:sz w:val="12"/>
                <w:szCs w:val="12"/>
                <w:color w:val="auto"/>
              </w:rPr>
            </w:pPr>
          </w:p>
        </w:tc>
      </w:tr>
    </w:tbl>
    <w:p>
      <w:pPr>
        <w:spacing w:after="0" w:line="4" w:lineRule="exact"/>
        <w:rPr>
          <w:sz w:val="20"/>
          <w:szCs w:val="20"/>
          <w:color w:val="auto"/>
        </w:rPr>
      </w:pPr>
    </w:p>
    <w:p>
      <w:pPr>
        <w:jc w:val="both"/>
        <w:ind w:left="340" w:hanging="332"/>
        <w:spacing w:after="0" w:line="261" w:lineRule="auto"/>
        <w:tabs>
          <w:tab w:leader="none" w:pos="340" w:val="left"/>
        </w:tabs>
        <w:numPr>
          <w:ilvl w:val="0"/>
          <w:numId w:val="35"/>
        </w:numPr>
        <w:rPr>
          <w:rFonts w:ascii="Arial" w:cs="Arial" w:eastAsia="Arial" w:hAnsi="Arial"/>
          <w:sz w:val="16"/>
          <w:szCs w:val="16"/>
          <w:color w:val="auto"/>
        </w:rPr>
      </w:pPr>
      <w:r>
        <w:rPr>
          <w:rFonts w:ascii="Arial" w:cs="Arial" w:eastAsia="Arial" w:hAnsi="Arial"/>
          <w:sz w:val="16"/>
          <w:szCs w:val="16"/>
          <w:color w:val="auto"/>
        </w:rPr>
        <w:t>Named executive officers could receive between 0% and 200% credit for the Adjusted EBITDA component of their annual cash incentive award, depending upon actual Adjusted EBITDA achieved in 2015. Credit for performance between threshold and target and between target and maximum are determined by linear interpolation. No credit is given for performance below</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20"/>
          </w:cols>
          <w:pgMar w:left="240" w:top="368" w:right="239" w:bottom="1440" w:gutter="0" w:footer="0" w:header="0"/>
        </w:sectPr>
      </w:pPr>
    </w:p>
    <w:bookmarkStart w:id="60" w:name="page61"/>
    <w:bookmarkEnd w:id="60"/>
    <w:p>
      <w:pPr>
        <w:ind w:left="340" w:right="20"/>
        <w:spacing w:after="0" w:line="363" w:lineRule="auto"/>
        <w:rPr>
          <w:sz w:val="20"/>
          <w:szCs w:val="20"/>
          <w:color w:val="auto"/>
        </w:rPr>
      </w:pPr>
      <w:r>
        <w:rPr>
          <w:rFonts w:ascii="Arial" w:cs="Arial" w:eastAsia="Arial" w:hAnsi="Arial"/>
          <w:sz w:val="16"/>
          <w:szCs w:val="16"/>
          <w:color w:val="auto"/>
        </w:rPr>
        <w:t>threshold and credit is capped at 200% of target. The percent credited for the Adjusted EBITDA component of the award (as shown in the table) is then multiplied by the weighting applicable to the respective component of the cash incentive award.</w:t>
      </w:r>
    </w:p>
    <w:p>
      <w:pPr>
        <w:spacing w:after="0" w:line="141"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individual performance goals established for the named executive officers, other than the Chief Executive Officer, at the beginning of 2015 are strategic and leadership goals tailored to the individual’s position and focused on the Company’s strategic initiatives. The individual goals assist the Committee in assessing the named executive officer’s individual performance in key areas that help drive the Company’s operating and financial results. The use of both individual and corporate goals advances the Company’s executive compensation philosophy that individual executives be held accountable for both their own individual performance as well as the Company’s performance. Based on peer data from past compensation consultant studies, which indicate that more commonly the chief executive officer’s annual incentive is tied solely to corporate results, the Committee determined that it is in the best interests of the Company to have our Chief Executive Officer’s annual incentive award based exclusively on the financial performance of the Company.</w:t>
      </w:r>
    </w:p>
    <w:p>
      <w:pPr>
        <w:spacing w:after="0" w:line="16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Performance goals and the weighting given to each may change in the Committee’s discretion from year to year. The measures and the relative weighting of individual and corporate financial performance goals for each of the named executive officers is reviewed by the Committee annually at the beginning of the respective year. The Chief Executive Officer proposes to the Committee for its consideration changes to the measures and the weighting of the performance goals based on the Company’s current strategic initiatives and goals. The weighting of the individual and corporate objectives for the named executive officers for 2015 is shown in the table below.</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5978A5"/>
        </w:rPr>
        <w:t>Individual Performance Goals for 2015 Annual Cash Incentive Awards</w:t>
      </w:r>
    </w:p>
    <w:p>
      <w:pPr>
        <w:spacing w:after="0" w:line="12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applicable 2015 individual performance goals and percentage of such goals achieved for Mr. Radecki, Mr. Yinger, and Mr. Carchedi are summarized in the table below. The Committee sets aggressive individual performance criteria for annual cash incentive awards that are challenging but realistic to achieve in order to motivate named executive officers to excel and perform at a high level and to focus on overall corporate objectives. The Committee intends to set the individual performance criteria for the annual cash incentive awards such that the relative difficulty of achieving the target level is consistent from year to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254875" cy="3704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4875" cy="3704590"/>
                    </a:xfrm>
                    <a:prstGeom prst="rect">
                      <a:avLst/>
                    </a:prstGeom>
                    <a:noFill/>
                  </pic:spPr>
                </pic:pic>
              </a:graphicData>
            </a:graphic>
          </wp:anchor>
        </w:drawing>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420" w:type="dxa"/>
            <w:vAlign w:val="bottom"/>
            <w:vMerge w:val="restart"/>
            <w:shd w:val="clear" w:color="auto" w:fill="B8CCE4"/>
          </w:tcPr>
          <w:p>
            <w:pPr>
              <w:ind w:left="180"/>
              <w:spacing w:after="0"/>
              <w:rPr>
                <w:sz w:val="20"/>
                <w:szCs w:val="20"/>
                <w:color w:val="auto"/>
              </w:rPr>
            </w:pPr>
            <w:r>
              <w:rPr>
                <w:rFonts w:ascii="Arial" w:cs="Arial" w:eastAsia="Arial" w:hAnsi="Arial"/>
                <w:sz w:val="18"/>
                <w:szCs w:val="18"/>
                <w:b w:val="1"/>
                <w:bCs w:val="1"/>
                <w:color w:val="auto"/>
              </w:rPr>
              <w:t>Name</w:t>
            </w:r>
          </w:p>
        </w:tc>
        <w:tc>
          <w:tcPr>
            <w:tcW w:w="1820" w:type="dxa"/>
            <w:vAlign w:val="bottom"/>
            <w:vMerge w:val="restart"/>
            <w:shd w:val="clear" w:color="auto" w:fill="B8CCE4"/>
          </w:tcPr>
          <w:p>
            <w:pPr>
              <w:ind w:left="160"/>
              <w:spacing w:after="0"/>
              <w:rPr>
                <w:sz w:val="20"/>
                <w:szCs w:val="20"/>
                <w:color w:val="auto"/>
              </w:rPr>
            </w:pPr>
            <w:r>
              <w:rPr>
                <w:rFonts w:ascii="Arial" w:cs="Arial" w:eastAsia="Arial" w:hAnsi="Arial"/>
                <w:sz w:val="18"/>
                <w:szCs w:val="18"/>
                <w:b w:val="1"/>
                <w:bCs w:val="1"/>
                <w:color w:val="auto"/>
              </w:rPr>
              <w:t>Title</w:t>
            </w:r>
          </w:p>
        </w:tc>
        <w:tc>
          <w:tcPr>
            <w:tcW w:w="340" w:type="dxa"/>
            <w:vAlign w:val="bottom"/>
            <w:shd w:val="clear" w:color="auto" w:fill="B8CCE4"/>
          </w:tcPr>
          <w:p>
            <w:pPr>
              <w:spacing w:after="0"/>
              <w:rPr>
                <w:sz w:val="20"/>
                <w:szCs w:val="20"/>
                <w:color w:val="auto"/>
              </w:rPr>
            </w:pPr>
          </w:p>
        </w:tc>
        <w:tc>
          <w:tcPr>
            <w:tcW w:w="5460" w:type="dxa"/>
            <w:vAlign w:val="bottom"/>
            <w:vMerge w:val="restart"/>
            <w:shd w:val="clear" w:color="auto" w:fill="B8CCE4"/>
          </w:tcPr>
          <w:p>
            <w:pPr>
              <w:ind w:left="1740"/>
              <w:spacing w:after="0"/>
              <w:rPr>
                <w:sz w:val="20"/>
                <w:szCs w:val="20"/>
                <w:color w:val="auto"/>
              </w:rPr>
            </w:pPr>
            <w:r>
              <w:rPr>
                <w:rFonts w:ascii="Arial" w:cs="Arial" w:eastAsia="Arial" w:hAnsi="Arial"/>
                <w:sz w:val="18"/>
                <w:szCs w:val="18"/>
                <w:b w:val="1"/>
                <w:bCs w:val="1"/>
                <w:color w:val="auto"/>
              </w:rPr>
              <w:t>2015 Individual Goals</w:t>
            </w:r>
          </w:p>
        </w:tc>
        <w:tc>
          <w:tcPr>
            <w:tcW w:w="1380" w:type="dxa"/>
            <w:vAlign w:val="bottom"/>
            <w:shd w:val="clear" w:color="auto" w:fill="B8CCE4"/>
          </w:tcPr>
          <w:p>
            <w:pPr>
              <w:jc w:val="center"/>
              <w:spacing w:after="0"/>
              <w:rPr>
                <w:sz w:val="20"/>
                <w:szCs w:val="20"/>
                <w:color w:val="auto"/>
              </w:rPr>
            </w:pPr>
            <w:r>
              <w:rPr>
                <w:rFonts w:ascii="Arial" w:cs="Arial" w:eastAsia="Arial" w:hAnsi="Arial"/>
                <w:sz w:val="18"/>
                <w:szCs w:val="18"/>
                <w:b w:val="1"/>
                <w:bCs w:val="1"/>
                <w:color w:val="auto"/>
                <w:w w:val="92"/>
              </w:rPr>
              <w:t>% of Goals</w:t>
            </w:r>
          </w:p>
        </w:tc>
        <w:tc>
          <w:tcPr>
            <w:tcW w:w="0" w:type="dxa"/>
            <w:vAlign w:val="bottom"/>
          </w:tcPr>
          <w:p>
            <w:pPr>
              <w:spacing w:after="0"/>
              <w:rPr>
                <w:sz w:val="1"/>
                <w:szCs w:val="1"/>
                <w:color w:val="auto"/>
              </w:rPr>
            </w:pPr>
          </w:p>
        </w:tc>
      </w:tr>
      <w:tr>
        <w:trPr>
          <w:trHeight w:val="126"/>
        </w:trPr>
        <w:tc>
          <w:tcPr>
            <w:tcW w:w="2420" w:type="dxa"/>
            <w:vAlign w:val="bottom"/>
            <w:vMerge w:val="continue"/>
            <w:shd w:val="clear" w:color="auto" w:fill="B8CCE4"/>
          </w:tcPr>
          <w:p>
            <w:pPr>
              <w:spacing w:after="0"/>
              <w:rPr>
                <w:sz w:val="10"/>
                <w:szCs w:val="10"/>
                <w:color w:val="auto"/>
              </w:rPr>
            </w:pPr>
          </w:p>
        </w:tc>
        <w:tc>
          <w:tcPr>
            <w:tcW w:w="1820" w:type="dxa"/>
            <w:vAlign w:val="bottom"/>
            <w:vMerge w:val="continue"/>
            <w:shd w:val="clear" w:color="auto" w:fill="B8CCE4"/>
          </w:tcPr>
          <w:p>
            <w:pPr>
              <w:spacing w:after="0"/>
              <w:rPr>
                <w:sz w:val="10"/>
                <w:szCs w:val="10"/>
                <w:color w:val="auto"/>
              </w:rPr>
            </w:pPr>
          </w:p>
        </w:tc>
        <w:tc>
          <w:tcPr>
            <w:tcW w:w="340" w:type="dxa"/>
            <w:vAlign w:val="bottom"/>
            <w:shd w:val="clear" w:color="auto" w:fill="B8CCE4"/>
          </w:tcPr>
          <w:p>
            <w:pPr>
              <w:spacing w:after="0"/>
              <w:rPr>
                <w:sz w:val="10"/>
                <w:szCs w:val="10"/>
                <w:color w:val="auto"/>
              </w:rPr>
            </w:pPr>
          </w:p>
        </w:tc>
        <w:tc>
          <w:tcPr>
            <w:tcW w:w="5460" w:type="dxa"/>
            <w:vAlign w:val="bottom"/>
            <w:vMerge w:val="continue"/>
            <w:shd w:val="clear" w:color="auto" w:fill="B8CCE4"/>
          </w:tcPr>
          <w:p>
            <w:pPr>
              <w:spacing w:after="0"/>
              <w:rPr>
                <w:sz w:val="10"/>
                <w:szCs w:val="10"/>
                <w:color w:val="auto"/>
              </w:rPr>
            </w:pPr>
          </w:p>
        </w:tc>
        <w:tc>
          <w:tcPr>
            <w:tcW w:w="1380" w:type="dxa"/>
            <w:vAlign w:val="bottom"/>
            <w:vMerge w:val="restart"/>
            <w:shd w:val="clear" w:color="auto" w:fill="B8CCE4"/>
          </w:tcPr>
          <w:p>
            <w:pPr>
              <w:jc w:val="center"/>
              <w:spacing w:after="0"/>
              <w:rPr>
                <w:sz w:val="20"/>
                <w:szCs w:val="20"/>
                <w:color w:val="auto"/>
              </w:rPr>
            </w:pPr>
            <w:r>
              <w:rPr>
                <w:rFonts w:ascii="Arial" w:cs="Arial" w:eastAsia="Arial" w:hAnsi="Arial"/>
                <w:sz w:val="18"/>
                <w:szCs w:val="18"/>
                <w:b w:val="1"/>
                <w:bCs w:val="1"/>
                <w:color w:val="auto"/>
                <w:w w:val="89"/>
              </w:rPr>
              <w:t>Achieved</w:t>
            </w:r>
          </w:p>
        </w:tc>
        <w:tc>
          <w:tcPr>
            <w:tcW w:w="0" w:type="dxa"/>
            <w:vAlign w:val="bottom"/>
          </w:tcPr>
          <w:p>
            <w:pPr>
              <w:spacing w:after="0"/>
              <w:rPr>
                <w:sz w:val="1"/>
                <w:szCs w:val="1"/>
                <w:color w:val="auto"/>
              </w:rPr>
            </w:pPr>
          </w:p>
        </w:tc>
      </w:tr>
      <w:tr>
        <w:trPr>
          <w:trHeight w:val="115"/>
        </w:trPr>
        <w:tc>
          <w:tcPr>
            <w:tcW w:w="2420" w:type="dxa"/>
            <w:vAlign w:val="bottom"/>
            <w:tcBorders>
              <w:bottom w:val="single" w:sz="8" w:color="B8CCE4"/>
            </w:tcBorders>
            <w:shd w:val="clear" w:color="auto" w:fill="B8CCE4"/>
          </w:tcPr>
          <w:p>
            <w:pPr>
              <w:spacing w:after="0"/>
              <w:rPr>
                <w:sz w:val="10"/>
                <w:szCs w:val="10"/>
                <w:color w:val="auto"/>
              </w:rPr>
            </w:pPr>
          </w:p>
        </w:tc>
        <w:tc>
          <w:tcPr>
            <w:tcW w:w="1820" w:type="dxa"/>
            <w:vAlign w:val="bottom"/>
            <w:tcBorders>
              <w:bottom w:val="single" w:sz="8" w:color="B8CCE4"/>
            </w:tcBorders>
            <w:shd w:val="clear" w:color="auto" w:fill="B8CCE4"/>
          </w:tcPr>
          <w:p>
            <w:pPr>
              <w:spacing w:after="0"/>
              <w:rPr>
                <w:sz w:val="10"/>
                <w:szCs w:val="10"/>
                <w:color w:val="auto"/>
              </w:rPr>
            </w:pPr>
          </w:p>
        </w:tc>
        <w:tc>
          <w:tcPr>
            <w:tcW w:w="340" w:type="dxa"/>
            <w:vAlign w:val="bottom"/>
            <w:tcBorders>
              <w:bottom w:val="single" w:sz="8" w:color="B8CCE4"/>
            </w:tcBorders>
            <w:shd w:val="clear" w:color="auto" w:fill="B8CCE4"/>
          </w:tcPr>
          <w:p>
            <w:pPr>
              <w:spacing w:after="0"/>
              <w:rPr>
                <w:sz w:val="10"/>
                <w:szCs w:val="10"/>
                <w:color w:val="auto"/>
              </w:rPr>
            </w:pPr>
          </w:p>
        </w:tc>
        <w:tc>
          <w:tcPr>
            <w:tcW w:w="5460" w:type="dxa"/>
            <w:vAlign w:val="bottom"/>
            <w:tcBorders>
              <w:bottom w:val="single" w:sz="8" w:color="B8CCE4"/>
            </w:tcBorders>
            <w:shd w:val="clear" w:color="auto" w:fill="B8CCE4"/>
          </w:tcPr>
          <w:p>
            <w:pPr>
              <w:spacing w:after="0"/>
              <w:rPr>
                <w:sz w:val="10"/>
                <w:szCs w:val="10"/>
                <w:color w:val="auto"/>
              </w:rPr>
            </w:pPr>
          </w:p>
        </w:tc>
        <w:tc>
          <w:tcPr>
            <w:tcW w:w="1380" w:type="dxa"/>
            <w:vAlign w:val="bottom"/>
            <w:tcBorders>
              <w:bottom w:val="single" w:sz="8" w:color="B8CCE4"/>
            </w:tcBorders>
            <w:vMerge w:val="continue"/>
            <w:shd w:val="clear" w:color="auto" w:fill="B8CCE4"/>
          </w:tcPr>
          <w:p>
            <w:pPr>
              <w:spacing w:after="0"/>
              <w:rPr>
                <w:sz w:val="10"/>
                <w:szCs w:val="10"/>
                <w:color w:val="auto"/>
              </w:rPr>
            </w:pPr>
          </w:p>
        </w:tc>
        <w:tc>
          <w:tcPr>
            <w:tcW w:w="0" w:type="dxa"/>
            <w:vAlign w:val="bottom"/>
          </w:tcPr>
          <w:p>
            <w:pPr>
              <w:spacing w:after="0"/>
              <w:rPr>
                <w:sz w:val="1"/>
                <w:szCs w:val="1"/>
                <w:color w:val="auto"/>
              </w:rPr>
            </w:pPr>
          </w:p>
        </w:tc>
      </w:tr>
      <w:tr>
        <w:trPr>
          <w:trHeight w:val="260"/>
        </w:trPr>
        <w:tc>
          <w:tcPr>
            <w:tcW w:w="2420" w:type="dxa"/>
            <w:vAlign w:val="bottom"/>
            <w:shd w:val="clear" w:color="auto" w:fill="DBE5F1"/>
          </w:tcPr>
          <w:p>
            <w:pPr>
              <w:ind w:left="180"/>
              <w:spacing w:after="0"/>
              <w:rPr>
                <w:sz w:val="20"/>
                <w:szCs w:val="20"/>
                <w:color w:val="auto"/>
              </w:rPr>
            </w:pPr>
            <w:r>
              <w:rPr>
                <w:rFonts w:ascii="Arial" w:cs="Arial" w:eastAsia="Arial" w:hAnsi="Arial"/>
                <w:sz w:val="16"/>
                <w:szCs w:val="16"/>
                <w:b w:val="1"/>
                <w:bCs w:val="1"/>
                <w:color w:val="auto"/>
              </w:rPr>
              <w:t>Brian J. Radecki</w:t>
            </w:r>
            <w:r>
              <w:rPr>
                <w:rFonts w:ascii="Arial" w:cs="Arial" w:eastAsia="Arial" w:hAnsi="Arial"/>
                <w:sz w:val="21"/>
                <w:szCs w:val="21"/>
                <w:b w:val="1"/>
                <w:bCs w:val="1"/>
                <w:color w:val="auto"/>
                <w:vertAlign w:val="superscript"/>
              </w:rPr>
              <w:t>(1)</w:t>
            </w:r>
          </w:p>
        </w:tc>
        <w:tc>
          <w:tcPr>
            <w:tcW w:w="1820" w:type="dxa"/>
            <w:vAlign w:val="bottom"/>
            <w:shd w:val="clear" w:color="auto" w:fill="DBE5F1"/>
          </w:tcPr>
          <w:p>
            <w:pPr>
              <w:ind w:left="160"/>
              <w:spacing w:after="0"/>
              <w:rPr>
                <w:sz w:val="20"/>
                <w:szCs w:val="20"/>
                <w:color w:val="auto"/>
              </w:rPr>
            </w:pPr>
            <w:r>
              <w:rPr>
                <w:rFonts w:ascii="Arial" w:cs="Arial" w:eastAsia="Arial" w:hAnsi="Arial"/>
                <w:sz w:val="16"/>
                <w:szCs w:val="16"/>
                <w:color w:val="auto"/>
              </w:rPr>
              <w:t>Former CFO</w:t>
            </w:r>
          </w:p>
        </w:tc>
        <w:tc>
          <w:tcPr>
            <w:tcW w:w="340" w:type="dxa"/>
            <w:vAlign w:val="bottom"/>
            <w:shd w:val="clear" w:color="auto" w:fill="DBE5F1"/>
          </w:tcPr>
          <w:p>
            <w:pPr>
              <w:ind w:left="200"/>
              <w:spacing w:after="0"/>
              <w:rPr>
                <w:sz w:val="20"/>
                <w:szCs w:val="20"/>
                <w:color w:val="auto"/>
              </w:rPr>
            </w:pPr>
            <w:r>
              <w:rPr>
                <w:rFonts w:ascii="Arial" w:cs="Arial" w:eastAsia="Arial" w:hAnsi="Arial"/>
                <w:sz w:val="16"/>
                <w:szCs w:val="16"/>
                <w:color w:val="5978A5"/>
              </w:rPr>
              <w:t>•</w:t>
            </w:r>
          </w:p>
        </w:tc>
        <w:tc>
          <w:tcPr>
            <w:tcW w:w="5460" w:type="dxa"/>
            <w:vAlign w:val="bottom"/>
            <w:shd w:val="clear" w:color="auto" w:fill="DBE5F1"/>
          </w:tcPr>
          <w:p>
            <w:pPr>
              <w:ind w:left="100"/>
              <w:spacing w:after="0"/>
              <w:rPr>
                <w:sz w:val="20"/>
                <w:szCs w:val="20"/>
                <w:color w:val="auto"/>
              </w:rPr>
            </w:pPr>
            <w:r>
              <w:rPr>
                <w:rFonts w:ascii="Arial" w:cs="Arial" w:eastAsia="Arial" w:hAnsi="Arial"/>
                <w:sz w:val="16"/>
                <w:szCs w:val="16"/>
                <w:color w:val="auto"/>
              </w:rPr>
              <w:t>Manage the Company’s costs</w:t>
            </w:r>
          </w:p>
        </w:tc>
        <w:tc>
          <w:tcPr>
            <w:tcW w:w="1380" w:type="dxa"/>
            <w:vAlign w:val="bottom"/>
            <w:shd w:val="clear" w:color="auto" w:fill="DBE5F1"/>
          </w:tcPr>
          <w:p>
            <w:pPr>
              <w:jc w:val="center"/>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203"/>
        </w:trPr>
        <w:tc>
          <w:tcPr>
            <w:tcW w:w="2420" w:type="dxa"/>
            <w:vAlign w:val="bottom"/>
            <w:shd w:val="clear" w:color="auto" w:fill="DBE5F1"/>
          </w:tcPr>
          <w:p>
            <w:pPr>
              <w:spacing w:after="0"/>
              <w:rPr>
                <w:sz w:val="17"/>
                <w:szCs w:val="17"/>
                <w:color w:val="auto"/>
              </w:rPr>
            </w:pPr>
          </w:p>
        </w:tc>
        <w:tc>
          <w:tcPr>
            <w:tcW w:w="1820" w:type="dxa"/>
            <w:vAlign w:val="bottom"/>
            <w:shd w:val="clear" w:color="auto" w:fill="DBE5F1"/>
          </w:tcPr>
          <w:p>
            <w:pPr>
              <w:spacing w:after="0"/>
              <w:rPr>
                <w:sz w:val="17"/>
                <w:szCs w:val="17"/>
                <w:color w:val="auto"/>
              </w:rPr>
            </w:pPr>
          </w:p>
        </w:tc>
        <w:tc>
          <w:tcPr>
            <w:tcW w:w="5800" w:type="dxa"/>
            <w:vAlign w:val="bottom"/>
            <w:gridSpan w:val="2"/>
            <w:shd w:val="clear" w:color="auto" w:fill="DBE5F1"/>
          </w:tcPr>
          <w:p>
            <w:pPr>
              <w:ind w:left="200"/>
              <w:spacing w:after="0"/>
              <w:rPr>
                <w:sz w:val="20"/>
                <w:szCs w:val="20"/>
                <w:color w:val="auto"/>
              </w:rPr>
            </w:pPr>
            <w:r>
              <w:rPr>
                <w:rFonts w:ascii="Arial" w:cs="Arial" w:eastAsia="Arial" w:hAnsi="Arial"/>
                <w:sz w:val="16"/>
                <w:szCs w:val="16"/>
                <w:color w:val="5978A5"/>
                <w:w w:val="97"/>
              </w:rPr>
              <w:t xml:space="preserve">•  </w:t>
            </w:r>
            <w:r>
              <w:rPr>
                <w:rFonts w:ascii="Arial" w:cs="Arial" w:eastAsia="Arial" w:hAnsi="Arial"/>
                <w:sz w:val="16"/>
                <w:szCs w:val="16"/>
                <w:color w:val="000000"/>
                <w:w w:val="97"/>
              </w:rPr>
              <w:t>Facilitate and manage integration of acquired entities and create efficiencies in</w:t>
            </w:r>
          </w:p>
        </w:tc>
        <w:tc>
          <w:tcPr>
            <w:tcW w:w="1380" w:type="dxa"/>
            <w:vAlign w:val="bottom"/>
            <w:shd w:val="clear" w:color="auto" w:fill="DBE5F1"/>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420" w:type="dxa"/>
            <w:vAlign w:val="bottom"/>
            <w:shd w:val="clear" w:color="auto" w:fill="DBE5F1"/>
          </w:tcPr>
          <w:p>
            <w:pPr>
              <w:spacing w:after="0"/>
              <w:rPr>
                <w:sz w:val="17"/>
                <w:szCs w:val="17"/>
                <w:color w:val="auto"/>
              </w:rPr>
            </w:pPr>
          </w:p>
        </w:tc>
        <w:tc>
          <w:tcPr>
            <w:tcW w:w="1820" w:type="dxa"/>
            <w:vAlign w:val="bottom"/>
            <w:shd w:val="clear" w:color="auto" w:fill="DBE5F1"/>
          </w:tcPr>
          <w:p>
            <w:pPr>
              <w:spacing w:after="0"/>
              <w:rPr>
                <w:sz w:val="17"/>
                <w:szCs w:val="17"/>
                <w:color w:val="auto"/>
              </w:rPr>
            </w:pPr>
          </w:p>
        </w:tc>
        <w:tc>
          <w:tcPr>
            <w:tcW w:w="340" w:type="dxa"/>
            <w:vAlign w:val="bottom"/>
            <w:shd w:val="clear" w:color="auto" w:fill="DBE5F1"/>
          </w:tcPr>
          <w:p>
            <w:pPr>
              <w:spacing w:after="0"/>
              <w:rPr>
                <w:sz w:val="17"/>
                <w:szCs w:val="17"/>
                <w:color w:val="auto"/>
              </w:rPr>
            </w:pPr>
          </w:p>
        </w:tc>
        <w:tc>
          <w:tcPr>
            <w:tcW w:w="5460" w:type="dxa"/>
            <w:vAlign w:val="bottom"/>
            <w:shd w:val="clear" w:color="auto" w:fill="DBE5F1"/>
          </w:tcPr>
          <w:p>
            <w:pPr>
              <w:ind w:left="120"/>
              <w:spacing w:after="0"/>
              <w:rPr>
                <w:sz w:val="20"/>
                <w:szCs w:val="20"/>
                <w:color w:val="auto"/>
              </w:rPr>
            </w:pPr>
            <w:r>
              <w:rPr>
                <w:rFonts w:ascii="Arial" w:cs="Arial" w:eastAsia="Arial" w:hAnsi="Arial"/>
                <w:sz w:val="16"/>
                <w:szCs w:val="16"/>
                <w:color w:val="auto"/>
              </w:rPr>
              <w:t>operations</w:t>
            </w:r>
          </w:p>
        </w:tc>
        <w:tc>
          <w:tcPr>
            <w:tcW w:w="1380" w:type="dxa"/>
            <w:vAlign w:val="bottom"/>
            <w:shd w:val="clear" w:color="auto" w:fill="DBE5F1"/>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420" w:type="dxa"/>
            <w:vAlign w:val="bottom"/>
            <w:shd w:val="clear" w:color="auto" w:fill="DBE5F1"/>
          </w:tcPr>
          <w:p>
            <w:pPr>
              <w:spacing w:after="0"/>
              <w:rPr>
                <w:sz w:val="18"/>
                <w:szCs w:val="18"/>
                <w:color w:val="auto"/>
              </w:rPr>
            </w:pPr>
          </w:p>
        </w:tc>
        <w:tc>
          <w:tcPr>
            <w:tcW w:w="1820" w:type="dxa"/>
            <w:vAlign w:val="bottom"/>
            <w:shd w:val="clear" w:color="auto" w:fill="DBE5F1"/>
          </w:tcPr>
          <w:p>
            <w:pPr>
              <w:spacing w:after="0"/>
              <w:rPr>
                <w:sz w:val="18"/>
                <w:szCs w:val="18"/>
                <w:color w:val="auto"/>
              </w:rPr>
            </w:pPr>
          </w:p>
        </w:tc>
        <w:tc>
          <w:tcPr>
            <w:tcW w:w="5800" w:type="dxa"/>
            <w:vAlign w:val="bottom"/>
            <w:gridSpan w:val="2"/>
            <w:shd w:val="clear" w:color="auto" w:fill="DBE5F1"/>
          </w:tcPr>
          <w:p>
            <w:pPr>
              <w:ind w:left="200"/>
              <w:spacing w:after="0"/>
              <w:rPr>
                <w:sz w:val="20"/>
                <w:szCs w:val="20"/>
                <w:color w:val="auto"/>
              </w:rPr>
            </w:pPr>
            <w:r>
              <w:rPr>
                <w:rFonts w:ascii="Arial" w:cs="Arial" w:eastAsia="Arial" w:hAnsi="Arial"/>
                <w:sz w:val="16"/>
                <w:szCs w:val="16"/>
                <w:color w:val="5978A5"/>
              </w:rPr>
              <w:t xml:space="preserve">•  </w:t>
            </w:r>
            <w:r>
              <w:rPr>
                <w:rFonts w:ascii="Arial" w:cs="Arial" w:eastAsia="Arial" w:hAnsi="Arial"/>
                <w:sz w:val="16"/>
                <w:szCs w:val="16"/>
                <w:color w:val="000000"/>
              </w:rPr>
              <w:t>Monitor and report on financial progress</w:t>
            </w:r>
          </w:p>
        </w:tc>
        <w:tc>
          <w:tcPr>
            <w:tcW w:w="1380" w:type="dxa"/>
            <w:vAlign w:val="bottom"/>
            <w:shd w:val="clear" w:color="auto" w:fill="DBE5F1"/>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20" w:type="dxa"/>
            <w:vAlign w:val="bottom"/>
            <w:shd w:val="clear" w:color="auto" w:fill="DBE5F1"/>
          </w:tcPr>
          <w:p>
            <w:pPr>
              <w:spacing w:after="0"/>
              <w:rPr>
                <w:sz w:val="18"/>
                <w:szCs w:val="18"/>
                <w:color w:val="auto"/>
              </w:rPr>
            </w:pPr>
          </w:p>
        </w:tc>
        <w:tc>
          <w:tcPr>
            <w:tcW w:w="1820" w:type="dxa"/>
            <w:vAlign w:val="bottom"/>
            <w:shd w:val="clear" w:color="auto" w:fill="DBE5F1"/>
          </w:tcPr>
          <w:p>
            <w:pPr>
              <w:spacing w:after="0"/>
              <w:rPr>
                <w:sz w:val="18"/>
                <w:szCs w:val="18"/>
                <w:color w:val="auto"/>
              </w:rPr>
            </w:pPr>
          </w:p>
        </w:tc>
        <w:tc>
          <w:tcPr>
            <w:tcW w:w="5800" w:type="dxa"/>
            <w:vAlign w:val="bottom"/>
            <w:gridSpan w:val="2"/>
            <w:shd w:val="clear" w:color="auto" w:fill="DBE5F1"/>
          </w:tcPr>
          <w:p>
            <w:pPr>
              <w:ind w:left="200"/>
              <w:spacing w:after="0"/>
              <w:rPr>
                <w:sz w:val="20"/>
                <w:szCs w:val="20"/>
                <w:color w:val="auto"/>
              </w:rPr>
            </w:pPr>
            <w:r>
              <w:rPr>
                <w:rFonts w:ascii="Arial" w:cs="Arial" w:eastAsia="Arial" w:hAnsi="Arial"/>
                <w:sz w:val="16"/>
                <w:szCs w:val="16"/>
                <w:color w:val="5978A5"/>
              </w:rPr>
              <w:t xml:space="preserve">•  </w:t>
            </w:r>
            <w:r>
              <w:rPr>
                <w:rFonts w:ascii="Arial" w:cs="Arial" w:eastAsia="Arial" w:hAnsi="Arial"/>
                <w:sz w:val="16"/>
                <w:szCs w:val="16"/>
                <w:color w:val="000000"/>
              </w:rPr>
              <w:t>Effectively communicate with the Company’s investor base and analysts</w:t>
            </w:r>
          </w:p>
        </w:tc>
        <w:tc>
          <w:tcPr>
            <w:tcW w:w="1380" w:type="dxa"/>
            <w:vAlign w:val="bottom"/>
            <w:shd w:val="clear" w:color="auto" w:fill="DBE5F1"/>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20" w:type="dxa"/>
            <w:vAlign w:val="bottom"/>
            <w:shd w:val="clear" w:color="auto" w:fill="DBE5F1"/>
          </w:tcPr>
          <w:p>
            <w:pPr>
              <w:spacing w:after="0"/>
              <w:rPr>
                <w:sz w:val="18"/>
                <w:szCs w:val="18"/>
                <w:color w:val="auto"/>
              </w:rPr>
            </w:pPr>
          </w:p>
        </w:tc>
        <w:tc>
          <w:tcPr>
            <w:tcW w:w="1820" w:type="dxa"/>
            <w:vAlign w:val="bottom"/>
            <w:shd w:val="clear" w:color="auto" w:fill="DBE5F1"/>
          </w:tcPr>
          <w:p>
            <w:pPr>
              <w:spacing w:after="0"/>
              <w:rPr>
                <w:sz w:val="18"/>
                <w:szCs w:val="18"/>
                <w:color w:val="auto"/>
              </w:rPr>
            </w:pPr>
          </w:p>
        </w:tc>
        <w:tc>
          <w:tcPr>
            <w:tcW w:w="5800" w:type="dxa"/>
            <w:vAlign w:val="bottom"/>
            <w:gridSpan w:val="2"/>
            <w:shd w:val="clear" w:color="auto" w:fill="DBE5F1"/>
          </w:tcPr>
          <w:p>
            <w:pPr>
              <w:ind w:left="200"/>
              <w:spacing w:after="0"/>
              <w:rPr>
                <w:sz w:val="20"/>
                <w:szCs w:val="20"/>
                <w:color w:val="auto"/>
              </w:rPr>
            </w:pPr>
            <w:r>
              <w:rPr>
                <w:rFonts w:ascii="Arial" w:cs="Arial" w:eastAsia="Arial" w:hAnsi="Arial"/>
                <w:sz w:val="16"/>
                <w:szCs w:val="16"/>
                <w:color w:val="5978A5"/>
              </w:rPr>
              <w:t xml:space="preserve">•  </w:t>
            </w:r>
            <w:r>
              <w:rPr>
                <w:rFonts w:ascii="Arial" w:cs="Arial" w:eastAsia="Arial" w:hAnsi="Arial"/>
                <w:sz w:val="16"/>
                <w:szCs w:val="16"/>
                <w:color w:val="000000"/>
              </w:rPr>
              <w:t>Monitor debt and compliance with current debt covenants</w:t>
            </w:r>
          </w:p>
        </w:tc>
        <w:tc>
          <w:tcPr>
            <w:tcW w:w="1380" w:type="dxa"/>
            <w:vAlign w:val="bottom"/>
            <w:shd w:val="clear" w:color="auto" w:fill="DBE5F1"/>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420" w:type="dxa"/>
            <w:vAlign w:val="bottom"/>
            <w:shd w:val="clear" w:color="auto" w:fill="DBE5F1"/>
          </w:tcPr>
          <w:p>
            <w:pPr>
              <w:spacing w:after="0"/>
              <w:rPr>
                <w:sz w:val="18"/>
                <w:szCs w:val="18"/>
                <w:color w:val="auto"/>
              </w:rPr>
            </w:pPr>
          </w:p>
        </w:tc>
        <w:tc>
          <w:tcPr>
            <w:tcW w:w="1820" w:type="dxa"/>
            <w:vAlign w:val="bottom"/>
            <w:shd w:val="clear" w:color="auto" w:fill="DBE5F1"/>
          </w:tcPr>
          <w:p>
            <w:pPr>
              <w:spacing w:after="0"/>
              <w:rPr>
                <w:sz w:val="18"/>
                <w:szCs w:val="18"/>
                <w:color w:val="auto"/>
              </w:rPr>
            </w:pPr>
          </w:p>
        </w:tc>
        <w:tc>
          <w:tcPr>
            <w:tcW w:w="5800" w:type="dxa"/>
            <w:vAlign w:val="bottom"/>
            <w:gridSpan w:val="2"/>
            <w:shd w:val="clear" w:color="auto" w:fill="DBE5F1"/>
          </w:tcPr>
          <w:p>
            <w:pPr>
              <w:ind w:left="200"/>
              <w:spacing w:after="0"/>
              <w:rPr>
                <w:sz w:val="20"/>
                <w:szCs w:val="20"/>
                <w:color w:val="auto"/>
              </w:rPr>
            </w:pPr>
            <w:r>
              <w:rPr>
                <w:rFonts w:ascii="Arial" w:cs="Arial" w:eastAsia="Arial" w:hAnsi="Arial"/>
                <w:sz w:val="16"/>
                <w:szCs w:val="16"/>
                <w:color w:val="5978A5"/>
                <w:w w:val="99"/>
              </w:rPr>
              <w:t xml:space="preserve">•  </w:t>
            </w:r>
            <w:r>
              <w:rPr>
                <w:rFonts w:ascii="Arial" w:cs="Arial" w:eastAsia="Arial" w:hAnsi="Arial"/>
                <w:sz w:val="16"/>
                <w:szCs w:val="16"/>
                <w:color w:val="000000"/>
                <w:w w:val="99"/>
              </w:rPr>
              <w:t>Manage the Company’s Securities and Exchange Commission filings and the</w:t>
            </w:r>
          </w:p>
        </w:tc>
        <w:tc>
          <w:tcPr>
            <w:tcW w:w="1380" w:type="dxa"/>
            <w:vAlign w:val="bottom"/>
            <w:shd w:val="clear" w:color="auto" w:fill="DBE5F1"/>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2420" w:type="dxa"/>
            <w:vAlign w:val="bottom"/>
            <w:shd w:val="clear" w:color="auto" w:fill="DBE5F1"/>
          </w:tcPr>
          <w:p>
            <w:pPr>
              <w:spacing w:after="0"/>
              <w:rPr>
                <w:sz w:val="17"/>
                <w:szCs w:val="17"/>
                <w:color w:val="auto"/>
              </w:rPr>
            </w:pPr>
          </w:p>
        </w:tc>
        <w:tc>
          <w:tcPr>
            <w:tcW w:w="1820" w:type="dxa"/>
            <w:vAlign w:val="bottom"/>
            <w:shd w:val="clear" w:color="auto" w:fill="DBE5F1"/>
          </w:tcPr>
          <w:p>
            <w:pPr>
              <w:spacing w:after="0"/>
              <w:rPr>
                <w:sz w:val="17"/>
                <w:szCs w:val="17"/>
                <w:color w:val="auto"/>
              </w:rPr>
            </w:pPr>
          </w:p>
        </w:tc>
        <w:tc>
          <w:tcPr>
            <w:tcW w:w="340" w:type="dxa"/>
            <w:vAlign w:val="bottom"/>
            <w:shd w:val="clear" w:color="auto" w:fill="DBE5F1"/>
          </w:tcPr>
          <w:p>
            <w:pPr>
              <w:spacing w:after="0"/>
              <w:rPr>
                <w:sz w:val="17"/>
                <w:szCs w:val="17"/>
                <w:color w:val="auto"/>
              </w:rPr>
            </w:pPr>
          </w:p>
        </w:tc>
        <w:tc>
          <w:tcPr>
            <w:tcW w:w="5460" w:type="dxa"/>
            <w:vAlign w:val="bottom"/>
            <w:shd w:val="clear" w:color="auto" w:fill="DBE5F1"/>
          </w:tcPr>
          <w:p>
            <w:pPr>
              <w:ind w:left="120"/>
              <w:spacing w:after="0"/>
              <w:rPr>
                <w:sz w:val="20"/>
                <w:szCs w:val="20"/>
                <w:color w:val="auto"/>
              </w:rPr>
            </w:pPr>
            <w:r>
              <w:rPr>
                <w:rFonts w:ascii="Arial" w:cs="Arial" w:eastAsia="Arial" w:hAnsi="Arial"/>
                <w:sz w:val="16"/>
                <w:szCs w:val="16"/>
                <w:color w:val="auto"/>
              </w:rPr>
              <w:t>annual audit</w:t>
            </w:r>
          </w:p>
        </w:tc>
        <w:tc>
          <w:tcPr>
            <w:tcW w:w="1380" w:type="dxa"/>
            <w:vAlign w:val="bottom"/>
            <w:shd w:val="clear" w:color="auto" w:fill="DBE5F1"/>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420" w:type="dxa"/>
            <w:vAlign w:val="bottom"/>
            <w:shd w:val="clear" w:color="auto" w:fill="DBE5F1"/>
          </w:tcPr>
          <w:p>
            <w:pPr>
              <w:spacing w:after="0"/>
              <w:rPr>
                <w:sz w:val="18"/>
                <w:szCs w:val="18"/>
                <w:color w:val="auto"/>
              </w:rPr>
            </w:pPr>
          </w:p>
        </w:tc>
        <w:tc>
          <w:tcPr>
            <w:tcW w:w="1820" w:type="dxa"/>
            <w:vAlign w:val="bottom"/>
            <w:shd w:val="clear" w:color="auto" w:fill="DBE5F1"/>
          </w:tcPr>
          <w:p>
            <w:pPr>
              <w:spacing w:after="0"/>
              <w:rPr>
                <w:sz w:val="18"/>
                <w:szCs w:val="18"/>
                <w:color w:val="auto"/>
              </w:rPr>
            </w:pPr>
          </w:p>
        </w:tc>
        <w:tc>
          <w:tcPr>
            <w:tcW w:w="5800" w:type="dxa"/>
            <w:vAlign w:val="bottom"/>
            <w:gridSpan w:val="2"/>
            <w:shd w:val="clear" w:color="auto" w:fill="DBE5F1"/>
          </w:tcPr>
          <w:p>
            <w:pPr>
              <w:ind w:left="200"/>
              <w:spacing w:after="0"/>
              <w:rPr>
                <w:sz w:val="20"/>
                <w:szCs w:val="20"/>
                <w:color w:val="auto"/>
              </w:rPr>
            </w:pPr>
            <w:r>
              <w:rPr>
                <w:rFonts w:ascii="Arial" w:cs="Arial" w:eastAsia="Arial" w:hAnsi="Arial"/>
                <w:sz w:val="16"/>
                <w:szCs w:val="16"/>
                <w:color w:val="5978A5"/>
              </w:rPr>
              <w:t xml:space="preserve">•  </w:t>
            </w:r>
            <w:r>
              <w:rPr>
                <w:rFonts w:ascii="Arial" w:cs="Arial" w:eastAsia="Arial" w:hAnsi="Arial"/>
                <w:sz w:val="16"/>
                <w:szCs w:val="16"/>
                <w:color w:val="000000"/>
              </w:rPr>
              <w:t>Evaluate and facilitate potential acquisitions</w:t>
            </w:r>
          </w:p>
        </w:tc>
        <w:tc>
          <w:tcPr>
            <w:tcW w:w="1380" w:type="dxa"/>
            <w:vAlign w:val="bottom"/>
            <w:shd w:val="clear" w:color="auto" w:fill="DBE5F1"/>
          </w:tcPr>
          <w:p>
            <w:pPr>
              <w:spacing w:after="0"/>
              <w:rPr>
                <w:sz w:val="18"/>
                <w:szCs w:val="18"/>
                <w:color w:val="auto"/>
              </w:rPr>
            </w:pPr>
          </w:p>
        </w:tc>
        <w:tc>
          <w:tcPr>
            <w:tcW w:w="0" w:type="dxa"/>
            <w:vAlign w:val="bottom"/>
          </w:tcPr>
          <w:p>
            <w:pPr>
              <w:spacing w:after="0"/>
              <w:rPr>
                <w:sz w:val="1"/>
                <w:szCs w:val="1"/>
                <w:color w:val="auto"/>
              </w:rPr>
            </w:pPr>
          </w:p>
        </w:tc>
      </w:tr>
      <w:tr>
        <w:trPr>
          <w:trHeight w:val="293"/>
        </w:trPr>
        <w:tc>
          <w:tcPr>
            <w:tcW w:w="2420" w:type="dxa"/>
            <w:vAlign w:val="bottom"/>
            <w:shd w:val="clear" w:color="auto" w:fill="DBE5F1"/>
          </w:tcPr>
          <w:p>
            <w:pPr>
              <w:ind w:left="180"/>
              <w:spacing w:after="0"/>
              <w:rPr>
                <w:sz w:val="20"/>
                <w:szCs w:val="20"/>
                <w:color w:val="auto"/>
              </w:rPr>
            </w:pPr>
            <w:r>
              <w:rPr>
                <w:rFonts w:ascii="Arial" w:cs="Arial" w:eastAsia="Arial" w:hAnsi="Arial"/>
                <w:sz w:val="16"/>
                <w:szCs w:val="16"/>
                <w:b w:val="1"/>
                <w:bCs w:val="1"/>
                <w:color w:val="auto"/>
              </w:rPr>
              <w:t>Scott L. Yinger</w:t>
            </w:r>
            <w:r>
              <w:rPr>
                <w:rFonts w:ascii="Arial" w:cs="Arial" w:eastAsia="Arial" w:hAnsi="Arial"/>
                <w:sz w:val="21"/>
                <w:szCs w:val="21"/>
                <w:b w:val="1"/>
                <w:bCs w:val="1"/>
                <w:color w:val="auto"/>
                <w:vertAlign w:val="superscript"/>
              </w:rPr>
              <w:t>(2)</w:t>
            </w:r>
          </w:p>
        </w:tc>
        <w:tc>
          <w:tcPr>
            <w:tcW w:w="1820" w:type="dxa"/>
            <w:vAlign w:val="bottom"/>
            <w:shd w:val="clear" w:color="auto" w:fill="DBE5F1"/>
          </w:tcPr>
          <w:p>
            <w:pPr>
              <w:ind w:left="160"/>
              <w:spacing w:after="0"/>
              <w:rPr>
                <w:sz w:val="20"/>
                <w:szCs w:val="20"/>
                <w:color w:val="auto"/>
              </w:rPr>
            </w:pPr>
            <w:r>
              <w:rPr>
                <w:rFonts w:ascii="Arial" w:cs="Arial" w:eastAsia="Arial" w:hAnsi="Arial"/>
                <w:sz w:val="16"/>
                <w:szCs w:val="16"/>
                <w:color w:val="auto"/>
              </w:rPr>
              <w:t>Interim CFO</w:t>
            </w:r>
          </w:p>
        </w:tc>
        <w:tc>
          <w:tcPr>
            <w:tcW w:w="340" w:type="dxa"/>
            <w:vAlign w:val="bottom"/>
            <w:shd w:val="clear" w:color="auto" w:fill="DBE5F1"/>
          </w:tcPr>
          <w:p>
            <w:pPr>
              <w:ind w:left="200"/>
              <w:spacing w:after="0"/>
              <w:rPr>
                <w:sz w:val="20"/>
                <w:szCs w:val="20"/>
                <w:color w:val="auto"/>
              </w:rPr>
            </w:pPr>
            <w:r>
              <w:rPr>
                <w:rFonts w:ascii="Arial" w:cs="Arial" w:eastAsia="Arial" w:hAnsi="Arial"/>
                <w:sz w:val="16"/>
                <w:szCs w:val="16"/>
                <w:color w:val="5978A5"/>
              </w:rPr>
              <w:t>•</w:t>
            </w:r>
          </w:p>
        </w:tc>
        <w:tc>
          <w:tcPr>
            <w:tcW w:w="5460" w:type="dxa"/>
            <w:vAlign w:val="bottom"/>
            <w:shd w:val="clear" w:color="auto" w:fill="DBE5F1"/>
          </w:tcPr>
          <w:p>
            <w:pPr>
              <w:ind w:left="100"/>
              <w:spacing w:after="0"/>
              <w:rPr>
                <w:sz w:val="20"/>
                <w:szCs w:val="20"/>
                <w:color w:val="auto"/>
              </w:rPr>
            </w:pPr>
            <w:r>
              <w:rPr>
                <w:rFonts w:ascii="Arial" w:cs="Arial" w:eastAsia="Arial" w:hAnsi="Arial"/>
                <w:sz w:val="16"/>
                <w:szCs w:val="16"/>
                <w:color w:val="auto"/>
              </w:rPr>
              <w:t>Manage and develop finance team</w:t>
            </w:r>
          </w:p>
        </w:tc>
        <w:tc>
          <w:tcPr>
            <w:tcW w:w="1380" w:type="dxa"/>
            <w:vAlign w:val="bottom"/>
            <w:shd w:val="clear" w:color="auto" w:fill="DBE5F1"/>
          </w:tcPr>
          <w:p>
            <w:pPr>
              <w:jc w:val="center"/>
              <w:spacing w:after="0"/>
              <w:rPr>
                <w:sz w:val="20"/>
                <w:szCs w:val="20"/>
                <w:color w:val="auto"/>
              </w:rPr>
            </w:pPr>
            <w:r>
              <w:rPr>
                <w:rFonts w:ascii="Arial" w:cs="Arial" w:eastAsia="Arial" w:hAnsi="Arial"/>
                <w:sz w:val="16"/>
                <w:szCs w:val="16"/>
                <w:color w:val="auto"/>
                <w:w w:val="93"/>
              </w:rPr>
              <w:t>88%</w:t>
            </w:r>
          </w:p>
        </w:tc>
        <w:tc>
          <w:tcPr>
            <w:tcW w:w="0" w:type="dxa"/>
            <w:vAlign w:val="bottom"/>
          </w:tcPr>
          <w:p>
            <w:pPr>
              <w:spacing w:after="0"/>
              <w:rPr>
                <w:sz w:val="1"/>
                <w:szCs w:val="1"/>
                <w:color w:val="auto"/>
              </w:rPr>
            </w:pPr>
          </w:p>
        </w:tc>
      </w:tr>
      <w:tr>
        <w:trPr>
          <w:trHeight w:val="206"/>
        </w:trPr>
        <w:tc>
          <w:tcPr>
            <w:tcW w:w="2420" w:type="dxa"/>
            <w:vAlign w:val="bottom"/>
            <w:shd w:val="clear" w:color="auto" w:fill="DBE5F1"/>
          </w:tcPr>
          <w:p>
            <w:pPr>
              <w:spacing w:after="0"/>
              <w:rPr>
                <w:sz w:val="17"/>
                <w:szCs w:val="17"/>
                <w:color w:val="auto"/>
              </w:rPr>
            </w:pPr>
          </w:p>
        </w:tc>
        <w:tc>
          <w:tcPr>
            <w:tcW w:w="1820" w:type="dxa"/>
            <w:vAlign w:val="bottom"/>
            <w:shd w:val="clear" w:color="auto" w:fill="DBE5F1"/>
          </w:tcPr>
          <w:p>
            <w:pPr>
              <w:spacing w:after="0"/>
              <w:rPr>
                <w:sz w:val="17"/>
                <w:szCs w:val="17"/>
                <w:color w:val="auto"/>
              </w:rPr>
            </w:pPr>
          </w:p>
        </w:tc>
        <w:tc>
          <w:tcPr>
            <w:tcW w:w="5800" w:type="dxa"/>
            <w:vAlign w:val="bottom"/>
            <w:gridSpan w:val="2"/>
            <w:shd w:val="clear" w:color="auto" w:fill="DBE5F1"/>
          </w:tcPr>
          <w:p>
            <w:pPr>
              <w:ind w:left="200"/>
              <w:spacing w:after="0"/>
              <w:rPr>
                <w:sz w:val="20"/>
                <w:szCs w:val="20"/>
                <w:color w:val="auto"/>
              </w:rPr>
            </w:pPr>
            <w:r>
              <w:rPr>
                <w:rFonts w:ascii="Arial" w:cs="Arial" w:eastAsia="Arial" w:hAnsi="Arial"/>
                <w:sz w:val="16"/>
                <w:szCs w:val="16"/>
                <w:color w:val="5978A5"/>
              </w:rPr>
              <w:t xml:space="preserve">•  </w:t>
            </w:r>
            <w:r>
              <w:rPr>
                <w:rFonts w:ascii="Arial" w:cs="Arial" w:eastAsia="Arial" w:hAnsi="Arial"/>
                <w:sz w:val="16"/>
                <w:szCs w:val="16"/>
                <w:color w:val="000000"/>
              </w:rPr>
              <w:t>Successfully run the forecast and budget process</w:t>
            </w:r>
          </w:p>
        </w:tc>
        <w:tc>
          <w:tcPr>
            <w:tcW w:w="1380" w:type="dxa"/>
            <w:vAlign w:val="bottom"/>
            <w:shd w:val="clear" w:color="auto" w:fill="DBE5F1"/>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420" w:type="dxa"/>
            <w:vAlign w:val="bottom"/>
            <w:shd w:val="clear" w:color="auto" w:fill="DBE5F1"/>
          </w:tcPr>
          <w:p>
            <w:pPr>
              <w:spacing w:after="0"/>
              <w:rPr>
                <w:sz w:val="18"/>
                <w:szCs w:val="18"/>
                <w:color w:val="auto"/>
              </w:rPr>
            </w:pPr>
          </w:p>
        </w:tc>
        <w:tc>
          <w:tcPr>
            <w:tcW w:w="1820" w:type="dxa"/>
            <w:vAlign w:val="bottom"/>
            <w:shd w:val="clear" w:color="auto" w:fill="DBE5F1"/>
          </w:tcPr>
          <w:p>
            <w:pPr>
              <w:spacing w:after="0"/>
              <w:rPr>
                <w:sz w:val="18"/>
                <w:szCs w:val="18"/>
                <w:color w:val="auto"/>
              </w:rPr>
            </w:pPr>
          </w:p>
        </w:tc>
        <w:tc>
          <w:tcPr>
            <w:tcW w:w="340" w:type="dxa"/>
            <w:vAlign w:val="bottom"/>
            <w:shd w:val="clear" w:color="auto" w:fill="DBE5F1"/>
          </w:tcPr>
          <w:p>
            <w:pPr>
              <w:ind w:left="200"/>
              <w:spacing w:after="0"/>
              <w:rPr>
                <w:sz w:val="20"/>
                <w:szCs w:val="20"/>
                <w:color w:val="auto"/>
              </w:rPr>
            </w:pPr>
            <w:r>
              <w:rPr>
                <w:rFonts w:ascii="Arial" w:cs="Arial" w:eastAsia="Arial" w:hAnsi="Arial"/>
                <w:sz w:val="16"/>
                <w:szCs w:val="16"/>
                <w:color w:val="5978A5"/>
              </w:rPr>
              <w:t>•</w:t>
            </w:r>
          </w:p>
        </w:tc>
        <w:tc>
          <w:tcPr>
            <w:tcW w:w="5460" w:type="dxa"/>
            <w:vAlign w:val="bottom"/>
            <w:shd w:val="clear" w:color="auto" w:fill="DBE5F1"/>
          </w:tcPr>
          <w:p>
            <w:pPr>
              <w:ind w:left="100"/>
              <w:spacing w:after="0"/>
              <w:rPr>
                <w:sz w:val="20"/>
                <w:szCs w:val="20"/>
                <w:color w:val="auto"/>
              </w:rPr>
            </w:pPr>
            <w:r>
              <w:rPr>
                <w:rFonts w:ascii="Arial" w:cs="Arial" w:eastAsia="Arial" w:hAnsi="Arial"/>
                <w:sz w:val="16"/>
                <w:szCs w:val="16"/>
                <w:color w:val="auto"/>
              </w:rPr>
              <w:t>Support investor relations</w:t>
            </w:r>
          </w:p>
        </w:tc>
        <w:tc>
          <w:tcPr>
            <w:tcW w:w="1380" w:type="dxa"/>
            <w:vAlign w:val="bottom"/>
            <w:shd w:val="clear" w:color="auto" w:fill="DBE5F1"/>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20" w:type="dxa"/>
            <w:vAlign w:val="bottom"/>
            <w:shd w:val="clear" w:color="auto" w:fill="DBE5F1"/>
          </w:tcPr>
          <w:p>
            <w:pPr>
              <w:spacing w:after="0"/>
              <w:rPr>
                <w:sz w:val="18"/>
                <w:szCs w:val="18"/>
                <w:color w:val="auto"/>
              </w:rPr>
            </w:pPr>
          </w:p>
        </w:tc>
        <w:tc>
          <w:tcPr>
            <w:tcW w:w="1820" w:type="dxa"/>
            <w:vAlign w:val="bottom"/>
            <w:shd w:val="clear" w:color="auto" w:fill="DBE5F1"/>
          </w:tcPr>
          <w:p>
            <w:pPr>
              <w:spacing w:after="0"/>
              <w:rPr>
                <w:sz w:val="18"/>
                <w:szCs w:val="18"/>
                <w:color w:val="auto"/>
              </w:rPr>
            </w:pPr>
          </w:p>
        </w:tc>
        <w:tc>
          <w:tcPr>
            <w:tcW w:w="5800" w:type="dxa"/>
            <w:vAlign w:val="bottom"/>
            <w:gridSpan w:val="2"/>
            <w:shd w:val="clear" w:color="auto" w:fill="DBE5F1"/>
          </w:tcPr>
          <w:p>
            <w:pPr>
              <w:ind w:left="200"/>
              <w:spacing w:after="0"/>
              <w:rPr>
                <w:sz w:val="20"/>
                <w:szCs w:val="20"/>
                <w:color w:val="auto"/>
              </w:rPr>
            </w:pPr>
            <w:r>
              <w:rPr>
                <w:rFonts w:ascii="Arial" w:cs="Arial" w:eastAsia="Arial" w:hAnsi="Arial"/>
                <w:sz w:val="16"/>
                <w:szCs w:val="16"/>
                <w:color w:val="5978A5"/>
                <w:w w:val="99"/>
              </w:rPr>
              <w:t xml:space="preserve">•  </w:t>
            </w:r>
            <w:r>
              <w:rPr>
                <w:rFonts w:ascii="Arial" w:cs="Arial" w:eastAsia="Arial" w:hAnsi="Arial"/>
                <w:sz w:val="16"/>
                <w:szCs w:val="16"/>
                <w:color w:val="000000"/>
                <w:w w:val="99"/>
              </w:rPr>
              <w:t>Support compensation plan design, including oversight of sales commissions</w:t>
            </w:r>
          </w:p>
        </w:tc>
        <w:tc>
          <w:tcPr>
            <w:tcW w:w="1380" w:type="dxa"/>
            <w:vAlign w:val="bottom"/>
            <w:shd w:val="clear" w:color="auto" w:fill="DBE5F1"/>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420" w:type="dxa"/>
            <w:vAlign w:val="bottom"/>
            <w:shd w:val="clear" w:color="auto" w:fill="DBE5F1"/>
          </w:tcPr>
          <w:p>
            <w:pPr>
              <w:spacing w:after="0"/>
              <w:rPr>
                <w:sz w:val="18"/>
                <w:szCs w:val="18"/>
                <w:color w:val="auto"/>
              </w:rPr>
            </w:pPr>
          </w:p>
        </w:tc>
        <w:tc>
          <w:tcPr>
            <w:tcW w:w="1820" w:type="dxa"/>
            <w:vAlign w:val="bottom"/>
            <w:shd w:val="clear" w:color="auto" w:fill="DBE5F1"/>
          </w:tcPr>
          <w:p>
            <w:pPr>
              <w:spacing w:after="0"/>
              <w:rPr>
                <w:sz w:val="18"/>
                <w:szCs w:val="18"/>
                <w:color w:val="auto"/>
              </w:rPr>
            </w:pPr>
          </w:p>
        </w:tc>
        <w:tc>
          <w:tcPr>
            <w:tcW w:w="5800" w:type="dxa"/>
            <w:vAlign w:val="bottom"/>
            <w:gridSpan w:val="2"/>
            <w:shd w:val="clear" w:color="auto" w:fill="DBE5F1"/>
          </w:tcPr>
          <w:p>
            <w:pPr>
              <w:ind w:left="200"/>
              <w:spacing w:after="0"/>
              <w:rPr>
                <w:sz w:val="20"/>
                <w:szCs w:val="20"/>
                <w:color w:val="auto"/>
              </w:rPr>
            </w:pPr>
            <w:r>
              <w:rPr>
                <w:rFonts w:ascii="Arial" w:cs="Arial" w:eastAsia="Arial" w:hAnsi="Arial"/>
                <w:sz w:val="16"/>
                <w:szCs w:val="16"/>
                <w:color w:val="5978A5"/>
              </w:rPr>
              <w:t xml:space="preserve">•  </w:t>
            </w:r>
            <w:r>
              <w:rPr>
                <w:rFonts w:ascii="Arial" w:cs="Arial" w:eastAsia="Arial" w:hAnsi="Arial"/>
                <w:sz w:val="16"/>
                <w:szCs w:val="16"/>
                <w:color w:val="000000"/>
              </w:rPr>
              <w:t>Facilitate integration of acquired businesses, including testing and controls,</w:t>
            </w:r>
          </w:p>
        </w:tc>
        <w:tc>
          <w:tcPr>
            <w:tcW w:w="1380" w:type="dxa"/>
            <w:vAlign w:val="bottom"/>
            <w:shd w:val="clear" w:color="auto" w:fill="DBE5F1"/>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2420" w:type="dxa"/>
            <w:vAlign w:val="bottom"/>
            <w:shd w:val="clear" w:color="auto" w:fill="DBE5F1"/>
          </w:tcPr>
          <w:p>
            <w:pPr>
              <w:spacing w:after="0"/>
              <w:rPr>
                <w:sz w:val="17"/>
                <w:szCs w:val="17"/>
                <w:color w:val="auto"/>
              </w:rPr>
            </w:pPr>
          </w:p>
        </w:tc>
        <w:tc>
          <w:tcPr>
            <w:tcW w:w="1820" w:type="dxa"/>
            <w:vAlign w:val="bottom"/>
            <w:shd w:val="clear" w:color="auto" w:fill="DBE5F1"/>
          </w:tcPr>
          <w:p>
            <w:pPr>
              <w:spacing w:after="0"/>
              <w:rPr>
                <w:sz w:val="17"/>
                <w:szCs w:val="17"/>
                <w:color w:val="auto"/>
              </w:rPr>
            </w:pPr>
          </w:p>
        </w:tc>
        <w:tc>
          <w:tcPr>
            <w:tcW w:w="340" w:type="dxa"/>
            <w:vAlign w:val="bottom"/>
            <w:shd w:val="clear" w:color="auto" w:fill="DBE5F1"/>
          </w:tcPr>
          <w:p>
            <w:pPr>
              <w:spacing w:after="0"/>
              <w:rPr>
                <w:sz w:val="17"/>
                <w:szCs w:val="17"/>
                <w:color w:val="auto"/>
              </w:rPr>
            </w:pPr>
          </w:p>
        </w:tc>
        <w:tc>
          <w:tcPr>
            <w:tcW w:w="5460" w:type="dxa"/>
            <w:vAlign w:val="bottom"/>
            <w:shd w:val="clear" w:color="auto" w:fill="DBE5F1"/>
          </w:tcPr>
          <w:p>
            <w:pPr>
              <w:ind w:left="120"/>
              <w:spacing w:after="0"/>
              <w:rPr>
                <w:sz w:val="20"/>
                <w:szCs w:val="20"/>
                <w:color w:val="auto"/>
              </w:rPr>
            </w:pPr>
            <w:r>
              <w:rPr>
                <w:rFonts w:ascii="Arial" w:cs="Arial" w:eastAsia="Arial" w:hAnsi="Arial"/>
                <w:sz w:val="16"/>
                <w:szCs w:val="16"/>
                <w:color w:val="auto"/>
              </w:rPr>
              <w:t>commissions and management of costs</w:t>
            </w:r>
          </w:p>
        </w:tc>
        <w:tc>
          <w:tcPr>
            <w:tcW w:w="1380" w:type="dxa"/>
            <w:vAlign w:val="bottom"/>
            <w:shd w:val="clear" w:color="auto" w:fill="DBE5F1"/>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420" w:type="dxa"/>
            <w:vAlign w:val="bottom"/>
            <w:shd w:val="clear" w:color="auto" w:fill="DBE5F1"/>
          </w:tcPr>
          <w:p>
            <w:pPr>
              <w:spacing w:after="0"/>
              <w:rPr>
                <w:sz w:val="18"/>
                <w:szCs w:val="18"/>
                <w:color w:val="auto"/>
              </w:rPr>
            </w:pPr>
          </w:p>
        </w:tc>
        <w:tc>
          <w:tcPr>
            <w:tcW w:w="1820" w:type="dxa"/>
            <w:vAlign w:val="bottom"/>
            <w:shd w:val="clear" w:color="auto" w:fill="DBE5F1"/>
          </w:tcPr>
          <w:p>
            <w:pPr>
              <w:spacing w:after="0"/>
              <w:rPr>
                <w:sz w:val="18"/>
                <w:szCs w:val="18"/>
                <w:color w:val="auto"/>
              </w:rPr>
            </w:pPr>
          </w:p>
        </w:tc>
        <w:tc>
          <w:tcPr>
            <w:tcW w:w="340" w:type="dxa"/>
            <w:vAlign w:val="bottom"/>
            <w:shd w:val="clear" w:color="auto" w:fill="DBE5F1"/>
          </w:tcPr>
          <w:p>
            <w:pPr>
              <w:ind w:left="200"/>
              <w:spacing w:after="0"/>
              <w:rPr>
                <w:sz w:val="20"/>
                <w:szCs w:val="20"/>
                <w:color w:val="auto"/>
              </w:rPr>
            </w:pPr>
            <w:r>
              <w:rPr>
                <w:rFonts w:ascii="Arial" w:cs="Arial" w:eastAsia="Arial" w:hAnsi="Arial"/>
                <w:sz w:val="16"/>
                <w:szCs w:val="16"/>
                <w:color w:val="5978A5"/>
              </w:rPr>
              <w:t>•</w:t>
            </w:r>
          </w:p>
        </w:tc>
        <w:tc>
          <w:tcPr>
            <w:tcW w:w="5460" w:type="dxa"/>
            <w:vAlign w:val="bottom"/>
            <w:shd w:val="clear" w:color="auto" w:fill="DBE5F1"/>
          </w:tcPr>
          <w:p>
            <w:pPr>
              <w:ind w:left="100"/>
              <w:spacing w:after="0"/>
              <w:rPr>
                <w:sz w:val="20"/>
                <w:szCs w:val="20"/>
                <w:color w:val="auto"/>
              </w:rPr>
            </w:pPr>
            <w:r>
              <w:rPr>
                <w:rFonts w:ascii="Arial" w:cs="Arial" w:eastAsia="Arial" w:hAnsi="Arial"/>
                <w:sz w:val="16"/>
                <w:szCs w:val="16"/>
                <w:color w:val="auto"/>
              </w:rPr>
              <w:t>Assist with acquisitions</w:t>
            </w:r>
          </w:p>
        </w:tc>
        <w:tc>
          <w:tcPr>
            <w:tcW w:w="1380" w:type="dxa"/>
            <w:vAlign w:val="bottom"/>
            <w:shd w:val="clear" w:color="auto" w:fill="DBE5F1"/>
          </w:tcPr>
          <w:p>
            <w:pPr>
              <w:spacing w:after="0"/>
              <w:rPr>
                <w:sz w:val="18"/>
                <w:szCs w:val="18"/>
                <w:color w:val="auto"/>
              </w:rPr>
            </w:pPr>
          </w:p>
        </w:tc>
        <w:tc>
          <w:tcPr>
            <w:tcW w:w="0" w:type="dxa"/>
            <w:vAlign w:val="bottom"/>
          </w:tcPr>
          <w:p>
            <w:pPr>
              <w:spacing w:after="0"/>
              <w:rPr>
                <w:sz w:val="1"/>
                <w:szCs w:val="1"/>
                <w:color w:val="auto"/>
              </w:rPr>
            </w:pPr>
          </w:p>
        </w:tc>
      </w:tr>
      <w:tr>
        <w:trPr>
          <w:trHeight w:val="280"/>
        </w:trPr>
        <w:tc>
          <w:tcPr>
            <w:tcW w:w="2420" w:type="dxa"/>
            <w:vAlign w:val="bottom"/>
            <w:shd w:val="clear" w:color="auto" w:fill="DBE5F1"/>
          </w:tcPr>
          <w:p>
            <w:pPr>
              <w:ind w:left="180"/>
              <w:spacing w:after="0"/>
              <w:rPr>
                <w:sz w:val="20"/>
                <w:szCs w:val="20"/>
                <w:color w:val="auto"/>
              </w:rPr>
            </w:pPr>
            <w:r>
              <w:rPr>
                <w:rFonts w:ascii="Arial" w:cs="Arial" w:eastAsia="Arial" w:hAnsi="Arial"/>
                <w:sz w:val="16"/>
                <w:szCs w:val="16"/>
                <w:b w:val="1"/>
                <w:bCs w:val="1"/>
                <w:color w:val="auto"/>
              </w:rPr>
              <w:t>Francis A. Carchedi</w:t>
            </w:r>
          </w:p>
        </w:tc>
        <w:tc>
          <w:tcPr>
            <w:tcW w:w="1820" w:type="dxa"/>
            <w:vAlign w:val="bottom"/>
            <w:shd w:val="clear" w:color="auto" w:fill="DBE5F1"/>
          </w:tcPr>
          <w:p>
            <w:pPr>
              <w:ind w:left="160"/>
              <w:spacing w:after="0"/>
              <w:rPr>
                <w:sz w:val="20"/>
                <w:szCs w:val="20"/>
                <w:color w:val="auto"/>
              </w:rPr>
            </w:pPr>
            <w:r>
              <w:rPr>
                <w:rFonts w:ascii="Arial" w:cs="Arial" w:eastAsia="Arial" w:hAnsi="Arial"/>
                <w:sz w:val="16"/>
                <w:szCs w:val="16"/>
                <w:color w:val="auto"/>
              </w:rPr>
              <w:t>Exec. Vice President,</w:t>
            </w:r>
          </w:p>
        </w:tc>
        <w:tc>
          <w:tcPr>
            <w:tcW w:w="340" w:type="dxa"/>
            <w:vAlign w:val="bottom"/>
            <w:shd w:val="clear" w:color="auto" w:fill="DBE5F1"/>
          </w:tcPr>
          <w:p>
            <w:pPr>
              <w:ind w:left="200"/>
              <w:spacing w:after="0"/>
              <w:rPr>
                <w:sz w:val="20"/>
                <w:szCs w:val="20"/>
                <w:color w:val="auto"/>
              </w:rPr>
            </w:pPr>
            <w:r>
              <w:rPr>
                <w:rFonts w:ascii="Arial" w:cs="Arial" w:eastAsia="Arial" w:hAnsi="Arial"/>
                <w:sz w:val="16"/>
                <w:szCs w:val="16"/>
                <w:color w:val="5978A5"/>
              </w:rPr>
              <w:t>•</w:t>
            </w:r>
          </w:p>
        </w:tc>
        <w:tc>
          <w:tcPr>
            <w:tcW w:w="5460" w:type="dxa"/>
            <w:vAlign w:val="bottom"/>
            <w:shd w:val="clear" w:color="auto" w:fill="DBE5F1"/>
          </w:tcPr>
          <w:p>
            <w:pPr>
              <w:ind w:left="100"/>
              <w:spacing w:after="0"/>
              <w:rPr>
                <w:sz w:val="20"/>
                <w:szCs w:val="20"/>
                <w:color w:val="auto"/>
              </w:rPr>
            </w:pPr>
            <w:r>
              <w:rPr>
                <w:rFonts w:ascii="Arial" w:cs="Arial" w:eastAsia="Arial" w:hAnsi="Arial"/>
                <w:sz w:val="16"/>
                <w:szCs w:val="16"/>
                <w:color w:val="auto"/>
              </w:rPr>
              <w:t>Materially increase the number of actual apartment rentals available on</w:t>
            </w:r>
          </w:p>
        </w:tc>
        <w:tc>
          <w:tcPr>
            <w:tcW w:w="1380" w:type="dxa"/>
            <w:vAlign w:val="bottom"/>
            <w:shd w:val="clear" w:color="auto" w:fill="DBE5F1"/>
          </w:tcPr>
          <w:p>
            <w:pPr>
              <w:jc w:val="center"/>
              <w:spacing w:after="0"/>
              <w:rPr>
                <w:sz w:val="20"/>
                <w:szCs w:val="20"/>
                <w:color w:val="auto"/>
              </w:rPr>
            </w:pPr>
            <w:r>
              <w:rPr>
                <w:rFonts w:ascii="Arial" w:cs="Arial" w:eastAsia="Arial" w:hAnsi="Arial"/>
                <w:sz w:val="16"/>
                <w:szCs w:val="16"/>
                <w:color w:val="auto"/>
                <w:w w:val="92"/>
              </w:rPr>
              <w:t>118%</w:t>
            </w:r>
          </w:p>
        </w:tc>
        <w:tc>
          <w:tcPr>
            <w:tcW w:w="0" w:type="dxa"/>
            <w:vAlign w:val="bottom"/>
          </w:tcPr>
          <w:p>
            <w:pPr>
              <w:spacing w:after="0"/>
              <w:rPr>
                <w:sz w:val="1"/>
                <w:szCs w:val="1"/>
                <w:color w:val="auto"/>
              </w:rPr>
            </w:pPr>
          </w:p>
        </w:tc>
      </w:tr>
      <w:tr>
        <w:trPr>
          <w:trHeight w:val="216"/>
        </w:trPr>
        <w:tc>
          <w:tcPr>
            <w:tcW w:w="2420" w:type="dxa"/>
            <w:vAlign w:val="bottom"/>
            <w:shd w:val="clear" w:color="auto" w:fill="DBE5F1"/>
          </w:tcPr>
          <w:p>
            <w:pPr>
              <w:spacing w:after="0"/>
              <w:rPr>
                <w:sz w:val="18"/>
                <w:szCs w:val="18"/>
                <w:color w:val="auto"/>
              </w:rPr>
            </w:pPr>
          </w:p>
        </w:tc>
        <w:tc>
          <w:tcPr>
            <w:tcW w:w="1820" w:type="dxa"/>
            <w:vAlign w:val="bottom"/>
            <w:shd w:val="clear" w:color="auto" w:fill="DBE5F1"/>
          </w:tcPr>
          <w:p>
            <w:pPr>
              <w:ind w:left="160"/>
              <w:spacing w:after="0"/>
              <w:rPr>
                <w:sz w:val="20"/>
                <w:szCs w:val="20"/>
                <w:color w:val="auto"/>
              </w:rPr>
            </w:pPr>
            <w:r>
              <w:rPr>
                <w:rFonts w:ascii="Arial" w:cs="Arial" w:eastAsia="Arial" w:hAnsi="Arial"/>
                <w:sz w:val="16"/>
                <w:szCs w:val="16"/>
                <w:color w:val="auto"/>
              </w:rPr>
              <w:t>Corporate</w:t>
            </w:r>
          </w:p>
        </w:tc>
        <w:tc>
          <w:tcPr>
            <w:tcW w:w="340" w:type="dxa"/>
            <w:vAlign w:val="bottom"/>
            <w:shd w:val="clear" w:color="auto" w:fill="DBE5F1"/>
          </w:tcPr>
          <w:p>
            <w:pPr>
              <w:spacing w:after="0"/>
              <w:rPr>
                <w:sz w:val="18"/>
                <w:szCs w:val="18"/>
                <w:color w:val="auto"/>
              </w:rPr>
            </w:pPr>
          </w:p>
        </w:tc>
        <w:tc>
          <w:tcPr>
            <w:tcW w:w="5460" w:type="dxa"/>
            <w:vAlign w:val="bottom"/>
            <w:shd w:val="clear" w:color="auto" w:fill="DBE5F1"/>
          </w:tcPr>
          <w:p>
            <w:pPr>
              <w:ind w:left="120"/>
              <w:spacing w:after="0"/>
              <w:rPr>
                <w:sz w:val="20"/>
                <w:szCs w:val="20"/>
                <w:color w:val="auto"/>
              </w:rPr>
            </w:pPr>
            <w:r>
              <w:rPr>
                <w:rFonts w:ascii="Arial" w:cs="Arial" w:eastAsia="Arial" w:hAnsi="Arial"/>
                <w:sz w:val="16"/>
                <w:szCs w:val="16"/>
                <w:color w:val="auto"/>
              </w:rPr>
              <w:t>Apartments.com</w:t>
            </w:r>
          </w:p>
        </w:tc>
        <w:tc>
          <w:tcPr>
            <w:tcW w:w="1380" w:type="dxa"/>
            <w:vAlign w:val="bottom"/>
            <w:shd w:val="clear" w:color="auto" w:fill="DBE5F1"/>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420" w:type="dxa"/>
            <w:vAlign w:val="bottom"/>
            <w:shd w:val="clear" w:color="auto" w:fill="DBE5F1"/>
          </w:tcPr>
          <w:p>
            <w:pPr>
              <w:spacing w:after="0"/>
              <w:rPr>
                <w:sz w:val="17"/>
                <w:szCs w:val="17"/>
                <w:color w:val="auto"/>
              </w:rPr>
            </w:pPr>
          </w:p>
        </w:tc>
        <w:tc>
          <w:tcPr>
            <w:tcW w:w="1820" w:type="dxa"/>
            <w:vAlign w:val="bottom"/>
            <w:shd w:val="clear" w:color="auto" w:fill="DBE5F1"/>
          </w:tcPr>
          <w:p>
            <w:pPr>
              <w:ind w:left="160"/>
              <w:spacing w:after="0"/>
              <w:rPr>
                <w:sz w:val="20"/>
                <w:szCs w:val="20"/>
                <w:color w:val="auto"/>
              </w:rPr>
            </w:pPr>
            <w:r>
              <w:rPr>
                <w:rFonts w:ascii="Arial" w:cs="Arial" w:eastAsia="Arial" w:hAnsi="Arial"/>
                <w:sz w:val="16"/>
                <w:szCs w:val="16"/>
                <w:color w:val="auto"/>
              </w:rPr>
              <w:t>Development</w:t>
            </w:r>
          </w:p>
        </w:tc>
        <w:tc>
          <w:tcPr>
            <w:tcW w:w="340" w:type="dxa"/>
            <w:vAlign w:val="bottom"/>
            <w:shd w:val="clear" w:color="auto" w:fill="DBE5F1"/>
          </w:tcPr>
          <w:p>
            <w:pPr>
              <w:ind w:left="200"/>
              <w:spacing w:after="0"/>
              <w:rPr>
                <w:sz w:val="20"/>
                <w:szCs w:val="20"/>
                <w:color w:val="auto"/>
              </w:rPr>
            </w:pPr>
            <w:r>
              <w:rPr>
                <w:rFonts w:ascii="Arial" w:cs="Arial" w:eastAsia="Arial" w:hAnsi="Arial"/>
                <w:sz w:val="16"/>
                <w:szCs w:val="16"/>
                <w:color w:val="5978A5"/>
              </w:rPr>
              <w:t>•</w:t>
            </w:r>
          </w:p>
        </w:tc>
        <w:tc>
          <w:tcPr>
            <w:tcW w:w="5460" w:type="dxa"/>
            <w:vAlign w:val="bottom"/>
            <w:shd w:val="clear" w:color="auto" w:fill="DBE5F1"/>
          </w:tcPr>
          <w:p>
            <w:pPr>
              <w:ind w:left="100"/>
              <w:spacing w:after="0"/>
              <w:rPr>
                <w:sz w:val="20"/>
                <w:szCs w:val="20"/>
                <w:color w:val="auto"/>
              </w:rPr>
            </w:pPr>
            <w:r>
              <w:rPr>
                <w:rFonts w:ascii="Arial" w:cs="Arial" w:eastAsia="Arial" w:hAnsi="Arial"/>
                <w:sz w:val="16"/>
                <w:szCs w:val="16"/>
                <w:color w:val="auto"/>
              </w:rPr>
              <w:t>Facilitate and manage integration of multifamily and commercial real estate</w:t>
            </w:r>
          </w:p>
        </w:tc>
        <w:tc>
          <w:tcPr>
            <w:tcW w:w="1380" w:type="dxa"/>
            <w:vAlign w:val="bottom"/>
            <w:shd w:val="clear" w:color="auto" w:fill="DBE5F1"/>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420" w:type="dxa"/>
            <w:vAlign w:val="bottom"/>
            <w:shd w:val="clear" w:color="auto" w:fill="DBE5F1"/>
          </w:tcPr>
          <w:p>
            <w:pPr>
              <w:spacing w:after="0"/>
              <w:rPr>
                <w:sz w:val="17"/>
                <w:szCs w:val="17"/>
                <w:color w:val="auto"/>
              </w:rPr>
            </w:pPr>
          </w:p>
        </w:tc>
        <w:tc>
          <w:tcPr>
            <w:tcW w:w="1820" w:type="dxa"/>
            <w:vAlign w:val="bottom"/>
            <w:shd w:val="clear" w:color="auto" w:fill="DBE5F1"/>
          </w:tcPr>
          <w:p>
            <w:pPr>
              <w:spacing w:after="0"/>
              <w:rPr>
                <w:sz w:val="17"/>
                <w:szCs w:val="17"/>
                <w:color w:val="auto"/>
              </w:rPr>
            </w:pPr>
          </w:p>
        </w:tc>
        <w:tc>
          <w:tcPr>
            <w:tcW w:w="340" w:type="dxa"/>
            <w:vAlign w:val="bottom"/>
            <w:shd w:val="clear" w:color="auto" w:fill="DBE5F1"/>
          </w:tcPr>
          <w:p>
            <w:pPr>
              <w:spacing w:after="0"/>
              <w:rPr>
                <w:sz w:val="17"/>
                <w:szCs w:val="17"/>
                <w:color w:val="auto"/>
              </w:rPr>
            </w:pPr>
          </w:p>
        </w:tc>
        <w:tc>
          <w:tcPr>
            <w:tcW w:w="5460" w:type="dxa"/>
            <w:vAlign w:val="bottom"/>
            <w:shd w:val="clear" w:color="auto" w:fill="DBE5F1"/>
          </w:tcPr>
          <w:p>
            <w:pPr>
              <w:ind w:left="120"/>
              <w:spacing w:after="0"/>
              <w:rPr>
                <w:sz w:val="20"/>
                <w:szCs w:val="20"/>
                <w:color w:val="auto"/>
              </w:rPr>
            </w:pPr>
            <w:r>
              <w:rPr>
                <w:rFonts w:ascii="Arial" w:cs="Arial" w:eastAsia="Arial" w:hAnsi="Arial"/>
                <w:sz w:val="16"/>
                <w:szCs w:val="16"/>
                <w:color w:val="auto"/>
              </w:rPr>
              <w:t>research</w:t>
            </w:r>
          </w:p>
        </w:tc>
        <w:tc>
          <w:tcPr>
            <w:tcW w:w="1380" w:type="dxa"/>
            <w:vAlign w:val="bottom"/>
            <w:shd w:val="clear" w:color="auto" w:fill="DBE5F1"/>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420" w:type="dxa"/>
            <w:vAlign w:val="bottom"/>
            <w:shd w:val="clear" w:color="auto" w:fill="DBE5F1"/>
          </w:tcPr>
          <w:p>
            <w:pPr>
              <w:spacing w:after="0"/>
              <w:rPr>
                <w:sz w:val="18"/>
                <w:szCs w:val="18"/>
                <w:color w:val="auto"/>
              </w:rPr>
            </w:pPr>
          </w:p>
        </w:tc>
        <w:tc>
          <w:tcPr>
            <w:tcW w:w="1820" w:type="dxa"/>
            <w:vAlign w:val="bottom"/>
            <w:shd w:val="clear" w:color="auto" w:fill="DBE5F1"/>
          </w:tcPr>
          <w:p>
            <w:pPr>
              <w:spacing w:after="0"/>
              <w:rPr>
                <w:sz w:val="18"/>
                <w:szCs w:val="18"/>
                <w:color w:val="auto"/>
              </w:rPr>
            </w:pPr>
          </w:p>
        </w:tc>
        <w:tc>
          <w:tcPr>
            <w:tcW w:w="5800" w:type="dxa"/>
            <w:vAlign w:val="bottom"/>
            <w:gridSpan w:val="2"/>
            <w:shd w:val="clear" w:color="auto" w:fill="DBE5F1"/>
          </w:tcPr>
          <w:p>
            <w:pPr>
              <w:ind w:left="200"/>
              <w:spacing w:after="0"/>
              <w:rPr>
                <w:sz w:val="20"/>
                <w:szCs w:val="20"/>
                <w:color w:val="auto"/>
              </w:rPr>
            </w:pPr>
            <w:r>
              <w:rPr>
                <w:rFonts w:ascii="Arial" w:cs="Arial" w:eastAsia="Arial" w:hAnsi="Arial"/>
                <w:sz w:val="16"/>
                <w:szCs w:val="16"/>
                <w:color w:val="5978A5"/>
              </w:rPr>
              <w:t xml:space="preserve">•  </w:t>
            </w:r>
            <w:r>
              <w:rPr>
                <w:rFonts w:ascii="Arial" w:cs="Arial" w:eastAsia="Arial" w:hAnsi="Arial"/>
                <w:sz w:val="16"/>
                <w:szCs w:val="16"/>
                <w:color w:val="000000"/>
              </w:rPr>
              <w:t>Product design and implementation</w:t>
            </w:r>
          </w:p>
        </w:tc>
        <w:tc>
          <w:tcPr>
            <w:tcW w:w="1380" w:type="dxa"/>
            <w:vAlign w:val="bottom"/>
            <w:shd w:val="clear" w:color="auto" w:fill="DBE5F1"/>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20" w:type="dxa"/>
            <w:vAlign w:val="bottom"/>
            <w:shd w:val="clear" w:color="auto" w:fill="DBE5F1"/>
          </w:tcPr>
          <w:p>
            <w:pPr>
              <w:spacing w:after="0"/>
              <w:rPr>
                <w:sz w:val="18"/>
                <w:szCs w:val="18"/>
                <w:color w:val="auto"/>
              </w:rPr>
            </w:pPr>
          </w:p>
        </w:tc>
        <w:tc>
          <w:tcPr>
            <w:tcW w:w="1820" w:type="dxa"/>
            <w:vAlign w:val="bottom"/>
            <w:shd w:val="clear" w:color="auto" w:fill="DBE5F1"/>
          </w:tcPr>
          <w:p>
            <w:pPr>
              <w:spacing w:after="0"/>
              <w:rPr>
                <w:sz w:val="18"/>
                <w:szCs w:val="18"/>
                <w:color w:val="auto"/>
              </w:rPr>
            </w:pPr>
          </w:p>
        </w:tc>
        <w:tc>
          <w:tcPr>
            <w:tcW w:w="5800" w:type="dxa"/>
            <w:vAlign w:val="bottom"/>
            <w:gridSpan w:val="2"/>
            <w:shd w:val="clear" w:color="auto" w:fill="DBE5F1"/>
          </w:tcPr>
          <w:p>
            <w:pPr>
              <w:ind w:left="200"/>
              <w:spacing w:after="0"/>
              <w:rPr>
                <w:sz w:val="20"/>
                <w:szCs w:val="20"/>
                <w:color w:val="auto"/>
              </w:rPr>
            </w:pPr>
            <w:r>
              <w:rPr>
                <w:rFonts w:ascii="Arial" w:cs="Arial" w:eastAsia="Arial" w:hAnsi="Arial"/>
                <w:sz w:val="16"/>
                <w:szCs w:val="16"/>
                <w:color w:val="5978A5"/>
              </w:rPr>
              <w:t xml:space="preserve">•  </w:t>
            </w:r>
            <w:r>
              <w:rPr>
                <w:rFonts w:ascii="Arial" w:cs="Arial" w:eastAsia="Arial" w:hAnsi="Arial"/>
                <w:sz w:val="16"/>
                <w:szCs w:val="16"/>
                <w:color w:val="000000"/>
              </w:rPr>
              <w:t>Facilitate and manage integration of acquired entities</w:t>
            </w:r>
          </w:p>
        </w:tc>
        <w:tc>
          <w:tcPr>
            <w:tcW w:w="1380" w:type="dxa"/>
            <w:vAlign w:val="bottom"/>
            <w:shd w:val="clear" w:color="auto" w:fill="DBE5F1"/>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20" w:type="dxa"/>
            <w:vAlign w:val="bottom"/>
            <w:shd w:val="clear" w:color="auto" w:fill="DBE5F1"/>
          </w:tcPr>
          <w:p>
            <w:pPr>
              <w:spacing w:after="0"/>
              <w:rPr>
                <w:sz w:val="18"/>
                <w:szCs w:val="18"/>
                <w:color w:val="auto"/>
              </w:rPr>
            </w:pPr>
          </w:p>
        </w:tc>
        <w:tc>
          <w:tcPr>
            <w:tcW w:w="1820" w:type="dxa"/>
            <w:vAlign w:val="bottom"/>
            <w:shd w:val="clear" w:color="auto" w:fill="DBE5F1"/>
          </w:tcPr>
          <w:p>
            <w:pPr>
              <w:spacing w:after="0"/>
              <w:rPr>
                <w:sz w:val="18"/>
                <w:szCs w:val="18"/>
                <w:color w:val="auto"/>
              </w:rPr>
            </w:pPr>
          </w:p>
        </w:tc>
        <w:tc>
          <w:tcPr>
            <w:tcW w:w="5800" w:type="dxa"/>
            <w:vAlign w:val="bottom"/>
            <w:gridSpan w:val="2"/>
            <w:shd w:val="clear" w:color="auto" w:fill="DBE5F1"/>
          </w:tcPr>
          <w:p>
            <w:pPr>
              <w:ind w:left="200"/>
              <w:spacing w:after="0"/>
              <w:rPr>
                <w:sz w:val="20"/>
                <w:szCs w:val="20"/>
                <w:color w:val="auto"/>
              </w:rPr>
            </w:pPr>
            <w:r>
              <w:rPr>
                <w:rFonts w:ascii="Arial" w:cs="Arial" w:eastAsia="Arial" w:hAnsi="Arial"/>
                <w:sz w:val="16"/>
                <w:szCs w:val="16"/>
                <w:color w:val="5978A5"/>
              </w:rPr>
              <w:t xml:space="preserve">•  </w:t>
            </w:r>
            <w:r>
              <w:rPr>
                <w:rFonts w:ascii="Arial" w:cs="Arial" w:eastAsia="Arial" w:hAnsi="Arial"/>
                <w:sz w:val="16"/>
                <w:szCs w:val="16"/>
                <w:color w:val="000000"/>
              </w:rPr>
              <w:t>Facilitate integration of verticals</w:t>
            </w:r>
          </w:p>
        </w:tc>
        <w:tc>
          <w:tcPr>
            <w:tcW w:w="1380" w:type="dxa"/>
            <w:vAlign w:val="bottom"/>
            <w:shd w:val="clear" w:color="auto" w:fill="DBE5F1"/>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20" w:type="dxa"/>
            <w:vAlign w:val="bottom"/>
            <w:shd w:val="clear" w:color="auto" w:fill="DBE5F1"/>
          </w:tcPr>
          <w:p>
            <w:pPr>
              <w:spacing w:after="0"/>
              <w:rPr>
                <w:sz w:val="18"/>
                <w:szCs w:val="18"/>
                <w:color w:val="auto"/>
              </w:rPr>
            </w:pPr>
          </w:p>
        </w:tc>
        <w:tc>
          <w:tcPr>
            <w:tcW w:w="1820" w:type="dxa"/>
            <w:vAlign w:val="bottom"/>
            <w:shd w:val="clear" w:color="auto" w:fill="DBE5F1"/>
          </w:tcPr>
          <w:p>
            <w:pPr>
              <w:spacing w:after="0"/>
              <w:rPr>
                <w:sz w:val="18"/>
                <w:szCs w:val="18"/>
                <w:color w:val="auto"/>
              </w:rPr>
            </w:pPr>
          </w:p>
        </w:tc>
        <w:tc>
          <w:tcPr>
            <w:tcW w:w="5800" w:type="dxa"/>
            <w:vAlign w:val="bottom"/>
            <w:gridSpan w:val="2"/>
            <w:shd w:val="clear" w:color="auto" w:fill="DBE5F1"/>
          </w:tcPr>
          <w:p>
            <w:pPr>
              <w:ind w:left="200"/>
              <w:spacing w:after="0"/>
              <w:rPr>
                <w:sz w:val="20"/>
                <w:szCs w:val="20"/>
                <w:color w:val="auto"/>
              </w:rPr>
            </w:pPr>
            <w:r>
              <w:rPr>
                <w:rFonts w:ascii="Arial" w:cs="Arial" w:eastAsia="Arial" w:hAnsi="Arial"/>
                <w:sz w:val="16"/>
                <w:szCs w:val="16"/>
                <w:color w:val="5978A5"/>
              </w:rPr>
              <w:t xml:space="preserve">•  </w:t>
            </w:r>
            <w:r>
              <w:rPr>
                <w:rFonts w:ascii="Arial" w:cs="Arial" w:eastAsia="Arial" w:hAnsi="Arial"/>
                <w:sz w:val="16"/>
                <w:szCs w:val="16"/>
                <w:color w:val="000000"/>
              </w:rPr>
              <w:t>Facilitate improved customer relationships with researchers</w:t>
            </w:r>
          </w:p>
        </w:tc>
        <w:tc>
          <w:tcPr>
            <w:tcW w:w="1380" w:type="dxa"/>
            <w:vAlign w:val="bottom"/>
            <w:shd w:val="clear" w:color="auto" w:fill="DBE5F1"/>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2420" w:type="dxa"/>
            <w:vAlign w:val="bottom"/>
            <w:shd w:val="clear" w:color="auto" w:fill="DBE5F1"/>
          </w:tcPr>
          <w:p>
            <w:pPr>
              <w:spacing w:after="0"/>
              <w:rPr>
                <w:sz w:val="2"/>
                <w:szCs w:val="2"/>
                <w:color w:val="auto"/>
              </w:rPr>
            </w:pPr>
          </w:p>
        </w:tc>
        <w:tc>
          <w:tcPr>
            <w:tcW w:w="1820" w:type="dxa"/>
            <w:vAlign w:val="bottom"/>
            <w:shd w:val="clear" w:color="auto" w:fill="DBE5F1"/>
          </w:tcPr>
          <w:p>
            <w:pPr>
              <w:spacing w:after="0"/>
              <w:rPr>
                <w:sz w:val="2"/>
                <w:szCs w:val="2"/>
                <w:color w:val="auto"/>
              </w:rPr>
            </w:pPr>
          </w:p>
        </w:tc>
        <w:tc>
          <w:tcPr>
            <w:tcW w:w="340" w:type="dxa"/>
            <w:vAlign w:val="bottom"/>
            <w:shd w:val="clear" w:color="auto" w:fill="DBE5F1"/>
          </w:tcPr>
          <w:p>
            <w:pPr>
              <w:spacing w:after="0"/>
              <w:rPr>
                <w:sz w:val="2"/>
                <w:szCs w:val="2"/>
                <w:color w:val="auto"/>
              </w:rPr>
            </w:pPr>
          </w:p>
        </w:tc>
        <w:tc>
          <w:tcPr>
            <w:tcW w:w="5460" w:type="dxa"/>
            <w:vAlign w:val="bottom"/>
            <w:shd w:val="clear" w:color="auto" w:fill="DBE5F1"/>
          </w:tcPr>
          <w:p>
            <w:pPr>
              <w:spacing w:after="0"/>
              <w:rPr>
                <w:sz w:val="2"/>
                <w:szCs w:val="2"/>
                <w:color w:val="auto"/>
              </w:rPr>
            </w:pPr>
          </w:p>
        </w:tc>
        <w:tc>
          <w:tcPr>
            <w:tcW w:w="1380" w:type="dxa"/>
            <w:vAlign w:val="bottom"/>
            <w:shd w:val="clear" w:color="auto" w:fill="DBE5F1"/>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570865</wp:posOffset>
            </wp:positionH>
            <wp:positionV relativeFrom="paragraph">
              <wp:posOffset>120015</wp:posOffset>
            </wp:positionV>
            <wp:extent cx="22860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228600" cy="8890"/>
                    </a:xfrm>
                    <a:prstGeom prst="rect">
                      <a:avLst/>
                    </a:prstGeom>
                    <a:noFill/>
                  </pic:spPr>
                </pic:pic>
              </a:graphicData>
            </a:graphic>
          </wp:anchor>
        </w:drawing>
      </w:r>
    </w:p>
    <w:p>
      <w:pPr>
        <w:spacing w:after="0" w:line="200" w:lineRule="exact"/>
        <w:rPr>
          <w:sz w:val="20"/>
          <w:szCs w:val="20"/>
          <w:color w:val="auto"/>
        </w:rPr>
      </w:pPr>
    </w:p>
    <w:p>
      <w:pPr>
        <w:ind w:left="340" w:hanging="332"/>
        <w:spacing w:after="0" w:line="261" w:lineRule="auto"/>
        <w:tabs>
          <w:tab w:leader="none" w:pos="245" w:val="left"/>
        </w:tabs>
        <w:numPr>
          <w:ilvl w:val="0"/>
          <w:numId w:val="36"/>
        </w:numPr>
        <w:rPr>
          <w:rFonts w:ascii="Arial" w:cs="Arial" w:eastAsia="Arial" w:hAnsi="Arial"/>
          <w:sz w:val="16"/>
          <w:szCs w:val="16"/>
          <w:color w:val="auto"/>
        </w:rPr>
      </w:pPr>
      <w:r>
        <w:rPr>
          <w:rFonts w:ascii="Arial" w:cs="Arial" w:eastAsia="Arial" w:hAnsi="Arial"/>
          <w:sz w:val="16"/>
          <w:szCs w:val="16"/>
          <w:color w:val="auto"/>
        </w:rPr>
        <w:t>Mr. Radecki served as the Company’s CFO until August 3, 2015, at which time he remained an employee of the Company and was compensated at a level commensurate with his position as Executive Vice President. Mr. Radecki did not receive a cash incentive payment for 2015 performance as he no longer served as an executive officer at the end of the fiscal year.</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20"/>
          </w:cols>
          <w:pgMar w:left="240" w:top="400" w:right="239" w:bottom="1440" w:gutter="0" w:footer="0" w:header="0"/>
        </w:sectPr>
      </w:pPr>
    </w:p>
    <w:bookmarkStart w:id="61" w:name="page62"/>
    <w:bookmarkEnd w:id="61"/>
    <w:p>
      <w:pPr>
        <w:ind w:left="340" w:hanging="332"/>
        <w:spacing w:after="0" w:line="261" w:lineRule="auto"/>
        <w:tabs>
          <w:tab w:leader="none" w:pos="245" w:val="left"/>
        </w:tabs>
        <w:numPr>
          <w:ilvl w:val="0"/>
          <w:numId w:val="37"/>
        </w:numPr>
        <w:rPr>
          <w:rFonts w:ascii="Arial" w:cs="Arial" w:eastAsia="Arial" w:hAnsi="Arial"/>
          <w:sz w:val="16"/>
          <w:szCs w:val="16"/>
          <w:color w:val="auto"/>
        </w:rPr>
      </w:pPr>
      <w:r>
        <w:rPr>
          <w:rFonts w:ascii="Arial" w:cs="Arial" w:eastAsia="Arial" w:hAnsi="Arial"/>
          <w:sz w:val="16"/>
          <w:szCs w:val="16"/>
          <w:color w:val="auto"/>
        </w:rPr>
        <w:t>Mr. Yinger was not an executive officer when the 2015 executive cash incentive plan was approved by the Committee and did not participate in the executive cash incentive plan in 2015. For 2015, Mr. Yinger remained subject to the cash incentive plan approved by his manager prior to his appointment as Interim CFO, and the goals set forth in the table above relate to his role as Vice President, Finance.</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5978A5"/>
        </w:rPr>
        <w:t>2015 Performance Against Corporate and Individual Objectives</w:t>
      </w:r>
    </w:p>
    <w:p>
      <w:pPr>
        <w:spacing w:after="0" w:line="12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March 2016, the Committee assessed the Company’s and each named executive officer’s achievement of the goals and targets for 2015. As a result of the investments made in the business and the exceptional performance of our strong management team, including an improved consumer experience on our apartment rental listings sites, increased brand awareness and successful integration of acquired entities, the Company achieved stronger than expected net new subscription sales, which together with management’s focus on operational efficiency and cost reduction and management initiatives implemented in 2015, resulted in stronger than forecasted earnings results. Information regarding the target percentages of base salary for each named executive officer’s 2015 cash incentive award, percentage of target achieved and actual 2015 cash incentive awards paid to each named executive officer, as well as the weighting of individual and financial performance goals for 2015, are shown in the table below. A description of 2015 performance compared to the corporate and individual goals follows the table.</w:t>
      </w: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20"/>
          </w:cols>
          <w:pgMar w:left="240" w:top="373" w:right="239" w:bottom="1440" w:gutter="0" w:footer="0" w:header="0"/>
        </w:sectPr>
      </w:pPr>
    </w:p>
    <w:bookmarkStart w:id="62" w:name="page63"/>
    <w:bookmarkEnd w:id="62"/>
    <w:p>
      <w:pPr>
        <w:spacing w:after="0"/>
        <w:rPr>
          <w:sz w:val="20"/>
          <w:szCs w:val="20"/>
          <w:color w:val="auto"/>
        </w:rPr>
      </w:pPr>
      <w:r>
        <w:rPr>
          <w:rFonts w:ascii="Arial" w:cs="Arial" w:eastAsia="Arial" w:hAnsi="Arial"/>
          <w:sz w:val="18"/>
          <w:szCs w:val="18"/>
          <w:b w:val="1"/>
          <w:bCs w:val="1"/>
          <w:color w:val="auto"/>
        </w:rPr>
        <w:t>2015 Annual Cash Incentive Awards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240665</wp:posOffset>
            </wp:positionV>
            <wp:extent cx="7254875" cy="114935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4875" cy="1149350"/>
                    </a:xfrm>
                    <a:prstGeom prst="rect">
                      <a:avLst/>
                    </a:prstGeom>
                    <a:noFill/>
                  </pic:spPr>
                </pic:pic>
              </a:graphicData>
            </a:graphic>
          </wp:anchor>
        </w:drawing>
      </w:r>
    </w:p>
    <w:p>
      <w:pPr>
        <w:spacing w:after="0" w:line="359" w:lineRule="exact"/>
        <w:rPr>
          <w:sz w:val="20"/>
          <w:szCs w:val="20"/>
          <w:color w:val="auto"/>
        </w:rPr>
      </w:pPr>
    </w:p>
    <w:tbl>
      <w:tblPr>
        <w:tblLayout w:type="fixed"/>
        <w:tblInd w:w="0" w:type="dxa"/>
        <w:tblCellMar>
          <w:top w:w="0" w:type="dxa"/>
          <w:left w:w="0" w:type="dxa"/>
          <w:bottom w:w="0" w:type="dxa"/>
          <w:right w:w="0" w:type="dxa"/>
        </w:tblCellMar>
      </w:tblPr>
      <w:tr>
        <w:trPr>
          <w:trHeight w:val="315"/>
        </w:trPr>
        <w:tc>
          <w:tcPr>
            <w:tcW w:w="1840" w:type="dxa"/>
            <w:vAlign w:val="bottom"/>
            <w:shd w:val="clear" w:color="auto" w:fill="B8CCE4"/>
          </w:tcPr>
          <w:p>
            <w:pPr>
              <w:spacing w:after="0"/>
              <w:rPr>
                <w:sz w:val="24"/>
                <w:szCs w:val="24"/>
                <w:color w:val="auto"/>
              </w:rPr>
            </w:pPr>
          </w:p>
        </w:tc>
        <w:tc>
          <w:tcPr>
            <w:tcW w:w="1620" w:type="dxa"/>
            <w:vAlign w:val="bottom"/>
            <w:shd w:val="clear" w:color="auto" w:fill="B8CCE4"/>
          </w:tcPr>
          <w:p>
            <w:pPr>
              <w:spacing w:after="0"/>
              <w:rPr>
                <w:sz w:val="24"/>
                <w:szCs w:val="24"/>
                <w:color w:val="auto"/>
              </w:rPr>
            </w:pPr>
          </w:p>
        </w:tc>
        <w:tc>
          <w:tcPr>
            <w:tcW w:w="1800" w:type="dxa"/>
            <w:vAlign w:val="bottom"/>
            <w:vMerge w:val="restart"/>
            <w:shd w:val="clear" w:color="auto" w:fill="B8CCE4"/>
          </w:tcPr>
          <w:p>
            <w:pPr>
              <w:jc w:val="center"/>
              <w:ind w:right="8"/>
              <w:spacing w:after="0"/>
              <w:rPr>
                <w:sz w:val="20"/>
                <w:szCs w:val="20"/>
                <w:color w:val="auto"/>
              </w:rPr>
            </w:pPr>
            <w:r>
              <w:rPr>
                <w:rFonts w:ascii="Arial" w:cs="Arial" w:eastAsia="Arial" w:hAnsi="Arial"/>
                <w:sz w:val="14"/>
                <w:szCs w:val="14"/>
                <w:b w:val="1"/>
                <w:bCs w:val="1"/>
                <w:color w:val="auto"/>
                <w:w w:val="95"/>
              </w:rPr>
              <w:t>Weighting for Individual</w:t>
            </w:r>
          </w:p>
        </w:tc>
        <w:tc>
          <w:tcPr>
            <w:tcW w:w="1760" w:type="dxa"/>
            <w:vAlign w:val="bottom"/>
            <w:vMerge w:val="restart"/>
            <w:shd w:val="clear" w:color="auto" w:fill="B8CCE4"/>
          </w:tcPr>
          <w:p>
            <w:pPr>
              <w:jc w:val="center"/>
              <w:spacing w:after="0"/>
              <w:rPr>
                <w:sz w:val="20"/>
                <w:szCs w:val="20"/>
                <w:color w:val="auto"/>
              </w:rPr>
            </w:pPr>
            <w:r>
              <w:rPr>
                <w:rFonts w:ascii="Arial" w:cs="Arial" w:eastAsia="Arial" w:hAnsi="Arial"/>
                <w:sz w:val="14"/>
                <w:szCs w:val="14"/>
                <w:b w:val="1"/>
                <w:bCs w:val="1"/>
                <w:color w:val="auto"/>
                <w:w w:val="93"/>
              </w:rPr>
              <w:t>Weighting for Adjusted</w:t>
            </w:r>
          </w:p>
        </w:tc>
        <w:tc>
          <w:tcPr>
            <w:tcW w:w="880" w:type="dxa"/>
            <w:vAlign w:val="bottom"/>
            <w:shd w:val="clear" w:color="auto" w:fill="B8CCE4"/>
          </w:tcPr>
          <w:p>
            <w:pPr>
              <w:jc w:val="center"/>
              <w:ind w:left="48"/>
              <w:spacing w:after="0"/>
              <w:rPr>
                <w:sz w:val="20"/>
                <w:szCs w:val="20"/>
                <w:color w:val="auto"/>
              </w:rPr>
            </w:pPr>
            <w:r>
              <w:rPr>
                <w:rFonts w:ascii="Arial" w:cs="Arial" w:eastAsia="Arial" w:hAnsi="Arial"/>
                <w:sz w:val="14"/>
                <w:szCs w:val="14"/>
                <w:b w:val="1"/>
                <w:bCs w:val="1"/>
                <w:color w:val="auto"/>
                <w:w w:val="91"/>
              </w:rPr>
              <w:t>Target as a</w:t>
            </w:r>
          </w:p>
        </w:tc>
        <w:tc>
          <w:tcPr>
            <w:tcW w:w="1300" w:type="dxa"/>
            <w:vAlign w:val="bottom"/>
            <w:vMerge w:val="restart"/>
            <w:shd w:val="clear" w:color="auto" w:fill="B8CCE4"/>
          </w:tcPr>
          <w:p>
            <w:pPr>
              <w:jc w:val="right"/>
              <w:ind w:right="246"/>
              <w:spacing w:after="0"/>
              <w:rPr>
                <w:sz w:val="20"/>
                <w:szCs w:val="20"/>
                <w:color w:val="auto"/>
              </w:rPr>
            </w:pPr>
            <w:r>
              <w:rPr>
                <w:rFonts w:ascii="Arial" w:cs="Arial" w:eastAsia="Arial" w:hAnsi="Arial"/>
                <w:sz w:val="14"/>
                <w:szCs w:val="14"/>
                <w:b w:val="1"/>
                <w:bCs w:val="1"/>
                <w:color w:val="auto"/>
              </w:rPr>
              <w:t>Percentage</w:t>
            </w:r>
          </w:p>
        </w:tc>
        <w:tc>
          <w:tcPr>
            <w:tcW w:w="1220" w:type="dxa"/>
            <w:vAlign w:val="bottom"/>
            <w:shd w:val="clear" w:color="auto" w:fill="B8CCE4"/>
          </w:tcPr>
          <w:p>
            <w:pPr>
              <w:jc w:val="center"/>
              <w:spacing w:after="0"/>
              <w:rPr>
                <w:sz w:val="20"/>
                <w:szCs w:val="20"/>
                <w:color w:val="auto"/>
              </w:rPr>
            </w:pPr>
            <w:r>
              <w:rPr>
                <w:rFonts w:ascii="Arial" w:cs="Arial" w:eastAsia="Arial" w:hAnsi="Arial"/>
                <w:sz w:val="14"/>
                <w:szCs w:val="14"/>
                <w:b w:val="1"/>
                <w:bCs w:val="1"/>
                <w:color w:val="auto"/>
                <w:w w:val="93"/>
              </w:rPr>
              <w:t>Actual</w:t>
            </w:r>
          </w:p>
        </w:tc>
        <w:tc>
          <w:tcPr>
            <w:tcW w:w="1000" w:type="dxa"/>
            <w:vAlign w:val="bottom"/>
            <w:vMerge w:val="restart"/>
            <w:shd w:val="clear" w:color="auto" w:fill="B8CCE4"/>
          </w:tcPr>
          <w:p>
            <w:pPr>
              <w:jc w:val="center"/>
              <w:spacing w:after="0"/>
              <w:rPr>
                <w:sz w:val="20"/>
                <w:szCs w:val="20"/>
                <w:color w:val="auto"/>
              </w:rPr>
            </w:pPr>
            <w:r>
              <w:rPr>
                <w:rFonts w:ascii="Arial" w:cs="Arial" w:eastAsia="Arial" w:hAnsi="Arial"/>
                <w:sz w:val="14"/>
                <w:szCs w:val="14"/>
                <w:b w:val="1"/>
                <w:bCs w:val="1"/>
                <w:color w:val="auto"/>
                <w:w w:val="93"/>
              </w:rPr>
              <w:t>Actual Cash</w:t>
            </w:r>
          </w:p>
        </w:tc>
        <w:tc>
          <w:tcPr>
            <w:tcW w:w="0" w:type="dxa"/>
            <w:vAlign w:val="bottom"/>
          </w:tcPr>
          <w:p>
            <w:pPr>
              <w:spacing w:after="0"/>
              <w:rPr>
                <w:sz w:val="1"/>
                <w:szCs w:val="1"/>
                <w:color w:val="auto"/>
              </w:rPr>
            </w:pPr>
          </w:p>
        </w:tc>
      </w:tr>
      <w:tr>
        <w:trPr>
          <w:trHeight w:val="149"/>
        </w:trPr>
        <w:tc>
          <w:tcPr>
            <w:tcW w:w="1840" w:type="dxa"/>
            <w:vAlign w:val="bottom"/>
            <w:vMerge w:val="restart"/>
            <w:shd w:val="clear" w:color="auto" w:fill="B8CCE4"/>
          </w:tcPr>
          <w:p>
            <w:pPr>
              <w:ind w:left="760"/>
              <w:spacing w:after="0"/>
              <w:rPr>
                <w:sz w:val="20"/>
                <w:szCs w:val="20"/>
                <w:color w:val="auto"/>
              </w:rPr>
            </w:pPr>
            <w:r>
              <w:rPr>
                <w:rFonts w:ascii="Arial" w:cs="Arial" w:eastAsia="Arial" w:hAnsi="Arial"/>
                <w:sz w:val="14"/>
                <w:szCs w:val="14"/>
                <w:b w:val="1"/>
                <w:bCs w:val="1"/>
                <w:color w:val="auto"/>
              </w:rPr>
              <w:t>Name</w:t>
            </w:r>
          </w:p>
        </w:tc>
        <w:tc>
          <w:tcPr>
            <w:tcW w:w="1620" w:type="dxa"/>
            <w:vAlign w:val="bottom"/>
            <w:vMerge w:val="restart"/>
            <w:shd w:val="clear" w:color="auto" w:fill="B8CCE4"/>
          </w:tcPr>
          <w:p>
            <w:pPr>
              <w:ind w:left="680"/>
              <w:spacing w:after="0"/>
              <w:rPr>
                <w:sz w:val="20"/>
                <w:szCs w:val="20"/>
                <w:color w:val="auto"/>
              </w:rPr>
            </w:pPr>
            <w:r>
              <w:rPr>
                <w:rFonts w:ascii="Arial" w:cs="Arial" w:eastAsia="Arial" w:hAnsi="Arial"/>
                <w:sz w:val="14"/>
                <w:szCs w:val="14"/>
                <w:b w:val="1"/>
                <w:bCs w:val="1"/>
                <w:color w:val="auto"/>
              </w:rPr>
              <w:t>Title</w:t>
            </w:r>
          </w:p>
        </w:tc>
        <w:tc>
          <w:tcPr>
            <w:tcW w:w="1800" w:type="dxa"/>
            <w:vAlign w:val="bottom"/>
            <w:vMerge w:val="continue"/>
            <w:shd w:val="clear" w:color="auto" w:fill="B8CCE4"/>
          </w:tcPr>
          <w:p>
            <w:pPr>
              <w:spacing w:after="0"/>
              <w:rPr>
                <w:sz w:val="12"/>
                <w:szCs w:val="12"/>
                <w:color w:val="auto"/>
              </w:rPr>
            </w:pPr>
          </w:p>
        </w:tc>
        <w:tc>
          <w:tcPr>
            <w:tcW w:w="1760" w:type="dxa"/>
            <w:vAlign w:val="bottom"/>
            <w:vMerge w:val="continue"/>
            <w:shd w:val="clear" w:color="auto" w:fill="B8CCE4"/>
          </w:tcPr>
          <w:p>
            <w:pPr>
              <w:spacing w:after="0"/>
              <w:rPr>
                <w:sz w:val="12"/>
                <w:szCs w:val="12"/>
                <w:color w:val="auto"/>
              </w:rPr>
            </w:pPr>
          </w:p>
        </w:tc>
        <w:tc>
          <w:tcPr>
            <w:tcW w:w="880" w:type="dxa"/>
            <w:vAlign w:val="bottom"/>
            <w:shd w:val="clear" w:color="auto" w:fill="B8CCE4"/>
          </w:tcPr>
          <w:p>
            <w:pPr>
              <w:jc w:val="center"/>
              <w:ind w:left="28"/>
              <w:spacing w:after="0" w:line="149" w:lineRule="exact"/>
              <w:rPr>
                <w:sz w:val="20"/>
                <w:szCs w:val="20"/>
                <w:color w:val="auto"/>
              </w:rPr>
            </w:pPr>
            <w:r>
              <w:rPr>
                <w:rFonts w:ascii="Arial" w:cs="Arial" w:eastAsia="Arial" w:hAnsi="Arial"/>
                <w:sz w:val="14"/>
                <w:szCs w:val="14"/>
                <w:b w:val="1"/>
                <w:bCs w:val="1"/>
                <w:color w:val="auto"/>
              </w:rPr>
              <w:t>% of</w:t>
            </w:r>
          </w:p>
        </w:tc>
        <w:tc>
          <w:tcPr>
            <w:tcW w:w="1300" w:type="dxa"/>
            <w:vAlign w:val="bottom"/>
            <w:vMerge w:val="continue"/>
            <w:shd w:val="clear" w:color="auto" w:fill="B8CCE4"/>
          </w:tcPr>
          <w:p>
            <w:pPr>
              <w:spacing w:after="0"/>
              <w:rPr>
                <w:sz w:val="12"/>
                <w:szCs w:val="12"/>
                <w:color w:val="auto"/>
              </w:rPr>
            </w:pPr>
          </w:p>
        </w:tc>
        <w:tc>
          <w:tcPr>
            <w:tcW w:w="1220" w:type="dxa"/>
            <w:vAlign w:val="bottom"/>
            <w:shd w:val="clear" w:color="auto" w:fill="B8CCE4"/>
          </w:tcPr>
          <w:p>
            <w:pPr>
              <w:jc w:val="center"/>
              <w:ind w:right="7"/>
              <w:spacing w:after="0" w:line="149" w:lineRule="exact"/>
              <w:rPr>
                <w:sz w:val="20"/>
                <w:szCs w:val="20"/>
                <w:color w:val="auto"/>
              </w:rPr>
            </w:pPr>
            <w:r>
              <w:rPr>
                <w:rFonts w:ascii="Arial" w:cs="Arial" w:eastAsia="Arial" w:hAnsi="Arial"/>
                <w:sz w:val="14"/>
                <w:szCs w:val="14"/>
                <w:b w:val="1"/>
                <w:bCs w:val="1"/>
                <w:color w:val="auto"/>
                <w:w w:val="94"/>
              </w:rPr>
              <w:t>Award as a % of</w:t>
            </w:r>
          </w:p>
        </w:tc>
        <w:tc>
          <w:tcPr>
            <w:tcW w:w="1000" w:type="dxa"/>
            <w:vAlign w:val="bottom"/>
            <w:vMerge w:val="continue"/>
            <w:shd w:val="clear" w:color="auto" w:fill="B8CCE4"/>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1840" w:type="dxa"/>
            <w:vAlign w:val="bottom"/>
            <w:vMerge w:val="continue"/>
            <w:shd w:val="clear" w:color="auto" w:fill="B8CCE4"/>
          </w:tcPr>
          <w:p>
            <w:pPr>
              <w:spacing w:after="0"/>
              <w:rPr>
                <w:sz w:val="17"/>
                <w:szCs w:val="17"/>
                <w:color w:val="auto"/>
              </w:rPr>
            </w:pPr>
          </w:p>
        </w:tc>
        <w:tc>
          <w:tcPr>
            <w:tcW w:w="1620" w:type="dxa"/>
            <w:vAlign w:val="bottom"/>
            <w:vMerge w:val="continue"/>
            <w:shd w:val="clear" w:color="auto" w:fill="B8CCE4"/>
          </w:tcPr>
          <w:p>
            <w:pPr>
              <w:spacing w:after="0"/>
              <w:rPr>
                <w:sz w:val="17"/>
                <w:szCs w:val="17"/>
                <w:color w:val="auto"/>
              </w:rPr>
            </w:pPr>
          </w:p>
        </w:tc>
        <w:tc>
          <w:tcPr>
            <w:tcW w:w="1800" w:type="dxa"/>
            <w:vAlign w:val="bottom"/>
            <w:shd w:val="clear" w:color="auto" w:fill="B8CCE4"/>
          </w:tcPr>
          <w:p>
            <w:pPr>
              <w:jc w:val="center"/>
              <w:ind w:right="8"/>
              <w:spacing w:after="0"/>
              <w:rPr>
                <w:sz w:val="20"/>
                <w:szCs w:val="20"/>
                <w:color w:val="auto"/>
              </w:rPr>
            </w:pPr>
            <w:r>
              <w:rPr>
                <w:rFonts w:ascii="Arial" w:cs="Arial" w:eastAsia="Arial" w:hAnsi="Arial"/>
                <w:sz w:val="14"/>
                <w:szCs w:val="14"/>
                <w:b w:val="1"/>
                <w:bCs w:val="1"/>
                <w:color w:val="auto"/>
                <w:w w:val="92"/>
              </w:rPr>
              <w:t>Goals</w:t>
            </w:r>
          </w:p>
        </w:tc>
        <w:tc>
          <w:tcPr>
            <w:tcW w:w="1760" w:type="dxa"/>
            <w:vAlign w:val="bottom"/>
            <w:shd w:val="clear" w:color="auto" w:fill="B8CCE4"/>
          </w:tcPr>
          <w:p>
            <w:pPr>
              <w:jc w:val="center"/>
              <w:spacing w:after="0"/>
              <w:rPr>
                <w:sz w:val="20"/>
                <w:szCs w:val="20"/>
                <w:color w:val="auto"/>
              </w:rPr>
            </w:pPr>
            <w:r>
              <w:rPr>
                <w:rFonts w:ascii="Arial" w:cs="Arial" w:eastAsia="Arial" w:hAnsi="Arial"/>
                <w:sz w:val="14"/>
                <w:szCs w:val="14"/>
                <w:b w:val="1"/>
                <w:bCs w:val="1"/>
                <w:color w:val="auto"/>
                <w:w w:val="99"/>
              </w:rPr>
              <w:t>EBITDA Target</w:t>
            </w:r>
          </w:p>
        </w:tc>
        <w:tc>
          <w:tcPr>
            <w:tcW w:w="880" w:type="dxa"/>
            <w:vAlign w:val="bottom"/>
            <w:shd w:val="clear" w:color="auto" w:fill="B8CCE4"/>
          </w:tcPr>
          <w:p>
            <w:pPr>
              <w:jc w:val="center"/>
              <w:ind w:left="48"/>
              <w:spacing w:after="0"/>
              <w:rPr>
                <w:sz w:val="20"/>
                <w:szCs w:val="20"/>
                <w:color w:val="auto"/>
              </w:rPr>
            </w:pPr>
            <w:r>
              <w:rPr>
                <w:rFonts w:ascii="Arial" w:cs="Arial" w:eastAsia="Arial" w:hAnsi="Arial"/>
                <w:sz w:val="14"/>
                <w:szCs w:val="14"/>
                <w:b w:val="1"/>
                <w:bCs w:val="1"/>
                <w:color w:val="auto"/>
                <w:w w:val="95"/>
              </w:rPr>
              <w:t>Salary</w:t>
            </w:r>
          </w:p>
        </w:tc>
        <w:tc>
          <w:tcPr>
            <w:tcW w:w="1300" w:type="dxa"/>
            <w:vAlign w:val="bottom"/>
            <w:shd w:val="clear" w:color="auto" w:fill="B8CCE4"/>
          </w:tcPr>
          <w:p>
            <w:pPr>
              <w:jc w:val="right"/>
              <w:ind w:right="6"/>
              <w:spacing w:after="0"/>
              <w:rPr>
                <w:sz w:val="20"/>
                <w:szCs w:val="20"/>
                <w:color w:val="auto"/>
              </w:rPr>
            </w:pPr>
            <w:r>
              <w:rPr>
                <w:rFonts w:ascii="Arial" w:cs="Arial" w:eastAsia="Arial" w:hAnsi="Arial"/>
                <w:sz w:val="14"/>
                <w:szCs w:val="14"/>
                <w:b w:val="1"/>
                <w:bCs w:val="1"/>
                <w:color w:val="auto"/>
                <w:w w:val="95"/>
              </w:rPr>
              <w:t>of Target Achieved</w:t>
            </w:r>
          </w:p>
        </w:tc>
        <w:tc>
          <w:tcPr>
            <w:tcW w:w="1220" w:type="dxa"/>
            <w:vAlign w:val="bottom"/>
            <w:shd w:val="clear" w:color="auto" w:fill="B8CCE4"/>
          </w:tcPr>
          <w:p>
            <w:pPr>
              <w:jc w:val="center"/>
              <w:spacing w:after="0"/>
              <w:rPr>
                <w:sz w:val="20"/>
                <w:szCs w:val="20"/>
                <w:color w:val="auto"/>
              </w:rPr>
            </w:pPr>
            <w:r>
              <w:rPr>
                <w:rFonts w:ascii="Arial" w:cs="Arial" w:eastAsia="Arial" w:hAnsi="Arial"/>
                <w:sz w:val="14"/>
                <w:szCs w:val="14"/>
                <w:b w:val="1"/>
                <w:bCs w:val="1"/>
                <w:color w:val="auto"/>
                <w:w w:val="95"/>
              </w:rPr>
              <w:t>Salary</w:t>
            </w:r>
          </w:p>
        </w:tc>
        <w:tc>
          <w:tcPr>
            <w:tcW w:w="1000" w:type="dxa"/>
            <w:vAlign w:val="bottom"/>
            <w:shd w:val="clear" w:color="auto" w:fill="B8CCE4"/>
          </w:tcPr>
          <w:p>
            <w:pPr>
              <w:jc w:val="center"/>
              <w:spacing w:after="0"/>
              <w:rPr>
                <w:sz w:val="20"/>
                <w:szCs w:val="20"/>
                <w:color w:val="auto"/>
              </w:rPr>
            </w:pPr>
            <w:r>
              <w:rPr>
                <w:rFonts w:ascii="Arial" w:cs="Arial" w:eastAsia="Arial" w:hAnsi="Arial"/>
                <w:sz w:val="14"/>
                <w:szCs w:val="14"/>
                <w:b w:val="1"/>
                <w:bCs w:val="1"/>
                <w:color w:val="auto"/>
                <w:w w:val="97"/>
              </w:rPr>
              <w:t>Award ($)</w:t>
            </w:r>
          </w:p>
        </w:tc>
        <w:tc>
          <w:tcPr>
            <w:tcW w:w="0" w:type="dxa"/>
            <w:vAlign w:val="bottom"/>
          </w:tcPr>
          <w:p>
            <w:pPr>
              <w:spacing w:after="0"/>
              <w:rPr>
                <w:sz w:val="1"/>
                <w:szCs w:val="1"/>
                <w:color w:val="auto"/>
              </w:rPr>
            </w:pPr>
          </w:p>
        </w:tc>
      </w:tr>
      <w:tr>
        <w:trPr>
          <w:trHeight w:val="204"/>
        </w:trPr>
        <w:tc>
          <w:tcPr>
            <w:tcW w:w="1840" w:type="dxa"/>
            <w:vAlign w:val="bottom"/>
            <w:shd w:val="clear" w:color="auto" w:fill="DBE5F1"/>
          </w:tcPr>
          <w:p>
            <w:pPr>
              <w:ind w:left="40"/>
              <w:spacing w:after="0"/>
              <w:rPr>
                <w:sz w:val="20"/>
                <w:szCs w:val="20"/>
                <w:color w:val="auto"/>
              </w:rPr>
            </w:pPr>
            <w:r>
              <w:rPr>
                <w:rFonts w:ascii="Arial" w:cs="Arial" w:eastAsia="Arial" w:hAnsi="Arial"/>
                <w:sz w:val="14"/>
                <w:szCs w:val="14"/>
                <w:b w:val="1"/>
                <w:bCs w:val="1"/>
                <w:color w:val="auto"/>
              </w:rPr>
              <w:t>Andrew C. Florance</w:t>
            </w:r>
            <w:r>
              <w:rPr>
                <w:rFonts w:ascii="Arial" w:cs="Arial" w:eastAsia="Arial" w:hAnsi="Arial"/>
                <w:sz w:val="8"/>
                <w:szCs w:val="8"/>
                <w:b w:val="1"/>
                <w:bCs w:val="1"/>
                <w:color w:val="auto"/>
              </w:rPr>
              <w:t>(1)</w:t>
            </w:r>
          </w:p>
        </w:tc>
        <w:tc>
          <w:tcPr>
            <w:tcW w:w="1620" w:type="dxa"/>
            <w:vAlign w:val="bottom"/>
            <w:shd w:val="clear" w:color="auto" w:fill="DBE5F1"/>
          </w:tcPr>
          <w:p>
            <w:pPr>
              <w:ind w:left="40"/>
              <w:spacing w:after="0"/>
              <w:rPr>
                <w:sz w:val="20"/>
                <w:szCs w:val="20"/>
                <w:color w:val="auto"/>
              </w:rPr>
            </w:pPr>
            <w:r>
              <w:rPr>
                <w:rFonts w:ascii="Arial" w:cs="Arial" w:eastAsia="Arial" w:hAnsi="Arial"/>
                <w:sz w:val="14"/>
                <w:szCs w:val="14"/>
                <w:color w:val="auto"/>
              </w:rPr>
              <w:t>CEO &amp; President</w:t>
            </w:r>
          </w:p>
        </w:tc>
        <w:tc>
          <w:tcPr>
            <w:tcW w:w="1800" w:type="dxa"/>
            <w:vAlign w:val="bottom"/>
            <w:shd w:val="clear" w:color="auto" w:fill="DBE5F1"/>
          </w:tcPr>
          <w:p>
            <w:pPr>
              <w:jc w:val="center"/>
              <w:ind w:right="28"/>
              <w:spacing w:after="0"/>
              <w:rPr>
                <w:sz w:val="20"/>
                <w:szCs w:val="20"/>
                <w:color w:val="auto"/>
              </w:rPr>
            </w:pPr>
            <w:r>
              <w:rPr>
                <w:rFonts w:ascii="Arial" w:cs="Arial" w:eastAsia="Arial" w:hAnsi="Arial"/>
                <w:sz w:val="14"/>
                <w:szCs w:val="14"/>
                <w:color w:val="auto"/>
                <w:w w:val="99"/>
              </w:rPr>
              <w:t>—</w:t>
            </w:r>
          </w:p>
        </w:tc>
        <w:tc>
          <w:tcPr>
            <w:tcW w:w="1760" w:type="dxa"/>
            <w:vAlign w:val="bottom"/>
            <w:shd w:val="clear" w:color="auto" w:fill="DBE5F1"/>
          </w:tcPr>
          <w:p>
            <w:pPr>
              <w:jc w:val="center"/>
              <w:spacing w:after="0"/>
              <w:rPr>
                <w:sz w:val="20"/>
                <w:szCs w:val="20"/>
                <w:color w:val="auto"/>
              </w:rPr>
            </w:pPr>
            <w:r>
              <w:rPr>
                <w:rFonts w:ascii="Arial" w:cs="Arial" w:eastAsia="Arial" w:hAnsi="Arial"/>
                <w:sz w:val="14"/>
                <w:szCs w:val="14"/>
                <w:color w:val="auto"/>
                <w:w w:val="94"/>
              </w:rPr>
              <w:t>100%</w:t>
            </w:r>
          </w:p>
        </w:tc>
        <w:tc>
          <w:tcPr>
            <w:tcW w:w="880" w:type="dxa"/>
            <w:vAlign w:val="bottom"/>
            <w:shd w:val="clear" w:color="auto" w:fill="DBE5F1"/>
          </w:tcPr>
          <w:p>
            <w:pPr>
              <w:jc w:val="center"/>
              <w:ind w:left="28"/>
              <w:spacing w:after="0"/>
              <w:rPr>
                <w:sz w:val="20"/>
                <w:szCs w:val="20"/>
                <w:color w:val="auto"/>
              </w:rPr>
            </w:pPr>
            <w:r>
              <w:rPr>
                <w:rFonts w:ascii="Arial" w:cs="Arial" w:eastAsia="Arial" w:hAnsi="Arial"/>
                <w:sz w:val="14"/>
                <w:szCs w:val="14"/>
                <w:color w:val="auto"/>
                <w:w w:val="94"/>
              </w:rPr>
              <w:t>100%</w:t>
            </w:r>
          </w:p>
        </w:tc>
        <w:tc>
          <w:tcPr>
            <w:tcW w:w="1300" w:type="dxa"/>
            <w:vAlign w:val="bottom"/>
            <w:shd w:val="clear" w:color="auto" w:fill="DBE5F1"/>
          </w:tcPr>
          <w:p>
            <w:pPr>
              <w:jc w:val="center"/>
              <w:spacing w:after="0"/>
              <w:rPr>
                <w:sz w:val="20"/>
                <w:szCs w:val="20"/>
                <w:color w:val="auto"/>
              </w:rPr>
            </w:pPr>
            <w:r>
              <w:rPr>
                <w:rFonts w:ascii="Arial" w:cs="Arial" w:eastAsia="Arial" w:hAnsi="Arial"/>
                <w:sz w:val="14"/>
                <w:szCs w:val="14"/>
                <w:color w:val="auto"/>
                <w:w w:val="92"/>
              </w:rPr>
              <w:t>200.0%</w:t>
            </w:r>
          </w:p>
        </w:tc>
        <w:tc>
          <w:tcPr>
            <w:tcW w:w="1220" w:type="dxa"/>
            <w:vAlign w:val="bottom"/>
            <w:shd w:val="clear" w:color="auto" w:fill="DBE5F1"/>
          </w:tcPr>
          <w:p>
            <w:pPr>
              <w:jc w:val="center"/>
              <w:spacing w:after="0"/>
              <w:rPr>
                <w:sz w:val="20"/>
                <w:szCs w:val="20"/>
                <w:color w:val="auto"/>
              </w:rPr>
            </w:pPr>
            <w:r>
              <w:rPr>
                <w:rFonts w:ascii="Arial" w:cs="Arial" w:eastAsia="Arial" w:hAnsi="Arial"/>
                <w:sz w:val="14"/>
                <w:szCs w:val="14"/>
                <w:color w:val="auto"/>
                <w:w w:val="92"/>
              </w:rPr>
              <w:t>200.0%</w:t>
            </w:r>
          </w:p>
        </w:tc>
        <w:tc>
          <w:tcPr>
            <w:tcW w:w="1000" w:type="dxa"/>
            <w:vAlign w:val="bottom"/>
            <w:shd w:val="clear" w:color="auto" w:fill="DBE5F1"/>
          </w:tcPr>
          <w:p>
            <w:pPr>
              <w:jc w:val="center"/>
              <w:spacing w:after="0"/>
              <w:rPr>
                <w:sz w:val="20"/>
                <w:szCs w:val="20"/>
                <w:color w:val="auto"/>
              </w:rPr>
            </w:pPr>
            <w:r>
              <w:rPr>
                <w:rFonts w:ascii="Arial" w:cs="Arial" w:eastAsia="Arial" w:hAnsi="Arial"/>
                <w:sz w:val="14"/>
                <w:szCs w:val="14"/>
                <w:color w:val="auto"/>
                <w:w w:val="94"/>
              </w:rPr>
              <w:t>$1,390,000</w:t>
            </w:r>
          </w:p>
        </w:tc>
        <w:tc>
          <w:tcPr>
            <w:tcW w:w="0" w:type="dxa"/>
            <w:vAlign w:val="bottom"/>
          </w:tcPr>
          <w:p>
            <w:pPr>
              <w:spacing w:after="0"/>
              <w:rPr>
                <w:sz w:val="1"/>
                <w:szCs w:val="1"/>
                <w:color w:val="auto"/>
              </w:rPr>
            </w:pPr>
          </w:p>
        </w:tc>
      </w:tr>
      <w:tr>
        <w:trPr>
          <w:trHeight w:val="249"/>
        </w:trPr>
        <w:tc>
          <w:tcPr>
            <w:tcW w:w="1840" w:type="dxa"/>
            <w:vAlign w:val="bottom"/>
            <w:shd w:val="clear" w:color="auto" w:fill="DBE5F1"/>
          </w:tcPr>
          <w:p>
            <w:pPr>
              <w:ind w:left="40"/>
              <w:spacing w:after="0"/>
              <w:rPr>
                <w:sz w:val="20"/>
                <w:szCs w:val="20"/>
                <w:color w:val="auto"/>
              </w:rPr>
            </w:pPr>
            <w:r>
              <w:rPr>
                <w:rFonts w:ascii="Arial" w:cs="Arial" w:eastAsia="Arial" w:hAnsi="Arial"/>
                <w:sz w:val="14"/>
                <w:szCs w:val="14"/>
                <w:b w:val="1"/>
                <w:bCs w:val="1"/>
                <w:color w:val="auto"/>
              </w:rPr>
              <w:t>Brian J. Radecki</w:t>
            </w:r>
            <w:r>
              <w:rPr>
                <w:rFonts w:ascii="Arial" w:cs="Arial" w:eastAsia="Arial" w:hAnsi="Arial"/>
                <w:sz w:val="8"/>
                <w:szCs w:val="8"/>
                <w:b w:val="1"/>
                <w:bCs w:val="1"/>
                <w:color w:val="auto"/>
              </w:rPr>
              <w:t>(2)</w:t>
            </w:r>
          </w:p>
        </w:tc>
        <w:tc>
          <w:tcPr>
            <w:tcW w:w="1620" w:type="dxa"/>
            <w:vAlign w:val="bottom"/>
            <w:shd w:val="clear" w:color="auto" w:fill="DBE5F1"/>
          </w:tcPr>
          <w:p>
            <w:pPr>
              <w:ind w:left="40"/>
              <w:spacing w:after="0"/>
              <w:rPr>
                <w:sz w:val="20"/>
                <w:szCs w:val="20"/>
                <w:color w:val="auto"/>
              </w:rPr>
            </w:pPr>
            <w:r>
              <w:rPr>
                <w:rFonts w:ascii="Arial" w:cs="Arial" w:eastAsia="Arial" w:hAnsi="Arial"/>
                <w:sz w:val="14"/>
                <w:szCs w:val="14"/>
                <w:color w:val="auto"/>
              </w:rPr>
              <w:t>Former CFO</w:t>
            </w:r>
          </w:p>
        </w:tc>
        <w:tc>
          <w:tcPr>
            <w:tcW w:w="1800" w:type="dxa"/>
            <w:vAlign w:val="bottom"/>
            <w:shd w:val="clear" w:color="auto" w:fill="DBE5F1"/>
          </w:tcPr>
          <w:p>
            <w:pPr>
              <w:jc w:val="center"/>
              <w:ind w:right="28"/>
              <w:spacing w:after="0"/>
              <w:rPr>
                <w:sz w:val="20"/>
                <w:szCs w:val="20"/>
                <w:color w:val="auto"/>
              </w:rPr>
            </w:pPr>
            <w:r>
              <w:rPr>
                <w:rFonts w:ascii="Arial" w:cs="Arial" w:eastAsia="Arial" w:hAnsi="Arial"/>
                <w:sz w:val="14"/>
                <w:szCs w:val="14"/>
                <w:color w:val="auto"/>
                <w:w w:val="92"/>
              </w:rPr>
              <w:t>50%</w:t>
            </w:r>
          </w:p>
        </w:tc>
        <w:tc>
          <w:tcPr>
            <w:tcW w:w="1760" w:type="dxa"/>
            <w:vAlign w:val="bottom"/>
            <w:shd w:val="clear" w:color="auto" w:fill="DBE5F1"/>
          </w:tcPr>
          <w:p>
            <w:pPr>
              <w:jc w:val="center"/>
              <w:spacing w:after="0"/>
              <w:rPr>
                <w:sz w:val="20"/>
                <w:szCs w:val="20"/>
                <w:color w:val="auto"/>
              </w:rPr>
            </w:pPr>
            <w:r>
              <w:rPr>
                <w:rFonts w:ascii="Arial" w:cs="Arial" w:eastAsia="Arial" w:hAnsi="Arial"/>
                <w:sz w:val="14"/>
                <w:szCs w:val="14"/>
                <w:color w:val="auto"/>
                <w:w w:val="92"/>
              </w:rPr>
              <w:t>50%</w:t>
            </w:r>
          </w:p>
        </w:tc>
        <w:tc>
          <w:tcPr>
            <w:tcW w:w="880" w:type="dxa"/>
            <w:vAlign w:val="bottom"/>
            <w:shd w:val="clear" w:color="auto" w:fill="DBE5F1"/>
          </w:tcPr>
          <w:p>
            <w:pPr>
              <w:jc w:val="center"/>
              <w:ind w:left="28"/>
              <w:spacing w:after="0"/>
              <w:rPr>
                <w:sz w:val="20"/>
                <w:szCs w:val="20"/>
                <w:color w:val="auto"/>
              </w:rPr>
            </w:pPr>
            <w:r>
              <w:rPr>
                <w:rFonts w:ascii="Arial" w:cs="Arial" w:eastAsia="Arial" w:hAnsi="Arial"/>
                <w:sz w:val="14"/>
                <w:szCs w:val="14"/>
                <w:color w:val="auto"/>
                <w:w w:val="92"/>
              </w:rPr>
              <w:t>65%</w:t>
            </w:r>
          </w:p>
        </w:tc>
        <w:tc>
          <w:tcPr>
            <w:tcW w:w="1300" w:type="dxa"/>
            <w:vAlign w:val="bottom"/>
            <w:shd w:val="clear" w:color="auto" w:fill="DBE5F1"/>
          </w:tcPr>
          <w:p>
            <w:pPr>
              <w:jc w:val="center"/>
              <w:spacing w:after="0"/>
              <w:rPr>
                <w:sz w:val="20"/>
                <w:szCs w:val="20"/>
                <w:color w:val="auto"/>
              </w:rPr>
            </w:pPr>
            <w:r>
              <w:rPr>
                <w:rFonts w:ascii="Arial" w:cs="Arial" w:eastAsia="Arial" w:hAnsi="Arial"/>
                <w:sz w:val="16"/>
                <w:szCs w:val="16"/>
                <w:color w:val="auto"/>
                <w:w w:val="99"/>
              </w:rPr>
              <w:t>—</w:t>
            </w:r>
          </w:p>
        </w:tc>
        <w:tc>
          <w:tcPr>
            <w:tcW w:w="1220" w:type="dxa"/>
            <w:vAlign w:val="bottom"/>
            <w:shd w:val="clear" w:color="auto" w:fill="DBE5F1"/>
          </w:tcPr>
          <w:p>
            <w:pPr>
              <w:jc w:val="center"/>
              <w:spacing w:after="0"/>
              <w:rPr>
                <w:sz w:val="20"/>
                <w:szCs w:val="20"/>
                <w:color w:val="auto"/>
              </w:rPr>
            </w:pPr>
            <w:r>
              <w:rPr>
                <w:rFonts w:ascii="Arial" w:cs="Arial" w:eastAsia="Arial" w:hAnsi="Arial"/>
                <w:sz w:val="16"/>
                <w:szCs w:val="16"/>
                <w:color w:val="auto"/>
                <w:w w:val="99"/>
              </w:rPr>
              <w:t>—</w:t>
            </w:r>
          </w:p>
        </w:tc>
        <w:tc>
          <w:tcPr>
            <w:tcW w:w="1000" w:type="dxa"/>
            <w:vAlign w:val="bottom"/>
            <w:shd w:val="clear" w:color="auto" w:fill="DBE5F1"/>
          </w:tcPr>
          <w:p>
            <w:pPr>
              <w:jc w:val="center"/>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237"/>
        </w:trPr>
        <w:tc>
          <w:tcPr>
            <w:tcW w:w="1840" w:type="dxa"/>
            <w:vAlign w:val="bottom"/>
            <w:shd w:val="clear" w:color="auto" w:fill="DBE5F1"/>
          </w:tcPr>
          <w:p>
            <w:pPr>
              <w:ind w:left="40"/>
              <w:spacing w:after="0"/>
              <w:rPr>
                <w:sz w:val="20"/>
                <w:szCs w:val="20"/>
                <w:color w:val="auto"/>
              </w:rPr>
            </w:pPr>
            <w:r>
              <w:rPr>
                <w:rFonts w:ascii="Arial" w:cs="Arial" w:eastAsia="Arial" w:hAnsi="Arial"/>
                <w:sz w:val="14"/>
                <w:szCs w:val="14"/>
                <w:b w:val="1"/>
                <w:bCs w:val="1"/>
                <w:color w:val="auto"/>
              </w:rPr>
              <w:t>Scott L. Yinger</w:t>
            </w:r>
            <w:r>
              <w:rPr>
                <w:rFonts w:ascii="Arial" w:cs="Arial" w:eastAsia="Arial" w:hAnsi="Arial"/>
                <w:sz w:val="8"/>
                <w:szCs w:val="8"/>
                <w:b w:val="1"/>
                <w:bCs w:val="1"/>
                <w:color w:val="auto"/>
              </w:rPr>
              <w:t>(3)</w:t>
            </w:r>
          </w:p>
        </w:tc>
        <w:tc>
          <w:tcPr>
            <w:tcW w:w="1620" w:type="dxa"/>
            <w:vAlign w:val="bottom"/>
            <w:shd w:val="clear" w:color="auto" w:fill="DBE5F1"/>
          </w:tcPr>
          <w:p>
            <w:pPr>
              <w:ind w:left="40"/>
              <w:spacing w:after="0"/>
              <w:rPr>
                <w:sz w:val="20"/>
                <w:szCs w:val="20"/>
                <w:color w:val="auto"/>
              </w:rPr>
            </w:pPr>
            <w:r>
              <w:rPr>
                <w:rFonts w:ascii="Arial" w:cs="Arial" w:eastAsia="Arial" w:hAnsi="Arial"/>
                <w:sz w:val="14"/>
                <w:szCs w:val="14"/>
                <w:color w:val="auto"/>
              </w:rPr>
              <w:t>Interim CFO</w:t>
            </w:r>
          </w:p>
        </w:tc>
        <w:tc>
          <w:tcPr>
            <w:tcW w:w="1800" w:type="dxa"/>
            <w:vAlign w:val="bottom"/>
            <w:shd w:val="clear" w:color="auto" w:fill="DBE5F1"/>
          </w:tcPr>
          <w:p>
            <w:pPr>
              <w:spacing w:after="0"/>
              <w:rPr>
                <w:sz w:val="20"/>
                <w:szCs w:val="20"/>
                <w:color w:val="auto"/>
              </w:rPr>
            </w:pPr>
          </w:p>
        </w:tc>
        <w:tc>
          <w:tcPr>
            <w:tcW w:w="3940" w:type="dxa"/>
            <w:vAlign w:val="bottom"/>
            <w:gridSpan w:val="3"/>
            <w:shd w:val="clear" w:color="auto" w:fill="DBE5F1"/>
          </w:tcPr>
          <w:p>
            <w:pPr>
              <w:jc w:val="right"/>
              <w:ind w:right="6"/>
              <w:spacing w:after="0"/>
              <w:rPr>
                <w:sz w:val="20"/>
                <w:szCs w:val="20"/>
                <w:color w:val="auto"/>
              </w:rPr>
            </w:pPr>
            <w:r>
              <w:rPr>
                <w:rFonts w:ascii="Arial" w:cs="Arial" w:eastAsia="Arial" w:hAnsi="Arial"/>
                <w:sz w:val="14"/>
                <w:szCs w:val="14"/>
                <w:color w:val="auto"/>
              </w:rPr>
              <w:t>Not a participant in the annual cash incentive plan in 2015</w:t>
            </w:r>
          </w:p>
        </w:tc>
        <w:tc>
          <w:tcPr>
            <w:tcW w:w="1220" w:type="dxa"/>
            <w:vAlign w:val="bottom"/>
            <w:shd w:val="clear" w:color="auto" w:fill="DBE5F1"/>
          </w:tcPr>
          <w:p>
            <w:pPr>
              <w:spacing w:after="0"/>
              <w:rPr>
                <w:sz w:val="20"/>
                <w:szCs w:val="20"/>
                <w:color w:val="auto"/>
              </w:rPr>
            </w:pPr>
          </w:p>
        </w:tc>
        <w:tc>
          <w:tcPr>
            <w:tcW w:w="1000" w:type="dxa"/>
            <w:vAlign w:val="bottom"/>
            <w:shd w:val="clear" w:color="auto" w:fill="DBE5F1"/>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840" w:type="dxa"/>
            <w:vAlign w:val="bottom"/>
            <w:shd w:val="clear" w:color="auto" w:fill="DBE5F1"/>
          </w:tcPr>
          <w:p>
            <w:pPr>
              <w:ind w:left="40"/>
              <w:spacing w:after="0"/>
              <w:rPr>
                <w:sz w:val="20"/>
                <w:szCs w:val="20"/>
                <w:color w:val="auto"/>
              </w:rPr>
            </w:pPr>
            <w:r>
              <w:rPr>
                <w:rFonts w:ascii="Arial" w:cs="Arial" w:eastAsia="Arial" w:hAnsi="Arial"/>
                <w:sz w:val="14"/>
                <w:szCs w:val="14"/>
                <w:b w:val="1"/>
                <w:bCs w:val="1"/>
                <w:color w:val="auto"/>
              </w:rPr>
              <w:t>Francis A. Carchedi</w:t>
            </w:r>
            <w:r>
              <w:rPr>
                <w:rFonts w:ascii="Arial" w:cs="Arial" w:eastAsia="Arial" w:hAnsi="Arial"/>
                <w:sz w:val="8"/>
                <w:szCs w:val="8"/>
                <w:b w:val="1"/>
                <w:bCs w:val="1"/>
                <w:color w:val="auto"/>
              </w:rPr>
              <w:t>(4)</w:t>
            </w:r>
          </w:p>
        </w:tc>
        <w:tc>
          <w:tcPr>
            <w:tcW w:w="1620" w:type="dxa"/>
            <w:vAlign w:val="bottom"/>
            <w:shd w:val="clear" w:color="auto" w:fill="DBE5F1"/>
          </w:tcPr>
          <w:p>
            <w:pPr>
              <w:ind w:left="40"/>
              <w:spacing w:after="0"/>
              <w:rPr>
                <w:sz w:val="20"/>
                <w:szCs w:val="20"/>
                <w:color w:val="auto"/>
              </w:rPr>
            </w:pPr>
            <w:r>
              <w:rPr>
                <w:rFonts w:ascii="Arial" w:cs="Arial" w:eastAsia="Arial" w:hAnsi="Arial"/>
                <w:sz w:val="14"/>
                <w:szCs w:val="14"/>
                <w:color w:val="auto"/>
                <w:w w:val="99"/>
              </w:rPr>
              <w:t>EVP, Corp. Development</w:t>
            </w:r>
          </w:p>
        </w:tc>
        <w:tc>
          <w:tcPr>
            <w:tcW w:w="1800" w:type="dxa"/>
            <w:vAlign w:val="bottom"/>
            <w:shd w:val="clear" w:color="auto" w:fill="DBE5F1"/>
          </w:tcPr>
          <w:p>
            <w:pPr>
              <w:jc w:val="center"/>
              <w:ind w:right="28"/>
              <w:spacing w:after="0"/>
              <w:rPr>
                <w:sz w:val="20"/>
                <w:szCs w:val="20"/>
                <w:color w:val="auto"/>
              </w:rPr>
            </w:pPr>
            <w:r>
              <w:rPr>
                <w:rFonts w:ascii="Arial" w:cs="Arial" w:eastAsia="Arial" w:hAnsi="Arial"/>
                <w:sz w:val="14"/>
                <w:szCs w:val="14"/>
                <w:color w:val="auto"/>
                <w:w w:val="92"/>
              </w:rPr>
              <w:t>50%</w:t>
            </w:r>
          </w:p>
        </w:tc>
        <w:tc>
          <w:tcPr>
            <w:tcW w:w="1760" w:type="dxa"/>
            <w:vAlign w:val="bottom"/>
            <w:shd w:val="clear" w:color="auto" w:fill="DBE5F1"/>
          </w:tcPr>
          <w:p>
            <w:pPr>
              <w:jc w:val="center"/>
              <w:spacing w:after="0"/>
              <w:rPr>
                <w:sz w:val="20"/>
                <w:szCs w:val="20"/>
                <w:color w:val="auto"/>
              </w:rPr>
            </w:pPr>
            <w:r>
              <w:rPr>
                <w:rFonts w:ascii="Arial" w:cs="Arial" w:eastAsia="Arial" w:hAnsi="Arial"/>
                <w:sz w:val="14"/>
                <w:szCs w:val="14"/>
                <w:color w:val="auto"/>
                <w:w w:val="92"/>
              </w:rPr>
              <w:t>50%</w:t>
            </w:r>
          </w:p>
        </w:tc>
        <w:tc>
          <w:tcPr>
            <w:tcW w:w="880" w:type="dxa"/>
            <w:vAlign w:val="bottom"/>
            <w:shd w:val="clear" w:color="auto" w:fill="DBE5F1"/>
          </w:tcPr>
          <w:p>
            <w:pPr>
              <w:jc w:val="center"/>
              <w:ind w:left="28"/>
              <w:spacing w:after="0"/>
              <w:rPr>
                <w:sz w:val="20"/>
                <w:szCs w:val="20"/>
                <w:color w:val="auto"/>
              </w:rPr>
            </w:pPr>
            <w:r>
              <w:rPr>
                <w:rFonts w:ascii="Arial" w:cs="Arial" w:eastAsia="Arial" w:hAnsi="Arial"/>
                <w:sz w:val="14"/>
                <w:szCs w:val="14"/>
                <w:color w:val="auto"/>
                <w:w w:val="92"/>
              </w:rPr>
              <w:t>60%</w:t>
            </w:r>
          </w:p>
        </w:tc>
        <w:tc>
          <w:tcPr>
            <w:tcW w:w="1300" w:type="dxa"/>
            <w:vAlign w:val="bottom"/>
            <w:shd w:val="clear" w:color="auto" w:fill="DBE5F1"/>
          </w:tcPr>
          <w:p>
            <w:pPr>
              <w:jc w:val="center"/>
              <w:spacing w:after="0"/>
              <w:rPr>
                <w:sz w:val="20"/>
                <w:szCs w:val="20"/>
                <w:color w:val="auto"/>
              </w:rPr>
            </w:pPr>
            <w:r>
              <w:rPr>
                <w:rFonts w:ascii="Arial" w:cs="Arial" w:eastAsia="Arial" w:hAnsi="Arial"/>
                <w:sz w:val="14"/>
                <w:szCs w:val="14"/>
                <w:color w:val="auto"/>
                <w:w w:val="92"/>
              </w:rPr>
              <w:t>159.0%</w:t>
            </w:r>
          </w:p>
        </w:tc>
        <w:tc>
          <w:tcPr>
            <w:tcW w:w="1220" w:type="dxa"/>
            <w:vAlign w:val="bottom"/>
            <w:shd w:val="clear" w:color="auto" w:fill="DBE5F1"/>
          </w:tcPr>
          <w:p>
            <w:pPr>
              <w:jc w:val="center"/>
              <w:spacing w:after="0"/>
              <w:rPr>
                <w:sz w:val="20"/>
                <w:szCs w:val="20"/>
                <w:color w:val="auto"/>
              </w:rPr>
            </w:pPr>
            <w:r>
              <w:rPr>
                <w:rFonts w:ascii="Arial" w:cs="Arial" w:eastAsia="Arial" w:hAnsi="Arial"/>
                <w:sz w:val="14"/>
                <w:szCs w:val="14"/>
                <w:color w:val="auto"/>
                <w:w w:val="90"/>
              </w:rPr>
              <w:t>95.4%</w:t>
            </w:r>
          </w:p>
        </w:tc>
        <w:tc>
          <w:tcPr>
            <w:tcW w:w="1000" w:type="dxa"/>
            <w:vAlign w:val="bottom"/>
            <w:shd w:val="clear" w:color="auto" w:fill="DBE5F1"/>
          </w:tcPr>
          <w:p>
            <w:pPr>
              <w:jc w:val="center"/>
              <w:spacing w:after="0"/>
              <w:rPr>
                <w:sz w:val="20"/>
                <w:szCs w:val="20"/>
                <w:color w:val="auto"/>
              </w:rPr>
            </w:pPr>
            <w:r>
              <w:rPr>
                <w:rFonts w:ascii="Arial" w:cs="Arial" w:eastAsia="Arial" w:hAnsi="Arial"/>
                <w:sz w:val="14"/>
                <w:szCs w:val="14"/>
                <w:color w:val="auto"/>
                <w:w w:val="92"/>
              </w:rPr>
              <w:t>$357,750</w:t>
            </w:r>
          </w:p>
        </w:tc>
        <w:tc>
          <w:tcPr>
            <w:tcW w:w="0" w:type="dxa"/>
            <w:vAlign w:val="bottom"/>
          </w:tcPr>
          <w:p>
            <w:pPr>
              <w:spacing w:after="0"/>
              <w:rPr>
                <w:sz w:val="1"/>
                <w:szCs w:val="1"/>
                <w:color w:val="auto"/>
              </w:rPr>
            </w:pPr>
          </w:p>
        </w:tc>
      </w:tr>
      <w:tr>
        <w:trPr>
          <w:trHeight w:val="228"/>
        </w:trPr>
        <w:tc>
          <w:tcPr>
            <w:tcW w:w="1840" w:type="dxa"/>
            <w:vAlign w:val="bottom"/>
            <w:shd w:val="clear" w:color="auto" w:fill="DBE5F1"/>
          </w:tcPr>
          <w:p>
            <w:pPr>
              <w:ind w:left="40"/>
              <w:spacing w:after="0"/>
              <w:rPr>
                <w:sz w:val="20"/>
                <w:szCs w:val="20"/>
                <w:color w:val="auto"/>
              </w:rPr>
            </w:pPr>
            <w:r>
              <w:rPr>
                <w:rFonts w:ascii="Arial" w:cs="Arial" w:eastAsia="Arial" w:hAnsi="Arial"/>
                <w:sz w:val="14"/>
                <w:szCs w:val="14"/>
                <w:b w:val="1"/>
                <w:bCs w:val="1"/>
                <w:color w:val="auto"/>
                <w:w w:val="97"/>
              </w:rPr>
              <w:t xml:space="preserve">Matthew F. W. Linnington </w:t>
            </w:r>
            <w:r>
              <w:rPr>
                <w:rFonts w:ascii="Arial" w:cs="Arial" w:eastAsia="Arial" w:hAnsi="Arial"/>
                <w:sz w:val="8"/>
                <w:szCs w:val="8"/>
                <w:b w:val="1"/>
                <w:bCs w:val="1"/>
                <w:color w:val="auto"/>
                <w:w w:val="97"/>
              </w:rPr>
              <w:t>(5)</w:t>
            </w:r>
          </w:p>
        </w:tc>
        <w:tc>
          <w:tcPr>
            <w:tcW w:w="1620" w:type="dxa"/>
            <w:vAlign w:val="bottom"/>
            <w:shd w:val="clear" w:color="auto" w:fill="DBE5F1"/>
          </w:tcPr>
          <w:p>
            <w:pPr>
              <w:ind w:left="40"/>
              <w:spacing w:after="0"/>
              <w:rPr>
                <w:sz w:val="20"/>
                <w:szCs w:val="20"/>
                <w:color w:val="auto"/>
              </w:rPr>
            </w:pPr>
            <w:r>
              <w:rPr>
                <w:rFonts w:ascii="Arial" w:cs="Arial" w:eastAsia="Arial" w:hAnsi="Arial"/>
                <w:sz w:val="14"/>
                <w:szCs w:val="14"/>
                <w:color w:val="auto"/>
              </w:rPr>
              <w:t>EVP, Sales</w:t>
            </w:r>
          </w:p>
        </w:tc>
        <w:tc>
          <w:tcPr>
            <w:tcW w:w="1800" w:type="dxa"/>
            <w:vAlign w:val="bottom"/>
            <w:shd w:val="clear" w:color="auto" w:fill="DBE5F1"/>
          </w:tcPr>
          <w:p>
            <w:pPr>
              <w:spacing w:after="0"/>
              <w:rPr>
                <w:sz w:val="19"/>
                <w:szCs w:val="19"/>
                <w:color w:val="auto"/>
              </w:rPr>
            </w:pPr>
          </w:p>
        </w:tc>
        <w:tc>
          <w:tcPr>
            <w:tcW w:w="3940" w:type="dxa"/>
            <w:vAlign w:val="bottom"/>
            <w:gridSpan w:val="3"/>
            <w:shd w:val="clear" w:color="auto" w:fill="DBE5F1"/>
          </w:tcPr>
          <w:p>
            <w:pPr>
              <w:jc w:val="right"/>
              <w:ind w:right="6"/>
              <w:spacing w:after="0"/>
              <w:rPr>
                <w:sz w:val="20"/>
                <w:szCs w:val="20"/>
                <w:color w:val="auto"/>
              </w:rPr>
            </w:pPr>
            <w:r>
              <w:rPr>
                <w:rFonts w:ascii="Arial" w:cs="Arial" w:eastAsia="Arial" w:hAnsi="Arial"/>
                <w:sz w:val="14"/>
                <w:szCs w:val="14"/>
                <w:color w:val="auto"/>
              </w:rPr>
              <w:t>Not a participant in the annual cash incentive plan in 2015</w:t>
            </w:r>
          </w:p>
        </w:tc>
        <w:tc>
          <w:tcPr>
            <w:tcW w:w="1220" w:type="dxa"/>
            <w:vAlign w:val="bottom"/>
            <w:shd w:val="clear" w:color="auto" w:fill="DBE5F1"/>
          </w:tcPr>
          <w:p>
            <w:pPr>
              <w:spacing w:after="0"/>
              <w:rPr>
                <w:sz w:val="19"/>
                <w:szCs w:val="19"/>
                <w:color w:val="auto"/>
              </w:rPr>
            </w:pPr>
          </w:p>
        </w:tc>
        <w:tc>
          <w:tcPr>
            <w:tcW w:w="1000" w:type="dxa"/>
            <w:vAlign w:val="bottom"/>
            <w:shd w:val="clear" w:color="auto" w:fill="DBE5F1"/>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828675</wp:posOffset>
            </wp:positionH>
            <wp:positionV relativeFrom="paragraph">
              <wp:posOffset>94615</wp:posOffset>
            </wp:positionV>
            <wp:extent cx="18288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82880" cy="8890"/>
                    </a:xfrm>
                    <a:prstGeom prst="rect">
                      <a:avLst/>
                    </a:prstGeom>
                    <a:noFill/>
                  </pic:spPr>
                </pic:pic>
              </a:graphicData>
            </a:graphic>
          </wp:anchor>
        </w:drawing>
      </w:r>
    </w:p>
    <w:p>
      <w:pPr>
        <w:spacing w:after="0" w:line="146" w:lineRule="exact"/>
        <w:rPr>
          <w:sz w:val="20"/>
          <w:szCs w:val="20"/>
          <w:color w:val="auto"/>
        </w:rPr>
      </w:pPr>
    </w:p>
    <w:p>
      <w:pPr>
        <w:ind w:left="340" w:hanging="332"/>
        <w:spacing w:after="0"/>
        <w:tabs>
          <w:tab w:leader="none" w:pos="340" w:val="left"/>
        </w:tabs>
        <w:numPr>
          <w:ilvl w:val="0"/>
          <w:numId w:val="38"/>
        </w:numPr>
        <w:rPr>
          <w:rFonts w:ascii="Arial" w:cs="Arial" w:eastAsia="Arial" w:hAnsi="Arial"/>
          <w:sz w:val="16"/>
          <w:szCs w:val="16"/>
          <w:color w:val="auto"/>
        </w:rPr>
      </w:pPr>
      <w:r>
        <w:rPr>
          <w:rFonts w:ascii="Arial" w:cs="Arial" w:eastAsia="Arial" w:hAnsi="Arial"/>
          <w:sz w:val="16"/>
          <w:szCs w:val="16"/>
          <w:color w:val="auto"/>
        </w:rPr>
        <w:t>As discussed above, Mr. Florance’s 2015 annual cash incentive award is based solely on corporate performance goals.</w:t>
      </w:r>
    </w:p>
    <w:p>
      <w:pPr>
        <w:spacing w:after="0" w:line="19" w:lineRule="exact"/>
        <w:rPr>
          <w:rFonts w:ascii="Arial" w:cs="Arial" w:eastAsia="Arial" w:hAnsi="Arial"/>
          <w:sz w:val="16"/>
          <w:szCs w:val="16"/>
          <w:color w:val="auto"/>
        </w:rPr>
      </w:pPr>
    </w:p>
    <w:p>
      <w:pPr>
        <w:jc w:val="both"/>
        <w:ind w:left="340" w:hanging="332"/>
        <w:spacing w:after="0" w:line="246" w:lineRule="auto"/>
        <w:tabs>
          <w:tab w:leader="none" w:pos="340" w:val="left"/>
        </w:tabs>
        <w:numPr>
          <w:ilvl w:val="0"/>
          <w:numId w:val="38"/>
        </w:numPr>
        <w:rPr>
          <w:rFonts w:ascii="Arial" w:cs="Arial" w:eastAsia="Arial" w:hAnsi="Arial"/>
          <w:sz w:val="16"/>
          <w:szCs w:val="16"/>
          <w:color w:val="auto"/>
        </w:rPr>
      </w:pPr>
      <w:r>
        <w:rPr>
          <w:rFonts w:ascii="Arial" w:cs="Arial" w:eastAsia="Arial" w:hAnsi="Arial"/>
          <w:sz w:val="16"/>
          <w:szCs w:val="16"/>
          <w:color w:val="auto"/>
        </w:rPr>
        <w:t>Mr. Radecki’s Company financial goals and individual goals were given equal weight for 2015 similar to 2014, which reflects the Company’s emphasis on achievement of strategic and operational goals targeted to the Company’s growth and integration of acquired entities, as well as overall earnings and Mr. Radecki’s role with respect to the operations of the Company as a whole. Mr. Radecki served as the Company’s CFO until August 3, 2015, at which time he remained an employee of the Company and was compensated at a level commensurate with his position as Executive Vice President. Mr. Radecki did not receive a cash incentive payment for 2015 performance as he no longer served as an executive officer at the end of the fiscal year.</w:t>
      </w:r>
    </w:p>
    <w:p>
      <w:pPr>
        <w:spacing w:after="0" w:line="2" w:lineRule="exact"/>
        <w:rPr>
          <w:rFonts w:ascii="Arial" w:cs="Arial" w:eastAsia="Arial" w:hAnsi="Arial"/>
          <w:sz w:val="16"/>
          <w:szCs w:val="16"/>
          <w:color w:val="auto"/>
        </w:rPr>
      </w:pPr>
    </w:p>
    <w:p>
      <w:pPr>
        <w:jc w:val="both"/>
        <w:ind w:left="340" w:hanging="332"/>
        <w:spacing w:after="0" w:line="246" w:lineRule="auto"/>
        <w:tabs>
          <w:tab w:leader="none" w:pos="340" w:val="left"/>
        </w:tabs>
        <w:numPr>
          <w:ilvl w:val="0"/>
          <w:numId w:val="38"/>
        </w:numPr>
        <w:rPr>
          <w:rFonts w:ascii="Arial" w:cs="Arial" w:eastAsia="Arial" w:hAnsi="Arial"/>
          <w:sz w:val="16"/>
          <w:szCs w:val="16"/>
          <w:color w:val="auto"/>
        </w:rPr>
      </w:pPr>
      <w:r>
        <w:rPr>
          <w:rFonts w:ascii="Arial" w:cs="Arial" w:eastAsia="Arial" w:hAnsi="Arial"/>
          <w:sz w:val="16"/>
          <w:szCs w:val="16"/>
          <w:color w:val="auto"/>
        </w:rPr>
        <w:t>Mr. Yinger was not an executive officer when the 2015 executive cash incentive plan was approved by the Committee and did not participate in the executive cash incentive plan in 2015. Mr. Yinger remained subject to the cash incentive plan approved by his manager prior to his appointment as Interim CFO, pursuant to which he was entitled to earn up to 45% of his base pay subject to achievement of individual, subjective goals. As a result of achievement of his individual subjective goals, Mr. Yinger received a cash award equal to $116,355 for 2015.</w:t>
      </w:r>
    </w:p>
    <w:p>
      <w:pPr>
        <w:spacing w:after="0" w:line="1" w:lineRule="exact"/>
        <w:rPr>
          <w:rFonts w:ascii="Arial" w:cs="Arial" w:eastAsia="Arial" w:hAnsi="Arial"/>
          <w:sz w:val="16"/>
          <w:szCs w:val="16"/>
          <w:color w:val="auto"/>
        </w:rPr>
      </w:pPr>
    </w:p>
    <w:p>
      <w:pPr>
        <w:jc w:val="both"/>
        <w:ind w:left="340" w:right="20" w:hanging="332"/>
        <w:spacing w:after="0" w:line="246" w:lineRule="auto"/>
        <w:tabs>
          <w:tab w:leader="none" w:pos="340" w:val="left"/>
        </w:tabs>
        <w:numPr>
          <w:ilvl w:val="0"/>
          <w:numId w:val="38"/>
        </w:numPr>
        <w:rPr>
          <w:rFonts w:ascii="Arial" w:cs="Arial" w:eastAsia="Arial" w:hAnsi="Arial"/>
          <w:sz w:val="16"/>
          <w:szCs w:val="16"/>
          <w:color w:val="auto"/>
        </w:rPr>
      </w:pPr>
      <w:r>
        <w:rPr>
          <w:rFonts w:ascii="Arial" w:cs="Arial" w:eastAsia="Arial" w:hAnsi="Arial"/>
          <w:sz w:val="16"/>
          <w:szCs w:val="16"/>
          <w:color w:val="auto"/>
        </w:rPr>
        <w:t>Mr. Carchedi’s Company financial goals and individual goals were given equal weight for 2015 similar to 2014, which reflects the Company’s emphasis on achievement of strategic and operational goals targeted to the Company’s growth and integration of acquired entities, as well as overall earnings and Mr. Carchedi’s role with respect to the operations of the Company as a whole.</w:t>
      </w:r>
    </w:p>
    <w:p>
      <w:pPr>
        <w:spacing w:after="0" w:line="1" w:lineRule="exact"/>
        <w:rPr>
          <w:rFonts w:ascii="Arial" w:cs="Arial" w:eastAsia="Arial" w:hAnsi="Arial"/>
          <w:sz w:val="16"/>
          <w:szCs w:val="16"/>
          <w:color w:val="auto"/>
        </w:rPr>
      </w:pPr>
    </w:p>
    <w:p>
      <w:pPr>
        <w:jc w:val="both"/>
        <w:ind w:left="340" w:hanging="332"/>
        <w:spacing w:after="0" w:line="252" w:lineRule="auto"/>
        <w:tabs>
          <w:tab w:leader="none" w:pos="340" w:val="left"/>
        </w:tabs>
        <w:numPr>
          <w:ilvl w:val="0"/>
          <w:numId w:val="38"/>
        </w:numPr>
        <w:rPr>
          <w:rFonts w:ascii="Arial" w:cs="Arial" w:eastAsia="Arial" w:hAnsi="Arial"/>
          <w:sz w:val="16"/>
          <w:szCs w:val="16"/>
          <w:color w:val="auto"/>
        </w:rPr>
      </w:pPr>
      <w:r>
        <w:rPr>
          <w:rFonts w:ascii="Arial" w:cs="Arial" w:eastAsia="Arial" w:hAnsi="Arial"/>
          <w:sz w:val="16"/>
          <w:szCs w:val="16"/>
          <w:color w:val="auto"/>
        </w:rPr>
        <w:t>As indicated above, the Committee determined that Mr. Linnington’s potential commission payments, based on a percentage of the Company’s U.S. net new subscription contracts for information and marketplace services, balance out his overall compensation package, and therefore he is not eligible for a cash incentive award in 2015 apart from the commission plan.</w:t>
      </w:r>
    </w:p>
    <w:p>
      <w:pPr>
        <w:spacing w:after="0" w:line="20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Commission Payments</w:t>
      </w:r>
    </w:p>
    <w:p>
      <w:pPr>
        <w:spacing w:after="0" w:line="130"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In 2015, Mr. Linnington was entitled to receive commissions paid quarterly based on a percentage of the Company’s U.S. new subscription contract amounts for its information and marketplace services, net of cancellations. The Committee determined to have Mr. Linnington’s cash incentive for 2015 be based solely on his commission plan to emphasize Company sales and Mr. Linnington’s role with respect to the Company’s sales. Mr. Linnington is not eligible for a cash incentive award in 2015 apart from the commission plan. The Committee determined that Mr. Linnington’s potential commission payments balance out his overall compensation package. The commission payments provide incentive for Mr. Linnington to continue to grow the Company’s business and generate revenues, and the rates of payment are set to provide challenging but achievable goals to motivate Mr. Linnington to maintain his focus on sales of the Company’s subscription-based services, the Company’s primary source of revenue, as well as cross selling the Company’s services. The Company is not disclosing the specific commission rates because they are based on key operational objectives that would signal the Company’s strategic direction and also could be used by competitors to target recruitment of Mr. Linnington. The total commission payment paid to Mr. Linnington for 2015 is shown in the Summary Compensation Table in this Proxy Statement.</w:t>
      </w:r>
    </w:p>
    <w:p>
      <w:pPr>
        <w:spacing w:after="0" w:line="19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Equity Incentive Plan</w:t>
      </w:r>
    </w:p>
    <w:p>
      <w:pPr>
        <w:spacing w:after="0" w:line="13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Committee has designed the executive equity incentive compensation program with the intent of aligning executive incentives with long-term stockholder value and with a view toward executive retention. The Committee believes that equity-based compensation and executive ownership of the Company’s stock help support the Committee’s goal that the Company’s named executive officers have a continuing stake in the long-term success of the Company.</w:t>
      </w:r>
    </w:p>
    <w:p>
      <w:pPr>
        <w:spacing w:after="0" w:line="187"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Each named executive officer is eligible to receive equity awards under the Company’s 2007 Stock Incentive Plan, as amended (the “2007 Plan”). The Committee generally grants time-based restricted stock and/or stock options to each executive when he or she joins the Company or upon promotion to an executive position as an incentive to accept</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20"/>
          </w:cols>
          <w:pgMar w:left="240" w:top="364" w:right="239" w:bottom="1440" w:gutter="0" w:footer="0" w:header="0"/>
        </w:sectPr>
      </w:pPr>
    </w:p>
    <w:bookmarkStart w:id="63" w:name="page64"/>
    <w:bookmarkEnd w:id="63"/>
    <w:p>
      <w:pPr>
        <w:jc w:val="both"/>
        <w:spacing w:after="0" w:line="291" w:lineRule="auto"/>
        <w:rPr>
          <w:sz w:val="20"/>
          <w:szCs w:val="20"/>
          <w:color w:val="auto"/>
        </w:rPr>
      </w:pPr>
      <w:r>
        <w:rPr>
          <w:rFonts w:ascii="Arial" w:cs="Arial" w:eastAsia="Arial" w:hAnsi="Arial"/>
          <w:sz w:val="16"/>
          <w:szCs w:val="16"/>
          <w:color w:val="auto"/>
        </w:rPr>
        <w:t>employment and become a member of the Company’s executive team. As set forth in more detail below, the Committee currently also makes annual grants of equity awards as part of the executive compensation program. Over the past few years, those grants have consisted of restricted stock and stock options. In response to, and in support of, stockholders’ belief that a greater portion of the equity awards should be long-term performance awards, commencing in 2014, the Committee enhanced the program so that the restricted stock portion of the annual grants consist of a number of shares of restricted stock determined based on the achievement of the prior year’s non-GAAP net income and is subject to time-based vesting following grant and a performance-based grant of restricted stock which vests based on achievement of a three-year cumulative revenue goal and is subject to adjustment based on the Company’s TSR over the three-year performance period. Under the program, target award values are determined at the time of grant.</w:t>
      </w:r>
    </w:p>
    <w:p>
      <w:pPr>
        <w:spacing w:after="0" w:line="167"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The three-year performance shares provide a long-term or multi-year performance measurement encouraging executives to achieve sustained growth and provide a direct link in the long-term incentive plan to long-term revenue growth. The three-year performance shares are subject to adjustment based on the Company’s total stockholder return over the three-year period. The shares earned, if any, as a result of the Company’s three-year revenue relative to the revenue goal will be positively or negatively adjusted based on the Company’s three-year TSR relative to the three-year TSR of the companies included within the Russell 1000 index, in order to tie the value of the equity awards to the Company’s performance and appreciation of the Company’s stock price relative to the performance of other companies within the index. The Committee chose the Russell 1000 index in order to closely align the three-year performance goal with that of the U.S. equity market. The Russell 1000 measures the performance of the large cap segment of the U.S. equity markets and represents approximately 92% of the U.S. market as measured by capitalization. The Committee determined that the Russell 1000 index would provide a comprehensive and unbiased barometer against which to compare the Company’s TSR. The Company is currently included in the Russell 1000 index.</w:t>
      </w:r>
    </w:p>
    <w:p>
      <w:pPr>
        <w:spacing w:after="0" w:line="16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Committee decided to grant a mix of equity awards because each type of award helps achieve some of the objectives of the executive compensation program.</w:t>
      </w:r>
    </w:p>
    <w:p>
      <w:pPr>
        <w:spacing w:after="0" w:line="170" w:lineRule="exact"/>
        <w:rPr>
          <w:sz w:val="20"/>
          <w:szCs w:val="20"/>
          <w:color w:val="auto"/>
        </w:rPr>
      </w:pPr>
    </w:p>
    <w:p>
      <w:pPr>
        <w:ind w:left="660" w:hanging="328"/>
        <w:spacing w:after="0" w:line="274" w:lineRule="auto"/>
        <w:tabs>
          <w:tab w:leader="none" w:pos="660" w:val="left"/>
        </w:tabs>
        <w:numPr>
          <w:ilvl w:val="0"/>
          <w:numId w:val="39"/>
        </w:numPr>
        <w:rPr>
          <w:rFonts w:ascii="Arial" w:cs="Arial" w:eastAsia="Arial" w:hAnsi="Arial"/>
          <w:sz w:val="17"/>
          <w:szCs w:val="17"/>
          <w:color w:val="auto"/>
        </w:rPr>
      </w:pPr>
      <w:r>
        <w:rPr>
          <w:rFonts w:ascii="Arial" w:cs="Arial" w:eastAsia="Arial" w:hAnsi="Arial"/>
          <w:sz w:val="17"/>
          <w:szCs w:val="17"/>
          <w:color w:val="auto"/>
        </w:rPr>
        <w:t>The Committee believes that options have a performance-based element because the option holder realizes value only if the stockholders also realize value – if the price of the Company’s common stock has increased from the grant date at the time the option is exercised.</w:t>
      </w:r>
    </w:p>
    <w:p>
      <w:pPr>
        <w:ind w:left="660" w:right="20" w:hanging="328"/>
        <w:spacing w:after="0" w:line="250" w:lineRule="auto"/>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In contrast, restricted stock awards have value when they vest regardless of the stock price, so they have retention value even if the Company’s common stock price declines or stays flat.</w:t>
      </w:r>
    </w:p>
    <w:p>
      <w:pPr>
        <w:jc w:val="both"/>
        <w:ind w:left="660" w:hanging="328"/>
        <w:spacing w:after="0" w:line="255" w:lineRule="auto"/>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Grants of performance shares that vest based on achievement of a long-term performance goal also provide a long-term or multi-year performance measurement encouraging executives to achieve sustained growth, increasing executives’ focus on longer-term financial goals and further linking executives’ interests with those of our stockholders.</w:t>
      </w:r>
    </w:p>
    <w:p>
      <w:pPr>
        <w:spacing w:after="0" w:line="19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Stock options motivate executive officers by providing greater potential upside while restricted stock awards promote executive retention, focus executives’ attention on total stockholder return and balance the Company’s compensation program. The Committee believes that the use of multi-year vesting periods for equity awards (for both stock options and restricted stock) emphasizes a longer-term perspective and therefore encourages executive retention. Under the current program, all stock option and restricted stock awards issued to the named executive officers that vest over time are subject to a three-year vesting period from the date of grant.</w:t>
      </w:r>
    </w:p>
    <w:p>
      <w:pPr>
        <w:spacing w:after="0" w:line="18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value of the annual equity compensation awards granted to our named executive officers is based on a target award dollar amount and varies among named executive officers by position depending upon individual responsibility and performance, external market and peer group practices, internal pay equity considerations, and, with respect to the annual performance-based restricted stock awards, achievement of the performance criteria as described below. Consistent with its determinations for executive compensation generally, the Committee has generally set the aggregate target equity compensation within +/-15% of the median levels of the peer company data provided by its compensation consultant, where available, but retains discretion to set target award levels based on the considerations set forth above.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20"/>
          </w:cols>
          <w:pgMar w:left="240" w:top="368" w:right="239" w:bottom="1440" w:gutter="0" w:footer="0" w:header="0"/>
        </w:sectPr>
      </w:pPr>
    </w:p>
    <w:bookmarkStart w:id="64" w:name="page65"/>
    <w:bookmarkEnd w:id="64"/>
    <w:p>
      <w:pPr>
        <w:spacing w:after="0"/>
        <w:rPr>
          <w:sz w:val="20"/>
          <w:szCs w:val="20"/>
          <w:color w:val="auto"/>
        </w:rPr>
      </w:pPr>
      <w:r>
        <w:rPr>
          <w:rFonts w:ascii="Arial" w:cs="Arial" w:eastAsia="Arial" w:hAnsi="Arial"/>
          <w:sz w:val="18"/>
          <w:szCs w:val="18"/>
          <w:b w:val="1"/>
          <w:bCs w:val="1"/>
          <w:color w:val="5978A5"/>
        </w:rPr>
        <w:t>Overview of Long-Term Incentive Components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240665</wp:posOffset>
            </wp:positionV>
            <wp:extent cx="7254875" cy="170688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4875" cy="1706880"/>
                    </a:xfrm>
                    <a:prstGeom prst="rect">
                      <a:avLst/>
                    </a:prstGeom>
                    <a:noFill/>
                  </pic:spPr>
                </pic:pic>
              </a:graphicData>
            </a:graphic>
          </wp:anchor>
        </w:drawing>
      </w:r>
    </w:p>
    <w:p>
      <w:pPr>
        <w:spacing w:after="0" w:line="359" w:lineRule="exact"/>
        <w:rPr>
          <w:sz w:val="20"/>
          <w:szCs w:val="20"/>
          <w:color w:val="auto"/>
        </w:rPr>
      </w:pPr>
    </w:p>
    <w:tbl>
      <w:tblPr>
        <w:tblLayout w:type="fixed"/>
        <w:tblInd w:w="0" w:type="dxa"/>
        <w:tblCellMar>
          <w:top w:w="0" w:type="dxa"/>
          <w:left w:w="0" w:type="dxa"/>
          <w:bottom w:w="0" w:type="dxa"/>
          <w:right w:w="0" w:type="dxa"/>
        </w:tblCellMar>
      </w:tblPr>
      <w:tr>
        <w:trPr>
          <w:trHeight w:val="324"/>
        </w:trPr>
        <w:tc>
          <w:tcPr>
            <w:tcW w:w="2420" w:type="dxa"/>
            <w:vAlign w:val="bottom"/>
            <w:shd w:val="clear" w:color="auto" w:fill="B8CCE4"/>
          </w:tcPr>
          <w:p>
            <w:pPr>
              <w:spacing w:after="0"/>
              <w:rPr>
                <w:sz w:val="24"/>
                <w:szCs w:val="24"/>
                <w:color w:val="auto"/>
              </w:rPr>
            </w:pPr>
          </w:p>
        </w:tc>
        <w:tc>
          <w:tcPr>
            <w:tcW w:w="2580" w:type="dxa"/>
            <w:vAlign w:val="bottom"/>
            <w:shd w:val="clear" w:color="auto" w:fill="B8CCE4"/>
          </w:tcPr>
          <w:p>
            <w:pPr>
              <w:jc w:val="center"/>
              <w:ind w:left="457"/>
              <w:spacing w:after="0"/>
              <w:rPr>
                <w:sz w:val="20"/>
                <w:szCs w:val="20"/>
                <w:color w:val="auto"/>
              </w:rPr>
            </w:pPr>
            <w:r>
              <w:rPr>
                <w:rFonts w:ascii="Arial" w:cs="Arial" w:eastAsia="Arial" w:hAnsi="Arial"/>
                <w:sz w:val="18"/>
                <w:szCs w:val="18"/>
                <w:b w:val="1"/>
                <w:bCs w:val="1"/>
                <w:color w:val="auto"/>
                <w:w w:val="88"/>
              </w:rPr>
              <w:t>Stock Options</w:t>
            </w:r>
          </w:p>
        </w:tc>
        <w:tc>
          <w:tcPr>
            <w:tcW w:w="3460" w:type="dxa"/>
            <w:vAlign w:val="bottom"/>
            <w:shd w:val="clear" w:color="auto" w:fill="B8CCE4"/>
          </w:tcPr>
          <w:p>
            <w:pPr>
              <w:ind w:left="580"/>
              <w:spacing w:after="0"/>
              <w:rPr>
                <w:sz w:val="20"/>
                <w:szCs w:val="20"/>
                <w:color w:val="auto"/>
              </w:rPr>
            </w:pPr>
            <w:r>
              <w:rPr>
                <w:rFonts w:ascii="Arial" w:cs="Arial" w:eastAsia="Arial" w:hAnsi="Arial"/>
                <w:sz w:val="18"/>
                <w:szCs w:val="18"/>
                <w:b w:val="1"/>
                <w:bCs w:val="1"/>
                <w:color w:val="auto"/>
                <w:w w:val="90"/>
              </w:rPr>
              <w:t>Performance-Based Restricted Stock</w:t>
            </w:r>
          </w:p>
        </w:tc>
        <w:tc>
          <w:tcPr>
            <w:tcW w:w="2960" w:type="dxa"/>
            <w:vAlign w:val="bottom"/>
            <w:shd w:val="clear" w:color="auto" w:fill="B8CCE4"/>
          </w:tcPr>
          <w:p>
            <w:pPr>
              <w:jc w:val="center"/>
              <w:spacing w:after="0"/>
              <w:rPr>
                <w:sz w:val="20"/>
                <w:szCs w:val="20"/>
                <w:color w:val="auto"/>
              </w:rPr>
            </w:pPr>
            <w:r>
              <w:rPr>
                <w:rFonts w:ascii="Arial" w:cs="Arial" w:eastAsia="Arial" w:hAnsi="Arial"/>
                <w:sz w:val="18"/>
                <w:szCs w:val="18"/>
                <w:b w:val="1"/>
                <w:bCs w:val="1"/>
                <w:color w:val="auto"/>
                <w:w w:val="91"/>
              </w:rPr>
              <w:t>Performance Share Plan</w:t>
            </w:r>
          </w:p>
        </w:tc>
        <w:tc>
          <w:tcPr>
            <w:tcW w:w="0" w:type="dxa"/>
            <w:vAlign w:val="bottom"/>
          </w:tcPr>
          <w:p>
            <w:pPr>
              <w:spacing w:after="0"/>
              <w:rPr>
                <w:sz w:val="1"/>
                <w:szCs w:val="1"/>
                <w:color w:val="auto"/>
              </w:rPr>
            </w:pPr>
          </w:p>
        </w:tc>
      </w:tr>
      <w:tr>
        <w:trPr>
          <w:trHeight w:val="108"/>
        </w:trPr>
        <w:tc>
          <w:tcPr>
            <w:tcW w:w="2420" w:type="dxa"/>
            <w:vAlign w:val="bottom"/>
            <w:shd w:val="clear" w:color="auto" w:fill="B8CCE4"/>
          </w:tcPr>
          <w:p>
            <w:pPr>
              <w:spacing w:after="0"/>
              <w:rPr>
                <w:sz w:val="9"/>
                <w:szCs w:val="9"/>
                <w:color w:val="auto"/>
              </w:rPr>
            </w:pPr>
          </w:p>
        </w:tc>
        <w:tc>
          <w:tcPr>
            <w:tcW w:w="2580" w:type="dxa"/>
            <w:vAlign w:val="bottom"/>
            <w:shd w:val="clear" w:color="auto" w:fill="B8CCE4"/>
          </w:tcPr>
          <w:p>
            <w:pPr>
              <w:spacing w:after="0"/>
              <w:rPr>
                <w:sz w:val="9"/>
                <w:szCs w:val="9"/>
                <w:color w:val="auto"/>
              </w:rPr>
            </w:pPr>
          </w:p>
        </w:tc>
        <w:tc>
          <w:tcPr>
            <w:tcW w:w="3460" w:type="dxa"/>
            <w:vAlign w:val="bottom"/>
            <w:shd w:val="clear" w:color="auto" w:fill="B8CCE4"/>
          </w:tcPr>
          <w:p>
            <w:pPr>
              <w:spacing w:after="0"/>
              <w:rPr>
                <w:sz w:val="9"/>
                <w:szCs w:val="9"/>
                <w:color w:val="auto"/>
              </w:rPr>
            </w:pPr>
          </w:p>
        </w:tc>
        <w:tc>
          <w:tcPr>
            <w:tcW w:w="2960" w:type="dxa"/>
            <w:vAlign w:val="bottom"/>
            <w:shd w:val="clear" w:color="auto" w:fill="B8CCE4"/>
          </w:tcPr>
          <w:p>
            <w:pPr>
              <w:spacing w:after="0"/>
              <w:rPr>
                <w:sz w:val="9"/>
                <w:szCs w:val="9"/>
                <w:color w:val="auto"/>
              </w:rPr>
            </w:pPr>
          </w:p>
        </w:tc>
        <w:tc>
          <w:tcPr>
            <w:tcW w:w="0" w:type="dxa"/>
            <w:vAlign w:val="bottom"/>
          </w:tcPr>
          <w:p>
            <w:pPr>
              <w:spacing w:after="0"/>
              <w:rPr>
                <w:sz w:val="1"/>
                <w:szCs w:val="1"/>
                <w:color w:val="auto"/>
              </w:rPr>
            </w:pPr>
          </w:p>
        </w:tc>
      </w:tr>
      <w:tr>
        <w:trPr>
          <w:trHeight w:val="305"/>
        </w:trPr>
        <w:tc>
          <w:tcPr>
            <w:tcW w:w="2420" w:type="dxa"/>
            <w:vAlign w:val="bottom"/>
            <w:shd w:val="clear" w:color="auto" w:fill="DBE5F1"/>
          </w:tcPr>
          <w:p>
            <w:pPr>
              <w:ind w:left="180"/>
              <w:spacing w:after="0"/>
              <w:rPr>
                <w:sz w:val="20"/>
                <w:szCs w:val="20"/>
                <w:color w:val="auto"/>
              </w:rPr>
            </w:pPr>
            <w:r>
              <w:rPr>
                <w:rFonts w:ascii="Arial" w:cs="Arial" w:eastAsia="Arial" w:hAnsi="Arial"/>
                <w:sz w:val="16"/>
                <w:szCs w:val="16"/>
                <w:b w:val="1"/>
                <w:bCs w:val="1"/>
                <w:color w:val="auto"/>
              </w:rPr>
              <w:t>% of Target Value</w:t>
            </w:r>
          </w:p>
        </w:tc>
        <w:tc>
          <w:tcPr>
            <w:tcW w:w="2580" w:type="dxa"/>
            <w:vAlign w:val="bottom"/>
            <w:shd w:val="clear" w:color="auto" w:fill="DBE5F1"/>
          </w:tcPr>
          <w:p>
            <w:pPr>
              <w:jc w:val="center"/>
              <w:ind w:left="457"/>
              <w:spacing w:after="0"/>
              <w:rPr>
                <w:sz w:val="20"/>
                <w:szCs w:val="20"/>
                <w:color w:val="auto"/>
              </w:rPr>
            </w:pPr>
            <w:r>
              <w:rPr>
                <w:rFonts w:ascii="Arial" w:cs="Arial" w:eastAsia="Arial" w:hAnsi="Arial"/>
                <w:sz w:val="16"/>
                <w:szCs w:val="16"/>
                <w:color w:val="auto"/>
                <w:w w:val="87"/>
              </w:rPr>
              <w:t>40%</w:t>
            </w:r>
          </w:p>
        </w:tc>
        <w:tc>
          <w:tcPr>
            <w:tcW w:w="3460" w:type="dxa"/>
            <w:vAlign w:val="bottom"/>
            <w:shd w:val="clear" w:color="auto" w:fill="DBE5F1"/>
          </w:tcPr>
          <w:p>
            <w:pPr>
              <w:jc w:val="right"/>
              <w:ind w:right="1218"/>
              <w:spacing w:after="0"/>
              <w:rPr>
                <w:sz w:val="20"/>
                <w:szCs w:val="20"/>
                <w:color w:val="auto"/>
              </w:rPr>
            </w:pPr>
            <w:r>
              <w:rPr>
                <w:rFonts w:ascii="Arial" w:cs="Arial" w:eastAsia="Arial" w:hAnsi="Arial"/>
                <w:sz w:val="16"/>
                <w:szCs w:val="16"/>
                <w:color w:val="auto"/>
              </w:rPr>
              <w:t>40%</w:t>
            </w:r>
          </w:p>
        </w:tc>
        <w:tc>
          <w:tcPr>
            <w:tcW w:w="2960" w:type="dxa"/>
            <w:vAlign w:val="bottom"/>
            <w:shd w:val="clear" w:color="auto" w:fill="DBE5F1"/>
          </w:tcPr>
          <w:p>
            <w:pPr>
              <w:jc w:val="center"/>
              <w:spacing w:after="0"/>
              <w:rPr>
                <w:sz w:val="20"/>
                <w:szCs w:val="20"/>
                <w:color w:val="auto"/>
              </w:rPr>
            </w:pPr>
            <w:r>
              <w:rPr>
                <w:rFonts w:ascii="Arial" w:cs="Arial" w:eastAsia="Arial" w:hAnsi="Arial"/>
                <w:sz w:val="16"/>
                <w:szCs w:val="16"/>
                <w:color w:val="auto"/>
                <w:w w:val="87"/>
              </w:rPr>
              <w:t>20%</w:t>
            </w:r>
          </w:p>
        </w:tc>
        <w:tc>
          <w:tcPr>
            <w:tcW w:w="0" w:type="dxa"/>
            <w:vAlign w:val="bottom"/>
          </w:tcPr>
          <w:p>
            <w:pPr>
              <w:spacing w:after="0"/>
              <w:rPr>
                <w:sz w:val="1"/>
                <w:szCs w:val="1"/>
                <w:color w:val="auto"/>
              </w:rPr>
            </w:pPr>
          </w:p>
        </w:tc>
      </w:tr>
      <w:tr>
        <w:trPr>
          <w:trHeight w:val="347"/>
        </w:trPr>
        <w:tc>
          <w:tcPr>
            <w:tcW w:w="2420" w:type="dxa"/>
            <w:vAlign w:val="bottom"/>
            <w:vMerge w:val="restart"/>
            <w:shd w:val="clear" w:color="auto" w:fill="DBE5F1"/>
          </w:tcPr>
          <w:p>
            <w:pPr>
              <w:ind w:left="180"/>
              <w:spacing w:after="0"/>
              <w:rPr>
                <w:sz w:val="20"/>
                <w:szCs w:val="20"/>
                <w:color w:val="auto"/>
              </w:rPr>
            </w:pPr>
            <w:r>
              <w:rPr>
                <w:rFonts w:ascii="Arial" w:cs="Arial" w:eastAsia="Arial" w:hAnsi="Arial"/>
                <w:sz w:val="16"/>
                <w:szCs w:val="16"/>
                <w:b w:val="1"/>
                <w:bCs w:val="1"/>
                <w:color w:val="auto"/>
              </w:rPr>
              <w:t>Grant Determination Process</w:t>
            </w:r>
          </w:p>
        </w:tc>
        <w:tc>
          <w:tcPr>
            <w:tcW w:w="2580" w:type="dxa"/>
            <w:vAlign w:val="bottom"/>
            <w:vMerge w:val="restart"/>
            <w:shd w:val="clear" w:color="auto" w:fill="DBE5F1"/>
          </w:tcPr>
          <w:p>
            <w:pPr>
              <w:jc w:val="center"/>
              <w:ind w:left="457"/>
              <w:spacing w:after="0"/>
              <w:rPr>
                <w:sz w:val="20"/>
                <w:szCs w:val="20"/>
                <w:color w:val="auto"/>
              </w:rPr>
            </w:pPr>
            <w:r>
              <w:rPr>
                <w:rFonts w:ascii="Arial" w:cs="Arial" w:eastAsia="Arial" w:hAnsi="Arial"/>
                <w:sz w:val="16"/>
                <w:szCs w:val="16"/>
                <w:color w:val="auto"/>
                <w:w w:val="91"/>
              </w:rPr>
              <w:t>Target value ranges by position</w:t>
            </w:r>
          </w:p>
        </w:tc>
        <w:tc>
          <w:tcPr>
            <w:tcW w:w="3460" w:type="dxa"/>
            <w:vAlign w:val="bottom"/>
            <w:shd w:val="clear" w:color="auto" w:fill="DBE5F1"/>
          </w:tcPr>
          <w:p>
            <w:pPr>
              <w:jc w:val="center"/>
              <w:ind w:left="478"/>
              <w:spacing w:after="0"/>
              <w:rPr>
                <w:sz w:val="20"/>
                <w:szCs w:val="20"/>
                <w:color w:val="auto"/>
              </w:rPr>
            </w:pPr>
            <w:r>
              <w:rPr>
                <w:rFonts w:ascii="Arial" w:cs="Arial" w:eastAsia="Arial" w:hAnsi="Arial"/>
                <w:sz w:val="16"/>
                <w:szCs w:val="16"/>
                <w:color w:val="auto"/>
                <w:w w:val="90"/>
              </w:rPr>
              <w:t>Target value ranges by position; actual</w:t>
            </w:r>
          </w:p>
        </w:tc>
        <w:tc>
          <w:tcPr>
            <w:tcW w:w="2960" w:type="dxa"/>
            <w:vAlign w:val="bottom"/>
            <w:vMerge w:val="restart"/>
            <w:shd w:val="clear" w:color="auto" w:fill="DBE5F1"/>
          </w:tcPr>
          <w:p>
            <w:pPr>
              <w:jc w:val="center"/>
              <w:spacing w:after="0"/>
              <w:rPr>
                <w:sz w:val="20"/>
                <w:szCs w:val="20"/>
                <w:color w:val="auto"/>
              </w:rPr>
            </w:pPr>
            <w:r>
              <w:rPr>
                <w:rFonts w:ascii="Arial" w:cs="Arial" w:eastAsia="Arial" w:hAnsi="Arial"/>
                <w:sz w:val="16"/>
                <w:szCs w:val="16"/>
                <w:color w:val="auto"/>
                <w:w w:val="91"/>
              </w:rPr>
              <w:t>Target value ranges by position</w:t>
            </w:r>
          </w:p>
        </w:tc>
        <w:tc>
          <w:tcPr>
            <w:tcW w:w="0" w:type="dxa"/>
            <w:vAlign w:val="bottom"/>
          </w:tcPr>
          <w:p>
            <w:pPr>
              <w:spacing w:after="0"/>
              <w:rPr>
                <w:sz w:val="1"/>
                <w:szCs w:val="1"/>
                <w:color w:val="auto"/>
              </w:rPr>
            </w:pPr>
          </w:p>
        </w:tc>
      </w:tr>
      <w:tr>
        <w:trPr>
          <w:trHeight w:val="98"/>
        </w:trPr>
        <w:tc>
          <w:tcPr>
            <w:tcW w:w="2420" w:type="dxa"/>
            <w:vAlign w:val="bottom"/>
            <w:vMerge w:val="continue"/>
            <w:shd w:val="clear" w:color="auto" w:fill="DBE5F1"/>
          </w:tcPr>
          <w:p>
            <w:pPr>
              <w:spacing w:after="0"/>
              <w:rPr>
                <w:sz w:val="8"/>
                <w:szCs w:val="8"/>
                <w:color w:val="auto"/>
              </w:rPr>
            </w:pPr>
          </w:p>
        </w:tc>
        <w:tc>
          <w:tcPr>
            <w:tcW w:w="2580" w:type="dxa"/>
            <w:vAlign w:val="bottom"/>
            <w:vMerge w:val="continue"/>
            <w:shd w:val="clear" w:color="auto" w:fill="DBE5F1"/>
          </w:tcPr>
          <w:p>
            <w:pPr>
              <w:spacing w:after="0"/>
              <w:rPr>
                <w:sz w:val="8"/>
                <w:szCs w:val="8"/>
                <w:color w:val="auto"/>
              </w:rPr>
            </w:pPr>
          </w:p>
        </w:tc>
        <w:tc>
          <w:tcPr>
            <w:tcW w:w="3460" w:type="dxa"/>
            <w:vAlign w:val="bottom"/>
            <w:vMerge w:val="restart"/>
            <w:shd w:val="clear" w:color="auto" w:fill="DBE5F1"/>
          </w:tcPr>
          <w:p>
            <w:pPr>
              <w:jc w:val="center"/>
              <w:ind w:left="498"/>
              <w:spacing w:after="0"/>
              <w:rPr>
                <w:sz w:val="20"/>
                <w:szCs w:val="20"/>
                <w:color w:val="auto"/>
              </w:rPr>
            </w:pPr>
            <w:r>
              <w:rPr>
                <w:rFonts w:ascii="Arial" w:cs="Arial" w:eastAsia="Arial" w:hAnsi="Arial"/>
                <w:sz w:val="16"/>
                <w:szCs w:val="16"/>
                <w:color w:val="auto"/>
                <w:w w:val="91"/>
              </w:rPr>
              <w:t>grant set by previous year’s performance</w:t>
            </w:r>
          </w:p>
        </w:tc>
        <w:tc>
          <w:tcPr>
            <w:tcW w:w="2960" w:type="dxa"/>
            <w:vAlign w:val="bottom"/>
            <w:vMerge w:val="continue"/>
            <w:shd w:val="clear" w:color="auto" w:fill="DBE5F1"/>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2420" w:type="dxa"/>
            <w:vAlign w:val="bottom"/>
            <w:shd w:val="clear" w:color="auto" w:fill="DBE5F1"/>
          </w:tcPr>
          <w:p>
            <w:pPr>
              <w:spacing w:after="0"/>
              <w:rPr>
                <w:sz w:val="9"/>
                <w:szCs w:val="9"/>
                <w:color w:val="auto"/>
              </w:rPr>
            </w:pPr>
          </w:p>
        </w:tc>
        <w:tc>
          <w:tcPr>
            <w:tcW w:w="2580" w:type="dxa"/>
            <w:vAlign w:val="bottom"/>
            <w:shd w:val="clear" w:color="auto" w:fill="DBE5F1"/>
          </w:tcPr>
          <w:p>
            <w:pPr>
              <w:spacing w:after="0"/>
              <w:rPr>
                <w:sz w:val="9"/>
                <w:szCs w:val="9"/>
                <w:color w:val="auto"/>
              </w:rPr>
            </w:pPr>
          </w:p>
        </w:tc>
        <w:tc>
          <w:tcPr>
            <w:tcW w:w="3460" w:type="dxa"/>
            <w:vAlign w:val="bottom"/>
            <w:vMerge w:val="continue"/>
            <w:shd w:val="clear" w:color="auto" w:fill="DBE5F1"/>
          </w:tcPr>
          <w:p>
            <w:pPr>
              <w:spacing w:after="0"/>
              <w:rPr>
                <w:sz w:val="9"/>
                <w:szCs w:val="9"/>
                <w:color w:val="auto"/>
              </w:rPr>
            </w:pPr>
          </w:p>
        </w:tc>
        <w:tc>
          <w:tcPr>
            <w:tcW w:w="2960" w:type="dxa"/>
            <w:vAlign w:val="bottom"/>
            <w:shd w:val="clear" w:color="auto" w:fill="DBE5F1"/>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2420" w:type="dxa"/>
            <w:vAlign w:val="bottom"/>
            <w:vMerge w:val="restart"/>
            <w:shd w:val="clear" w:color="auto" w:fill="DBE5F1"/>
          </w:tcPr>
          <w:p>
            <w:pPr>
              <w:ind w:left="180"/>
              <w:spacing w:after="0"/>
              <w:rPr>
                <w:sz w:val="20"/>
                <w:szCs w:val="20"/>
                <w:color w:val="auto"/>
              </w:rPr>
            </w:pPr>
            <w:r>
              <w:rPr>
                <w:rFonts w:ascii="Arial" w:cs="Arial" w:eastAsia="Arial" w:hAnsi="Arial"/>
                <w:sz w:val="16"/>
                <w:szCs w:val="16"/>
                <w:b w:val="1"/>
                <w:bCs w:val="1"/>
                <w:color w:val="auto"/>
                <w:w w:val="99"/>
              </w:rPr>
              <w:t>Vesting / Performance Period</w:t>
            </w:r>
          </w:p>
        </w:tc>
        <w:tc>
          <w:tcPr>
            <w:tcW w:w="2580" w:type="dxa"/>
            <w:vAlign w:val="bottom"/>
            <w:shd w:val="clear" w:color="auto" w:fill="DBE5F1"/>
          </w:tcPr>
          <w:p>
            <w:pPr>
              <w:spacing w:after="0"/>
              <w:rPr>
                <w:sz w:val="23"/>
                <w:szCs w:val="23"/>
                <w:color w:val="auto"/>
              </w:rPr>
            </w:pPr>
          </w:p>
        </w:tc>
        <w:tc>
          <w:tcPr>
            <w:tcW w:w="3460" w:type="dxa"/>
            <w:vAlign w:val="bottom"/>
            <w:vMerge w:val="restart"/>
            <w:shd w:val="clear" w:color="auto" w:fill="DBE5F1"/>
          </w:tcPr>
          <w:p>
            <w:pPr>
              <w:spacing w:after="0"/>
              <w:rPr>
                <w:sz w:val="20"/>
                <w:szCs w:val="20"/>
                <w:color w:val="auto"/>
              </w:rPr>
            </w:pPr>
            <w:r>
              <w:rPr>
                <w:rFonts w:ascii="Arial" w:cs="Arial" w:eastAsia="Arial" w:hAnsi="Arial"/>
                <w:sz w:val="16"/>
                <w:szCs w:val="16"/>
                <w:color w:val="auto"/>
              </w:rPr>
              <w:t>3-year vesting</w:t>
            </w:r>
          </w:p>
        </w:tc>
        <w:tc>
          <w:tcPr>
            <w:tcW w:w="2960" w:type="dxa"/>
            <w:vAlign w:val="bottom"/>
            <w:shd w:val="clear" w:color="auto" w:fill="DBE5F1"/>
          </w:tcPr>
          <w:p>
            <w:pPr>
              <w:jc w:val="center"/>
              <w:spacing w:after="0"/>
              <w:rPr>
                <w:sz w:val="20"/>
                <w:szCs w:val="20"/>
                <w:color w:val="auto"/>
              </w:rPr>
            </w:pPr>
            <w:r>
              <w:rPr>
                <w:rFonts w:ascii="Arial" w:cs="Arial" w:eastAsia="Arial" w:hAnsi="Arial"/>
                <w:sz w:val="16"/>
                <w:szCs w:val="16"/>
                <w:color w:val="auto"/>
                <w:w w:val="92"/>
              </w:rPr>
              <w:t>3-year performance cycle with vesting upon</w:t>
            </w:r>
          </w:p>
        </w:tc>
        <w:tc>
          <w:tcPr>
            <w:tcW w:w="0" w:type="dxa"/>
            <w:vAlign w:val="bottom"/>
          </w:tcPr>
          <w:p>
            <w:pPr>
              <w:spacing w:after="0"/>
              <w:rPr>
                <w:sz w:val="1"/>
                <w:szCs w:val="1"/>
                <w:color w:val="auto"/>
              </w:rPr>
            </w:pPr>
          </w:p>
        </w:tc>
      </w:tr>
      <w:tr>
        <w:trPr>
          <w:trHeight w:val="203"/>
        </w:trPr>
        <w:tc>
          <w:tcPr>
            <w:tcW w:w="2420" w:type="dxa"/>
            <w:vAlign w:val="bottom"/>
            <w:vMerge w:val="continue"/>
            <w:shd w:val="clear" w:color="auto" w:fill="DBE5F1"/>
          </w:tcPr>
          <w:p>
            <w:pPr>
              <w:spacing w:after="0"/>
              <w:rPr>
                <w:sz w:val="17"/>
                <w:szCs w:val="17"/>
                <w:color w:val="auto"/>
              </w:rPr>
            </w:pPr>
          </w:p>
        </w:tc>
        <w:tc>
          <w:tcPr>
            <w:tcW w:w="2580" w:type="dxa"/>
            <w:vAlign w:val="bottom"/>
            <w:shd w:val="clear" w:color="auto" w:fill="DBE5F1"/>
          </w:tcPr>
          <w:p>
            <w:pPr>
              <w:spacing w:after="0"/>
              <w:rPr>
                <w:sz w:val="17"/>
                <w:szCs w:val="17"/>
                <w:color w:val="auto"/>
              </w:rPr>
            </w:pPr>
          </w:p>
        </w:tc>
        <w:tc>
          <w:tcPr>
            <w:tcW w:w="3460" w:type="dxa"/>
            <w:vAlign w:val="bottom"/>
            <w:vMerge w:val="continue"/>
            <w:shd w:val="clear" w:color="auto" w:fill="DBE5F1"/>
          </w:tcPr>
          <w:p>
            <w:pPr>
              <w:spacing w:after="0"/>
              <w:rPr>
                <w:sz w:val="17"/>
                <w:szCs w:val="17"/>
                <w:color w:val="auto"/>
              </w:rPr>
            </w:pPr>
          </w:p>
        </w:tc>
        <w:tc>
          <w:tcPr>
            <w:tcW w:w="2960" w:type="dxa"/>
            <w:vAlign w:val="bottom"/>
            <w:shd w:val="clear" w:color="auto" w:fill="DBE5F1"/>
          </w:tcPr>
          <w:p>
            <w:pPr>
              <w:jc w:val="center"/>
              <w:spacing w:after="0"/>
              <w:rPr>
                <w:sz w:val="20"/>
                <w:szCs w:val="20"/>
                <w:color w:val="auto"/>
              </w:rPr>
            </w:pPr>
            <w:r>
              <w:rPr>
                <w:rFonts w:ascii="Arial" w:cs="Arial" w:eastAsia="Arial" w:hAnsi="Arial"/>
                <w:sz w:val="16"/>
                <w:szCs w:val="16"/>
                <w:color w:val="auto"/>
                <w:w w:val="91"/>
              </w:rPr>
              <w:t>achievement and Compensation Committee</w:t>
            </w:r>
          </w:p>
        </w:tc>
        <w:tc>
          <w:tcPr>
            <w:tcW w:w="0" w:type="dxa"/>
            <w:vAlign w:val="bottom"/>
          </w:tcPr>
          <w:p>
            <w:pPr>
              <w:spacing w:after="0"/>
              <w:rPr>
                <w:sz w:val="1"/>
                <w:szCs w:val="1"/>
                <w:color w:val="auto"/>
              </w:rPr>
            </w:pPr>
          </w:p>
        </w:tc>
      </w:tr>
      <w:tr>
        <w:trPr>
          <w:trHeight w:val="206"/>
        </w:trPr>
        <w:tc>
          <w:tcPr>
            <w:tcW w:w="2420" w:type="dxa"/>
            <w:vAlign w:val="bottom"/>
            <w:shd w:val="clear" w:color="auto" w:fill="DBE5F1"/>
          </w:tcPr>
          <w:p>
            <w:pPr>
              <w:spacing w:after="0"/>
              <w:rPr>
                <w:sz w:val="17"/>
                <w:szCs w:val="17"/>
                <w:color w:val="auto"/>
              </w:rPr>
            </w:pPr>
          </w:p>
        </w:tc>
        <w:tc>
          <w:tcPr>
            <w:tcW w:w="2580" w:type="dxa"/>
            <w:vAlign w:val="bottom"/>
            <w:shd w:val="clear" w:color="auto" w:fill="DBE5F1"/>
          </w:tcPr>
          <w:p>
            <w:pPr>
              <w:spacing w:after="0"/>
              <w:rPr>
                <w:sz w:val="17"/>
                <w:szCs w:val="17"/>
                <w:color w:val="auto"/>
              </w:rPr>
            </w:pPr>
          </w:p>
        </w:tc>
        <w:tc>
          <w:tcPr>
            <w:tcW w:w="3460" w:type="dxa"/>
            <w:vAlign w:val="bottom"/>
            <w:shd w:val="clear" w:color="auto" w:fill="DBE5F1"/>
          </w:tcPr>
          <w:p>
            <w:pPr>
              <w:spacing w:after="0"/>
              <w:rPr>
                <w:sz w:val="17"/>
                <w:szCs w:val="17"/>
                <w:color w:val="auto"/>
              </w:rPr>
            </w:pPr>
          </w:p>
        </w:tc>
        <w:tc>
          <w:tcPr>
            <w:tcW w:w="2960" w:type="dxa"/>
            <w:vAlign w:val="bottom"/>
            <w:shd w:val="clear" w:color="auto" w:fill="DBE5F1"/>
          </w:tcPr>
          <w:p>
            <w:pPr>
              <w:jc w:val="center"/>
              <w:spacing w:after="0"/>
              <w:rPr>
                <w:sz w:val="20"/>
                <w:szCs w:val="20"/>
                <w:color w:val="auto"/>
              </w:rPr>
            </w:pPr>
            <w:r>
              <w:rPr>
                <w:rFonts w:ascii="Arial" w:cs="Arial" w:eastAsia="Arial" w:hAnsi="Arial"/>
                <w:sz w:val="16"/>
                <w:szCs w:val="16"/>
                <w:color w:val="auto"/>
                <w:w w:val="96"/>
              </w:rPr>
              <w:t>certification</w:t>
            </w:r>
          </w:p>
        </w:tc>
        <w:tc>
          <w:tcPr>
            <w:tcW w:w="0" w:type="dxa"/>
            <w:vAlign w:val="bottom"/>
          </w:tcPr>
          <w:p>
            <w:pPr>
              <w:spacing w:after="0"/>
              <w:rPr>
                <w:sz w:val="1"/>
                <w:szCs w:val="1"/>
                <w:color w:val="auto"/>
              </w:rPr>
            </w:pPr>
          </w:p>
        </w:tc>
      </w:tr>
      <w:tr>
        <w:trPr>
          <w:trHeight w:val="266"/>
        </w:trPr>
        <w:tc>
          <w:tcPr>
            <w:tcW w:w="2420" w:type="dxa"/>
            <w:vAlign w:val="bottom"/>
            <w:vMerge w:val="restart"/>
            <w:shd w:val="clear" w:color="auto" w:fill="DBE5F1"/>
          </w:tcPr>
          <w:p>
            <w:pPr>
              <w:ind w:left="180"/>
              <w:spacing w:after="0"/>
              <w:rPr>
                <w:sz w:val="20"/>
                <w:szCs w:val="20"/>
                <w:color w:val="auto"/>
              </w:rPr>
            </w:pPr>
            <w:r>
              <w:rPr>
                <w:rFonts w:ascii="Arial" w:cs="Arial" w:eastAsia="Arial" w:hAnsi="Arial"/>
                <w:sz w:val="16"/>
                <w:szCs w:val="16"/>
                <w:b w:val="1"/>
                <w:bCs w:val="1"/>
                <w:color w:val="auto"/>
              </w:rPr>
              <w:t>Performance Goals</w:t>
            </w:r>
          </w:p>
        </w:tc>
        <w:tc>
          <w:tcPr>
            <w:tcW w:w="2580" w:type="dxa"/>
            <w:vAlign w:val="bottom"/>
            <w:vMerge w:val="restart"/>
            <w:shd w:val="clear" w:color="auto" w:fill="DBE5F1"/>
          </w:tcPr>
          <w:p>
            <w:pPr>
              <w:jc w:val="center"/>
              <w:ind w:left="457"/>
              <w:spacing w:after="0"/>
              <w:rPr>
                <w:sz w:val="20"/>
                <w:szCs w:val="20"/>
                <w:color w:val="auto"/>
              </w:rPr>
            </w:pPr>
            <w:r>
              <w:rPr>
                <w:rFonts w:ascii="Arial" w:cs="Arial" w:eastAsia="Arial" w:hAnsi="Arial"/>
                <w:sz w:val="16"/>
                <w:szCs w:val="16"/>
                <w:color w:val="auto"/>
              </w:rPr>
              <w:t>N/A</w:t>
            </w:r>
          </w:p>
        </w:tc>
        <w:tc>
          <w:tcPr>
            <w:tcW w:w="3460" w:type="dxa"/>
            <w:vAlign w:val="bottom"/>
            <w:shd w:val="clear" w:color="auto" w:fill="DBE5F1"/>
          </w:tcPr>
          <w:p>
            <w:pPr>
              <w:jc w:val="center"/>
              <w:ind w:left="498"/>
              <w:spacing w:after="0"/>
              <w:rPr>
                <w:sz w:val="20"/>
                <w:szCs w:val="20"/>
                <w:color w:val="auto"/>
              </w:rPr>
            </w:pPr>
            <w:r>
              <w:rPr>
                <w:rFonts w:ascii="Arial" w:cs="Arial" w:eastAsia="Arial" w:hAnsi="Arial"/>
                <w:sz w:val="16"/>
                <w:szCs w:val="16"/>
                <w:color w:val="auto"/>
                <w:w w:val="96"/>
              </w:rPr>
              <w:t>Non-GAAP net income for prior fiscal</w:t>
            </w:r>
          </w:p>
        </w:tc>
        <w:tc>
          <w:tcPr>
            <w:tcW w:w="2960" w:type="dxa"/>
            <w:vAlign w:val="bottom"/>
            <w:shd w:val="clear" w:color="auto" w:fill="DBE5F1"/>
          </w:tcPr>
          <w:p>
            <w:pPr>
              <w:jc w:val="center"/>
              <w:spacing w:after="0"/>
              <w:rPr>
                <w:sz w:val="20"/>
                <w:szCs w:val="20"/>
                <w:color w:val="auto"/>
              </w:rPr>
            </w:pPr>
            <w:r>
              <w:rPr>
                <w:rFonts w:ascii="Arial" w:cs="Arial" w:eastAsia="Arial" w:hAnsi="Arial"/>
                <w:sz w:val="16"/>
                <w:szCs w:val="16"/>
                <w:color w:val="auto"/>
                <w:w w:val="94"/>
              </w:rPr>
              <w:t>Multi-year goals - 3-year cumulative</w:t>
            </w:r>
          </w:p>
        </w:tc>
        <w:tc>
          <w:tcPr>
            <w:tcW w:w="0" w:type="dxa"/>
            <w:vAlign w:val="bottom"/>
          </w:tcPr>
          <w:p>
            <w:pPr>
              <w:spacing w:after="0"/>
              <w:rPr>
                <w:sz w:val="1"/>
                <w:szCs w:val="1"/>
                <w:color w:val="auto"/>
              </w:rPr>
            </w:pPr>
          </w:p>
        </w:tc>
      </w:tr>
      <w:tr>
        <w:trPr>
          <w:trHeight w:val="203"/>
        </w:trPr>
        <w:tc>
          <w:tcPr>
            <w:tcW w:w="2420" w:type="dxa"/>
            <w:vAlign w:val="bottom"/>
            <w:vMerge w:val="continue"/>
            <w:shd w:val="clear" w:color="auto" w:fill="DBE5F1"/>
          </w:tcPr>
          <w:p>
            <w:pPr>
              <w:spacing w:after="0"/>
              <w:rPr>
                <w:sz w:val="17"/>
                <w:szCs w:val="17"/>
                <w:color w:val="auto"/>
              </w:rPr>
            </w:pPr>
          </w:p>
        </w:tc>
        <w:tc>
          <w:tcPr>
            <w:tcW w:w="2580" w:type="dxa"/>
            <w:vAlign w:val="bottom"/>
            <w:vMerge w:val="continue"/>
            <w:shd w:val="clear" w:color="auto" w:fill="DBE5F1"/>
          </w:tcPr>
          <w:p>
            <w:pPr>
              <w:spacing w:after="0"/>
              <w:rPr>
                <w:sz w:val="17"/>
                <w:szCs w:val="17"/>
                <w:color w:val="auto"/>
              </w:rPr>
            </w:pPr>
          </w:p>
        </w:tc>
        <w:tc>
          <w:tcPr>
            <w:tcW w:w="3460" w:type="dxa"/>
            <w:vAlign w:val="bottom"/>
            <w:shd w:val="clear" w:color="auto" w:fill="DBE5F1"/>
          </w:tcPr>
          <w:p>
            <w:pPr>
              <w:jc w:val="center"/>
              <w:ind w:left="498"/>
              <w:spacing w:after="0"/>
              <w:rPr>
                <w:sz w:val="20"/>
                <w:szCs w:val="20"/>
                <w:color w:val="auto"/>
              </w:rPr>
            </w:pPr>
            <w:r>
              <w:rPr>
                <w:rFonts w:ascii="Arial" w:cs="Arial" w:eastAsia="Arial" w:hAnsi="Arial"/>
                <w:sz w:val="16"/>
                <w:szCs w:val="16"/>
                <w:color w:val="auto"/>
                <w:w w:val="92"/>
              </w:rPr>
              <w:t>year; performance scale up to maximum of</w:t>
            </w:r>
          </w:p>
        </w:tc>
        <w:tc>
          <w:tcPr>
            <w:tcW w:w="2960" w:type="dxa"/>
            <w:vAlign w:val="bottom"/>
            <w:shd w:val="clear" w:color="auto" w:fill="DBE5F1"/>
          </w:tcPr>
          <w:p>
            <w:pPr>
              <w:jc w:val="center"/>
              <w:spacing w:after="0"/>
              <w:rPr>
                <w:sz w:val="20"/>
                <w:szCs w:val="20"/>
                <w:color w:val="auto"/>
              </w:rPr>
            </w:pPr>
            <w:r>
              <w:rPr>
                <w:rFonts w:ascii="Arial" w:cs="Arial" w:eastAsia="Arial" w:hAnsi="Arial"/>
                <w:sz w:val="16"/>
                <w:szCs w:val="16"/>
                <w:color w:val="auto"/>
                <w:w w:val="92"/>
              </w:rPr>
              <w:t>revenue, plus relative total stockholder</w:t>
            </w:r>
          </w:p>
        </w:tc>
        <w:tc>
          <w:tcPr>
            <w:tcW w:w="0" w:type="dxa"/>
            <w:vAlign w:val="bottom"/>
          </w:tcPr>
          <w:p>
            <w:pPr>
              <w:spacing w:after="0"/>
              <w:rPr>
                <w:sz w:val="1"/>
                <w:szCs w:val="1"/>
                <w:color w:val="auto"/>
              </w:rPr>
            </w:pPr>
          </w:p>
        </w:tc>
      </w:tr>
      <w:tr>
        <w:trPr>
          <w:trHeight w:val="206"/>
        </w:trPr>
        <w:tc>
          <w:tcPr>
            <w:tcW w:w="2420" w:type="dxa"/>
            <w:vAlign w:val="bottom"/>
            <w:shd w:val="clear" w:color="auto" w:fill="DBE5F1"/>
          </w:tcPr>
          <w:p>
            <w:pPr>
              <w:spacing w:after="0"/>
              <w:rPr>
                <w:sz w:val="17"/>
                <w:szCs w:val="17"/>
                <w:color w:val="auto"/>
              </w:rPr>
            </w:pPr>
          </w:p>
        </w:tc>
        <w:tc>
          <w:tcPr>
            <w:tcW w:w="2580" w:type="dxa"/>
            <w:vAlign w:val="bottom"/>
            <w:shd w:val="clear" w:color="auto" w:fill="DBE5F1"/>
          </w:tcPr>
          <w:p>
            <w:pPr>
              <w:spacing w:after="0"/>
              <w:rPr>
                <w:sz w:val="17"/>
                <w:szCs w:val="17"/>
                <w:color w:val="auto"/>
              </w:rPr>
            </w:pPr>
          </w:p>
        </w:tc>
        <w:tc>
          <w:tcPr>
            <w:tcW w:w="3460" w:type="dxa"/>
            <w:vAlign w:val="bottom"/>
            <w:shd w:val="clear" w:color="auto" w:fill="DBE5F1"/>
          </w:tcPr>
          <w:p>
            <w:pPr>
              <w:jc w:val="right"/>
              <w:ind w:right="1178"/>
              <w:spacing w:after="0"/>
              <w:rPr>
                <w:sz w:val="20"/>
                <w:szCs w:val="20"/>
                <w:color w:val="auto"/>
              </w:rPr>
            </w:pPr>
            <w:r>
              <w:rPr>
                <w:rFonts w:ascii="Arial" w:cs="Arial" w:eastAsia="Arial" w:hAnsi="Arial"/>
                <w:sz w:val="16"/>
                <w:szCs w:val="16"/>
                <w:color w:val="auto"/>
              </w:rPr>
              <w:t>200%</w:t>
            </w:r>
          </w:p>
        </w:tc>
        <w:tc>
          <w:tcPr>
            <w:tcW w:w="2960" w:type="dxa"/>
            <w:vAlign w:val="bottom"/>
            <w:shd w:val="clear" w:color="auto" w:fill="DBE5F1"/>
          </w:tcPr>
          <w:p>
            <w:pPr>
              <w:jc w:val="center"/>
              <w:spacing w:after="0"/>
              <w:rPr>
                <w:sz w:val="20"/>
                <w:szCs w:val="20"/>
                <w:color w:val="auto"/>
              </w:rPr>
            </w:pPr>
            <w:r>
              <w:rPr>
                <w:rFonts w:ascii="Arial" w:cs="Arial" w:eastAsia="Arial" w:hAnsi="Arial"/>
                <w:sz w:val="16"/>
                <w:szCs w:val="16"/>
                <w:color w:val="auto"/>
                <w:w w:val="95"/>
              </w:rPr>
              <w:t>return kicker (+/- 20% payout modifier)</w:t>
            </w:r>
          </w:p>
        </w:tc>
        <w:tc>
          <w:tcPr>
            <w:tcW w:w="0" w:type="dxa"/>
            <w:vAlign w:val="bottom"/>
          </w:tcPr>
          <w:p>
            <w:pPr>
              <w:spacing w:after="0"/>
              <w:rPr>
                <w:sz w:val="1"/>
                <w:szCs w:val="1"/>
                <w:color w:val="auto"/>
              </w:rPr>
            </w:pPr>
          </w:p>
        </w:tc>
      </w:tr>
      <w:tr>
        <w:trPr>
          <w:trHeight w:val="33"/>
        </w:trPr>
        <w:tc>
          <w:tcPr>
            <w:tcW w:w="2420" w:type="dxa"/>
            <w:vAlign w:val="bottom"/>
            <w:shd w:val="clear" w:color="auto" w:fill="DBE5F1"/>
          </w:tcPr>
          <w:p>
            <w:pPr>
              <w:spacing w:after="0"/>
              <w:rPr>
                <w:sz w:val="2"/>
                <w:szCs w:val="2"/>
                <w:color w:val="auto"/>
              </w:rPr>
            </w:pPr>
          </w:p>
        </w:tc>
        <w:tc>
          <w:tcPr>
            <w:tcW w:w="2580" w:type="dxa"/>
            <w:vAlign w:val="bottom"/>
            <w:shd w:val="clear" w:color="auto" w:fill="DBE5F1"/>
          </w:tcPr>
          <w:p>
            <w:pPr>
              <w:spacing w:after="0"/>
              <w:rPr>
                <w:sz w:val="2"/>
                <w:szCs w:val="2"/>
                <w:color w:val="auto"/>
              </w:rPr>
            </w:pPr>
          </w:p>
        </w:tc>
        <w:tc>
          <w:tcPr>
            <w:tcW w:w="3460" w:type="dxa"/>
            <w:vAlign w:val="bottom"/>
            <w:shd w:val="clear" w:color="auto" w:fill="DBE5F1"/>
          </w:tcPr>
          <w:p>
            <w:pPr>
              <w:spacing w:after="0"/>
              <w:rPr>
                <w:sz w:val="2"/>
                <w:szCs w:val="2"/>
                <w:color w:val="auto"/>
              </w:rPr>
            </w:pPr>
          </w:p>
        </w:tc>
        <w:tc>
          <w:tcPr>
            <w:tcW w:w="2960" w:type="dxa"/>
            <w:vAlign w:val="bottom"/>
            <w:shd w:val="clear" w:color="auto" w:fill="DBE5F1"/>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To illustrate performance periods and grant timing, we have provided an overview: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109220</wp:posOffset>
            </wp:positionV>
            <wp:extent cx="5334000" cy="316420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334000" cy="31642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20"/>
          </w:cols>
          <w:pgMar w:left="240" w:top="364" w:right="239" w:bottom="1440" w:gutter="0" w:footer="0" w:header="0"/>
        </w:sectPr>
      </w:pPr>
    </w:p>
    <w:bookmarkStart w:id="65" w:name="page66"/>
    <w:bookmarkEnd w:id="65"/>
    <w:p>
      <w:pPr>
        <w:spacing w:after="0"/>
        <w:rPr>
          <w:sz w:val="20"/>
          <w:szCs w:val="20"/>
          <w:color w:val="auto"/>
        </w:rPr>
      </w:pPr>
      <w:r>
        <w:rPr>
          <w:rFonts w:ascii="Arial" w:cs="Arial" w:eastAsia="Arial" w:hAnsi="Arial"/>
          <w:sz w:val="20"/>
          <w:szCs w:val="20"/>
          <w:b w:val="1"/>
          <w:bCs w:val="1"/>
          <w:color w:val="auto"/>
        </w:rPr>
        <w:t>Target Equity Incentive Awards Granted in 2015</w:t>
      </w:r>
    </w:p>
    <w:p>
      <w:pPr>
        <w:spacing w:after="0" w:line="116" w:lineRule="exact"/>
        <w:rPr>
          <w:sz w:val="20"/>
          <w:szCs w:val="20"/>
          <w:color w:val="auto"/>
        </w:rPr>
      </w:pPr>
    </w:p>
    <w:p>
      <w:pPr>
        <w:jc w:val="both"/>
        <w:spacing w:after="0" w:line="260" w:lineRule="auto"/>
        <w:rPr>
          <w:sz w:val="20"/>
          <w:szCs w:val="20"/>
          <w:color w:val="auto"/>
        </w:rPr>
      </w:pPr>
      <w:r>
        <w:rPr>
          <w:rFonts w:ascii="Arial" w:cs="Arial" w:eastAsia="Arial" w:hAnsi="Arial"/>
          <w:sz w:val="17"/>
          <w:szCs w:val="17"/>
          <w:color w:val="auto"/>
        </w:rPr>
        <w:t>After review of the executive compensation program in early 2015, the Company’s goals (including linking executive incentives with long-term stockholder value), peer data (where available), previous equity awards to the respective named executive officers, the total mix of compensation for each individual, individual performance and internal pay equity and competitive considerations, with respect to their long-term equity incentives, the Committee determined to increase target award values for Mr. Florance and Mr. Radecki, adjust Mr. Carchedi’s target award value slightly downward to account for internal pay equity while keeping Mr. Carchedi’s total compensation within the competitive range, and set Mr. Linnington’s target award value. Mr. Florance’s and Mr. Radecki’s target award values were increased by approximately 12% and 47%, respectively, in recognition of their responsibilities and performance. Further, the Committee considered the fact that with respect to long-term incentives, the peer data and the survey data in the Willis Towers Watson study were noted to have significant discrepancies, which is believed to be due to the fact the Company’s peer group consists of high-growth, technology companies, whereas the survey companies are generally at a mature stage in their business cycle. The target award values for the peer group were significantly higher than the values from the survey data. As such, the Committee weighed the peer data more heavily when determining the target award values, as that was deemed to be more reflective of the Company’s market position. The target award values for Messrs. Florance, Radecki and Carchedi fall between the 50</w:t>
      </w:r>
      <w:r>
        <w:rPr>
          <w:rFonts w:ascii="Arial" w:cs="Arial" w:eastAsia="Arial" w:hAnsi="Arial"/>
          <w:sz w:val="24"/>
          <w:szCs w:val="24"/>
          <w:color w:val="auto"/>
          <w:vertAlign w:val="superscript"/>
        </w:rPr>
        <w:t>th</w:t>
      </w:r>
      <w:r>
        <w:rPr>
          <w:rFonts w:ascii="Arial" w:cs="Arial" w:eastAsia="Arial" w:hAnsi="Arial"/>
          <w:sz w:val="17"/>
          <w:szCs w:val="17"/>
          <w:color w:val="auto"/>
        </w:rPr>
        <w:t xml:space="preserve"> and 75</w:t>
      </w:r>
      <w:r>
        <w:rPr>
          <w:rFonts w:ascii="Arial" w:cs="Arial" w:eastAsia="Arial" w:hAnsi="Arial"/>
          <w:sz w:val="24"/>
          <w:szCs w:val="24"/>
          <w:color w:val="auto"/>
          <w:vertAlign w:val="superscript"/>
        </w:rPr>
        <w:t>th</w:t>
      </w:r>
      <w:r>
        <w:rPr>
          <w:rFonts w:ascii="Arial" w:cs="Arial" w:eastAsia="Arial" w:hAnsi="Arial"/>
          <w:sz w:val="17"/>
          <w:szCs w:val="17"/>
          <w:color w:val="auto"/>
        </w:rPr>
        <w:t xml:space="preserve"> percentile of the blended market data. Mr. Linnington’s target award value falls below the median levels of blended market data and was determined after taking into account Mr. Linnington’s previous equity grant (which was set higher than the median level of blended market data at the time as an incentive for him to accept the Company’s offer of employment), his total mix of compensation and internal pay equity considerations. Mr. Yinger did not participate in the executive long-term equity incentive program.</w:t>
      </w:r>
    </w:p>
    <w:p>
      <w:pPr>
        <w:spacing w:after="0" w:line="194"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Based on prior discussions with representative stockholders and prior recommendations received from Willis Towers Watson, the equity program approved by the Committee sets target award values made up of 40% options subject to a three-year vesting term, 40% annual performance-based restricted stock granted based on achievement of annual financial performance objectives and subject to a three-year vesting term, and 20% performance-based restricted stock subject to vesting based on a three-year pre-determined performance objective and adjustment based on achievement of total stockholder return relative to TSR of companies within the Russell 1000. In early 2014, the Committee approved non-GAAP net income included in the Company’s 2014 Operating Plan as the Company-wide financial goal for the annual performance-based restricted stock awards to be granted in 2015. The Committee determined that non-GAAP net income is a relevant measure of the Company’s financial performance and of stockholder value, and use of the metric avoids potential for duplicative payouts under the Company’s cash incentive program to the named executive officers for the same areas of performance. Non-GAAP net income is our GAAP-basis net income (loss) before stock-based compensation expense, acquisition- and integration-related costs, purchase accounting adjustments, restructuring charges and related costs, and settlement and impairment costs as well as purchase amortization and other related costs and an assumed provision for income taxes. Adjustments made with respect to 2014 non-GAAP net income are identified in the reconciliation of non-GAAP net income to its GAAP-basis result in Exhibit 99.1 to the Company’s Current Report on Form 8-K filed with the Commission on February 26, 2015.</w:t>
      </w:r>
    </w:p>
    <w:p>
      <w:pPr>
        <w:spacing w:after="0" w:line="169"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Once the achievement level of the performance target for the annual restricted stock grant and the total amount of that award for each named executive officer has been determined by the Committee, the number of shares of restricted stock actually granted to a named executive officer is determined using the fourth quarter average daily closing price of the Company’s common stock and rounding up to the nearest 100 shares and approved by the Committee. The annual performance-based restricted stock awards vest in equal installments on the first three anniversaries of the date of grant. Similarly, the number of shares of restricted stock granted to a named executive officer with respect to the multi-year performance grant, subject to vesting, is similarly determined using the fourth quarter average daily closing price of the Company’s common stock and rounding up to the nearest 100 shares, as described further under “2015 Multi-Year Performance Shares” below. The grant date of the annual performance-based restricted stock awards and the multi-year performance restricted stock awards is the date that the Committee approves the grants. These awards are granted under our 2007 Plan. Grants of performance-based restricted stock are accounted for using the fair market value of such stock on the date of grant.</w:t>
      </w:r>
    </w:p>
    <w:p>
      <w:pPr>
        <w:spacing w:after="0" w:line="18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Committee supplements the named executive officers’ annual restricted stock awards with an annual award of stock options. Annual option grants are also based on the target award values determined as of the date of grant and vest pro rata over three years. The value actually awarded to each named executive officer is converted to the number of options based on Willis Towers Watson’s assessed value per option calculated using the Black-Scholes model, and is updated annually. The exercise price for each option is equal to the closing price of the Company’s common stock on the date of grant, which is the date of approval by the Committee.</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20"/>
          </w:cols>
          <w:pgMar w:left="240" w:top="387" w:right="239" w:bottom="1440" w:gutter="0" w:footer="0" w:header="0"/>
        </w:sectPr>
      </w:pPr>
    </w:p>
    <w:bookmarkStart w:id="66" w:name="page67"/>
    <w:bookmarkEnd w:id="66"/>
    <w:p>
      <w:pPr>
        <w:jc w:val="both"/>
        <w:spacing w:after="0" w:line="308" w:lineRule="auto"/>
        <w:rPr>
          <w:sz w:val="20"/>
          <w:szCs w:val="20"/>
          <w:color w:val="auto"/>
        </w:rPr>
      </w:pPr>
      <w:r>
        <w:rPr>
          <w:rFonts w:ascii="Arial" w:cs="Arial" w:eastAsia="Arial" w:hAnsi="Arial"/>
          <w:sz w:val="17"/>
          <w:szCs w:val="17"/>
          <w:color w:val="auto"/>
        </w:rPr>
        <w:t>The Committee approved the following target award values for the annual equity compensation awards, including the performance-based restricted stock awards granted in 2015 for 2014 performance and the annual stock option and multi-year performance restricted stock awards granted in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50800</wp:posOffset>
            </wp:positionV>
            <wp:extent cx="7254875" cy="225552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4875" cy="2255520"/>
                    </a:xfrm>
                    <a:prstGeom prst="rect">
                      <a:avLst/>
                    </a:prstGeom>
                    <a:noFill/>
                  </pic:spPr>
                </pic:pic>
              </a:graphicData>
            </a:graphic>
          </wp:anchor>
        </w:drawing>
      </w:r>
    </w:p>
    <w:p>
      <w:pPr>
        <w:spacing w:after="0" w:line="6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960" w:type="dxa"/>
            <w:vAlign w:val="bottom"/>
            <w:shd w:val="clear" w:color="auto" w:fill="B8CCE4"/>
          </w:tcPr>
          <w:p>
            <w:pPr>
              <w:spacing w:after="0"/>
              <w:rPr>
                <w:sz w:val="20"/>
                <w:szCs w:val="20"/>
                <w:color w:val="auto"/>
              </w:rPr>
            </w:pPr>
          </w:p>
        </w:tc>
        <w:tc>
          <w:tcPr>
            <w:tcW w:w="2400" w:type="dxa"/>
            <w:vAlign w:val="bottom"/>
            <w:shd w:val="clear" w:color="auto" w:fill="B8CCE4"/>
          </w:tcPr>
          <w:p>
            <w:pPr>
              <w:spacing w:after="0"/>
              <w:rPr>
                <w:sz w:val="20"/>
                <w:szCs w:val="20"/>
                <w:color w:val="auto"/>
              </w:rPr>
            </w:pPr>
          </w:p>
        </w:tc>
        <w:tc>
          <w:tcPr>
            <w:tcW w:w="1820" w:type="dxa"/>
            <w:vAlign w:val="bottom"/>
            <w:shd w:val="clear" w:color="auto" w:fill="B8CCE4"/>
          </w:tcPr>
          <w:p>
            <w:pPr>
              <w:spacing w:after="0"/>
              <w:rPr>
                <w:sz w:val="20"/>
                <w:szCs w:val="20"/>
                <w:color w:val="auto"/>
              </w:rPr>
            </w:pPr>
          </w:p>
        </w:tc>
        <w:tc>
          <w:tcPr>
            <w:tcW w:w="1820" w:type="dxa"/>
            <w:vAlign w:val="bottom"/>
            <w:shd w:val="clear" w:color="auto" w:fill="B8CCE4"/>
          </w:tcPr>
          <w:p>
            <w:pPr>
              <w:jc w:val="center"/>
              <w:spacing w:after="0"/>
              <w:rPr>
                <w:sz w:val="20"/>
                <w:szCs w:val="20"/>
                <w:color w:val="auto"/>
              </w:rPr>
            </w:pPr>
            <w:r>
              <w:rPr>
                <w:rFonts w:ascii="Arial" w:cs="Arial" w:eastAsia="Arial" w:hAnsi="Arial"/>
                <w:sz w:val="18"/>
                <w:szCs w:val="18"/>
                <w:b w:val="1"/>
                <w:bCs w:val="1"/>
                <w:color w:val="auto"/>
                <w:w w:val="92"/>
              </w:rPr>
              <w:t>Annual Performance-</w:t>
            </w:r>
          </w:p>
        </w:tc>
        <w:tc>
          <w:tcPr>
            <w:tcW w:w="1620" w:type="dxa"/>
            <w:vAlign w:val="bottom"/>
            <w:shd w:val="clear" w:color="auto" w:fill="B8CCE4"/>
          </w:tcPr>
          <w:p>
            <w:pPr>
              <w:jc w:val="center"/>
              <w:spacing w:after="0"/>
              <w:rPr>
                <w:sz w:val="20"/>
                <w:szCs w:val="20"/>
                <w:color w:val="auto"/>
              </w:rPr>
            </w:pPr>
            <w:r>
              <w:rPr>
                <w:rFonts w:ascii="Arial" w:cs="Arial" w:eastAsia="Arial" w:hAnsi="Arial"/>
                <w:sz w:val="18"/>
                <w:szCs w:val="18"/>
                <w:b w:val="1"/>
                <w:bCs w:val="1"/>
                <w:color w:val="auto"/>
                <w:w w:val="94"/>
              </w:rPr>
              <w:t>3-year</w:t>
            </w:r>
          </w:p>
        </w:tc>
        <w:tc>
          <w:tcPr>
            <w:tcW w:w="1800" w:type="dxa"/>
            <w:vAlign w:val="bottom"/>
            <w:shd w:val="clear" w:color="auto" w:fill="B8CCE4"/>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960" w:type="dxa"/>
            <w:vAlign w:val="bottom"/>
            <w:vMerge w:val="restart"/>
            <w:shd w:val="clear" w:color="auto" w:fill="B8CCE4"/>
          </w:tcPr>
          <w:p>
            <w:pPr>
              <w:ind w:left="180"/>
              <w:spacing w:after="0"/>
              <w:rPr>
                <w:sz w:val="20"/>
                <w:szCs w:val="20"/>
                <w:color w:val="auto"/>
              </w:rPr>
            </w:pPr>
            <w:r>
              <w:rPr>
                <w:rFonts w:ascii="Arial" w:cs="Arial" w:eastAsia="Arial" w:hAnsi="Arial"/>
                <w:sz w:val="18"/>
                <w:szCs w:val="18"/>
                <w:b w:val="1"/>
                <w:bCs w:val="1"/>
                <w:color w:val="auto"/>
              </w:rPr>
              <w:t>Name</w:t>
            </w:r>
          </w:p>
        </w:tc>
        <w:tc>
          <w:tcPr>
            <w:tcW w:w="2400" w:type="dxa"/>
            <w:vAlign w:val="bottom"/>
            <w:vMerge w:val="restart"/>
            <w:shd w:val="clear" w:color="auto" w:fill="B8CCE4"/>
          </w:tcPr>
          <w:p>
            <w:pPr>
              <w:ind w:left="160"/>
              <w:spacing w:after="0"/>
              <w:rPr>
                <w:sz w:val="20"/>
                <w:szCs w:val="20"/>
                <w:color w:val="auto"/>
              </w:rPr>
            </w:pPr>
            <w:r>
              <w:rPr>
                <w:rFonts w:ascii="Arial" w:cs="Arial" w:eastAsia="Arial" w:hAnsi="Arial"/>
                <w:sz w:val="18"/>
                <w:szCs w:val="18"/>
                <w:b w:val="1"/>
                <w:bCs w:val="1"/>
                <w:color w:val="auto"/>
              </w:rPr>
              <w:t>Title</w:t>
            </w:r>
          </w:p>
        </w:tc>
        <w:tc>
          <w:tcPr>
            <w:tcW w:w="1820" w:type="dxa"/>
            <w:vAlign w:val="bottom"/>
            <w:shd w:val="clear" w:color="auto" w:fill="B8CCE4"/>
          </w:tcPr>
          <w:p>
            <w:pPr>
              <w:jc w:val="center"/>
              <w:spacing w:after="0"/>
              <w:rPr>
                <w:sz w:val="20"/>
                <w:szCs w:val="20"/>
                <w:color w:val="auto"/>
              </w:rPr>
            </w:pPr>
            <w:r>
              <w:rPr>
                <w:rFonts w:ascii="Arial" w:cs="Arial" w:eastAsia="Arial" w:hAnsi="Arial"/>
                <w:sz w:val="18"/>
                <w:szCs w:val="18"/>
                <w:b w:val="1"/>
                <w:bCs w:val="1"/>
                <w:color w:val="auto"/>
                <w:w w:val="93"/>
              </w:rPr>
              <w:t>Annual Option</w:t>
            </w:r>
          </w:p>
        </w:tc>
        <w:tc>
          <w:tcPr>
            <w:tcW w:w="1820" w:type="dxa"/>
            <w:vAlign w:val="bottom"/>
            <w:shd w:val="clear" w:color="auto" w:fill="B8CCE4"/>
          </w:tcPr>
          <w:p>
            <w:pPr>
              <w:jc w:val="center"/>
              <w:spacing w:after="0"/>
              <w:rPr>
                <w:sz w:val="20"/>
                <w:szCs w:val="20"/>
                <w:color w:val="auto"/>
              </w:rPr>
            </w:pPr>
            <w:r>
              <w:rPr>
                <w:rFonts w:ascii="Arial" w:cs="Arial" w:eastAsia="Arial" w:hAnsi="Arial"/>
                <w:sz w:val="18"/>
                <w:szCs w:val="18"/>
                <w:b w:val="1"/>
                <w:bCs w:val="1"/>
                <w:color w:val="auto"/>
                <w:w w:val="87"/>
              </w:rPr>
              <w:t>Based Restricted</w:t>
            </w:r>
          </w:p>
        </w:tc>
        <w:tc>
          <w:tcPr>
            <w:tcW w:w="1620" w:type="dxa"/>
            <w:vAlign w:val="bottom"/>
            <w:shd w:val="clear" w:color="auto" w:fill="B8CCE4"/>
          </w:tcPr>
          <w:p>
            <w:pPr>
              <w:jc w:val="center"/>
              <w:spacing w:after="0"/>
              <w:rPr>
                <w:sz w:val="20"/>
                <w:szCs w:val="20"/>
                <w:color w:val="auto"/>
              </w:rPr>
            </w:pPr>
            <w:r>
              <w:rPr>
                <w:rFonts w:ascii="Arial" w:cs="Arial" w:eastAsia="Arial" w:hAnsi="Arial"/>
                <w:sz w:val="18"/>
                <w:szCs w:val="18"/>
                <w:b w:val="1"/>
                <w:bCs w:val="1"/>
                <w:color w:val="auto"/>
                <w:w w:val="90"/>
              </w:rPr>
              <w:t>Performance Stock</w:t>
            </w:r>
          </w:p>
        </w:tc>
        <w:tc>
          <w:tcPr>
            <w:tcW w:w="1800" w:type="dxa"/>
            <w:vAlign w:val="bottom"/>
            <w:shd w:val="clear" w:color="auto" w:fill="B8CCE4"/>
          </w:tcPr>
          <w:p>
            <w:pPr>
              <w:jc w:val="center"/>
              <w:spacing w:after="0"/>
              <w:rPr>
                <w:sz w:val="20"/>
                <w:szCs w:val="20"/>
                <w:color w:val="auto"/>
              </w:rPr>
            </w:pPr>
            <w:r>
              <w:rPr>
                <w:rFonts w:ascii="Arial" w:cs="Arial" w:eastAsia="Arial" w:hAnsi="Arial"/>
                <w:sz w:val="18"/>
                <w:szCs w:val="18"/>
                <w:b w:val="1"/>
                <w:bCs w:val="1"/>
                <w:color w:val="auto"/>
                <w:w w:val="90"/>
              </w:rPr>
              <w:t>Aggregate Annual</w:t>
            </w:r>
          </w:p>
        </w:tc>
        <w:tc>
          <w:tcPr>
            <w:tcW w:w="0" w:type="dxa"/>
            <w:vAlign w:val="bottom"/>
          </w:tcPr>
          <w:p>
            <w:pPr>
              <w:spacing w:after="0"/>
              <w:rPr>
                <w:sz w:val="1"/>
                <w:szCs w:val="1"/>
                <w:color w:val="auto"/>
              </w:rPr>
            </w:pPr>
          </w:p>
        </w:tc>
      </w:tr>
      <w:tr>
        <w:trPr>
          <w:trHeight w:val="86"/>
        </w:trPr>
        <w:tc>
          <w:tcPr>
            <w:tcW w:w="1960" w:type="dxa"/>
            <w:vAlign w:val="bottom"/>
            <w:vMerge w:val="continue"/>
            <w:shd w:val="clear" w:color="auto" w:fill="B8CCE4"/>
          </w:tcPr>
          <w:p>
            <w:pPr>
              <w:spacing w:after="0"/>
              <w:rPr>
                <w:sz w:val="7"/>
                <w:szCs w:val="7"/>
                <w:color w:val="auto"/>
              </w:rPr>
            </w:pPr>
          </w:p>
        </w:tc>
        <w:tc>
          <w:tcPr>
            <w:tcW w:w="2400" w:type="dxa"/>
            <w:vAlign w:val="bottom"/>
            <w:vMerge w:val="continue"/>
            <w:shd w:val="clear" w:color="auto" w:fill="B8CCE4"/>
          </w:tcPr>
          <w:p>
            <w:pPr>
              <w:spacing w:after="0"/>
              <w:rPr>
                <w:sz w:val="7"/>
                <w:szCs w:val="7"/>
                <w:color w:val="auto"/>
              </w:rPr>
            </w:pPr>
          </w:p>
        </w:tc>
        <w:tc>
          <w:tcPr>
            <w:tcW w:w="1820" w:type="dxa"/>
            <w:vAlign w:val="bottom"/>
            <w:vMerge w:val="restart"/>
            <w:shd w:val="clear" w:color="auto" w:fill="B8CCE4"/>
          </w:tcPr>
          <w:p>
            <w:pPr>
              <w:jc w:val="center"/>
              <w:spacing w:after="0"/>
              <w:rPr>
                <w:sz w:val="20"/>
                <w:szCs w:val="20"/>
                <w:color w:val="auto"/>
              </w:rPr>
            </w:pPr>
            <w:r>
              <w:rPr>
                <w:rFonts w:ascii="Arial" w:cs="Arial" w:eastAsia="Arial" w:hAnsi="Arial"/>
                <w:sz w:val="18"/>
                <w:szCs w:val="18"/>
                <w:b w:val="1"/>
                <w:bCs w:val="1"/>
                <w:color w:val="auto"/>
                <w:w w:val="90"/>
              </w:rPr>
              <w:t>Target Award Values</w:t>
            </w:r>
          </w:p>
        </w:tc>
        <w:tc>
          <w:tcPr>
            <w:tcW w:w="1820" w:type="dxa"/>
            <w:vAlign w:val="bottom"/>
            <w:vMerge w:val="restart"/>
            <w:shd w:val="clear" w:color="auto" w:fill="B8CCE4"/>
          </w:tcPr>
          <w:p>
            <w:pPr>
              <w:jc w:val="center"/>
              <w:spacing w:after="0"/>
              <w:rPr>
                <w:sz w:val="20"/>
                <w:szCs w:val="20"/>
                <w:color w:val="auto"/>
              </w:rPr>
            </w:pPr>
            <w:r>
              <w:rPr>
                <w:rFonts w:ascii="Arial" w:cs="Arial" w:eastAsia="Arial" w:hAnsi="Arial"/>
                <w:sz w:val="18"/>
                <w:szCs w:val="18"/>
                <w:b w:val="1"/>
                <w:bCs w:val="1"/>
                <w:color w:val="auto"/>
                <w:w w:val="91"/>
              </w:rPr>
              <w:t>Stock Target Award</w:t>
            </w:r>
          </w:p>
        </w:tc>
        <w:tc>
          <w:tcPr>
            <w:tcW w:w="1620" w:type="dxa"/>
            <w:vAlign w:val="bottom"/>
            <w:vMerge w:val="restart"/>
            <w:shd w:val="clear" w:color="auto" w:fill="B8CCE4"/>
          </w:tcPr>
          <w:p>
            <w:pPr>
              <w:jc w:val="center"/>
              <w:spacing w:after="0"/>
              <w:rPr>
                <w:sz w:val="20"/>
                <w:szCs w:val="20"/>
                <w:color w:val="auto"/>
              </w:rPr>
            </w:pPr>
            <w:r>
              <w:rPr>
                <w:rFonts w:ascii="Arial" w:cs="Arial" w:eastAsia="Arial" w:hAnsi="Arial"/>
                <w:sz w:val="18"/>
                <w:szCs w:val="18"/>
                <w:b w:val="1"/>
                <w:bCs w:val="1"/>
                <w:color w:val="auto"/>
                <w:w w:val="92"/>
              </w:rPr>
              <w:t>Target Award</w:t>
            </w:r>
          </w:p>
        </w:tc>
        <w:tc>
          <w:tcPr>
            <w:tcW w:w="1800" w:type="dxa"/>
            <w:vAlign w:val="bottom"/>
            <w:vMerge w:val="restart"/>
            <w:shd w:val="clear" w:color="auto" w:fill="B8CCE4"/>
          </w:tcPr>
          <w:p>
            <w:pPr>
              <w:jc w:val="center"/>
              <w:spacing w:after="0"/>
              <w:rPr>
                <w:sz w:val="20"/>
                <w:szCs w:val="20"/>
                <w:color w:val="auto"/>
              </w:rPr>
            </w:pPr>
            <w:r>
              <w:rPr>
                <w:rFonts w:ascii="Arial" w:cs="Arial" w:eastAsia="Arial" w:hAnsi="Arial"/>
                <w:sz w:val="18"/>
                <w:szCs w:val="18"/>
                <w:b w:val="1"/>
                <w:bCs w:val="1"/>
                <w:color w:val="auto"/>
                <w:w w:val="90"/>
              </w:rPr>
              <w:t>Target Award Values</w:t>
            </w:r>
          </w:p>
        </w:tc>
        <w:tc>
          <w:tcPr>
            <w:tcW w:w="0" w:type="dxa"/>
            <w:vAlign w:val="bottom"/>
          </w:tcPr>
          <w:p>
            <w:pPr>
              <w:spacing w:after="0"/>
              <w:rPr>
                <w:sz w:val="1"/>
                <w:szCs w:val="1"/>
                <w:color w:val="auto"/>
              </w:rPr>
            </w:pPr>
          </w:p>
        </w:tc>
      </w:tr>
      <w:tr>
        <w:trPr>
          <w:trHeight w:val="130"/>
        </w:trPr>
        <w:tc>
          <w:tcPr>
            <w:tcW w:w="1960" w:type="dxa"/>
            <w:vAlign w:val="bottom"/>
            <w:shd w:val="clear" w:color="auto" w:fill="B8CCE4"/>
          </w:tcPr>
          <w:p>
            <w:pPr>
              <w:spacing w:after="0"/>
              <w:rPr>
                <w:sz w:val="11"/>
                <w:szCs w:val="11"/>
                <w:color w:val="auto"/>
              </w:rPr>
            </w:pPr>
          </w:p>
        </w:tc>
        <w:tc>
          <w:tcPr>
            <w:tcW w:w="2400" w:type="dxa"/>
            <w:vAlign w:val="bottom"/>
            <w:shd w:val="clear" w:color="auto" w:fill="B8CCE4"/>
          </w:tcPr>
          <w:p>
            <w:pPr>
              <w:spacing w:after="0"/>
              <w:rPr>
                <w:sz w:val="11"/>
                <w:szCs w:val="11"/>
                <w:color w:val="auto"/>
              </w:rPr>
            </w:pPr>
          </w:p>
        </w:tc>
        <w:tc>
          <w:tcPr>
            <w:tcW w:w="1820" w:type="dxa"/>
            <w:vAlign w:val="bottom"/>
            <w:vMerge w:val="continue"/>
            <w:shd w:val="clear" w:color="auto" w:fill="B8CCE4"/>
          </w:tcPr>
          <w:p>
            <w:pPr>
              <w:spacing w:after="0"/>
              <w:rPr>
                <w:sz w:val="11"/>
                <w:szCs w:val="11"/>
                <w:color w:val="auto"/>
              </w:rPr>
            </w:pPr>
          </w:p>
        </w:tc>
        <w:tc>
          <w:tcPr>
            <w:tcW w:w="1820" w:type="dxa"/>
            <w:vAlign w:val="bottom"/>
            <w:vMerge w:val="continue"/>
            <w:shd w:val="clear" w:color="auto" w:fill="B8CCE4"/>
          </w:tcPr>
          <w:p>
            <w:pPr>
              <w:spacing w:after="0"/>
              <w:rPr>
                <w:sz w:val="11"/>
                <w:szCs w:val="11"/>
                <w:color w:val="auto"/>
              </w:rPr>
            </w:pPr>
          </w:p>
        </w:tc>
        <w:tc>
          <w:tcPr>
            <w:tcW w:w="1620" w:type="dxa"/>
            <w:vAlign w:val="bottom"/>
            <w:vMerge w:val="continue"/>
            <w:shd w:val="clear" w:color="auto" w:fill="B8CCE4"/>
          </w:tcPr>
          <w:p>
            <w:pPr>
              <w:spacing w:after="0"/>
              <w:rPr>
                <w:sz w:val="11"/>
                <w:szCs w:val="11"/>
                <w:color w:val="auto"/>
              </w:rPr>
            </w:pPr>
          </w:p>
        </w:tc>
        <w:tc>
          <w:tcPr>
            <w:tcW w:w="1800" w:type="dxa"/>
            <w:vAlign w:val="bottom"/>
            <w:vMerge w:val="continue"/>
            <w:shd w:val="clear" w:color="auto" w:fill="B8CCE4"/>
          </w:tcPr>
          <w:p>
            <w:pPr>
              <w:spacing w:after="0"/>
              <w:rPr>
                <w:sz w:val="11"/>
                <w:szCs w:val="11"/>
                <w:color w:val="auto"/>
              </w:rPr>
            </w:pPr>
          </w:p>
        </w:tc>
        <w:tc>
          <w:tcPr>
            <w:tcW w:w="0" w:type="dxa"/>
            <w:vAlign w:val="bottom"/>
          </w:tcPr>
          <w:p>
            <w:pPr>
              <w:spacing w:after="0"/>
              <w:rPr>
                <w:sz w:val="1"/>
                <w:szCs w:val="1"/>
                <w:color w:val="auto"/>
              </w:rPr>
            </w:pPr>
          </w:p>
        </w:tc>
      </w:tr>
      <w:tr>
        <w:trPr>
          <w:trHeight w:val="241"/>
        </w:trPr>
        <w:tc>
          <w:tcPr>
            <w:tcW w:w="1960" w:type="dxa"/>
            <w:vAlign w:val="bottom"/>
            <w:tcBorders>
              <w:bottom w:val="single" w:sz="8" w:color="B8CCE4"/>
            </w:tcBorders>
            <w:shd w:val="clear" w:color="auto" w:fill="B8CCE4"/>
          </w:tcPr>
          <w:p>
            <w:pPr>
              <w:spacing w:after="0"/>
              <w:rPr>
                <w:sz w:val="20"/>
                <w:szCs w:val="20"/>
                <w:color w:val="auto"/>
              </w:rPr>
            </w:pPr>
          </w:p>
        </w:tc>
        <w:tc>
          <w:tcPr>
            <w:tcW w:w="2400" w:type="dxa"/>
            <w:vAlign w:val="bottom"/>
            <w:tcBorders>
              <w:bottom w:val="single" w:sz="8" w:color="B8CCE4"/>
            </w:tcBorders>
            <w:shd w:val="clear" w:color="auto" w:fill="B8CCE4"/>
          </w:tcPr>
          <w:p>
            <w:pPr>
              <w:spacing w:after="0"/>
              <w:rPr>
                <w:sz w:val="20"/>
                <w:szCs w:val="20"/>
                <w:color w:val="auto"/>
              </w:rPr>
            </w:pPr>
          </w:p>
        </w:tc>
        <w:tc>
          <w:tcPr>
            <w:tcW w:w="1820" w:type="dxa"/>
            <w:vAlign w:val="bottom"/>
            <w:tcBorders>
              <w:bottom w:val="single" w:sz="8" w:color="B8CCE4"/>
            </w:tcBorders>
            <w:shd w:val="clear" w:color="auto" w:fill="B8CCE4"/>
          </w:tcPr>
          <w:p>
            <w:pPr>
              <w:spacing w:after="0"/>
              <w:rPr>
                <w:sz w:val="20"/>
                <w:szCs w:val="20"/>
                <w:color w:val="auto"/>
              </w:rPr>
            </w:pPr>
          </w:p>
        </w:tc>
        <w:tc>
          <w:tcPr>
            <w:tcW w:w="1820" w:type="dxa"/>
            <w:vAlign w:val="bottom"/>
            <w:tcBorders>
              <w:bottom w:val="single" w:sz="8" w:color="B8CCE4"/>
            </w:tcBorders>
            <w:shd w:val="clear" w:color="auto" w:fill="B8CCE4"/>
          </w:tcPr>
          <w:p>
            <w:pPr>
              <w:jc w:val="center"/>
              <w:spacing w:after="0"/>
              <w:rPr>
                <w:sz w:val="20"/>
                <w:szCs w:val="20"/>
                <w:color w:val="auto"/>
              </w:rPr>
            </w:pPr>
            <w:r>
              <w:rPr>
                <w:rFonts w:ascii="Arial" w:cs="Arial" w:eastAsia="Arial" w:hAnsi="Arial"/>
                <w:sz w:val="18"/>
                <w:szCs w:val="18"/>
                <w:b w:val="1"/>
                <w:bCs w:val="1"/>
                <w:color w:val="auto"/>
                <w:w w:val="89"/>
              </w:rPr>
              <w:t>Values</w:t>
            </w:r>
          </w:p>
        </w:tc>
        <w:tc>
          <w:tcPr>
            <w:tcW w:w="1620" w:type="dxa"/>
            <w:vAlign w:val="bottom"/>
            <w:tcBorders>
              <w:bottom w:val="single" w:sz="8" w:color="B8CCE4"/>
            </w:tcBorders>
            <w:shd w:val="clear" w:color="auto" w:fill="B8CCE4"/>
          </w:tcPr>
          <w:p>
            <w:pPr>
              <w:jc w:val="center"/>
              <w:spacing w:after="0"/>
              <w:rPr>
                <w:sz w:val="20"/>
                <w:szCs w:val="20"/>
                <w:color w:val="auto"/>
              </w:rPr>
            </w:pPr>
            <w:r>
              <w:rPr>
                <w:rFonts w:ascii="Arial" w:cs="Arial" w:eastAsia="Arial" w:hAnsi="Arial"/>
                <w:sz w:val="18"/>
                <w:szCs w:val="18"/>
                <w:b w:val="1"/>
                <w:bCs w:val="1"/>
                <w:color w:val="auto"/>
                <w:w w:val="86"/>
              </w:rPr>
              <w:t>Values</w:t>
            </w:r>
          </w:p>
        </w:tc>
        <w:tc>
          <w:tcPr>
            <w:tcW w:w="1800" w:type="dxa"/>
            <w:vAlign w:val="bottom"/>
            <w:tcBorders>
              <w:bottom w:val="single" w:sz="8" w:color="B8CCE4"/>
            </w:tcBorders>
            <w:shd w:val="clear" w:color="auto" w:fill="B8CCE4"/>
          </w:tcPr>
          <w:p>
            <w:pPr>
              <w:spacing w:after="0"/>
              <w:rPr>
                <w:sz w:val="20"/>
                <w:szCs w:val="20"/>
                <w:color w:val="auto"/>
              </w:rPr>
            </w:pPr>
          </w:p>
        </w:tc>
        <w:tc>
          <w:tcPr>
            <w:tcW w:w="0" w:type="dxa"/>
            <w:vAlign w:val="bottom"/>
          </w:tcPr>
          <w:p>
            <w:pPr>
              <w:spacing w:after="0"/>
              <w:rPr>
                <w:sz w:val="1"/>
                <w:szCs w:val="1"/>
                <w:color w:val="auto"/>
              </w:rPr>
            </w:pPr>
          </w:p>
        </w:tc>
      </w:tr>
      <w:tr>
        <w:trPr>
          <w:trHeight w:val="305"/>
        </w:trPr>
        <w:tc>
          <w:tcPr>
            <w:tcW w:w="1960" w:type="dxa"/>
            <w:vAlign w:val="bottom"/>
            <w:shd w:val="clear" w:color="auto" w:fill="DBE5F1"/>
          </w:tcPr>
          <w:p>
            <w:pPr>
              <w:ind w:left="220"/>
              <w:spacing w:after="0"/>
              <w:rPr>
                <w:sz w:val="20"/>
                <w:szCs w:val="20"/>
                <w:color w:val="auto"/>
              </w:rPr>
            </w:pPr>
            <w:r>
              <w:rPr>
                <w:rFonts w:ascii="Arial" w:cs="Arial" w:eastAsia="Arial" w:hAnsi="Arial"/>
                <w:sz w:val="16"/>
                <w:szCs w:val="16"/>
                <w:b w:val="1"/>
                <w:bCs w:val="1"/>
                <w:color w:val="auto"/>
              </w:rPr>
              <w:t>Andrew C. Florance</w:t>
            </w:r>
          </w:p>
        </w:tc>
        <w:tc>
          <w:tcPr>
            <w:tcW w:w="2400" w:type="dxa"/>
            <w:vAlign w:val="bottom"/>
            <w:shd w:val="clear" w:color="auto" w:fill="DBE5F1"/>
          </w:tcPr>
          <w:p>
            <w:pPr>
              <w:ind w:left="160"/>
              <w:spacing w:after="0"/>
              <w:rPr>
                <w:sz w:val="20"/>
                <w:szCs w:val="20"/>
                <w:color w:val="auto"/>
              </w:rPr>
            </w:pPr>
            <w:r>
              <w:rPr>
                <w:rFonts w:ascii="Arial" w:cs="Arial" w:eastAsia="Arial" w:hAnsi="Arial"/>
                <w:sz w:val="16"/>
                <w:szCs w:val="16"/>
                <w:color w:val="auto"/>
              </w:rPr>
              <w:t>CEO &amp; President</w:t>
            </w:r>
          </w:p>
        </w:tc>
        <w:tc>
          <w:tcPr>
            <w:tcW w:w="1820" w:type="dxa"/>
            <w:vAlign w:val="bottom"/>
            <w:shd w:val="clear" w:color="auto" w:fill="DBE5F1"/>
          </w:tcPr>
          <w:p>
            <w:pPr>
              <w:jc w:val="center"/>
              <w:spacing w:after="0"/>
              <w:rPr>
                <w:sz w:val="20"/>
                <w:szCs w:val="20"/>
                <w:color w:val="auto"/>
              </w:rPr>
            </w:pPr>
            <w:r>
              <w:rPr>
                <w:rFonts w:ascii="Arial" w:cs="Arial" w:eastAsia="Arial" w:hAnsi="Arial"/>
                <w:sz w:val="16"/>
                <w:szCs w:val="16"/>
                <w:color w:val="auto"/>
                <w:w w:val="89"/>
              </w:rPr>
              <w:t>$1,520,000</w:t>
            </w:r>
          </w:p>
        </w:tc>
        <w:tc>
          <w:tcPr>
            <w:tcW w:w="1820" w:type="dxa"/>
            <w:vAlign w:val="bottom"/>
            <w:shd w:val="clear" w:color="auto" w:fill="DBE5F1"/>
          </w:tcPr>
          <w:p>
            <w:pPr>
              <w:jc w:val="center"/>
              <w:spacing w:after="0"/>
              <w:rPr>
                <w:sz w:val="20"/>
                <w:szCs w:val="20"/>
                <w:color w:val="auto"/>
              </w:rPr>
            </w:pPr>
            <w:r>
              <w:rPr>
                <w:rFonts w:ascii="Arial" w:cs="Arial" w:eastAsia="Arial" w:hAnsi="Arial"/>
                <w:sz w:val="16"/>
                <w:szCs w:val="16"/>
                <w:color w:val="auto"/>
                <w:w w:val="89"/>
              </w:rPr>
              <w:t>$1,520,000</w:t>
            </w:r>
          </w:p>
        </w:tc>
        <w:tc>
          <w:tcPr>
            <w:tcW w:w="1620" w:type="dxa"/>
            <w:vAlign w:val="bottom"/>
            <w:shd w:val="clear" w:color="auto" w:fill="DBE5F1"/>
          </w:tcPr>
          <w:p>
            <w:pPr>
              <w:jc w:val="center"/>
              <w:spacing w:after="0"/>
              <w:rPr>
                <w:sz w:val="20"/>
                <w:szCs w:val="20"/>
                <w:color w:val="auto"/>
              </w:rPr>
            </w:pPr>
            <w:r>
              <w:rPr>
                <w:rFonts w:ascii="Arial" w:cs="Arial" w:eastAsia="Arial" w:hAnsi="Arial"/>
                <w:sz w:val="16"/>
                <w:szCs w:val="16"/>
                <w:color w:val="auto"/>
                <w:w w:val="92"/>
              </w:rPr>
              <w:t>$760,000</w:t>
            </w:r>
          </w:p>
        </w:tc>
        <w:tc>
          <w:tcPr>
            <w:tcW w:w="1800" w:type="dxa"/>
            <w:vAlign w:val="bottom"/>
            <w:shd w:val="clear" w:color="auto" w:fill="DBE5F1"/>
          </w:tcPr>
          <w:p>
            <w:pPr>
              <w:jc w:val="center"/>
              <w:spacing w:after="0"/>
              <w:rPr>
                <w:sz w:val="20"/>
                <w:szCs w:val="20"/>
                <w:color w:val="auto"/>
              </w:rPr>
            </w:pPr>
            <w:r>
              <w:rPr>
                <w:rFonts w:ascii="Arial" w:cs="Arial" w:eastAsia="Arial" w:hAnsi="Arial"/>
                <w:sz w:val="16"/>
                <w:szCs w:val="16"/>
                <w:color w:val="auto"/>
                <w:w w:val="89"/>
              </w:rPr>
              <w:t>$3,800,000</w:t>
            </w:r>
          </w:p>
        </w:tc>
        <w:tc>
          <w:tcPr>
            <w:tcW w:w="0" w:type="dxa"/>
            <w:vAlign w:val="bottom"/>
          </w:tcPr>
          <w:p>
            <w:pPr>
              <w:spacing w:after="0"/>
              <w:rPr>
                <w:sz w:val="1"/>
                <w:szCs w:val="1"/>
                <w:color w:val="auto"/>
              </w:rPr>
            </w:pPr>
          </w:p>
        </w:tc>
      </w:tr>
      <w:tr>
        <w:trPr>
          <w:trHeight w:val="419"/>
        </w:trPr>
        <w:tc>
          <w:tcPr>
            <w:tcW w:w="1960" w:type="dxa"/>
            <w:vAlign w:val="bottom"/>
            <w:shd w:val="clear" w:color="auto" w:fill="DBE5F1"/>
          </w:tcPr>
          <w:p>
            <w:pPr>
              <w:ind w:left="220"/>
              <w:spacing w:after="0"/>
              <w:rPr>
                <w:sz w:val="20"/>
                <w:szCs w:val="20"/>
                <w:color w:val="auto"/>
              </w:rPr>
            </w:pPr>
            <w:r>
              <w:rPr>
                <w:rFonts w:ascii="Arial" w:cs="Arial" w:eastAsia="Arial" w:hAnsi="Arial"/>
                <w:sz w:val="16"/>
                <w:szCs w:val="16"/>
                <w:b w:val="1"/>
                <w:bCs w:val="1"/>
                <w:color w:val="auto"/>
              </w:rPr>
              <w:t>Brian J. Radecki</w:t>
            </w:r>
          </w:p>
        </w:tc>
        <w:tc>
          <w:tcPr>
            <w:tcW w:w="2400" w:type="dxa"/>
            <w:vAlign w:val="bottom"/>
            <w:shd w:val="clear" w:color="auto" w:fill="DBE5F1"/>
          </w:tcPr>
          <w:p>
            <w:pPr>
              <w:ind w:left="160"/>
              <w:spacing w:after="0"/>
              <w:rPr>
                <w:sz w:val="20"/>
                <w:szCs w:val="20"/>
                <w:color w:val="auto"/>
              </w:rPr>
            </w:pPr>
            <w:r>
              <w:rPr>
                <w:rFonts w:ascii="Arial" w:cs="Arial" w:eastAsia="Arial" w:hAnsi="Arial"/>
                <w:sz w:val="16"/>
                <w:szCs w:val="16"/>
                <w:color w:val="auto"/>
              </w:rPr>
              <w:t>Former CFO</w:t>
            </w:r>
          </w:p>
        </w:tc>
        <w:tc>
          <w:tcPr>
            <w:tcW w:w="1820" w:type="dxa"/>
            <w:vAlign w:val="bottom"/>
            <w:shd w:val="clear" w:color="auto" w:fill="DBE5F1"/>
          </w:tcPr>
          <w:p>
            <w:pPr>
              <w:jc w:val="center"/>
              <w:spacing w:after="0"/>
              <w:rPr>
                <w:sz w:val="20"/>
                <w:szCs w:val="20"/>
                <w:color w:val="auto"/>
              </w:rPr>
            </w:pPr>
            <w:r>
              <w:rPr>
                <w:rFonts w:ascii="Arial" w:cs="Arial" w:eastAsia="Arial" w:hAnsi="Arial"/>
                <w:sz w:val="16"/>
                <w:szCs w:val="16"/>
                <w:color w:val="auto"/>
                <w:w w:val="89"/>
              </w:rPr>
              <w:t>$660,000</w:t>
            </w:r>
          </w:p>
        </w:tc>
        <w:tc>
          <w:tcPr>
            <w:tcW w:w="1820" w:type="dxa"/>
            <w:vAlign w:val="bottom"/>
            <w:shd w:val="clear" w:color="auto" w:fill="DBE5F1"/>
          </w:tcPr>
          <w:p>
            <w:pPr>
              <w:jc w:val="center"/>
              <w:spacing w:after="0"/>
              <w:rPr>
                <w:sz w:val="20"/>
                <w:szCs w:val="20"/>
                <w:color w:val="auto"/>
              </w:rPr>
            </w:pPr>
            <w:r>
              <w:rPr>
                <w:rFonts w:ascii="Arial" w:cs="Arial" w:eastAsia="Arial" w:hAnsi="Arial"/>
                <w:sz w:val="16"/>
                <w:szCs w:val="16"/>
                <w:color w:val="auto"/>
                <w:w w:val="89"/>
              </w:rPr>
              <w:t>$660,000</w:t>
            </w:r>
          </w:p>
        </w:tc>
        <w:tc>
          <w:tcPr>
            <w:tcW w:w="1620" w:type="dxa"/>
            <w:vAlign w:val="bottom"/>
            <w:shd w:val="clear" w:color="auto" w:fill="DBE5F1"/>
          </w:tcPr>
          <w:p>
            <w:pPr>
              <w:jc w:val="center"/>
              <w:spacing w:after="0"/>
              <w:rPr>
                <w:sz w:val="20"/>
                <w:szCs w:val="20"/>
                <w:color w:val="auto"/>
              </w:rPr>
            </w:pPr>
            <w:r>
              <w:rPr>
                <w:rFonts w:ascii="Arial" w:cs="Arial" w:eastAsia="Arial" w:hAnsi="Arial"/>
                <w:sz w:val="16"/>
                <w:szCs w:val="16"/>
                <w:color w:val="auto"/>
                <w:w w:val="92"/>
              </w:rPr>
              <w:t>$330,000</w:t>
            </w:r>
          </w:p>
        </w:tc>
        <w:tc>
          <w:tcPr>
            <w:tcW w:w="1800" w:type="dxa"/>
            <w:vAlign w:val="bottom"/>
            <w:shd w:val="clear" w:color="auto" w:fill="DBE5F1"/>
          </w:tcPr>
          <w:p>
            <w:pPr>
              <w:jc w:val="center"/>
              <w:spacing w:after="0"/>
              <w:rPr>
                <w:sz w:val="20"/>
                <w:szCs w:val="20"/>
                <w:color w:val="auto"/>
              </w:rPr>
            </w:pPr>
            <w:r>
              <w:rPr>
                <w:rFonts w:ascii="Arial" w:cs="Arial" w:eastAsia="Arial" w:hAnsi="Arial"/>
                <w:sz w:val="16"/>
                <w:szCs w:val="16"/>
                <w:color w:val="auto"/>
                <w:w w:val="89"/>
              </w:rPr>
              <w:t>$1,650,000</w:t>
            </w:r>
          </w:p>
        </w:tc>
        <w:tc>
          <w:tcPr>
            <w:tcW w:w="0" w:type="dxa"/>
            <w:vAlign w:val="bottom"/>
          </w:tcPr>
          <w:p>
            <w:pPr>
              <w:spacing w:after="0"/>
              <w:rPr>
                <w:sz w:val="1"/>
                <w:szCs w:val="1"/>
                <w:color w:val="auto"/>
              </w:rPr>
            </w:pPr>
          </w:p>
        </w:tc>
      </w:tr>
      <w:tr>
        <w:trPr>
          <w:trHeight w:val="411"/>
        </w:trPr>
        <w:tc>
          <w:tcPr>
            <w:tcW w:w="1960" w:type="dxa"/>
            <w:vAlign w:val="bottom"/>
            <w:shd w:val="clear" w:color="auto" w:fill="DBE5F1"/>
          </w:tcPr>
          <w:p>
            <w:pPr>
              <w:ind w:left="220"/>
              <w:spacing w:after="0"/>
              <w:rPr>
                <w:sz w:val="20"/>
                <w:szCs w:val="20"/>
                <w:color w:val="auto"/>
              </w:rPr>
            </w:pPr>
            <w:r>
              <w:rPr>
                <w:rFonts w:ascii="Arial" w:cs="Arial" w:eastAsia="Arial" w:hAnsi="Arial"/>
                <w:sz w:val="16"/>
                <w:szCs w:val="16"/>
                <w:b w:val="1"/>
                <w:bCs w:val="1"/>
                <w:color w:val="auto"/>
              </w:rPr>
              <w:t>Scott L.</w:t>
            </w:r>
          </w:p>
        </w:tc>
        <w:tc>
          <w:tcPr>
            <w:tcW w:w="2400" w:type="dxa"/>
            <w:vAlign w:val="bottom"/>
            <w:vMerge w:val="restart"/>
            <w:shd w:val="clear" w:color="auto" w:fill="DBE5F1"/>
          </w:tcPr>
          <w:p>
            <w:pPr>
              <w:ind w:left="160"/>
              <w:spacing w:after="0"/>
              <w:rPr>
                <w:sz w:val="20"/>
                <w:szCs w:val="20"/>
                <w:color w:val="auto"/>
              </w:rPr>
            </w:pPr>
            <w:r>
              <w:rPr>
                <w:rFonts w:ascii="Arial" w:cs="Arial" w:eastAsia="Arial" w:hAnsi="Arial"/>
                <w:sz w:val="16"/>
                <w:szCs w:val="16"/>
                <w:color w:val="auto"/>
              </w:rPr>
              <w:t>Interim CFO</w:t>
            </w:r>
          </w:p>
        </w:tc>
        <w:tc>
          <w:tcPr>
            <w:tcW w:w="7060" w:type="dxa"/>
            <w:vAlign w:val="bottom"/>
            <w:gridSpan w:val="4"/>
            <w:vMerge w:val="restart"/>
            <w:shd w:val="clear" w:color="auto" w:fill="DBE5F1"/>
          </w:tcPr>
          <w:p>
            <w:pPr>
              <w:ind w:left="1600"/>
              <w:spacing w:after="0"/>
              <w:rPr>
                <w:sz w:val="20"/>
                <w:szCs w:val="20"/>
                <w:color w:val="auto"/>
              </w:rPr>
            </w:pPr>
            <w:r>
              <w:rPr>
                <w:rFonts w:ascii="Arial" w:cs="Arial" w:eastAsia="Arial" w:hAnsi="Arial"/>
                <w:sz w:val="14"/>
                <w:szCs w:val="14"/>
                <w:color w:val="auto"/>
              </w:rPr>
              <w:t>Not a participant in the executive equity incentive program in 2015</w:t>
            </w:r>
          </w:p>
        </w:tc>
        <w:tc>
          <w:tcPr>
            <w:tcW w:w="0" w:type="dxa"/>
            <w:vAlign w:val="bottom"/>
          </w:tcPr>
          <w:p>
            <w:pPr>
              <w:spacing w:after="0"/>
              <w:rPr>
                <w:sz w:val="1"/>
                <w:szCs w:val="1"/>
                <w:color w:val="auto"/>
              </w:rPr>
            </w:pPr>
          </w:p>
        </w:tc>
      </w:tr>
      <w:tr>
        <w:trPr>
          <w:trHeight w:val="96"/>
        </w:trPr>
        <w:tc>
          <w:tcPr>
            <w:tcW w:w="1960" w:type="dxa"/>
            <w:vAlign w:val="bottom"/>
            <w:vMerge w:val="restart"/>
            <w:shd w:val="clear" w:color="auto" w:fill="DBE5F1"/>
          </w:tcPr>
          <w:p>
            <w:pPr>
              <w:ind w:left="220"/>
              <w:spacing w:after="0"/>
              <w:rPr>
                <w:sz w:val="20"/>
                <w:szCs w:val="20"/>
                <w:color w:val="auto"/>
              </w:rPr>
            </w:pPr>
            <w:r>
              <w:rPr>
                <w:rFonts w:ascii="Arial" w:cs="Arial" w:eastAsia="Arial" w:hAnsi="Arial"/>
                <w:sz w:val="16"/>
                <w:szCs w:val="16"/>
                <w:b w:val="1"/>
                <w:bCs w:val="1"/>
                <w:color w:val="auto"/>
              </w:rPr>
              <w:t>Yinger</w:t>
            </w:r>
            <w:r>
              <w:rPr>
                <w:rFonts w:ascii="Arial" w:cs="Arial" w:eastAsia="Arial" w:hAnsi="Arial"/>
                <w:sz w:val="21"/>
                <w:szCs w:val="21"/>
                <w:b w:val="1"/>
                <w:bCs w:val="1"/>
                <w:color w:val="auto"/>
                <w:vertAlign w:val="superscript"/>
              </w:rPr>
              <w:t>(1)</w:t>
            </w:r>
          </w:p>
        </w:tc>
        <w:tc>
          <w:tcPr>
            <w:tcW w:w="2400" w:type="dxa"/>
            <w:vAlign w:val="bottom"/>
            <w:vMerge w:val="continue"/>
            <w:shd w:val="clear" w:color="auto" w:fill="DBE5F1"/>
          </w:tcPr>
          <w:p>
            <w:pPr>
              <w:spacing w:after="0"/>
              <w:rPr>
                <w:sz w:val="8"/>
                <w:szCs w:val="8"/>
                <w:color w:val="auto"/>
              </w:rPr>
            </w:pPr>
          </w:p>
        </w:tc>
        <w:tc>
          <w:tcPr>
            <w:tcW w:w="7060" w:type="dxa"/>
            <w:vAlign w:val="bottom"/>
            <w:gridSpan w:val="4"/>
            <w:vMerge w:val="continue"/>
            <w:shd w:val="clear" w:color="auto" w:fill="DBE5F1"/>
          </w:tcPr>
          <w:p>
            <w:pPr>
              <w:spacing w:after="0"/>
              <w:rPr>
                <w:sz w:val="8"/>
                <w:szCs w:val="8"/>
                <w:color w:val="auto"/>
              </w:rPr>
            </w:pPr>
          </w:p>
        </w:tc>
        <w:tc>
          <w:tcPr>
            <w:tcW w:w="0" w:type="dxa"/>
            <w:vAlign w:val="bottom"/>
          </w:tcPr>
          <w:p>
            <w:pPr>
              <w:spacing w:after="0"/>
              <w:rPr>
                <w:sz w:val="1"/>
                <w:szCs w:val="1"/>
                <w:color w:val="auto"/>
              </w:rPr>
            </w:pPr>
          </w:p>
        </w:tc>
      </w:tr>
      <w:tr>
        <w:trPr>
          <w:trHeight w:val="188"/>
        </w:trPr>
        <w:tc>
          <w:tcPr>
            <w:tcW w:w="1960" w:type="dxa"/>
            <w:vAlign w:val="bottom"/>
            <w:vMerge w:val="continue"/>
            <w:shd w:val="clear" w:color="auto" w:fill="DBE5F1"/>
          </w:tcPr>
          <w:p>
            <w:pPr>
              <w:spacing w:after="0"/>
              <w:rPr>
                <w:sz w:val="16"/>
                <w:szCs w:val="16"/>
                <w:color w:val="auto"/>
              </w:rPr>
            </w:pPr>
          </w:p>
        </w:tc>
        <w:tc>
          <w:tcPr>
            <w:tcW w:w="2400" w:type="dxa"/>
            <w:vAlign w:val="bottom"/>
            <w:shd w:val="clear" w:color="auto" w:fill="DBE5F1"/>
          </w:tcPr>
          <w:p>
            <w:pPr>
              <w:spacing w:after="0"/>
              <w:rPr>
                <w:sz w:val="16"/>
                <w:szCs w:val="16"/>
                <w:color w:val="auto"/>
              </w:rPr>
            </w:pPr>
          </w:p>
        </w:tc>
        <w:tc>
          <w:tcPr>
            <w:tcW w:w="1820" w:type="dxa"/>
            <w:vAlign w:val="bottom"/>
            <w:shd w:val="clear" w:color="auto" w:fill="DBE5F1"/>
          </w:tcPr>
          <w:p>
            <w:pPr>
              <w:spacing w:after="0"/>
              <w:rPr>
                <w:sz w:val="16"/>
                <w:szCs w:val="16"/>
                <w:color w:val="auto"/>
              </w:rPr>
            </w:pPr>
          </w:p>
        </w:tc>
        <w:tc>
          <w:tcPr>
            <w:tcW w:w="1820" w:type="dxa"/>
            <w:vAlign w:val="bottom"/>
            <w:shd w:val="clear" w:color="auto" w:fill="DBE5F1"/>
          </w:tcPr>
          <w:p>
            <w:pPr>
              <w:spacing w:after="0"/>
              <w:rPr>
                <w:sz w:val="16"/>
                <w:szCs w:val="16"/>
                <w:color w:val="auto"/>
              </w:rPr>
            </w:pPr>
          </w:p>
        </w:tc>
        <w:tc>
          <w:tcPr>
            <w:tcW w:w="1620" w:type="dxa"/>
            <w:vAlign w:val="bottom"/>
            <w:shd w:val="clear" w:color="auto" w:fill="DBE5F1"/>
          </w:tcPr>
          <w:p>
            <w:pPr>
              <w:spacing w:after="0"/>
              <w:rPr>
                <w:sz w:val="16"/>
                <w:szCs w:val="16"/>
                <w:color w:val="auto"/>
              </w:rPr>
            </w:pPr>
          </w:p>
        </w:tc>
        <w:tc>
          <w:tcPr>
            <w:tcW w:w="1800" w:type="dxa"/>
            <w:vAlign w:val="bottom"/>
            <w:shd w:val="clear" w:color="auto" w:fill="DBE5F1"/>
          </w:tcPr>
          <w:p>
            <w:pPr>
              <w:spacing w:after="0"/>
              <w:rPr>
                <w:sz w:val="16"/>
                <w:szCs w:val="16"/>
                <w:color w:val="auto"/>
              </w:rPr>
            </w:pPr>
          </w:p>
        </w:tc>
        <w:tc>
          <w:tcPr>
            <w:tcW w:w="0" w:type="dxa"/>
            <w:vAlign w:val="bottom"/>
          </w:tcPr>
          <w:p>
            <w:pPr>
              <w:spacing w:after="0"/>
              <w:rPr>
                <w:sz w:val="1"/>
                <w:szCs w:val="1"/>
                <w:color w:val="auto"/>
              </w:rPr>
            </w:pPr>
          </w:p>
        </w:tc>
      </w:tr>
      <w:tr>
        <w:trPr>
          <w:trHeight w:val="300"/>
        </w:trPr>
        <w:tc>
          <w:tcPr>
            <w:tcW w:w="1960" w:type="dxa"/>
            <w:vAlign w:val="bottom"/>
            <w:vMerge w:val="restart"/>
            <w:shd w:val="clear" w:color="auto" w:fill="DBE5F1"/>
          </w:tcPr>
          <w:p>
            <w:pPr>
              <w:ind w:left="220"/>
              <w:spacing w:after="0"/>
              <w:rPr>
                <w:sz w:val="20"/>
                <w:szCs w:val="20"/>
                <w:color w:val="auto"/>
              </w:rPr>
            </w:pPr>
            <w:r>
              <w:rPr>
                <w:rFonts w:ascii="Arial" w:cs="Arial" w:eastAsia="Arial" w:hAnsi="Arial"/>
                <w:sz w:val="16"/>
                <w:szCs w:val="16"/>
                <w:b w:val="1"/>
                <w:bCs w:val="1"/>
                <w:color w:val="auto"/>
              </w:rPr>
              <w:t>Francis A. Carchedi</w:t>
            </w:r>
          </w:p>
        </w:tc>
        <w:tc>
          <w:tcPr>
            <w:tcW w:w="2400" w:type="dxa"/>
            <w:vAlign w:val="bottom"/>
            <w:shd w:val="clear" w:color="auto" w:fill="DBE5F1"/>
          </w:tcPr>
          <w:p>
            <w:pPr>
              <w:ind w:left="160"/>
              <w:spacing w:after="0"/>
              <w:rPr>
                <w:sz w:val="20"/>
                <w:szCs w:val="20"/>
                <w:color w:val="auto"/>
              </w:rPr>
            </w:pPr>
            <w:r>
              <w:rPr>
                <w:rFonts w:ascii="Arial" w:cs="Arial" w:eastAsia="Arial" w:hAnsi="Arial"/>
                <w:sz w:val="16"/>
                <w:szCs w:val="16"/>
                <w:color w:val="auto"/>
                <w:w w:val="97"/>
              </w:rPr>
              <w:t>Exec. Vice President, Corporate</w:t>
            </w:r>
          </w:p>
        </w:tc>
        <w:tc>
          <w:tcPr>
            <w:tcW w:w="1820" w:type="dxa"/>
            <w:vAlign w:val="bottom"/>
            <w:vMerge w:val="restart"/>
            <w:shd w:val="clear" w:color="auto" w:fill="DBE5F1"/>
          </w:tcPr>
          <w:p>
            <w:pPr>
              <w:jc w:val="center"/>
              <w:spacing w:after="0"/>
              <w:rPr>
                <w:sz w:val="20"/>
                <w:szCs w:val="20"/>
                <w:color w:val="auto"/>
              </w:rPr>
            </w:pPr>
            <w:r>
              <w:rPr>
                <w:rFonts w:ascii="Arial" w:cs="Arial" w:eastAsia="Arial" w:hAnsi="Arial"/>
                <w:sz w:val="16"/>
                <w:szCs w:val="16"/>
                <w:color w:val="auto"/>
                <w:w w:val="89"/>
              </w:rPr>
              <w:t>$400,000</w:t>
            </w:r>
          </w:p>
        </w:tc>
        <w:tc>
          <w:tcPr>
            <w:tcW w:w="1820" w:type="dxa"/>
            <w:vAlign w:val="bottom"/>
            <w:vMerge w:val="restart"/>
            <w:shd w:val="clear" w:color="auto" w:fill="DBE5F1"/>
          </w:tcPr>
          <w:p>
            <w:pPr>
              <w:jc w:val="center"/>
              <w:spacing w:after="0"/>
              <w:rPr>
                <w:sz w:val="20"/>
                <w:szCs w:val="20"/>
                <w:color w:val="auto"/>
              </w:rPr>
            </w:pPr>
            <w:r>
              <w:rPr>
                <w:rFonts w:ascii="Arial" w:cs="Arial" w:eastAsia="Arial" w:hAnsi="Arial"/>
                <w:sz w:val="16"/>
                <w:szCs w:val="16"/>
                <w:color w:val="auto"/>
                <w:w w:val="89"/>
              </w:rPr>
              <w:t>$400,000</w:t>
            </w:r>
          </w:p>
        </w:tc>
        <w:tc>
          <w:tcPr>
            <w:tcW w:w="1620" w:type="dxa"/>
            <w:vAlign w:val="bottom"/>
            <w:vMerge w:val="restart"/>
            <w:shd w:val="clear" w:color="auto" w:fill="DBE5F1"/>
          </w:tcPr>
          <w:p>
            <w:pPr>
              <w:jc w:val="center"/>
              <w:spacing w:after="0"/>
              <w:rPr>
                <w:sz w:val="20"/>
                <w:szCs w:val="20"/>
                <w:color w:val="auto"/>
              </w:rPr>
            </w:pPr>
            <w:r>
              <w:rPr>
                <w:rFonts w:ascii="Arial" w:cs="Arial" w:eastAsia="Arial" w:hAnsi="Arial"/>
                <w:sz w:val="16"/>
                <w:szCs w:val="16"/>
                <w:color w:val="auto"/>
                <w:w w:val="92"/>
              </w:rPr>
              <w:t>$200,000</w:t>
            </w:r>
          </w:p>
        </w:tc>
        <w:tc>
          <w:tcPr>
            <w:tcW w:w="1800" w:type="dxa"/>
            <w:vAlign w:val="bottom"/>
            <w:vMerge w:val="restart"/>
            <w:shd w:val="clear" w:color="auto" w:fill="DBE5F1"/>
          </w:tcPr>
          <w:p>
            <w:pPr>
              <w:jc w:val="center"/>
              <w:spacing w:after="0"/>
              <w:rPr>
                <w:sz w:val="20"/>
                <w:szCs w:val="20"/>
                <w:color w:val="auto"/>
              </w:rPr>
            </w:pPr>
            <w:r>
              <w:rPr>
                <w:rFonts w:ascii="Arial" w:cs="Arial" w:eastAsia="Arial" w:hAnsi="Arial"/>
                <w:sz w:val="16"/>
                <w:szCs w:val="16"/>
                <w:color w:val="auto"/>
                <w:w w:val="89"/>
              </w:rPr>
              <w:t>$1,000,000</w:t>
            </w:r>
          </w:p>
        </w:tc>
        <w:tc>
          <w:tcPr>
            <w:tcW w:w="0" w:type="dxa"/>
            <w:vAlign w:val="bottom"/>
          </w:tcPr>
          <w:p>
            <w:pPr>
              <w:spacing w:after="0"/>
              <w:rPr>
                <w:sz w:val="1"/>
                <w:szCs w:val="1"/>
                <w:color w:val="auto"/>
              </w:rPr>
            </w:pPr>
          </w:p>
        </w:tc>
      </w:tr>
      <w:tr>
        <w:trPr>
          <w:trHeight w:val="139"/>
        </w:trPr>
        <w:tc>
          <w:tcPr>
            <w:tcW w:w="1960" w:type="dxa"/>
            <w:vAlign w:val="bottom"/>
            <w:vMerge w:val="continue"/>
            <w:shd w:val="clear" w:color="auto" w:fill="DBE5F1"/>
          </w:tcPr>
          <w:p>
            <w:pPr>
              <w:spacing w:after="0"/>
              <w:rPr>
                <w:sz w:val="12"/>
                <w:szCs w:val="12"/>
                <w:color w:val="auto"/>
              </w:rPr>
            </w:pPr>
          </w:p>
        </w:tc>
        <w:tc>
          <w:tcPr>
            <w:tcW w:w="2400" w:type="dxa"/>
            <w:vAlign w:val="bottom"/>
            <w:vMerge w:val="restart"/>
            <w:shd w:val="clear" w:color="auto" w:fill="DBE5F1"/>
          </w:tcPr>
          <w:p>
            <w:pPr>
              <w:ind w:left="160"/>
              <w:spacing w:after="0"/>
              <w:rPr>
                <w:sz w:val="20"/>
                <w:szCs w:val="20"/>
                <w:color w:val="auto"/>
              </w:rPr>
            </w:pPr>
            <w:r>
              <w:rPr>
                <w:rFonts w:ascii="Arial" w:cs="Arial" w:eastAsia="Arial" w:hAnsi="Arial"/>
                <w:sz w:val="16"/>
                <w:szCs w:val="16"/>
                <w:color w:val="auto"/>
              </w:rPr>
              <w:t>Development</w:t>
            </w:r>
          </w:p>
        </w:tc>
        <w:tc>
          <w:tcPr>
            <w:tcW w:w="1820" w:type="dxa"/>
            <w:vAlign w:val="bottom"/>
            <w:vMerge w:val="continue"/>
            <w:shd w:val="clear" w:color="auto" w:fill="DBE5F1"/>
          </w:tcPr>
          <w:p>
            <w:pPr>
              <w:spacing w:after="0"/>
              <w:rPr>
                <w:sz w:val="12"/>
                <w:szCs w:val="12"/>
                <w:color w:val="auto"/>
              </w:rPr>
            </w:pPr>
          </w:p>
        </w:tc>
        <w:tc>
          <w:tcPr>
            <w:tcW w:w="1820" w:type="dxa"/>
            <w:vAlign w:val="bottom"/>
            <w:vMerge w:val="continue"/>
            <w:shd w:val="clear" w:color="auto" w:fill="DBE5F1"/>
          </w:tcPr>
          <w:p>
            <w:pPr>
              <w:spacing w:after="0"/>
              <w:rPr>
                <w:sz w:val="12"/>
                <w:szCs w:val="12"/>
                <w:color w:val="auto"/>
              </w:rPr>
            </w:pPr>
          </w:p>
        </w:tc>
        <w:tc>
          <w:tcPr>
            <w:tcW w:w="1620" w:type="dxa"/>
            <w:vAlign w:val="bottom"/>
            <w:vMerge w:val="continue"/>
            <w:shd w:val="clear" w:color="auto" w:fill="DBE5F1"/>
          </w:tcPr>
          <w:p>
            <w:pPr>
              <w:spacing w:after="0"/>
              <w:rPr>
                <w:sz w:val="12"/>
                <w:szCs w:val="12"/>
                <w:color w:val="auto"/>
              </w:rPr>
            </w:pPr>
          </w:p>
        </w:tc>
        <w:tc>
          <w:tcPr>
            <w:tcW w:w="1800" w:type="dxa"/>
            <w:vAlign w:val="bottom"/>
            <w:vMerge w:val="continue"/>
            <w:shd w:val="clear" w:color="auto" w:fill="DBE5F1"/>
          </w:tcPr>
          <w:p>
            <w:pPr>
              <w:spacing w:after="0"/>
              <w:rPr>
                <w:sz w:val="12"/>
                <w:szCs w:val="12"/>
                <w:color w:val="auto"/>
              </w:rPr>
            </w:pPr>
          </w:p>
        </w:tc>
        <w:tc>
          <w:tcPr>
            <w:tcW w:w="0" w:type="dxa"/>
            <w:vAlign w:val="bottom"/>
          </w:tcPr>
          <w:p>
            <w:pPr>
              <w:spacing w:after="0"/>
              <w:rPr>
                <w:sz w:val="1"/>
                <w:szCs w:val="1"/>
                <w:color w:val="auto"/>
              </w:rPr>
            </w:pPr>
          </w:p>
        </w:tc>
      </w:tr>
      <w:tr>
        <w:trPr>
          <w:trHeight w:val="68"/>
        </w:trPr>
        <w:tc>
          <w:tcPr>
            <w:tcW w:w="1960" w:type="dxa"/>
            <w:vAlign w:val="bottom"/>
            <w:shd w:val="clear" w:color="auto" w:fill="DBE5F1"/>
          </w:tcPr>
          <w:p>
            <w:pPr>
              <w:spacing w:after="0"/>
              <w:rPr>
                <w:sz w:val="5"/>
                <w:szCs w:val="5"/>
                <w:color w:val="auto"/>
              </w:rPr>
            </w:pPr>
          </w:p>
        </w:tc>
        <w:tc>
          <w:tcPr>
            <w:tcW w:w="2400" w:type="dxa"/>
            <w:vAlign w:val="bottom"/>
            <w:vMerge w:val="continue"/>
            <w:shd w:val="clear" w:color="auto" w:fill="DBE5F1"/>
          </w:tcPr>
          <w:p>
            <w:pPr>
              <w:spacing w:after="0"/>
              <w:rPr>
                <w:sz w:val="5"/>
                <w:szCs w:val="5"/>
                <w:color w:val="auto"/>
              </w:rPr>
            </w:pPr>
          </w:p>
        </w:tc>
        <w:tc>
          <w:tcPr>
            <w:tcW w:w="1820" w:type="dxa"/>
            <w:vAlign w:val="bottom"/>
            <w:shd w:val="clear" w:color="auto" w:fill="DBE5F1"/>
          </w:tcPr>
          <w:p>
            <w:pPr>
              <w:spacing w:after="0"/>
              <w:rPr>
                <w:sz w:val="5"/>
                <w:szCs w:val="5"/>
                <w:color w:val="auto"/>
              </w:rPr>
            </w:pPr>
          </w:p>
        </w:tc>
        <w:tc>
          <w:tcPr>
            <w:tcW w:w="1820" w:type="dxa"/>
            <w:vAlign w:val="bottom"/>
            <w:shd w:val="clear" w:color="auto" w:fill="DBE5F1"/>
          </w:tcPr>
          <w:p>
            <w:pPr>
              <w:spacing w:after="0"/>
              <w:rPr>
                <w:sz w:val="5"/>
                <w:szCs w:val="5"/>
                <w:color w:val="auto"/>
              </w:rPr>
            </w:pPr>
          </w:p>
        </w:tc>
        <w:tc>
          <w:tcPr>
            <w:tcW w:w="1620" w:type="dxa"/>
            <w:vAlign w:val="bottom"/>
            <w:shd w:val="clear" w:color="auto" w:fill="DBE5F1"/>
          </w:tcPr>
          <w:p>
            <w:pPr>
              <w:spacing w:after="0"/>
              <w:rPr>
                <w:sz w:val="5"/>
                <w:szCs w:val="5"/>
                <w:color w:val="auto"/>
              </w:rPr>
            </w:pPr>
          </w:p>
        </w:tc>
        <w:tc>
          <w:tcPr>
            <w:tcW w:w="1800" w:type="dxa"/>
            <w:vAlign w:val="bottom"/>
            <w:shd w:val="clear" w:color="auto" w:fill="DBE5F1"/>
          </w:tcPr>
          <w:p>
            <w:pPr>
              <w:spacing w:after="0"/>
              <w:rPr>
                <w:sz w:val="5"/>
                <w:szCs w:val="5"/>
                <w:color w:val="auto"/>
              </w:rPr>
            </w:pPr>
          </w:p>
        </w:tc>
        <w:tc>
          <w:tcPr>
            <w:tcW w:w="0" w:type="dxa"/>
            <w:vAlign w:val="bottom"/>
          </w:tcPr>
          <w:p>
            <w:pPr>
              <w:spacing w:after="0"/>
              <w:rPr>
                <w:sz w:val="1"/>
                <w:szCs w:val="1"/>
                <w:color w:val="auto"/>
              </w:rPr>
            </w:pPr>
          </w:p>
        </w:tc>
      </w:tr>
      <w:tr>
        <w:trPr>
          <w:trHeight w:val="370"/>
        </w:trPr>
        <w:tc>
          <w:tcPr>
            <w:tcW w:w="1960" w:type="dxa"/>
            <w:vAlign w:val="bottom"/>
            <w:shd w:val="clear" w:color="auto" w:fill="DBE5F1"/>
          </w:tcPr>
          <w:p>
            <w:pPr>
              <w:ind w:left="220"/>
              <w:spacing w:after="0"/>
              <w:rPr>
                <w:sz w:val="20"/>
                <w:szCs w:val="20"/>
                <w:color w:val="auto"/>
              </w:rPr>
            </w:pPr>
            <w:r>
              <w:rPr>
                <w:rFonts w:ascii="Arial" w:cs="Arial" w:eastAsia="Arial" w:hAnsi="Arial"/>
                <w:sz w:val="16"/>
                <w:szCs w:val="16"/>
                <w:b w:val="1"/>
                <w:bCs w:val="1"/>
                <w:color w:val="auto"/>
              </w:rPr>
              <w:t>Matthew F. W.</w:t>
            </w:r>
          </w:p>
        </w:tc>
        <w:tc>
          <w:tcPr>
            <w:tcW w:w="2400" w:type="dxa"/>
            <w:vAlign w:val="bottom"/>
            <w:vMerge w:val="restart"/>
            <w:shd w:val="clear" w:color="auto" w:fill="DBE5F1"/>
          </w:tcPr>
          <w:p>
            <w:pPr>
              <w:ind w:left="160"/>
              <w:spacing w:after="0"/>
              <w:rPr>
                <w:sz w:val="20"/>
                <w:szCs w:val="20"/>
                <w:color w:val="auto"/>
              </w:rPr>
            </w:pPr>
            <w:r>
              <w:rPr>
                <w:rFonts w:ascii="Arial" w:cs="Arial" w:eastAsia="Arial" w:hAnsi="Arial"/>
                <w:sz w:val="16"/>
                <w:szCs w:val="16"/>
                <w:color w:val="auto"/>
              </w:rPr>
              <w:t>Exec. Vice President, Sales</w:t>
            </w:r>
          </w:p>
        </w:tc>
        <w:tc>
          <w:tcPr>
            <w:tcW w:w="1820" w:type="dxa"/>
            <w:vAlign w:val="bottom"/>
            <w:vMerge w:val="restart"/>
            <w:shd w:val="clear" w:color="auto" w:fill="DBE5F1"/>
          </w:tcPr>
          <w:p>
            <w:pPr>
              <w:jc w:val="center"/>
              <w:spacing w:after="0"/>
              <w:rPr>
                <w:sz w:val="20"/>
                <w:szCs w:val="20"/>
                <w:color w:val="auto"/>
              </w:rPr>
            </w:pPr>
            <w:r>
              <w:rPr>
                <w:rFonts w:ascii="Arial" w:cs="Arial" w:eastAsia="Arial" w:hAnsi="Arial"/>
                <w:sz w:val="16"/>
                <w:szCs w:val="16"/>
                <w:color w:val="auto"/>
                <w:w w:val="89"/>
              </w:rPr>
              <w:t>$340,000</w:t>
            </w:r>
          </w:p>
        </w:tc>
        <w:tc>
          <w:tcPr>
            <w:tcW w:w="1820" w:type="dxa"/>
            <w:vAlign w:val="bottom"/>
            <w:vMerge w:val="restart"/>
            <w:shd w:val="clear" w:color="auto" w:fill="DBE5F1"/>
          </w:tcPr>
          <w:p>
            <w:pPr>
              <w:jc w:val="center"/>
              <w:spacing w:after="0"/>
              <w:rPr>
                <w:sz w:val="20"/>
                <w:szCs w:val="20"/>
                <w:color w:val="auto"/>
              </w:rPr>
            </w:pPr>
            <w:r>
              <w:rPr>
                <w:rFonts w:ascii="Arial" w:cs="Arial" w:eastAsia="Arial" w:hAnsi="Arial"/>
                <w:sz w:val="16"/>
                <w:szCs w:val="16"/>
                <w:color w:val="auto"/>
                <w:w w:val="89"/>
              </w:rPr>
              <w:t>$340,000</w:t>
            </w:r>
          </w:p>
        </w:tc>
        <w:tc>
          <w:tcPr>
            <w:tcW w:w="1620" w:type="dxa"/>
            <w:vAlign w:val="bottom"/>
            <w:vMerge w:val="restart"/>
            <w:shd w:val="clear" w:color="auto" w:fill="DBE5F1"/>
          </w:tcPr>
          <w:p>
            <w:pPr>
              <w:jc w:val="center"/>
              <w:spacing w:after="0"/>
              <w:rPr>
                <w:sz w:val="20"/>
                <w:szCs w:val="20"/>
                <w:color w:val="auto"/>
              </w:rPr>
            </w:pPr>
            <w:r>
              <w:rPr>
                <w:rFonts w:ascii="Arial" w:cs="Arial" w:eastAsia="Arial" w:hAnsi="Arial"/>
                <w:sz w:val="16"/>
                <w:szCs w:val="16"/>
                <w:color w:val="auto"/>
                <w:w w:val="92"/>
              </w:rPr>
              <w:t>$170,000</w:t>
            </w:r>
          </w:p>
        </w:tc>
        <w:tc>
          <w:tcPr>
            <w:tcW w:w="1800" w:type="dxa"/>
            <w:vAlign w:val="bottom"/>
            <w:vMerge w:val="restart"/>
            <w:shd w:val="clear" w:color="auto" w:fill="DBE5F1"/>
          </w:tcPr>
          <w:p>
            <w:pPr>
              <w:jc w:val="center"/>
              <w:spacing w:after="0"/>
              <w:rPr>
                <w:sz w:val="20"/>
                <w:szCs w:val="20"/>
                <w:color w:val="auto"/>
              </w:rPr>
            </w:pPr>
            <w:r>
              <w:rPr>
                <w:rFonts w:ascii="Arial" w:cs="Arial" w:eastAsia="Arial" w:hAnsi="Arial"/>
                <w:sz w:val="16"/>
                <w:szCs w:val="16"/>
                <w:color w:val="auto"/>
                <w:w w:val="89"/>
              </w:rPr>
              <w:t>$850,000</w:t>
            </w:r>
          </w:p>
        </w:tc>
        <w:tc>
          <w:tcPr>
            <w:tcW w:w="0" w:type="dxa"/>
            <w:vAlign w:val="bottom"/>
          </w:tcPr>
          <w:p>
            <w:pPr>
              <w:spacing w:after="0"/>
              <w:rPr>
                <w:sz w:val="1"/>
                <w:szCs w:val="1"/>
                <w:color w:val="auto"/>
              </w:rPr>
            </w:pPr>
          </w:p>
        </w:tc>
      </w:tr>
      <w:tr>
        <w:trPr>
          <w:trHeight w:val="143"/>
        </w:trPr>
        <w:tc>
          <w:tcPr>
            <w:tcW w:w="1960" w:type="dxa"/>
            <w:vAlign w:val="bottom"/>
            <w:vMerge w:val="restart"/>
            <w:shd w:val="clear" w:color="auto" w:fill="DBE5F1"/>
          </w:tcPr>
          <w:p>
            <w:pPr>
              <w:ind w:left="220"/>
              <w:spacing w:after="0"/>
              <w:rPr>
                <w:sz w:val="20"/>
                <w:szCs w:val="20"/>
                <w:color w:val="auto"/>
              </w:rPr>
            </w:pPr>
            <w:r>
              <w:rPr>
                <w:rFonts w:ascii="Arial" w:cs="Arial" w:eastAsia="Arial" w:hAnsi="Arial"/>
                <w:sz w:val="16"/>
                <w:szCs w:val="16"/>
                <w:b w:val="1"/>
                <w:bCs w:val="1"/>
                <w:color w:val="auto"/>
              </w:rPr>
              <w:t>Linnington</w:t>
            </w:r>
          </w:p>
        </w:tc>
        <w:tc>
          <w:tcPr>
            <w:tcW w:w="2400" w:type="dxa"/>
            <w:vAlign w:val="bottom"/>
            <w:vMerge w:val="continue"/>
            <w:shd w:val="clear" w:color="auto" w:fill="DBE5F1"/>
          </w:tcPr>
          <w:p>
            <w:pPr>
              <w:spacing w:after="0"/>
              <w:rPr>
                <w:sz w:val="12"/>
                <w:szCs w:val="12"/>
                <w:color w:val="auto"/>
              </w:rPr>
            </w:pPr>
          </w:p>
        </w:tc>
        <w:tc>
          <w:tcPr>
            <w:tcW w:w="1820" w:type="dxa"/>
            <w:vAlign w:val="bottom"/>
            <w:vMerge w:val="continue"/>
            <w:shd w:val="clear" w:color="auto" w:fill="DBE5F1"/>
          </w:tcPr>
          <w:p>
            <w:pPr>
              <w:spacing w:after="0"/>
              <w:rPr>
                <w:sz w:val="12"/>
                <w:szCs w:val="12"/>
                <w:color w:val="auto"/>
              </w:rPr>
            </w:pPr>
          </w:p>
        </w:tc>
        <w:tc>
          <w:tcPr>
            <w:tcW w:w="1820" w:type="dxa"/>
            <w:vAlign w:val="bottom"/>
            <w:vMerge w:val="continue"/>
            <w:shd w:val="clear" w:color="auto" w:fill="DBE5F1"/>
          </w:tcPr>
          <w:p>
            <w:pPr>
              <w:spacing w:after="0"/>
              <w:rPr>
                <w:sz w:val="12"/>
                <w:szCs w:val="12"/>
                <w:color w:val="auto"/>
              </w:rPr>
            </w:pPr>
          </w:p>
        </w:tc>
        <w:tc>
          <w:tcPr>
            <w:tcW w:w="1620" w:type="dxa"/>
            <w:vAlign w:val="bottom"/>
            <w:vMerge w:val="continue"/>
            <w:shd w:val="clear" w:color="auto" w:fill="DBE5F1"/>
          </w:tcPr>
          <w:p>
            <w:pPr>
              <w:spacing w:after="0"/>
              <w:rPr>
                <w:sz w:val="12"/>
                <w:szCs w:val="12"/>
                <w:color w:val="auto"/>
              </w:rPr>
            </w:pPr>
          </w:p>
        </w:tc>
        <w:tc>
          <w:tcPr>
            <w:tcW w:w="1800" w:type="dxa"/>
            <w:vAlign w:val="bottom"/>
            <w:vMerge w:val="continue"/>
            <w:shd w:val="clear" w:color="auto" w:fill="DBE5F1"/>
          </w:tcPr>
          <w:p>
            <w:pPr>
              <w:spacing w:after="0"/>
              <w:rPr>
                <w:sz w:val="12"/>
                <w:szCs w:val="12"/>
                <w:color w:val="auto"/>
              </w:rPr>
            </w:pPr>
          </w:p>
        </w:tc>
        <w:tc>
          <w:tcPr>
            <w:tcW w:w="0" w:type="dxa"/>
            <w:vAlign w:val="bottom"/>
          </w:tcPr>
          <w:p>
            <w:pPr>
              <w:spacing w:after="0"/>
              <w:rPr>
                <w:sz w:val="1"/>
                <w:szCs w:val="1"/>
                <w:color w:val="auto"/>
              </w:rPr>
            </w:pPr>
          </w:p>
        </w:tc>
      </w:tr>
      <w:tr>
        <w:trPr>
          <w:trHeight w:val="68"/>
        </w:trPr>
        <w:tc>
          <w:tcPr>
            <w:tcW w:w="1960" w:type="dxa"/>
            <w:vAlign w:val="bottom"/>
            <w:vMerge w:val="continue"/>
            <w:shd w:val="clear" w:color="auto" w:fill="DBE5F1"/>
          </w:tcPr>
          <w:p>
            <w:pPr>
              <w:spacing w:after="0"/>
              <w:rPr>
                <w:sz w:val="5"/>
                <w:szCs w:val="5"/>
                <w:color w:val="auto"/>
              </w:rPr>
            </w:pPr>
          </w:p>
        </w:tc>
        <w:tc>
          <w:tcPr>
            <w:tcW w:w="2400" w:type="dxa"/>
            <w:vAlign w:val="bottom"/>
            <w:shd w:val="clear" w:color="auto" w:fill="DBE5F1"/>
          </w:tcPr>
          <w:p>
            <w:pPr>
              <w:spacing w:after="0"/>
              <w:rPr>
                <w:sz w:val="5"/>
                <w:szCs w:val="5"/>
                <w:color w:val="auto"/>
              </w:rPr>
            </w:pPr>
          </w:p>
        </w:tc>
        <w:tc>
          <w:tcPr>
            <w:tcW w:w="1820" w:type="dxa"/>
            <w:vAlign w:val="bottom"/>
            <w:shd w:val="clear" w:color="auto" w:fill="DBE5F1"/>
          </w:tcPr>
          <w:p>
            <w:pPr>
              <w:spacing w:after="0"/>
              <w:rPr>
                <w:sz w:val="5"/>
                <w:szCs w:val="5"/>
                <w:color w:val="auto"/>
              </w:rPr>
            </w:pPr>
          </w:p>
        </w:tc>
        <w:tc>
          <w:tcPr>
            <w:tcW w:w="1820" w:type="dxa"/>
            <w:vAlign w:val="bottom"/>
            <w:shd w:val="clear" w:color="auto" w:fill="DBE5F1"/>
          </w:tcPr>
          <w:p>
            <w:pPr>
              <w:spacing w:after="0"/>
              <w:rPr>
                <w:sz w:val="5"/>
                <w:szCs w:val="5"/>
                <w:color w:val="auto"/>
              </w:rPr>
            </w:pPr>
          </w:p>
        </w:tc>
        <w:tc>
          <w:tcPr>
            <w:tcW w:w="1620" w:type="dxa"/>
            <w:vAlign w:val="bottom"/>
            <w:shd w:val="clear" w:color="auto" w:fill="DBE5F1"/>
          </w:tcPr>
          <w:p>
            <w:pPr>
              <w:spacing w:after="0"/>
              <w:rPr>
                <w:sz w:val="5"/>
                <w:szCs w:val="5"/>
                <w:color w:val="auto"/>
              </w:rPr>
            </w:pPr>
          </w:p>
        </w:tc>
        <w:tc>
          <w:tcPr>
            <w:tcW w:w="1800" w:type="dxa"/>
            <w:vAlign w:val="bottom"/>
            <w:shd w:val="clear" w:color="auto" w:fill="DBE5F1"/>
          </w:tcPr>
          <w:p>
            <w:pPr>
              <w:spacing w:after="0"/>
              <w:rPr>
                <w:sz w:val="5"/>
                <w:szCs w:val="5"/>
                <w:color w:val="auto"/>
              </w:rPr>
            </w:pPr>
          </w:p>
        </w:tc>
        <w:tc>
          <w:tcPr>
            <w:tcW w:w="0" w:type="dxa"/>
            <w:vAlign w:val="bottom"/>
          </w:tcPr>
          <w:p>
            <w:pPr>
              <w:spacing w:after="0"/>
              <w:rPr>
                <w:sz w:val="1"/>
                <w:szCs w:val="1"/>
                <w:color w:val="auto"/>
              </w:rPr>
            </w:pPr>
          </w:p>
        </w:tc>
      </w:tr>
      <w:tr>
        <w:trPr>
          <w:trHeight w:val="101"/>
        </w:trPr>
        <w:tc>
          <w:tcPr>
            <w:tcW w:w="1960" w:type="dxa"/>
            <w:vAlign w:val="bottom"/>
            <w:shd w:val="clear" w:color="auto" w:fill="DBE5F1"/>
          </w:tcPr>
          <w:p>
            <w:pPr>
              <w:spacing w:after="0"/>
              <w:rPr>
                <w:sz w:val="8"/>
                <w:szCs w:val="8"/>
                <w:color w:val="auto"/>
              </w:rPr>
            </w:pPr>
          </w:p>
        </w:tc>
        <w:tc>
          <w:tcPr>
            <w:tcW w:w="2400" w:type="dxa"/>
            <w:vAlign w:val="bottom"/>
            <w:shd w:val="clear" w:color="auto" w:fill="DBE5F1"/>
          </w:tcPr>
          <w:p>
            <w:pPr>
              <w:spacing w:after="0"/>
              <w:rPr>
                <w:sz w:val="8"/>
                <w:szCs w:val="8"/>
                <w:color w:val="auto"/>
              </w:rPr>
            </w:pPr>
          </w:p>
        </w:tc>
        <w:tc>
          <w:tcPr>
            <w:tcW w:w="1820" w:type="dxa"/>
            <w:vAlign w:val="bottom"/>
            <w:shd w:val="clear" w:color="auto" w:fill="DBE5F1"/>
          </w:tcPr>
          <w:p>
            <w:pPr>
              <w:spacing w:after="0"/>
              <w:rPr>
                <w:sz w:val="8"/>
                <w:szCs w:val="8"/>
                <w:color w:val="auto"/>
              </w:rPr>
            </w:pPr>
          </w:p>
        </w:tc>
        <w:tc>
          <w:tcPr>
            <w:tcW w:w="1820" w:type="dxa"/>
            <w:vAlign w:val="bottom"/>
            <w:shd w:val="clear" w:color="auto" w:fill="DBE5F1"/>
          </w:tcPr>
          <w:p>
            <w:pPr>
              <w:spacing w:after="0"/>
              <w:rPr>
                <w:sz w:val="8"/>
                <w:szCs w:val="8"/>
                <w:color w:val="auto"/>
              </w:rPr>
            </w:pPr>
          </w:p>
        </w:tc>
        <w:tc>
          <w:tcPr>
            <w:tcW w:w="1620" w:type="dxa"/>
            <w:vAlign w:val="bottom"/>
            <w:shd w:val="clear" w:color="auto" w:fill="DBE5F1"/>
          </w:tcPr>
          <w:p>
            <w:pPr>
              <w:spacing w:after="0"/>
              <w:rPr>
                <w:sz w:val="8"/>
                <w:szCs w:val="8"/>
                <w:color w:val="auto"/>
              </w:rPr>
            </w:pPr>
          </w:p>
        </w:tc>
        <w:tc>
          <w:tcPr>
            <w:tcW w:w="1800" w:type="dxa"/>
            <w:vAlign w:val="bottom"/>
            <w:shd w:val="clear" w:color="auto" w:fill="DBE5F1"/>
          </w:tcPr>
          <w:p>
            <w:pPr>
              <w:spacing w:after="0"/>
              <w:rPr>
                <w:sz w:val="8"/>
                <w:szCs w:val="8"/>
                <w:color w:val="auto"/>
              </w:rPr>
            </w:pPr>
          </w:p>
        </w:tc>
        <w:tc>
          <w:tcPr>
            <w:tcW w:w="0" w:type="dxa"/>
            <w:vAlign w:val="bottom"/>
          </w:tcPr>
          <w:p>
            <w:pPr>
              <w:spacing w:after="0"/>
              <w:rPr>
                <w:sz w:val="1"/>
                <w:szCs w:val="1"/>
                <w:color w:val="auto"/>
              </w:rPr>
            </w:pPr>
          </w:p>
        </w:tc>
      </w:tr>
      <w:tr>
        <w:trPr>
          <w:trHeight w:val="193"/>
        </w:trPr>
        <w:tc>
          <w:tcPr>
            <w:tcW w:w="1960" w:type="dxa"/>
            <w:vAlign w:val="bottom"/>
          </w:tcPr>
          <w:p>
            <w:pPr>
              <w:spacing w:after="0"/>
              <w:rPr>
                <w:sz w:val="20"/>
                <w:szCs w:val="20"/>
                <w:color w:val="auto"/>
              </w:rPr>
            </w:pPr>
            <w:r>
              <w:rPr>
                <w:rFonts w:ascii="Arial" w:cs="Arial" w:eastAsia="Arial" w:hAnsi="Arial"/>
                <w:sz w:val="16"/>
                <w:szCs w:val="16"/>
                <w:color w:val="auto"/>
              </w:rPr>
              <w:t>_____________</w:t>
            </w:r>
          </w:p>
        </w:tc>
        <w:tc>
          <w:tcPr>
            <w:tcW w:w="240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8000" w:type="dxa"/>
            <w:vAlign w:val="bottom"/>
            <w:gridSpan w:val="4"/>
          </w:tcPr>
          <w:p>
            <w:pPr>
              <w:ind w:left="20"/>
              <w:spacing w:after="0"/>
              <w:rPr>
                <w:sz w:val="20"/>
                <w:szCs w:val="20"/>
                <w:color w:val="auto"/>
              </w:rPr>
            </w:pPr>
            <w:r>
              <w:rPr>
                <w:rFonts w:ascii="Arial" w:cs="Arial" w:eastAsia="Arial" w:hAnsi="Arial"/>
                <w:sz w:val="16"/>
                <w:szCs w:val="16"/>
                <w:color w:val="auto"/>
                <w:w w:val="94"/>
              </w:rPr>
              <w:t>(1) Mr. Yinger was not an executive officer when the executive long-term equity incentive awards were granted in 2015.</w:t>
            </w:r>
          </w:p>
        </w:tc>
        <w:tc>
          <w:tcPr>
            <w:tcW w:w="162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1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2014 Performance-Based Restricted Stock Awards Granted in 2015</w:t>
      </w:r>
    </w:p>
    <w:p>
      <w:pPr>
        <w:spacing w:after="0" w:line="11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March 5, 2015, the Committee approved and awarded each named executive officer a grant of restricted stock, the size of which was based on the target award values set forth above and achievement of non-GAAP net income for 2014 (the “2014 Performance-Based Stock Awards”). Each named executive officer had the potential to earn up to two times his annual performance-based restricted stock target award value for exceptional performance as measured against the pre-established metrics and goals.</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5978A5"/>
        </w:rPr>
        <w:t>2014 Performance-Based Stock Awards – Financial Goal</w:t>
      </w:r>
      <w:r>
        <w:rPr>
          <w:rFonts w:ascii="Arial" w:cs="Arial" w:eastAsia="Arial" w:hAnsi="Arial"/>
          <w:sz w:val="25"/>
          <w:szCs w:val="25"/>
          <w:color w:val="000000"/>
          <w:vertAlign w:val="superscript"/>
        </w:rPr>
        <w:t>(1)</w:t>
      </w:r>
    </w:p>
    <w:p>
      <w:pPr>
        <w:spacing w:after="0"/>
        <w:rPr>
          <w:sz w:val="20"/>
          <w:szCs w:val="20"/>
          <w:color w:val="auto"/>
        </w:rPr>
      </w:pPr>
      <w:r>
        <w:rPr>
          <w:rFonts w:ascii="Arial" w:cs="Arial" w:eastAsia="Arial" w:hAnsi="Arial"/>
          <w:sz w:val="18"/>
          <w:szCs w:val="18"/>
          <w:i w:val="1"/>
          <w:iCs w:val="1"/>
          <w:color w:val="auto"/>
        </w:rPr>
        <w:t>(dollar amounts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90170</wp:posOffset>
            </wp:positionV>
            <wp:extent cx="7254875" cy="81470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54875" cy="814705"/>
                    </a:xfrm>
                    <a:prstGeom prst="rect">
                      <a:avLst/>
                    </a:prstGeom>
                    <a:noFill/>
                  </pic:spPr>
                </pic:pic>
              </a:graphicData>
            </a:graphic>
          </wp:anchor>
        </w:drawing>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324"/>
        </w:trPr>
        <w:tc>
          <w:tcPr>
            <w:tcW w:w="3200" w:type="dxa"/>
            <w:vAlign w:val="bottom"/>
            <w:gridSpan w:val="3"/>
            <w:shd w:val="clear" w:color="auto" w:fill="B8CCE4"/>
          </w:tcPr>
          <w:p>
            <w:pPr>
              <w:ind w:left="180"/>
              <w:spacing w:after="0"/>
              <w:rPr>
                <w:sz w:val="20"/>
                <w:szCs w:val="20"/>
                <w:color w:val="auto"/>
              </w:rPr>
            </w:pPr>
            <w:r>
              <w:rPr>
                <w:rFonts w:ascii="Arial" w:cs="Arial" w:eastAsia="Arial" w:hAnsi="Arial"/>
                <w:sz w:val="18"/>
                <w:szCs w:val="18"/>
                <w:b w:val="1"/>
                <w:bCs w:val="1"/>
                <w:color w:val="auto"/>
              </w:rPr>
              <w:t>Performance Metric</w:t>
            </w:r>
          </w:p>
        </w:tc>
        <w:tc>
          <w:tcPr>
            <w:tcW w:w="2140" w:type="dxa"/>
            <w:vAlign w:val="bottom"/>
            <w:shd w:val="clear" w:color="auto" w:fill="B8CCE4"/>
          </w:tcPr>
          <w:p>
            <w:pPr>
              <w:ind w:left="460"/>
              <w:spacing w:after="0"/>
              <w:rPr>
                <w:sz w:val="20"/>
                <w:szCs w:val="20"/>
                <w:color w:val="auto"/>
              </w:rPr>
            </w:pPr>
            <w:r>
              <w:rPr>
                <w:rFonts w:ascii="Arial" w:cs="Arial" w:eastAsia="Arial" w:hAnsi="Arial"/>
                <w:sz w:val="18"/>
                <w:szCs w:val="18"/>
                <w:b w:val="1"/>
                <w:bCs w:val="1"/>
                <w:color w:val="auto"/>
              </w:rPr>
              <w:t>Threshold Goal</w:t>
            </w:r>
          </w:p>
        </w:tc>
        <w:tc>
          <w:tcPr>
            <w:tcW w:w="1900" w:type="dxa"/>
            <w:vAlign w:val="bottom"/>
            <w:shd w:val="clear" w:color="auto" w:fill="B8CCE4"/>
          </w:tcPr>
          <w:p>
            <w:pPr>
              <w:jc w:val="center"/>
              <w:spacing w:after="0"/>
              <w:rPr>
                <w:sz w:val="20"/>
                <w:szCs w:val="20"/>
                <w:color w:val="auto"/>
              </w:rPr>
            </w:pPr>
            <w:r>
              <w:rPr>
                <w:rFonts w:ascii="Arial" w:cs="Arial" w:eastAsia="Arial" w:hAnsi="Arial"/>
                <w:sz w:val="18"/>
                <w:szCs w:val="18"/>
                <w:b w:val="1"/>
                <w:bCs w:val="1"/>
                <w:color w:val="auto"/>
                <w:w w:val="91"/>
              </w:rPr>
              <w:t>Target Goal</w:t>
            </w:r>
          </w:p>
        </w:tc>
        <w:tc>
          <w:tcPr>
            <w:tcW w:w="2200" w:type="dxa"/>
            <w:vAlign w:val="bottom"/>
            <w:shd w:val="clear" w:color="auto" w:fill="B8CCE4"/>
          </w:tcPr>
          <w:p>
            <w:pPr>
              <w:jc w:val="center"/>
              <w:spacing w:after="0"/>
              <w:rPr>
                <w:sz w:val="20"/>
                <w:szCs w:val="20"/>
                <w:color w:val="auto"/>
              </w:rPr>
            </w:pPr>
            <w:r>
              <w:rPr>
                <w:rFonts w:ascii="Arial" w:cs="Arial" w:eastAsia="Arial" w:hAnsi="Arial"/>
                <w:sz w:val="18"/>
                <w:szCs w:val="18"/>
                <w:b w:val="1"/>
                <w:bCs w:val="1"/>
                <w:color w:val="auto"/>
                <w:w w:val="95"/>
              </w:rPr>
              <w:t>Maximum Goal</w:t>
            </w:r>
          </w:p>
        </w:tc>
        <w:tc>
          <w:tcPr>
            <w:tcW w:w="1980" w:type="dxa"/>
            <w:vAlign w:val="bottom"/>
            <w:shd w:val="clear" w:color="auto" w:fill="B8CCE4"/>
          </w:tcPr>
          <w:p>
            <w:pPr>
              <w:ind w:left="500"/>
              <w:spacing w:after="0"/>
              <w:rPr>
                <w:sz w:val="20"/>
                <w:szCs w:val="20"/>
                <w:color w:val="auto"/>
              </w:rPr>
            </w:pPr>
            <w:r>
              <w:rPr>
                <w:rFonts w:ascii="Arial" w:cs="Arial" w:eastAsia="Arial" w:hAnsi="Arial"/>
                <w:sz w:val="18"/>
                <w:szCs w:val="18"/>
                <w:b w:val="1"/>
                <w:bCs w:val="1"/>
                <w:color w:val="auto"/>
              </w:rPr>
              <w:t>2014 Actual</w:t>
            </w:r>
          </w:p>
        </w:tc>
      </w:tr>
      <w:tr>
        <w:trPr>
          <w:trHeight w:val="108"/>
        </w:trPr>
        <w:tc>
          <w:tcPr>
            <w:tcW w:w="1300" w:type="dxa"/>
            <w:vAlign w:val="bottom"/>
            <w:shd w:val="clear" w:color="auto" w:fill="B8CCE4"/>
          </w:tcPr>
          <w:p>
            <w:pPr>
              <w:spacing w:after="0"/>
              <w:rPr>
                <w:sz w:val="9"/>
                <w:szCs w:val="9"/>
                <w:color w:val="auto"/>
              </w:rPr>
            </w:pPr>
          </w:p>
        </w:tc>
        <w:tc>
          <w:tcPr>
            <w:tcW w:w="300" w:type="dxa"/>
            <w:vAlign w:val="bottom"/>
            <w:shd w:val="clear" w:color="auto" w:fill="B8CCE4"/>
          </w:tcPr>
          <w:p>
            <w:pPr>
              <w:spacing w:after="0"/>
              <w:rPr>
                <w:sz w:val="9"/>
                <w:szCs w:val="9"/>
                <w:color w:val="auto"/>
              </w:rPr>
            </w:pPr>
          </w:p>
        </w:tc>
        <w:tc>
          <w:tcPr>
            <w:tcW w:w="1600" w:type="dxa"/>
            <w:vAlign w:val="bottom"/>
            <w:shd w:val="clear" w:color="auto" w:fill="B8CCE4"/>
          </w:tcPr>
          <w:p>
            <w:pPr>
              <w:spacing w:after="0"/>
              <w:rPr>
                <w:sz w:val="9"/>
                <w:szCs w:val="9"/>
                <w:color w:val="auto"/>
              </w:rPr>
            </w:pPr>
          </w:p>
        </w:tc>
        <w:tc>
          <w:tcPr>
            <w:tcW w:w="2140" w:type="dxa"/>
            <w:vAlign w:val="bottom"/>
            <w:shd w:val="clear" w:color="auto" w:fill="B8CCE4"/>
          </w:tcPr>
          <w:p>
            <w:pPr>
              <w:spacing w:after="0"/>
              <w:rPr>
                <w:sz w:val="9"/>
                <w:szCs w:val="9"/>
                <w:color w:val="auto"/>
              </w:rPr>
            </w:pPr>
          </w:p>
        </w:tc>
        <w:tc>
          <w:tcPr>
            <w:tcW w:w="1900" w:type="dxa"/>
            <w:vAlign w:val="bottom"/>
            <w:shd w:val="clear" w:color="auto" w:fill="B8CCE4"/>
          </w:tcPr>
          <w:p>
            <w:pPr>
              <w:spacing w:after="0"/>
              <w:rPr>
                <w:sz w:val="9"/>
                <w:szCs w:val="9"/>
                <w:color w:val="auto"/>
              </w:rPr>
            </w:pPr>
          </w:p>
        </w:tc>
        <w:tc>
          <w:tcPr>
            <w:tcW w:w="2200" w:type="dxa"/>
            <w:vAlign w:val="bottom"/>
            <w:shd w:val="clear" w:color="auto" w:fill="B8CCE4"/>
          </w:tcPr>
          <w:p>
            <w:pPr>
              <w:spacing w:after="0"/>
              <w:rPr>
                <w:sz w:val="9"/>
                <w:szCs w:val="9"/>
                <w:color w:val="auto"/>
              </w:rPr>
            </w:pPr>
          </w:p>
        </w:tc>
        <w:tc>
          <w:tcPr>
            <w:tcW w:w="1980" w:type="dxa"/>
            <w:vAlign w:val="bottom"/>
            <w:shd w:val="clear" w:color="auto" w:fill="B8CCE4"/>
          </w:tcPr>
          <w:p>
            <w:pPr>
              <w:spacing w:after="0"/>
              <w:rPr>
                <w:sz w:val="9"/>
                <w:szCs w:val="9"/>
                <w:color w:val="auto"/>
              </w:rPr>
            </w:pPr>
          </w:p>
        </w:tc>
      </w:tr>
      <w:tr>
        <w:trPr>
          <w:trHeight w:val="278"/>
        </w:trPr>
        <w:tc>
          <w:tcPr>
            <w:tcW w:w="3200" w:type="dxa"/>
            <w:vAlign w:val="bottom"/>
            <w:gridSpan w:val="3"/>
            <w:shd w:val="clear" w:color="auto" w:fill="DBE5F1"/>
          </w:tcPr>
          <w:p>
            <w:pPr>
              <w:ind w:left="180"/>
              <w:spacing w:after="0"/>
              <w:rPr>
                <w:sz w:val="20"/>
                <w:szCs w:val="20"/>
                <w:color w:val="auto"/>
              </w:rPr>
            </w:pPr>
            <w:r>
              <w:rPr>
                <w:rFonts w:ascii="Arial" w:cs="Arial" w:eastAsia="Arial" w:hAnsi="Arial"/>
                <w:sz w:val="16"/>
                <w:szCs w:val="16"/>
                <w:b w:val="1"/>
                <w:bCs w:val="1"/>
                <w:color w:val="auto"/>
              </w:rPr>
              <w:t>Non-GAAP Net Income</w:t>
            </w:r>
          </w:p>
        </w:tc>
        <w:tc>
          <w:tcPr>
            <w:tcW w:w="2140" w:type="dxa"/>
            <w:vAlign w:val="bottom"/>
            <w:shd w:val="clear" w:color="auto" w:fill="DBE5F1"/>
          </w:tcPr>
          <w:p>
            <w:pPr>
              <w:jc w:val="right"/>
              <w:ind w:right="816"/>
              <w:spacing w:after="0"/>
              <w:rPr>
                <w:sz w:val="20"/>
                <w:szCs w:val="20"/>
                <w:color w:val="auto"/>
              </w:rPr>
            </w:pPr>
            <w:r>
              <w:rPr>
                <w:rFonts w:ascii="Arial" w:cs="Arial" w:eastAsia="Arial" w:hAnsi="Arial"/>
                <w:sz w:val="16"/>
                <w:szCs w:val="16"/>
                <w:color w:val="auto"/>
              </w:rPr>
              <w:t>$69.6</w:t>
            </w:r>
          </w:p>
        </w:tc>
        <w:tc>
          <w:tcPr>
            <w:tcW w:w="1900" w:type="dxa"/>
            <w:vAlign w:val="bottom"/>
            <w:shd w:val="clear" w:color="auto" w:fill="DBE5F1"/>
          </w:tcPr>
          <w:p>
            <w:pPr>
              <w:jc w:val="center"/>
              <w:spacing w:after="0"/>
              <w:rPr>
                <w:sz w:val="20"/>
                <w:szCs w:val="20"/>
                <w:color w:val="auto"/>
              </w:rPr>
            </w:pPr>
            <w:r>
              <w:rPr>
                <w:rFonts w:ascii="Arial" w:cs="Arial" w:eastAsia="Arial" w:hAnsi="Arial"/>
                <w:sz w:val="16"/>
                <w:szCs w:val="16"/>
                <w:color w:val="auto"/>
                <w:w w:val="89"/>
              </w:rPr>
              <w:t>$87.0</w:t>
            </w:r>
          </w:p>
        </w:tc>
        <w:tc>
          <w:tcPr>
            <w:tcW w:w="2200" w:type="dxa"/>
            <w:vAlign w:val="bottom"/>
            <w:shd w:val="clear" w:color="auto" w:fill="DBE5F1"/>
          </w:tcPr>
          <w:p>
            <w:pPr>
              <w:jc w:val="center"/>
              <w:spacing w:after="0"/>
              <w:rPr>
                <w:sz w:val="20"/>
                <w:szCs w:val="20"/>
                <w:color w:val="auto"/>
              </w:rPr>
            </w:pPr>
            <w:r>
              <w:rPr>
                <w:rFonts w:ascii="Arial" w:cs="Arial" w:eastAsia="Arial" w:hAnsi="Arial"/>
                <w:sz w:val="16"/>
                <w:szCs w:val="16"/>
                <w:color w:val="auto"/>
                <w:w w:val="89"/>
              </w:rPr>
              <w:t>$95.7</w:t>
            </w:r>
          </w:p>
        </w:tc>
        <w:tc>
          <w:tcPr>
            <w:tcW w:w="1980" w:type="dxa"/>
            <w:vAlign w:val="bottom"/>
            <w:shd w:val="clear" w:color="auto" w:fill="DBE5F1"/>
          </w:tcPr>
          <w:p>
            <w:pPr>
              <w:jc w:val="right"/>
              <w:ind w:right="716"/>
              <w:spacing w:after="0"/>
              <w:rPr>
                <w:sz w:val="20"/>
                <w:szCs w:val="20"/>
                <w:color w:val="auto"/>
              </w:rPr>
            </w:pPr>
            <w:r>
              <w:rPr>
                <w:rFonts w:ascii="Arial" w:cs="Arial" w:eastAsia="Arial" w:hAnsi="Arial"/>
                <w:sz w:val="16"/>
                <w:szCs w:val="16"/>
                <w:color w:val="auto"/>
              </w:rPr>
              <w:t>$101.0</w:t>
            </w:r>
          </w:p>
        </w:tc>
      </w:tr>
      <w:tr>
        <w:trPr>
          <w:trHeight w:val="419"/>
        </w:trPr>
        <w:tc>
          <w:tcPr>
            <w:tcW w:w="3200" w:type="dxa"/>
            <w:vAlign w:val="bottom"/>
            <w:gridSpan w:val="3"/>
            <w:shd w:val="clear" w:color="auto" w:fill="DBE5F1"/>
          </w:tcPr>
          <w:p>
            <w:pPr>
              <w:ind w:left="180"/>
              <w:spacing w:after="0"/>
              <w:rPr>
                <w:sz w:val="20"/>
                <w:szCs w:val="20"/>
                <w:color w:val="auto"/>
              </w:rPr>
            </w:pPr>
            <w:r>
              <w:rPr>
                <w:rFonts w:ascii="Arial" w:cs="Arial" w:eastAsia="Arial" w:hAnsi="Arial"/>
                <w:sz w:val="16"/>
                <w:szCs w:val="16"/>
                <w:b w:val="1"/>
                <w:bCs w:val="1"/>
                <w:i w:val="1"/>
                <w:iCs w:val="1"/>
                <w:color w:val="auto"/>
              </w:rPr>
              <w:t>Payout Percentage</w:t>
            </w:r>
          </w:p>
        </w:tc>
        <w:tc>
          <w:tcPr>
            <w:tcW w:w="2140" w:type="dxa"/>
            <w:vAlign w:val="bottom"/>
            <w:shd w:val="clear" w:color="auto" w:fill="DBE5F1"/>
          </w:tcPr>
          <w:p>
            <w:pPr>
              <w:jc w:val="right"/>
              <w:ind w:right="856"/>
              <w:spacing w:after="0"/>
              <w:rPr>
                <w:sz w:val="20"/>
                <w:szCs w:val="20"/>
                <w:color w:val="auto"/>
              </w:rPr>
            </w:pPr>
            <w:r>
              <w:rPr>
                <w:rFonts w:ascii="Arial" w:cs="Arial" w:eastAsia="Arial" w:hAnsi="Arial"/>
                <w:sz w:val="16"/>
                <w:szCs w:val="16"/>
                <w:i w:val="1"/>
                <w:iCs w:val="1"/>
                <w:color w:val="auto"/>
              </w:rPr>
              <w:t>50%</w:t>
            </w:r>
          </w:p>
        </w:tc>
        <w:tc>
          <w:tcPr>
            <w:tcW w:w="1900" w:type="dxa"/>
            <w:vAlign w:val="bottom"/>
            <w:shd w:val="clear" w:color="auto" w:fill="DBE5F1"/>
          </w:tcPr>
          <w:p>
            <w:pPr>
              <w:jc w:val="center"/>
              <w:spacing w:after="0"/>
              <w:rPr>
                <w:sz w:val="20"/>
                <w:szCs w:val="20"/>
                <w:color w:val="auto"/>
              </w:rPr>
            </w:pPr>
            <w:r>
              <w:rPr>
                <w:rFonts w:ascii="Arial" w:cs="Arial" w:eastAsia="Arial" w:hAnsi="Arial"/>
                <w:sz w:val="16"/>
                <w:szCs w:val="16"/>
                <w:i w:val="1"/>
                <w:iCs w:val="1"/>
                <w:color w:val="auto"/>
                <w:w w:val="92"/>
              </w:rPr>
              <w:t>100%</w:t>
            </w:r>
          </w:p>
        </w:tc>
        <w:tc>
          <w:tcPr>
            <w:tcW w:w="2200" w:type="dxa"/>
            <w:vAlign w:val="bottom"/>
            <w:shd w:val="clear" w:color="auto" w:fill="DBE5F1"/>
          </w:tcPr>
          <w:p>
            <w:pPr>
              <w:jc w:val="center"/>
              <w:spacing w:after="0"/>
              <w:rPr>
                <w:sz w:val="20"/>
                <w:szCs w:val="20"/>
                <w:color w:val="auto"/>
              </w:rPr>
            </w:pPr>
            <w:r>
              <w:rPr>
                <w:rFonts w:ascii="Arial" w:cs="Arial" w:eastAsia="Arial" w:hAnsi="Arial"/>
                <w:sz w:val="16"/>
                <w:szCs w:val="16"/>
                <w:i w:val="1"/>
                <w:iCs w:val="1"/>
                <w:color w:val="auto"/>
                <w:w w:val="92"/>
              </w:rPr>
              <w:t>200%</w:t>
            </w:r>
          </w:p>
        </w:tc>
        <w:tc>
          <w:tcPr>
            <w:tcW w:w="1980" w:type="dxa"/>
            <w:vAlign w:val="bottom"/>
            <w:shd w:val="clear" w:color="auto" w:fill="DBE5F1"/>
          </w:tcPr>
          <w:p>
            <w:pPr>
              <w:jc w:val="right"/>
              <w:ind w:right="756"/>
              <w:spacing w:after="0"/>
              <w:rPr>
                <w:sz w:val="20"/>
                <w:szCs w:val="20"/>
                <w:color w:val="auto"/>
              </w:rPr>
            </w:pPr>
            <w:r>
              <w:rPr>
                <w:rFonts w:ascii="Arial" w:cs="Arial" w:eastAsia="Arial" w:hAnsi="Arial"/>
                <w:sz w:val="16"/>
                <w:szCs w:val="16"/>
                <w:i w:val="1"/>
                <w:iCs w:val="1"/>
                <w:color w:val="auto"/>
              </w:rPr>
              <w:t>200%</w:t>
            </w:r>
          </w:p>
        </w:tc>
      </w:tr>
      <w:tr>
        <w:trPr>
          <w:trHeight w:val="141"/>
        </w:trPr>
        <w:tc>
          <w:tcPr>
            <w:tcW w:w="1300" w:type="dxa"/>
            <w:vAlign w:val="bottom"/>
            <w:shd w:val="clear" w:color="auto" w:fill="DBE5F1"/>
          </w:tcPr>
          <w:p>
            <w:pPr>
              <w:spacing w:after="0"/>
              <w:rPr>
                <w:sz w:val="12"/>
                <w:szCs w:val="12"/>
                <w:color w:val="auto"/>
              </w:rPr>
            </w:pPr>
          </w:p>
        </w:tc>
        <w:tc>
          <w:tcPr>
            <w:tcW w:w="300" w:type="dxa"/>
            <w:vAlign w:val="bottom"/>
            <w:shd w:val="clear" w:color="auto" w:fill="DBE5F1"/>
          </w:tcPr>
          <w:p>
            <w:pPr>
              <w:spacing w:after="0"/>
              <w:rPr>
                <w:sz w:val="12"/>
                <w:szCs w:val="12"/>
                <w:color w:val="auto"/>
              </w:rPr>
            </w:pPr>
          </w:p>
        </w:tc>
        <w:tc>
          <w:tcPr>
            <w:tcW w:w="1600" w:type="dxa"/>
            <w:vAlign w:val="bottom"/>
            <w:shd w:val="clear" w:color="auto" w:fill="DBE5F1"/>
          </w:tcPr>
          <w:p>
            <w:pPr>
              <w:spacing w:after="0"/>
              <w:rPr>
                <w:sz w:val="12"/>
                <w:szCs w:val="12"/>
                <w:color w:val="auto"/>
              </w:rPr>
            </w:pPr>
          </w:p>
        </w:tc>
        <w:tc>
          <w:tcPr>
            <w:tcW w:w="2140" w:type="dxa"/>
            <w:vAlign w:val="bottom"/>
            <w:shd w:val="clear" w:color="auto" w:fill="DBE5F1"/>
          </w:tcPr>
          <w:p>
            <w:pPr>
              <w:spacing w:after="0"/>
              <w:rPr>
                <w:sz w:val="12"/>
                <w:szCs w:val="12"/>
                <w:color w:val="auto"/>
              </w:rPr>
            </w:pPr>
          </w:p>
        </w:tc>
        <w:tc>
          <w:tcPr>
            <w:tcW w:w="1900" w:type="dxa"/>
            <w:vAlign w:val="bottom"/>
            <w:shd w:val="clear" w:color="auto" w:fill="DBE5F1"/>
          </w:tcPr>
          <w:p>
            <w:pPr>
              <w:spacing w:after="0"/>
              <w:rPr>
                <w:sz w:val="12"/>
                <w:szCs w:val="12"/>
                <w:color w:val="auto"/>
              </w:rPr>
            </w:pPr>
          </w:p>
        </w:tc>
        <w:tc>
          <w:tcPr>
            <w:tcW w:w="2200" w:type="dxa"/>
            <w:vAlign w:val="bottom"/>
            <w:shd w:val="clear" w:color="auto" w:fill="DBE5F1"/>
          </w:tcPr>
          <w:p>
            <w:pPr>
              <w:spacing w:after="0"/>
              <w:rPr>
                <w:sz w:val="12"/>
                <w:szCs w:val="12"/>
                <w:color w:val="auto"/>
              </w:rPr>
            </w:pPr>
          </w:p>
        </w:tc>
        <w:tc>
          <w:tcPr>
            <w:tcW w:w="1980" w:type="dxa"/>
            <w:vAlign w:val="bottom"/>
            <w:shd w:val="clear" w:color="auto" w:fill="DBE5F1"/>
          </w:tcPr>
          <w:p>
            <w:pPr>
              <w:spacing w:after="0"/>
              <w:rPr>
                <w:sz w:val="12"/>
                <w:szCs w:val="12"/>
                <w:color w:val="auto"/>
              </w:rPr>
            </w:pPr>
          </w:p>
        </w:tc>
      </w:tr>
      <w:tr>
        <w:trPr>
          <w:trHeight w:val="149"/>
        </w:trPr>
        <w:tc>
          <w:tcPr>
            <w:tcW w:w="130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600" w:type="dxa"/>
            <w:vAlign w:val="bottom"/>
          </w:tcPr>
          <w:p>
            <w:pPr>
              <w:spacing w:after="0"/>
              <w:rPr>
                <w:sz w:val="12"/>
                <w:szCs w:val="12"/>
                <w:color w:val="auto"/>
              </w:rPr>
            </w:pPr>
          </w:p>
        </w:tc>
        <w:tc>
          <w:tcPr>
            <w:tcW w:w="214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1980" w:type="dxa"/>
            <w:vAlign w:val="bottom"/>
          </w:tcPr>
          <w:p>
            <w:pPr>
              <w:spacing w:after="0"/>
              <w:rPr>
                <w:sz w:val="12"/>
                <w:szCs w:val="12"/>
                <w:color w:val="auto"/>
              </w:rPr>
            </w:pPr>
          </w:p>
        </w:tc>
      </w:tr>
    </w:tbl>
    <w:p>
      <w:pPr>
        <w:spacing w:after="0" w:line="4" w:lineRule="exact"/>
        <w:rPr>
          <w:sz w:val="20"/>
          <w:szCs w:val="20"/>
          <w:color w:val="auto"/>
        </w:rPr>
      </w:pPr>
    </w:p>
    <w:p>
      <w:pPr>
        <w:jc w:val="both"/>
        <w:ind w:left="340" w:hanging="332"/>
        <w:spacing w:after="0" w:line="261" w:lineRule="auto"/>
        <w:tabs>
          <w:tab w:leader="none" w:pos="340" w:val="left"/>
        </w:tabs>
        <w:numPr>
          <w:ilvl w:val="0"/>
          <w:numId w:val="40"/>
        </w:numPr>
        <w:rPr>
          <w:rFonts w:ascii="Arial" w:cs="Arial" w:eastAsia="Arial" w:hAnsi="Arial"/>
          <w:sz w:val="16"/>
          <w:szCs w:val="16"/>
          <w:color w:val="auto"/>
        </w:rPr>
      </w:pPr>
      <w:r>
        <w:rPr>
          <w:rFonts w:ascii="Arial" w:cs="Arial" w:eastAsia="Arial" w:hAnsi="Arial"/>
          <w:sz w:val="16"/>
          <w:szCs w:val="16"/>
          <w:color w:val="auto"/>
        </w:rPr>
        <w:t>Named executive officers could receive between 0% and 200% credit for the non-GAAP net income goal, depending upon actual non-GAAP net income achieved in 2014. Credit for performance between threshold and target and between target and maximum are determined by linear interpolation. No credit is given for performance below threshold and credit is capped at 200% of target.</w:t>
      </w:r>
    </w:p>
    <w:p>
      <w:pPr>
        <w:spacing w:after="0" w:line="17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For 2014 performance, each named executive officer received 200.0% of his target award value. The 2014 Performance-Based Stock Awards were granted on March 5, 2015, and the stock award value earned by each named executive officer is shown in the table below. For additional information, see the Grants of Plan-Based Awards table in this Proxy Statement.</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20"/>
          </w:cols>
          <w:pgMar w:left="240" w:top="368" w:right="239" w:bottom="1440" w:gutter="0" w:footer="0" w:header="0"/>
        </w:sectPr>
      </w:pPr>
    </w:p>
    <w:bookmarkStart w:id="67" w:name="page68"/>
    <w:bookmarkEnd w:id="67"/>
    <w:tbl>
      <w:tblPr>
        <w:tblLayout w:type="fixed"/>
        <w:tblInd w:w="0" w:type="dxa"/>
        <w:tblCellMar>
          <w:top w:w="0" w:type="dxa"/>
          <w:left w:w="0" w:type="dxa"/>
          <w:bottom w:w="0" w:type="dxa"/>
          <w:right w:w="0" w:type="dxa"/>
        </w:tblCellMar>
      </w:tblPr>
      <w:tr>
        <w:trPr>
          <w:trHeight w:val="238"/>
        </w:trPr>
        <w:tc>
          <w:tcPr>
            <w:tcW w:w="2300" w:type="dxa"/>
            <w:vAlign w:val="bottom"/>
            <w:vMerge w:val="restart"/>
            <w:shd w:val="clear" w:color="auto" w:fill="B8CCE4"/>
          </w:tcPr>
          <w:p>
            <w:pPr>
              <w:ind w:left="180"/>
              <w:spacing w:after="0"/>
              <w:rPr>
                <w:sz w:val="20"/>
                <w:szCs w:val="20"/>
                <w:color w:val="auto"/>
              </w:rPr>
            </w:pPr>
            <w:r>
              <w:rPr>
                <w:rFonts w:ascii="Arial" w:cs="Arial" w:eastAsia="Arial" w:hAnsi="Arial"/>
                <w:sz w:val="18"/>
                <w:szCs w:val="18"/>
                <w:b w:val="1"/>
                <w:bCs w:val="1"/>
                <w:color w:val="auto"/>
              </w:rPr>
              <w:t>Name</w:t>
            </w:r>
          </w:p>
        </w:tc>
        <w:tc>
          <w:tcPr>
            <w:tcW w:w="4560" w:type="dxa"/>
            <w:vAlign w:val="bottom"/>
            <w:vMerge w:val="restart"/>
            <w:shd w:val="clear" w:color="auto" w:fill="B8CCE4"/>
          </w:tcPr>
          <w:p>
            <w:pPr>
              <w:ind w:left="160"/>
              <w:spacing w:after="0"/>
              <w:rPr>
                <w:sz w:val="20"/>
                <w:szCs w:val="20"/>
                <w:color w:val="auto"/>
              </w:rPr>
            </w:pPr>
            <w:r>
              <w:rPr>
                <w:rFonts w:ascii="Arial" w:cs="Arial" w:eastAsia="Arial" w:hAnsi="Arial"/>
                <w:sz w:val="18"/>
                <w:szCs w:val="18"/>
                <w:b w:val="1"/>
                <w:bCs w:val="1"/>
                <w:color w:val="auto"/>
              </w:rPr>
              <w:t>Title</w:t>
            </w:r>
          </w:p>
        </w:tc>
        <w:tc>
          <w:tcPr>
            <w:tcW w:w="2280" w:type="dxa"/>
            <w:vAlign w:val="bottom"/>
            <w:shd w:val="clear" w:color="auto" w:fill="B8CCE4"/>
          </w:tcPr>
          <w:p>
            <w:pPr>
              <w:jc w:val="center"/>
              <w:spacing w:after="0"/>
              <w:rPr>
                <w:sz w:val="20"/>
                <w:szCs w:val="20"/>
                <w:color w:val="auto"/>
              </w:rPr>
            </w:pPr>
            <w:r>
              <w:rPr>
                <w:rFonts w:ascii="Arial" w:cs="Arial" w:eastAsia="Arial" w:hAnsi="Arial"/>
                <w:sz w:val="18"/>
                <w:szCs w:val="18"/>
                <w:b w:val="1"/>
                <w:bCs w:val="1"/>
                <w:color w:val="auto"/>
                <w:w w:val="92"/>
              </w:rPr>
              <w:t>Award Earned</w:t>
            </w:r>
          </w:p>
        </w:tc>
        <w:tc>
          <w:tcPr>
            <w:tcW w:w="2280" w:type="dxa"/>
            <w:vAlign w:val="bottom"/>
            <w:shd w:val="clear" w:color="auto" w:fill="B8CCE4"/>
          </w:tcPr>
          <w:p>
            <w:pPr>
              <w:ind w:left="600"/>
              <w:spacing w:after="0"/>
              <w:rPr>
                <w:sz w:val="20"/>
                <w:szCs w:val="20"/>
                <w:color w:val="auto"/>
              </w:rPr>
            </w:pPr>
            <w:r>
              <w:rPr>
                <w:rFonts w:ascii="Arial" w:cs="Arial" w:eastAsia="Arial" w:hAnsi="Arial"/>
                <w:sz w:val="18"/>
                <w:szCs w:val="18"/>
                <w:b w:val="1"/>
                <w:bCs w:val="1"/>
                <w:color w:val="auto"/>
              </w:rPr>
              <w:t>Actual Award</w:t>
            </w:r>
          </w:p>
        </w:tc>
        <w:tc>
          <w:tcPr>
            <w:tcW w:w="0" w:type="dxa"/>
            <w:vAlign w:val="bottom"/>
          </w:tcPr>
          <w:p>
            <w:pPr>
              <w:spacing w:after="0"/>
              <w:rPr>
                <w:sz w:val="1"/>
                <w:szCs w:val="1"/>
                <w:color w:val="auto"/>
              </w:rPr>
            </w:pPr>
          </w:p>
        </w:tc>
      </w:tr>
      <w:tr>
        <w:trPr>
          <w:trHeight w:val="86"/>
        </w:trPr>
        <w:tc>
          <w:tcPr>
            <w:tcW w:w="2300" w:type="dxa"/>
            <w:vAlign w:val="bottom"/>
            <w:vMerge w:val="continue"/>
            <w:shd w:val="clear" w:color="auto" w:fill="B8CCE4"/>
          </w:tcPr>
          <w:p>
            <w:pPr>
              <w:spacing w:after="0"/>
              <w:rPr>
                <w:sz w:val="7"/>
                <w:szCs w:val="7"/>
                <w:color w:val="auto"/>
              </w:rPr>
            </w:pPr>
          </w:p>
        </w:tc>
        <w:tc>
          <w:tcPr>
            <w:tcW w:w="4560" w:type="dxa"/>
            <w:vAlign w:val="bottom"/>
            <w:vMerge w:val="continue"/>
            <w:shd w:val="clear" w:color="auto" w:fill="B8CCE4"/>
          </w:tcPr>
          <w:p>
            <w:pPr>
              <w:spacing w:after="0"/>
              <w:rPr>
                <w:sz w:val="7"/>
                <w:szCs w:val="7"/>
                <w:color w:val="auto"/>
              </w:rPr>
            </w:pPr>
          </w:p>
        </w:tc>
        <w:tc>
          <w:tcPr>
            <w:tcW w:w="2280" w:type="dxa"/>
            <w:vAlign w:val="bottom"/>
            <w:vMerge w:val="restart"/>
            <w:shd w:val="clear" w:color="auto" w:fill="B8CCE4"/>
          </w:tcPr>
          <w:p>
            <w:pPr>
              <w:jc w:val="center"/>
              <w:spacing w:after="0"/>
              <w:rPr>
                <w:sz w:val="20"/>
                <w:szCs w:val="20"/>
                <w:color w:val="auto"/>
              </w:rPr>
            </w:pPr>
            <w:r>
              <w:rPr>
                <w:rFonts w:ascii="Arial" w:cs="Arial" w:eastAsia="Arial" w:hAnsi="Arial"/>
                <w:sz w:val="18"/>
                <w:szCs w:val="18"/>
                <w:b w:val="1"/>
                <w:bCs w:val="1"/>
                <w:color w:val="auto"/>
                <w:w w:val="90"/>
              </w:rPr>
              <w:t>Value ($)</w:t>
            </w:r>
          </w:p>
        </w:tc>
        <w:tc>
          <w:tcPr>
            <w:tcW w:w="2280" w:type="dxa"/>
            <w:vAlign w:val="bottom"/>
            <w:vMerge w:val="restart"/>
            <w:shd w:val="clear" w:color="auto" w:fill="B8CCE4"/>
          </w:tcPr>
          <w:p>
            <w:pPr>
              <w:ind w:left="580"/>
              <w:spacing w:after="0" w:line="262" w:lineRule="exact"/>
              <w:rPr>
                <w:sz w:val="20"/>
                <w:szCs w:val="20"/>
                <w:color w:val="auto"/>
              </w:rPr>
            </w:pPr>
            <w:r>
              <w:rPr>
                <w:rFonts w:ascii="Arial" w:cs="Arial" w:eastAsia="Arial" w:hAnsi="Arial"/>
                <w:sz w:val="18"/>
                <w:szCs w:val="18"/>
                <w:b w:val="1"/>
                <w:bCs w:val="1"/>
                <w:color w:val="auto"/>
              </w:rPr>
              <w:t>of Shares (#)</w:t>
            </w:r>
            <w:r>
              <w:rPr>
                <w:rFonts w:ascii="Arial" w:cs="Arial" w:eastAsia="Arial" w:hAnsi="Arial"/>
                <w:sz w:val="25"/>
                <w:szCs w:val="25"/>
                <w:b w:val="1"/>
                <w:bCs w:val="1"/>
                <w:color w:val="auto"/>
                <w:vertAlign w:val="superscript"/>
              </w:rPr>
              <w:t>(1)</w:t>
            </w:r>
          </w:p>
        </w:tc>
        <w:tc>
          <w:tcPr>
            <w:tcW w:w="0" w:type="dxa"/>
            <w:vAlign w:val="bottom"/>
          </w:tcPr>
          <w:p>
            <w:pPr>
              <w:spacing w:after="0"/>
              <w:rPr>
                <w:sz w:val="1"/>
                <w:szCs w:val="1"/>
                <w:color w:val="auto"/>
              </w:rPr>
            </w:pPr>
          </w:p>
        </w:tc>
      </w:tr>
      <w:tr>
        <w:trPr>
          <w:trHeight w:val="176"/>
        </w:trPr>
        <w:tc>
          <w:tcPr>
            <w:tcW w:w="2300" w:type="dxa"/>
            <w:vAlign w:val="bottom"/>
            <w:shd w:val="clear" w:color="auto" w:fill="B8CCE4"/>
          </w:tcPr>
          <w:p>
            <w:pPr>
              <w:spacing w:after="0"/>
              <w:rPr>
                <w:sz w:val="15"/>
                <w:szCs w:val="15"/>
                <w:color w:val="auto"/>
              </w:rPr>
            </w:pPr>
          </w:p>
        </w:tc>
        <w:tc>
          <w:tcPr>
            <w:tcW w:w="4560" w:type="dxa"/>
            <w:vAlign w:val="bottom"/>
            <w:shd w:val="clear" w:color="auto" w:fill="B8CCE4"/>
          </w:tcPr>
          <w:p>
            <w:pPr>
              <w:spacing w:after="0"/>
              <w:rPr>
                <w:sz w:val="15"/>
                <w:szCs w:val="15"/>
                <w:color w:val="auto"/>
              </w:rPr>
            </w:pPr>
          </w:p>
        </w:tc>
        <w:tc>
          <w:tcPr>
            <w:tcW w:w="2280" w:type="dxa"/>
            <w:vAlign w:val="bottom"/>
            <w:vMerge w:val="continue"/>
            <w:shd w:val="clear" w:color="auto" w:fill="B8CCE4"/>
          </w:tcPr>
          <w:p>
            <w:pPr>
              <w:spacing w:after="0"/>
              <w:rPr>
                <w:sz w:val="15"/>
                <w:szCs w:val="15"/>
                <w:color w:val="auto"/>
              </w:rPr>
            </w:pPr>
          </w:p>
        </w:tc>
        <w:tc>
          <w:tcPr>
            <w:tcW w:w="2280" w:type="dxa"/>
            <w:vAlign w:val="bottom"/>
            <w:vMerge w:val="continue"/>
            <w:shd w:val="clear" w:color="auto" w:fill="B8CCE4"/>
          </w:tcPr>
          <w:p>
            <w:pPr>
              <w:spacing w:after="0"/>
              <w:rPr>
                <w:sz w:val="15"/>
                <w:szCs w:val="15"/>
                <w:color w:val="auto"/>
              </w:rPr>
            </w:pPr>
          </w:p>
        </w:tc>
        <w:tc>
          <w:tcPr>
            <w:tcW w:w="0" w:type="dxa"/>
            <w:vAlign w:val="bottom"/>
          </w:tcPr>
          <w:p>
            <w:pPr>
              <w:spacing w:after="0"/>
              <w:rPr>
                <w:sz w:val="1"/>
                <w:szCs w:val="1"/>
                <w:color w:val="auto"/>
              </w:rPr>
            </w:pPr>
          </w:p>
        </w:tc>
      </w:tr>
      <w:tr>
        <w:trPr>
          <w:trHeight w:val="305"/>
        </w:trPr>
        <w:tc>
          <w:tcPr>
            <w:tcW w:w="2300" w:type="dxa"/>
            <w:vAlign w:val="bottom"/>
            <w:shd w:val="clear" w:color="auto" w:fill="DBE5F1"/>
          </w:tcPr>
          <w:p>
            <w:pPr>
              <w:ind w:left="220"/>
              <w:spacing w:after="0"/>
              <w:rPr>
                <w:sz w:val="20"/>
                <w:szCs w:val="20"/>
                <w:color w:val="auto"/>
              </w:rPr>
            </w:pPr>
            <w:r>
              <w:rPr>
                <w:rFonts w:ascii="Arial" w:cs="Arial" w:eastAsia="Arial" w:hAnsi="Arial"/>
                <w:sz w:val="16"/>
                <w:szCs w:val="16"/>
                <w:b w:val="1"/>
                <w:bCs w:val="1"/>
                <w:color w:val="auto"/>
              </w:rPr>
              <w:t>Andrew C. Florance</w:t>
            </w:r>
          </w:p>
        </w:tc>
        <w:tc>
          <w:tcPr>
            <w:tcW w:w="4560" w:type="dxa"/>
            <w:vAlign w:val="bottom"/>
            <w:shd w:val="clear" w:color="auto" w:fill="DBE5F1"/>
          </w:tcPr>
          <w:p>
            <w:pPr>
              <w:ind w:left="160"/>
              <w:spacing w:after="0"/>
              <w:rPr>
                <w:sz w:val="20"/>
                <w:szCs w:val="20"/>
                <w:color w:val="auto"/>
              </w:rPr>
            </w:pPr>
            <w:r>
              <w:rPr>
                <w:rFonts w:ascii="Arial" w:cs="Arial" w:eastAsia="Arial" w:hAnsi="Arial"/>
                <w:sz w:val="16"/>
                <w:szCs w:val="16"/>
                <w:color w:val="auto"/>
              </w:rPr>
              <w:t>CEO &amp; President</w:t>
            </w:r>
          </w:p>
        </w:tc>
        <w:tc>
          <w:tcPr>
            <w:tcW w:w="2280" w:type="dxa"/>
            <w:vAlign w:val="bottom"/>
            <w:shd w:val="clear" w:color="auto" w:fill="DBE5F1"/>
          </w:tcPr>
          <w:p>
            <w:pPr>
              <w:jc w:val="center"/>
              <w:spacing w:after="0"/>
              <w:rPr>
                <w:sz w:val="20"/>
                <w:szCs w:val="20"/>
                <w:color w:val="auto"/>
              </w:rPr>
            </w:pPr>
            <w:r>
              <w:rPr>
                <w:rFonts w:ascii="Arial" w:cs="Arial" w:eastAsia="Arial" w:hAnsi="Arial"/>
                <w:sz w:val="16"/>
                <w:szCs w:val="16"/>
                <w:color w:val="auto"/>
                <w:w w:val="89"/>
              </w:rPr>
              <w:t>$3,040,000</w:t>
            </w:r>
          </w:p>
        </w:tc>
        <w:tc>
          <w:tcPr>
            <w:tcW w:w="2280" w:type="dxa"/>
            <w:vAlign w:val="bottom"/>
            <w:shd w:val="clear" w:color="auto" w:fill="DBE5F1"/>
          </w:tcPr>
          <w:p>
            <w:pPr>
              <w:jc w:val="center"/>
              <w:spacing w:after="0"/>
              <w:rPr>
                <w:sz w:val="20"/>
                <w:szCs w:val="20"/>
                <w:color w:val="auto"/>
              </w:rPr>
            </w:pPr>
            <w:r>
              <w:rPr>
                <w:rFonts w:ascii="Arial" w:cs="Arial" w:eastAsia="Arial" w:hAnsi="Arial"/>
                <w:sz w:val="16"/>
                <w:szCs w:val="16"/>
                <w:color w:val="auto"/>
                <w:w w:val="89"/>
              </w:rPr>
              <w:t>18,900</w:t>
            </w:r>
          </w:p>
        </w:tc>
        <w:tc>
          <w:tcPr>
            <w:tcW w:w="0" w:type="dxa"/>
            <w:vAlign w:val="bottom"/>
          </w:tcPr>
          <w:p>
            <w:pPr>
              <w:spacing w:after="0"/>
              <w:rPr>
                <w:sz w:val="1"/>
                <w:szCs w:val="1"/>
                <w:color w:val="auto"/>
              </w:rPr>
            </w:pPr>
          </w:p>
        </w:tc>
      </w:tr>
      <w:tr>
        <w:trPr>
          <w:trHeight w:val="419"/>
        </w:trPr>
        <w:tc>
          <w:tcPr>
            <w:tcW w:w="2300" w:type="dxa"/>
            <w:vAlign w:val="bottom"/>
            <w:shd w:val="clear" w:color="auto" w:fill="DBE5F1"/>
          </w:tcPr>
          <w:p>
            <w:pPr>
              <w:ind w:left="220"/>
              <w:spacing w:after="0"/>
              <w:rPr>
                <w:sz w:val="20"/>
                <w:szCs w:val="20"/>
                <w:color w:val="auto"/>
              </w:rPr>
            </w:pPr>
            <w:r>
              <w:rPr>
                <w:rFonts w:ascii="Arial" w:cs="Arial" w:eastAsia="Arial" w:hAnsi="Arial"/>
                <w:sz w:val="16"/>
                <w:szCs w:val="16"/>
                <w:b w:val="1"/>
                <w:bCs w:val="1"/>
                <w:color w:val="auto"/>
              </w:rPr>
              <w:t>Brian J. Radecki</w:t>
            </w:r>
          </w:p>
        </w:tc>
        <w:tc>
          <w:tcPr>
            <w:tcW w:w="4560" w:type="dxa"/>
            <w:vAlign w:val="bottom"/>
            <w:shd w:val="clear" w:color="auto" w:fill="DBE5F1"/>
          </w:tcPr>
          <w:p>
            <w:pPr>
              <w:ind w:left="160"/>
              <w:spacing w:after="0"/>
              <w:rPr>
                <w:sz w:val="20"/>
                <w:szCs w:val="20"/>
                <w:color w:val="auto"/>
              </w:rPr>
            </w:pPr>
            <w:r>
              <w:rPr>
                <w:rFonts w:ascii="Arial" w:cs="Arial" w:eastAsia="Arial" w:hAnsi="Arial"/>
                <w:sz w:val="16"/>
                <w:szCs w:val="16"/>
                <w:color w:val="auto"/>
              </w:rPr>
              <w:t>Former CFO</w:t>
            </w:r>
          </w:p>
        </w:tc>
        <w:tc>
          <w:tcPr>
            <w:tcW w:w="2280" w:type="dxa"/>
            <w:vAlign w:val="bottom"/>
            <w:shd w:val="clear" w:color="auto" w:fill="DBE5F1"/>
          </w:tcPr>
          <w:p>
            <w:pPr>
              <w:jc w:val="center"/>
              <w:spacing w:after="0"/>
              <w:rPr>
                <w:sz w:val="20"/>
                <w:szCs w:val="20"/>
                <w:color w:val="auto"/>
              </w:rPr>
            </w:pPr>
            <w:r>
              <w:rPr>
                <w:rFonts w:ascii="Arial" w:cs="Arial" w:eastAsia="Arial" w:hAnsi="Arial"/>
                <w:sz w:val="16"/>
                <w:szCs w:val="16"/>
                <w:color w:val="auto"/>
                <w:w w:val="89"/>
              </w:rPr>
              <w:t>$1,320,000</w:t>
            </w:r>
          </w:p>
        </w:tc>
        <w:tc>
          <w:tcPr>
            <w:tcW w:w="2280" w:type="dxa"/>
            <w:vAlign w:val="bottom"/>
            <w:shd w:val="clear" w:color="auto" w:fill="DBE5F1"/>
          </w:tcPr>
          <w:p>
            <w:pPr>
              <w:jc w:val="center"/>
              <w:spacing w:after="0"/>
              <w:rPr>
                <w:sz w:val="20"/>
                <w:szCs w:val="20"/>
                <w:color w:val="auto"/>
              </w:rPr>
            </w:pPr>
            <w:r>
              <w:rPr>
                <w:rFonts w:ascii="Arial" w:cs="Arial" w:eastAsia="Arial" w:hAnsi="Arial"/>
                <w:sz w:val="16"/>
                <w:szCs w:val="16"/>
                <w:color w:val="auto"/>
                <w:w w:val="89"/>
              </w:rPr>
              <w:t>8,200</w:t>
            </w:r>
          </w:p>
        </w:tc>
        <w:tc>
          <w:tcPr>
            <w:tcW w:w="0" w:type="dxa"/>
            <w:vAlign w:val="bottom"/>
          </w:tcPr>
          <w:p>
            <w:pPr>
              <w:spacing w:after="0"/>
              <w:rPr>
                <w:sz w:val="1"/>
                <w:szCs w:val="1"/>
                <w:color w:val="auto"/>
              </w:rPr>
            </w:pPr>
          </w:p>
        </w:tc>
      </w:tr>
      <w:tr>
        <w:trPr>
          <w:trHeight w:val="493"/>
        </w:trPr>
        <w:tc>
          <w:tcPr>
            <w:tcW w:w="2300" w:type="dxa"/>
            <w:vAlign w:val="bottom"/>
            <w:shd w:val="clear" w:color="auto" w:fill="DBE5F1"/>
          </w:tcPr>
          <w:p>
            <w:pPr>
              <w:ind w:left="220"/>
              <w:spacing w:after="0"/>
              <w:rPr>
                <w:sz w:val="20"/>
                <w:szCs w:val="20"/>
                <w:color w:val="auto"/>
              </w:rPr>
            </w:pPr>
            <w:r>
              <w:rPr>
                <w:rFonts w:ascii="Arial" w:cs="Arial" w:eastAsia="Arial" w:hAnsi="Arial"/>
                <w:sz w:val="16"/>
                <w:szCs w:val="16"/>
                <w:b w:val="1"/>
                <w:bCs w:val="1"/>
                <w:color w:val="auto"/>
              </w:rPr>
              <w:t>Scott L. Yinger</w:t>
            </w:r>
            <w:r>
              <w:rPr>
                <w:rFonts w:ascii="Arial" w:cs="Arial" w:eastAsia="Arial" w:hAnsi="Arial"/>
                <w:sz w:val="21"/>
                <w:szCs w:val="21"/>
                <w:b w:val="1"/>
                <w:bCs w:val="1"/>
                <w:color w:val="auto"/>
                <w:vertAlign w:val="superscript"/>
              </w:rPr>
              <w:t>(2)</w:t>
            </w:r>
          </w:p>
        </w:tc>
        <w:tc>
          <w:tcPr>
            <w:tcW w:w="4560" w:type="dxa"/>
            <w:vAlign w:val="bottom"/>
            <w:shd w:val="clear" w:color="auto" w:fill="DBE5F1"/>
          </w:tcPr>
          <w:p>
            <w:pPr>
              <w:ind w:left="160"/>
              <w:spacing w:after="0"/>
              <w:rPr>
                <w:sz w:val="20"/>
                <w:szCs w:val="20"/>
                <w:color w:val="auto"/>
              </w:rPr>
            </w:pPr>
            <w:r>
              <w:rPr>
                <w:rFonts w:ascii="Arial" w:cs="Arial" w:eastAsia="Arial" w:hAnsi="Arial"/>
                <w:sz w:val="16"/>
                <w:szCs w:val="16"/>
                <w:color w:val="auto"/>
              </w:rPr>
              <w:t>Interim CFO</w:t>
            </w:r>
          </w:p>
        </w:tc>
        <w:tc>
          <w:tcPr>
            <w:tcW w:w="2280" w:type="dxa"/>
            <w:vAlign w:val="bottom"/>
            <w:shd w:val="clear" w:color="auto" w:fill="DBE5F1"/>
          </w:tcPr>
          <w:p>
            <w:pPr>
              <w:jc w:val="center"/>
              <w:spacing w:after="0"/>
              <w:rPr>
                <w:sz w:val="20"/>
                <w:szCs w:val="20"/>
                <w:color w:val="auto"/>
              </w:rPr>
            </w:pPr>
            <w:r>
              <w:rPr>
                <w:rFonts w:ascii="Arial" w:cs="Arial" w:eastAsia="Arial" w:hAnsi="Arial"/>
                <w:sz w:val="14"/>
                <w:szCs w:val="14"/>
                <w:color w:val="auto"/>
                <w:w w:val="99"/>
              </w:rPr>
              <w:t>—</w:t>
            </w:r>
          </w:p>
        </w:tc>
        <w:tc>
          <w:tcPr>
            <w:tcW w:w="2280" w:type="dxa"/>
            <w:vAlign w:val="bottom"/>
            <w:shd w:val="clear" w:color="auto" w:fill="DBE5F1"/>
          </w:tcPr>
          <w:p>
            <w:pPr>
              <w:jc w:val="center"/>
              <w:spacing w:after="0"/>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344"/>
        </w:trPr>
        <w:tc>
          <w:tcPr>
            <w:tcW w:w="2300" w:type="dxa"/>
            <w:vAlign w:val="bottom"/>
            <w:shd w:val="clear" w:color="auto" w:fill="DBE5F1"/>
          </w:tcPr>
          <w:p>
            <w:pPr>
              <w:ind w:left="220"/>
              <w:spacing w:after="0"/>
              <w:rPr>
                <w:sz w:val="20"/>
                <w:szCs w:val="20"/>
                <w:color w:val="auto"/>
              </w:rPr>
            </w:pPr>
            <w:r>
              <w:rPr>
                <w:rFonts w:ascii="Arial" w:cs="Arial" w:eastAsia="Arial" w:hAnsi="Arial"/>
                <w:sz w:val="16"/>
                <w:szCs w:val="16"/>
                <w:b w:val="1"/>
                <w:bCs w:val="1"/>
                <w:color w:val="auto"/>
              </w:rPr>
              <w:t>Francis A. Carchedi</w:t>
            </w:r>
          </w:p>
        </w:tc>
        <w:tc>
          <w:tcPr>
            <w:tcW w:w="4560" w:type="dxa"/>
            <w:vAlign w:val="bottom"/>
            <w:shd w:val="clear" w:color="auto" w:fill="DBE5F1"/>
          </w:tcPr>
          <w:p>
            <w:pPr>
              <w:ind w:left="160"/>
              <w:spacing w:after="0"/>
              <w:rPr>
                <w:sz w:val="20"/>
                <w:szCs w:val="20"/>
                <w:color w:val="auto"/>
              </w:rPr>
            </w:pPr>
            <w:r>
              <w:rPr>
                <w:rFonts w:ascii="Arial" w:cs="Arial" w:eastAsia="Arial" w:hAnsi="Arial"/>
                <w:sz w:val="16"/>
                <w:szCs w:val="16"/>
                <w:color w:val="auto"/>
              </w:rPr>
              <w:t>Exec. Vice President, Corporate Development</w:t>
            </w:r>
          </w:p>
        </w:tc>
        <w:tc>
          <w:tcPr>
            <w:tcW w:w="2280" w:type="dxa"/>
            <w:vAlign w:val="bottom"/>
            <w:shd w:val="clear" w:color="auto" w:fill="DBE5F1"/>
          </w:tcPr>
          <w:p>
            <w:pPr>
              <w:jc w:val="center"/>
              <w:spacing w:after="0"/>
              <w:rPr>
                <w:sz w:val="20"/>
                <w:szCs w:val="20"/>
                <w:color w:val="auto"/>
              </w:rPr>
            </w:pPr>
            <w:r>
              <w:rPr>
                <w:rFonts w:ascii="Arial" w:cs="Arial" w:eastAsia="Arial" w:hAnsi="Arial"/>
                <w:sz w:val="16"/>
                <w:szCs w:val="16"/>
                <w:color w:val="auto"/>
                <w:w w:val="89"/>
              </w:rPr>
              <w:t>$800,000</w:t>
            </w:r>
          </w:p>
        </w:tc>
        <w:tc>
          <w:tcPr>
            <w:tcW w:w="2280" w:type="dxa"/>
            <w:vAlign w:val="bottom"/>
            <w:shd w:val="clear" w:color="auto" w:fill="DBE5F1"/>
          </w:tcPr>
          <w:p>
            <w:pPr>
              <w:jc w:val="center"/>
              <w:spacing w:after="0"/>
              <w:rPr>
                <w:sz w:val="20"/>
                <w:szCs w:val="20"/>
                <w:color w:val="auto"/>
              </w:rPr>
            </w:pPr>
            <w:r>
              <w:rPr>
                <w:rFonts w:ascii="Arial" w:cs="Arial" w:eastAsia="Arial" w:hAnsi="Arial"/>
                <w:sz w:val="16"/>
                <w:szCs w:val="16"/>
                <w:color w:val="auto"/>
                <w:w w:val="89"/>
              </w:rPr>
              <w:t>5,000</w:t>
            </w:r>
          </w:p>
        </w:tc>
        <w:tc>
          <w:tcPr>
            <w:tcW w:w="0" w:type="dxa"/>
            <w:vAlign w:val="bottom"/>
          </w:tcPr>
          <w:p>
            <w:pPr>
              <w:spacing w:after="0"/>
              <w:rPr>
                <w:sz w:val="1"/>
                <w:szCs w:val="1"/>
                <w:color w:val="auto"/>
              </w:rPr>
            </w:pPr>
          </w:p>
        </w:tc>
      </w:tr>
      <w:tr>
        <w:trPr>
          <w:trHeight w:val="419"/>
        </w:trPr>
        <w:tc>
          <w:tcPr>
            <w:tcW w:w="2300" w:type="dxa"/>
            <w:vAlign w:val="bottom"/>
            <w:shd w:val="clear" w:color="auto" w:fill="DBE5F1"/>
          </w:tcPr>
          <w:p>
            <w:pPr>
              <w:ind w:left="220"/>
              <w:spacing w:after="0"/>
              <w:rPr>
                <w:sz w:val="20"/>
                <w:szCs w:val="20"/>
                <w:color w:val="auto"/>
              </w:rPr>
            </w:pPr>
            <w:r>
              <w:rPr>
                <w:rFonts w:ascii="Arial" w:cs="Arial" w:eastAsia="Arial" w:hAnsi="Arial"/>
                <w:sz w:val="16"/>
                <w:szCs w:val="16"/>
                <w:b w:val="1"/>
                <w:bCs w:val="1"/>
                <w:color w:val="auto"/>
              </w:rPr>
              <w:t>Matthew F. W. Linnington</w:t>
            </w:r>
          </w:p>
        </w:tc>
        <w:tc>
          <w:tcPr>
            <w:tcW w:w="4560" w:type="dxa"/>
            <w:vAlign w:val="bottom"/>
            <w:shd w:val="clear" w:color="auto" w:fill="DBE5F1"/>
          </w:tcPr>
          <w:p>
            <w:pPr>
              <w:ind w:left="160"/>
              <w:spacing w:after="0"/>
              <w:rPr>
                <w:sz w:val="20"/>
                <w:szCs w:val="20"/>
                <w:color w:val="auto"/>
              </w:rPr>
            </w:pPr>
            <w:r>
              <w:rPr>
                <w:rFonts w:ascii="Arial" w:cs="Arial" w:eastAsia="Arial" w:hAnsi="Arial"/>
                <w:sz w:val="16"/>
                <w:szCs w:val="16"/>
                <w:color w:val="auto"/>
              </w:rPr>
              <w:t>Exec. Vice President, Sales</w:t>
            </w:r>
          </w:p>
        </w:tc>
        <w:tc>
          <w:tcPr>
            <w:tcW w:w="2280" w:type="dxa"/>
            <w:vAlign w:val="bottom"/>
            <w:shd w:val="clear" w:color="auto" w:fill="DBE5F1"/>
          </w:tcPr>
          <w:p>
            <w:pPr>
              <w:jc w:val="center"/>
              <w:spacing w:after="0"/>
              <w:rPr>
                <w:sz w:val="20"/>
                <w:szCs w:val="20"/>
                <w:color w:val="auto"/>
              </w:rPr>
            </w:pPr>
            <w:r>
              <w:rPr>
                <w:rFonts w:ascii="Arial" w:cs="Arial" w:eastAsia="Arial" w:hAnsi="Arial"/>
                <w:sz w:val="16"/>
                <w:szCs w:val="16"/>
                <w:color w:val="auto"/>
                <w:w w:val="89"/>
              </w:rPr>
              <w:t>$680,000</w:t>
            </w:r>
          </w:p>
        </w:tc>
        <w:tc>
          <w:tcPr>
            <w:tcW w:w="2280" w:type="dxa"/>
            <w:vAlign w:val="bottom"/>
            <w:shd w:val="clear" w:color="auto" w:fill="DBE5F1"/>
          </w:tcPr>
          <w:p>
            <w:pPr>
              <w:jc w:val="center"/>
              <w:spacing w:after="0"/>
              <w:rPr>
                <w:sz w:val="20"/>
                <w:szCs w:val="20"/>
                <w:color w:val="auto"/>
              </w:rPr>
            </w:pPr>
            <w:r>
              <w:rPr>
                <w:rFonts w:ascii="Arial" w:cs="Arial" w:eastAsia="Arial" w:hAnsi="Arial"/>
                <w:sz w:val="16"/>
                <w:szCs w:val="16"/>
                <w:color w:val="auto"/>
                <w:w w:val="89"/>
              </w:rPr>
              <w:t>4,300</w:t>
            </w:r>
          </w:p>
        </w:tc>
        <w:tc>
          <w:tcPr>
            <w:tcW w:w="0" w:type="dxa"/>
            <w:vAlign w:val="bottom"/>
          </w:tcPr>
          <w:p>
            <w:pPr>
              <w:spacing w:after="0"/>
              <w:rPr>
                <w:sz w:val="1"/>
                <w:szCs w:val="1"/>
                <w:color w:val="auto"/>
              </w:rPr>
            </w:pPr>
          </w:p>
        </w:tc>
      </w:tr>
      <w:tr>
        <w:trPr>
          <w:trHeight w:val="114"/>
        </w:trPr>
        <w:tc>
          <w:tcPr>
            <w:tcW w:w="2300" w:type="dxa"/>
            <w:vAlign w:val="bottom"/>
            <w:shd w:val="clear" w:color="auto" w:fill="DBE5F1"/>
          </w:tcPr>
          <w:p>
            <w:pPr>
              <w:spacing w:after="0"/>
              <w:rPr>
                <w:sz w:val="9"/>
                <w:szCs w:val="9"/>
                <w:color w:val="auto"/>
              </w:rPr>
            </w:pPr>
          </w:p>
        </w:tc>
        <w:tc>
          <w:tcPr>
            <w:tcW w:w="4560" w:type="dxa"/>
            <w:vAlign w:val="bottom"/>
            <w:shd w:val="clear" w:color="auto" w:fill="DBE5F1"/>
          </w:tcPr>
          <w:p>
            <w:pPr>
              <w:spacing w:after="0"/>
              <w:rPr>
                <w:sz w:val="9"/>
                <w:szCs w:val="9"/>
                <w:color w:val="auto"/>
              </w:rPr>
            </w:pPr>
          </w:p>
        </w:tc>
        <w:tc>
          <w:tcPr>
            <w:tcW w:w="2280" w:type="dxa"/>
            <w:vAlign w:val="bottom"/>
            <w:shd w:val="clear" w:color="auto" w:fill="DBE5F1"/>
          </w:tcPr>
          <w:p>
            <w:pPr>
              <w:spacing w:after="0"/>
              <w:rPr>
                <w:sz w:val="9"/>
                <w:szCs w:val="9"/>
                <w:color w:val="auto"/>
              </w:rPr>
            </w:pPr>
          </w:p>
        </w:tc>
        <w:tc>
          <w:tcPr>
            <w:tcW w:w="2280" w:type="dxa"/>
            <w:vAlign w:val="bottom"/>
            <w:shd w:val="clear" w:color="auto" w:fill="DBE5F1"/>
          </w:tcPr>
          <w:p>
            <w:pPr>
              <w:spacing w:after="0"/>
              <w:rPr>
                <w:sz w:val="9"/>
                <w:szCs w:val="9"/>
                <w:color w:val="auto"/>
              </w:rPr>
            </w:pPr>
          </w:p>
        </w:tc>
        <w:tc>
          <w:tcPr>
            <w:tcW w:w="0" w:type="dxa"/>
            <w:vAlign w:val="bottom"/>
          </w:tcPr>
          <w:p>
            <w:pPr>
              <w:spacing w:after="0"/>
              <w:rPr>
                <w:sz w:val="1"/>
                <w:szCs w:val="1"/>
                <w:color w:val="auto"/>
              </w:rPr>
            </w:pPr>
          </w:p>
        </w:tc>
      </w:tr>
    </w:tbl>
    <w:p>
      <w:pPr>
        <w:spacing w:after="0" w:line="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328930</wp:posOffset>
            </wp:positionV>
            <wp:extent cx="7254875" cy="16554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4875" cy="1655445"/>
                    </a:xfrm>
                    <a:prstGeom prst="rect">
                      <a:avLst/>
                    </a:prstGeom>
                    <a:noFill/>
                  </pic:spPr>
                </pic:pic>
              </a:graphicData>
            </a:graphic>
          </wp:anchor>
        </w:drawing>
      </w:r>
    </w:p>
    <w:p>
      <w:pPr>
        <w:spacing w:after="0"/>
        <w:rPr>
          <w:sz w:val="20"/>
          <w:szCs w:val="20"/>
          <w:color w:val="auto"/>
        </w:rPr>
      </w:pPr>
      <w:r>
        <w:rPr>
          <w:rFonts w:ascii="Arial" w:cs="Arial" w:eastAsia="Arial" w:hAnsi="Arial"/>
          <w:sz w:val="16"/>
          <w:szCs w:val="16"/>
          <w:color w:val="auto"/>
        </w:rPr>
        <w:t>_____________</w:t>
      </w:r>
    </w:p>
    <w:p>
      <w:pPr>
        <w:spacing w:after="0" w:line="19" w:lineRule="exact"/>
        <w:rPr>
          <w:sz w:val="20"/>
          <w:szCs w:val="20"/>
          <w:color w:val="auto"/>
        </w:rPr>
      </w:pPr>
    </w:p>
    <w:p>
      <w:pPr>
        <w:ind w:left="340" w:hanging="318"/>
        <w:spacing w:after="0" w:line="246" w:lineRule="auto"/>
        <w:tabs>
          <w:tab w:leader="none" w:pos="340" w:val="left"/>
        </w:tabs>
        <w:numPr>
          <w:ilvl w:val="0"/>
          <w:numId w:val="41"/>
        </w:numPr>
        <w:rPr>
          <w:rFonts w:ascii="Arial" w:cs="Arial" w:eastAsia="Arial" w:hAnsi="Arial"/>
          <w:sz w:val="16"/>
          <w:szCs w:val="16"/>
          <w:color w:val="auto"/>
        </w:rPr>
      </w:pPr>
      <w:r>
        <w:rPr>
          <w:rFonts w:ascii="Arial" w:cs="Arial" w:eastAsia="Arial" w:hAnsi="Arial"/>
          <w:sz w:val="16"/>
          <w:szCs w:val="16"/>
          <w:color w:val="auto"/>
        </w:rPr>
        <w:t>The number of shares granted is determined by dividing the earned award value by the fourth quarter 2014 average daily price ($161.56), rounded up to the nearest 100 shares.</w:t>
      </w:r>
    </w:p>
    <w:p>
      <w:pPr>
        <w:jc w:val="both"/>
        <w:ind w:left="340" w:hanging="318"/>
        <w:spacing w:after="0" w:line="305" w:lineRule="auto"/>
        <w:tabs>
          <w:tab w:leader="none" w:pos="340" w:val="left"/>
        </w:tabs>
        <w:numPr>
          <w:ilvl w:val="0"/>
          <w:numId w:val="41"/>
        </w:numPr>
        <w:rPr>
          <w:rFonts w:ascii="Arial" w:cs="Arial" w:eastAsia="Arial" w:hAnsi="Arial"/>
          <w:sz w:val="14"/>
          <w:szCs w:val="14"/>
          <w:color w:val="auto"/>
        </w:rPr>
      </w:pPr>
      <w:r>
        <w:rPr>
          <w:rFonts w:ascii="Arial" w:cs="Arial" w:eastAsia="Arial" w:hAnsi="Arial"/>
          <w:sz w:val="14"/>
          <w:szCs w:val="14"/>
          <w:color w:val="auto"/>
        </w:rPr>
        <w:t>Mr. Yinger was not an executive officer when the executive long-term equity incentive awards were granted in March 2015. Mr. Yinger was granted an equity award of 944 shares of restricted stock on May 28, 2015, in connection with the Company’s annual equity grants to managers and key employees. These shares of restricted stock vest in equal, annual installments over four years. The grant date fair value is $200,109.12, computed in accordance with FASB ASC Topic 718 pursuant to SEC rules.</w:t>
      </w:r>
    </w:p>
    <w:p>
      <w:pPr>
        <w:spacing w:after="0" w:line="17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2015 Multi-Year Performance Shares</w:t>
      </w:r>
    </w:p>
    <w:p>
      <w:pPr>
        <w:spacing w:after="0" w:line="116"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On March 5, 2015, the Committee awarded the named executive officers shares of restricted stock subject to vesting based on achievement of a three-year cumulative revenue goal and adjustment based on the Company’s achievement of total stockholder return (TSR) relative to TSR of companies within the Russell 1000 over the same three-year period. The Company believes that disclosing the specific revenue goal would cause competitive harm, but believes that achievement of the goal at the target level is attainable but will require significant effort. Each named executive officer has the potential to earn up to two times his three-year performance stock target award value for exceptional performance as measured against the pre-established revenue goal, plus up to an additional 20% based on the Company’s TSR over the same three-year period.</w:t>
      </w:r>
    </w:p>
    <w:p>
      <w:pPr>
        <w:spacing w:after="0" w:line="178" w:lineRule="exact"/>
        <w:rPr>
          <w:sz w:val="20"/>
          <w:szCs w:val="20"/>
          <w:color w:val="auto"/>
        </w:rPr>
      </w:pPr>
    </w:p>
    <w:p>
      <w:pPr>
        <w:jc w:val="both"/>
        <w:spacing w:after="0" w:line="280" w:lineRule="auto"/>
        <w:rPr>
          <w:sz w:val="20"/>
          <w:szCs w:val="20"/>
          <w:color w:val="auto"/>
        </w:rPr>
      </w:pPr>
      <w:r>
        <w:rPr>
          <w:rFonts w:ascii="Arial" w:cs="Arial" w:eastAsia="Arial" w:hAnsi="Arial"/>
          <w:sz w:val="16"/>
          <w:szCs w:val="16"/>
          <w:color w:val="auto"/>
        </w:rPr>
        <w:t>Named executive officers can receive between 0% and 200% credit for the revenue component of their three-year performance stock award, depending on actual, cumulative revenue achieved from January 1, 2015 through December 31, 2017. Credit for performance between threshold (95% of target revenue) and target and between target and maximum (102% of target revenue) are determined by linear interpolation. No credit is given for performance below the threshold and credit is capped at 200% of target. After the number of performance shares is determined based on the cumulative revenue for the three-year period, the TSR modifier may increase or decrease the number of shares earned from +20% to -20%. Shares are reduced by 20% if performance is at or below the threshold (25</w:t>
      </w:r>
      <w:r>
        <w:rPr>
          <w:rFonts w:ascii="Arial" w:cs="Arial" w:eastAsia="Arial" w:hAnsi="Arial"/>
          <w:sz w:val="22"/>
          <w:szCs w:val="22"/>
          <w:color w:val="auto"/>
          <w:vertAlign w:val="superscript"/>
        </w:rPr>
        <w:t>th</w:t>
      </w:r>
      <w:r>
        <w:rPr>
          <w:rFonts w:ascii="Arial" w:cs="Arial" w:eastAsia="Arial" w:hAnsi="Arial"/>
          <w:sz w:val="16"/>
          <w:szCs w:val="16"/>
          <w:color w:val="auto"/>
        </w:rPr>
        <w:t xml:space="preserve"> percentile). Shares are increased by 20% if performance is at or above the maximum (75</w:t>
      </w:r>
      <w:r>
        <w:rPr>
          <w:rFonts w:ascii="Arial" w:cs="Arial" w:eastAsia="Arial" w:hAnsi="Arial"/>
          <w:sz w:val="22"/>
          <w:szCs w:val="22"/>
          <w:color w:val="auto"/>
          <w:vertAlign w:val="superscript"/>
        </w:rPr>
        <w:t>th</w:t>
      </w:r>
      <w:r>
        <w:rPr>
          <w:rFonts w:ascii="Arial" w:cs="Arial" w:eastAsia="Arial" w:hAnsi="Arial"/>
          <w:sz w:val="16"/>
          <w:szCs w:val="16"/>
          <w:color w:val="auto"/>
        </w:rPr>
        <w:t xml:space="preserve"> percentile). There is no adjustment to the number of shares at target (50</w:t>
      </w:r>
      <w:r>
        <w:rPr>
          <w:rFonts w:ascii="Arial" w:cs="Arial" w:eastAsia="Arial" w:hAnsi="Arial"/>
          <w:sz w:val="22"/>
          <w:szCs w:val="22"/>
          <w:color w:val="auto"/>
          <w:vertAlign w:val="superscript"/>
        </w:rPr>
        <w:t>th</w:t>
      </w:r>
      <w:r>
        <w:rPr>
          <w:rFonts w:ascii="Arial" w:cs="Arial" w:eastAsia="Arial" w:hAnsi="Arial"/>
          <w:sz w:val="16"/>
          <w:szCs w:val="16"/>
          <w:color w:val="auto"/>
        </w:rPr>
        <w:t xml:space="preserve"> percentile). Adjustments are made between threshold and target and between target and maximum by linear interpolation.</w:t>
      </w:r>
    </w:p>
    <w:p>
      <w:pPr>
        <w:spacing w:after="0" w:line="6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maximum number of shares of restricted stock subject to the three-year performance stock grant based on the award values described above was awarded on March 5, 2015, subject to the above-described vesting provisions. The maximum number of shares was calculated by first determining the target number of shares by dividing the target value by the fourth quarter 2014 average daily price ($161.56) and rounding up to the nearest 100 shares, and then multiplying the target number of shares by 2 (to take into account the potential for the maximum 200% credit) and the result by 1.2 (to take into account the potential +20% TSR adjustment).</w:t>
      </w:r>
    </w:p>
    <w:p>
      <w:pPr>
        <w:spacing w:after="0" w:line="18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actual number of shares that vest and become non-forfeitable are determined on the vesting date based on the Company’s achievement of the revenue and TSR goals described above. The table below sets forth the maximum three-year performance stock award values and the number of shares of common stock granted to the named executive officers in March 2015.</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20"/>
          </w:cols>
          <w:pgMar w:left="240" w:top="518" w:right="239" w:bottom="1440" w:gutter="0" w:footer="0" w:header="0"/>
        </w:sectPr>
      </w:pPr>
    </w:p>
    <w:bookmarkStart w:id="68" w:name="page69"/>
    <w:bookmarkEnd w:id="68"/>
    <w:tbl>
      <w:tblPr>
        <w:tblLayout w:type="fixed"/>
        <w:tblInd w:w="0" w:type="dxa"/>
        <w:tblCellMar>
          <w:top w:w="0" w:type="dxa"/>
          <w:left w:w="0" w:type="dxa"/>
          <w:bottom w:w="0" w:type="dxa"/>
          <w:right w:w="0" w:type="dxa"/>
        </w:tblCellMar>
      </w:tblPr>
      <w:tr>
        <w:trPr>
          <w:trHeight w:val="238"/>
        </w:trPr>
        <w:tc>
          <w:tcPr>
            <w:tcW w:w="2300" w:type="dxa"/>
            <w:vAlign w:val="bottom"/>
            <w:vMerge w:val="restart"/>
            <w:shd w:val="clear" w:color="auto" w:fill="B8CCE4"/>
          </w:tcPr>
          <w:p>
            <w:pPr>
              <w:ind w:left="180"/>
              <w:spacing w:after="0"/>
              <w:rPr>
                <w:sz w:val="20"/>
                <w:szCs w:val="20"/>
                <w:color w:val="auto"/>
              </w:rPr>
            </w:pPr>
            <w:r>
              <w:rPr>
                <w:rFonts w:ascii="Arial" w:cs="Arial" w:eastAsia="Arial" w:hAnsi="Arial"/>
                <w:sz w:val="18"/>
                <w:szCs w:val="18"/>
                <w:b w:val="1"/>
                <w:bCs w:val="1"/>
                <w:color w:val="auto"/>
              </w:rPr>
              <w:t>Name</w:t>
            </w:r>
          </w:p>
        </w:tc>
        <w:tc>
          <w:tcPr>
            <w:tcW w:w="4440" w:type="dxa"/>
            <w:vAlign w:val="bottom"/>
            <w:vMerge w:val="restart"/>
            <w:shd w:val="clear" w:color="auto" w:fill="B8CCE4"/>
          </w:tcPr>
          <w:p>
            <w:pPr>
              <w:ind w:left="160"/>
              <w:spacing w:after="0"/>
              <w:rPr>
                <w:sz w:val="20"/>
                <w:szCs w:val="20"/>
                <w:color w:val="auto"/>
              </w:rPr>
            </w:pPr>
            <w:r>
              <w:rPr>
                <w:rFonts w:ascii="Arial" w:cs="Arial" w:eastAsia="Arial" w:hAnsi="Arial"/>
                <w:sz w:val="18"/>
                <w:szCs w:val="18"/>
                <w:b w:val="1"/>
                <w:bCs w:val="1"/>
                <w:color w:val="auto"/>
              </w:rPr>
              <w:t>Title</w:t>
            </w:r>
          </w:p>
        </w:tc>
        <w:tc>
          <w:tcPr>
            <w:tcW w:w="2720" w:type="dxa"/>
            <w:vAlign w:val="bottom"/>
            <w:shd w:val="clear" w:color="auto" w:fill="B8CCE4"/>
          </w:tcPr>
          <w:p>
            <w:pPr>
              <w:jc w:val="center"/>
              <w:spacing w:after="0"/>
              <w:rPr>
                <w:sz w:val="20"/>
                <w:szCs w:val="20"/>
                <w:color w:val="auto"/>
              </w:rPr>
            </w:pPr>
            <w:r>
              <w:rPr>
                <w:rFonts w:ascii="Arial" w:cs="Arial" w:eastAsia="Arial" w:hAnsi="Arial"/>
                <w:sz w:val="18"/>
                <w:szCs w:val="18"/>
                <w:b w:val="1"/>
                <w:bCs w:val="1"/>
                <w:color w:val="auto"/>
                <w:w w:val="93"/>
              </w:rPr>
              <w:t>Maximum 3-year Performance-</w:t>
            </w:r>
          </w:p>
        </w:tc>
        <w:tc>
          <w:tcPr>
            <w:tcW w:w="1940" w:type="dxa"/>
            <w:vAlign w:val="bottom"/>
            <w:vMerge w:val="restart"/>
            <w:shd w:val="clear" w:color="auto" w:fill="B8CCE4"/>
          </w:tcPr>
          <w:p>
            <w:pPr>
              <w:ind w:left="100"/>
              <w:spacing w:after="0"/>
              <w:rPr>
                <w:sz w:val="20"/>
                <w:szCs w:val="20"/>
                <w:color w:val="auto"/>
              </w:rPr>
            </w:pPr>
            <w:r>
              <w:rPr>
                <w:rFonts w:ascii="Arial" w:cs="Arial" w:eastAsia="Arial" w:hAnsi="Arial"/>
                <w:sz w:val="18"/>
                <w:szCs w:val="18"/>
                <w:b w:val="1"/>
                <w:bCs w:val="1"/>
                <w:color w:val="auto"/>
                <w:w w:val="93"/>
              </w:rPr>
              <w:t>Maximum Shares (#)</w:t>
            </w:r>
            <w:r>
              <w:rPr>
                <w:rFonts w:ascii="Arial" w:cs="Arial" w:eastAsia="Arial" w:hAnsi="Arial"/>
                <w:sz w:val="25"/>
                <w:szCs w:val="25"/>
                <w:b w:val="1"/>
                <w:bCs w:val="1"/>
                <w:color w:val="auto"/>
                <w:w w:val="93"/>
                <w:vertAlign w:val="superscript"/>
              </w:rPr>
              <w:t>(2)</w:t>
            </w:r>
          </w:p>
        </w:tc>
        <w:tc>
          <w:tcPr>
            <w:tcW w:w="0" w:type="dxa"/>
            <w:vAlign w:val="bottom"/>
          </w:tcPr>
          <w:p>
            <w:pPr>
              <w:spacing w:after="0"/>
              <w:rPr>
                <w:sz w:val="1"/>
                <w:szCs w:val="1"/>
                <w:color w:val="auto"/>
              </w:rPr>
            </w:pPr>
          </w:p>
        </w:tc>
      </w:tr>
      <w:tr>
        <w:trPr>
          <w:trHeight w:val="180"/>
        </w:trPr>
        <w:tc>
          <w:tcPr>
            <w:tcW w:w="2300" w:type="dxa"/>
            <w:vAlign w:val="bottom"/>
            <w:vMerge w:val="continue"/>
            <w:shd w:val="clear" w:color="auto" w:fill="B8CCE4"/>
          </w:tcPr>
          <w:p>
            <w:pPr>
              <w:spacing w:after="0"/>
              <w:rPr>
                <w:sz w:val="15"/>
                <w:szCs w:val="15"/>
                <w:color w:val="auto"/>
              </w:rPr>
            </w:pPr>
          </w:p>
        </w:tc>
        <w:tc>
          <w:tcPr>
            <w:tcW w:w="4440" w:type="dxa"/>
            <w:vAlign w:val="bottom"/>
            <w:vMerge w:val="continue"/>
            <w:shd w:val="clear" w:color="auto" w:fill="B8CCE4"/>
          </w:tcPr>
          <w:p>
            <w:pPr>
              <w:spacing w:after="0"/>
              <w:rPr>
                <w:sz w:val="15"/>
                <w:szCs w:val="15"/>
                <w:color w:val="auto"/>
              </w:rPr>
            </w:pPr>
          </w:p>
        </w:tc>
        <w:tc>
          <w:tcPr>
            <w:tcW w:w="2720" w:type="dxa"/>
            <w:vAlign w:val="bottom"/>
            <w:vMerge w:val="restart"/>
            <w:shd w:val="clear" w:color="auto" w:fill="B8CCE4"/>
          </w:tcPr>
          <w:p>
            <w:pPr>
              <w:jc w:val="center"/>
              <w:spacing w:after="0" w:line="262" w:lineRule="exact"/>
              <w:rPr>
                <w:sz w:val="20"/>
                <w:szCs w:val="20"/>
                <w:color w:val="auto"/>
              </w:rPr>
            </w:pPr>
            <w:r>
              <w:rPr>
                <w:rFonts w:ascii="Arial" w:cs="Arial" w:eastAsia="Arial" w:hAnsi="Arial"/>
                <w:sz w:val="18"/>
                <w:szCs w:val="18"/>
                <w:b w:val="1"/>
                <w:bCs w:val="1"/>
                <w:color w:val="auto"/>
                <w:w w:val="87"/>
              </w:rPr>
              <w:t>Stock Award Values</w:t>
            </w:r>
            <w:r>
              <w:rPr>
                <w:rFonts w:ascii="Arial" w:cs="Arial" w:eastAsia="Arial" w:hAnsi="Arial"/>
                <w:sz w:val="25"/>
                <w:szCs w:val="25"/>
                <w:b w:val="1"/>
                <w:bCs w:val="1"/>
                <w:color w:val="auto"/>
                <w:w w:val="87"/>
                <w:vertAlign w:val="superscript"/>
              </w:rPr>
              <w:t>(1)</w:t>
            </w:r>
          </w:p>
        </w:tc>
        <w:tc>
          <w:tcPr>
            <w:tcW w:w="1940" w:type="dxa"/>
            <w:vAlign w:val="bottom"/>
            <w:vMerge w:val="continue"/>
            <w:shd w:val="clear" w:color="auto" w:fill="B8CCE4"/>
          </w:tcPr>
          <w:p>
            <w:pPr>
              <w:spacing w:after="0"/>
              <w:rPr>
                <w:sz w:val="15"/>
                <w:szCs w:val="15"/>
                <w:color w:val="auto"/>
              </w:rPr>
            </w:pPr>
          </w:p>
        </w:tc>
        <w:tc>
          <w:tcPr>
            <w:tcW w:w="0" w:type="dxa"/>
            <w:vAlign w:val="bottom"/>
          </w:tcPr>
          <w:p>
            <w:pPr>
              <w:spacing w:after="0"/>
              <w:rPr>
                <w:sz w:val="1"/>
                <w:szCs w:val="1"/>
                <w:color w:val="auto"/>
              </w:rPr>
            </w:pPr>
          </w:p>
        </w:tc>
      </w:tr>
      <w:tr>
        <w:trPr>
          <w:trHeight w:val="81"/>
        </w:trPr>
        <w:tc>
          <w:tcPr>
            <w:tcW w:w="2300" w:type="dxa"/>
            <w:vAlign w:val="bottom"/>
            <w:shd w:val="clear" w:color="auto" w:fill="B8CCE4"/>
          </w:tcPr>
          <w:p>
            <w:pPr>
              <w:spacing w:after="0"/>
              <w:rPr>
                <w:sz w:val="7"/>
                <w:szCs w:val="7"/>
                <w:color w:val="auto"/>
              </w:rPr>
            </w:pPr>
          </w:p>
        </w:tc>
        <w:tc>
          <w:tcPr>
            <w:tcW w:w="4440" w:type="dxa"/>
            <w:vAlign w:val="bottom"/>
            <w:shd w:val="clear" w:color="auto" w:fill="B8CCE4"/>
          </w:tcPr>
          <w:p>
            <w:pPr>
              <w:spacing w:after="0"/>
              <w:rPr>
                <w:sz w:val="7"/>
                <w:szCs w:val="7"/>
                <w:color w:val="auto"/>
              </w:rPr>
            </w:pPr>
          </w:p>
        </w:tc>
        <w:tc>
          <w:tcPr>
            <w:tcW w:w="2720" w:type="dxa"/>
            <w:vAlign w:val="bottom"/>
            <w:vMerge w:val="continue"/>
            <w:shd w:val="clear" w:color="auto" w:fill="B8CCE4"/>
          </w:tcPr>
          <w:p>
            <w:pPr>
              <w:spacing w:after="0"/>
              <w:rPr>
                <w:sz w:val="7"/>
                <w:szCs w:val="7"/>
                <w:color w:val="auto"/>
              </w:rPr>
            </w:pPr>
          </w:p>
        </w:tc>
        <w:tc>
          <w:tcPr>
            <w:tcW w:w="1940" w:type="dxa"/>
            <w:vAlign w:val="bottom"/>
            <w:shd w:val="clear" w:color="auto" w:fill="B8CCE4"/>
          </w:tcPr>
          <w:p>
            <w:pPr>
              <w:spacing w:after="0"/>
              <w:rPr>
                <w:sz w:val="7"/>
                <w:szCs w:val="7"/>
                <w:color w:val="auto"/>
              </w:rPr>
            </w:pPr>
          </w:p>
        </w:tc>
        <w:tc>
          <w:tcPr>
            <w:tcW w:w="0" w:type="dxa"/>
            <w:vAlign w:val="bottom"/>
          </w:tcPr>
          <w:p>
            <w:pPr>
              <w:spacing w:after="0"/>
              <w:rPr>
                <w:sz w:val="1"/>
                <w:szCs w:val="1"/>
                <w:color w:val="auto"/>
              </w:rPr>
            </w:pPr>
          </w:p>
        </w:tc>
      </w:tr>
      <w:tr>
        <w:trPr>
          <w:trHeight w:val="305"/>
        </w:trPr>
        <w:tc>
          <w:tcPr>
            <w:tcW w:w="2300" w:type="dxa"/>
            <w:vAlign w:val="bottom"/>
            <w:shd w:val="clear" w:color="auto" w:fill="DBE5F1"/>
          </w:tcPr>
          <w:p>
            <w:pPr>
              <w:ind w:left="220"/>
              <w:spacing w:after="0"/>
              <w:rPr>
                <w:sz w:val="20"/>
                <w:szCs w:val="20"/>
                <w:color w:val="auto"/>
              </w:rPr>
            </w:pPr>
            <w:r>
              <w:rPr>
                <w:rFonts w:ascii="Arial" w:cs="Arial" w:eastAsia="Arial" w:hAnsi="Arial"/>
                <w:sz w:val="16"/>
                <w:szCs w:val="16"/>
                <w:b w:val="1"/>
                <w:bCs w:val="1"/>
                <w:color w:val="auto"/>
              </w:rPr>
              <w:t>Andrew C. Florance</w:t>
            </w:r>
          </w:p>
        </w:tc>
        <w:tc>
          <w:tcPr>
            <w:tcW w:w="4440" w:type="dxa"/>
            <w:vAlign w:val="bottom"/>
            <w:shd w:val="clear" w:color="auto" w:fill="DBE5F1"/>
          </w:tcPr>
          <w:p>
            <w:pPr>
              <w:ind w:left="160"/>
              <w:spacing w:after="0"/>
              <w:rPr>
                <w:sz w:val="20"/>
                <w:szCs w:val="20"/>
                <w:color w:val="auto"/>
              </w:rPr>
            </w:pPr>
            <w:r>
              <w:rPr>
                <w:rFonts w:ascii="Arial" w:cs="Arial" w:eastAsia="Arial" w:hAnsi="Arial"/>
                <w:sz w:val="16"/>
                <w:szCs w:val="16"/>
                <w:color w:val="auto"/>
              </w:rPr>
              <w:t>CEO &amp; President</w:t>
            </w:r>
          </w:p>
        </w:tc>
        <w:tc>
          <w:tcPr>
            <w:tcW w:w="2720" w:type="dxa"/>
            <w:vAlign w:val="bottom"/>
            <w:shd w:val="clear" w:color="auto" w:fill="DBE5F1"/>
          </w:tcPr>
          <w:p>
            <w:pPr>
              <w:jc w:val="center"/>
              <w:spacing w:after="0"/>
              <w:rPr>
                <w:sz w:val="20"/>
                <w:szCs w:val="20"/>
                <w:color w:val="auto"/>
              </w:rPr>
            </w:pPr>
            <w:r>
              <w:rPr>
                <w:rFonts w:ascii="Arial" w:cs="Arial" w:eastAsia="Arial" w:hAnsi="Arial"/>
                <w:sz w:val="16"/>
                <w:szCs w:val="16"/>
                <w:color w:val="auto"/>
                <w:w w:val="89"/>
              </w:rPr>
              <w:t>$1,824,000</w:t>
            </w:r>
          </w:p>
        </w:tc>
        <w:tc>
          <w:tcPr>
            <w:tcW w:w="1940" w:type="dxa"/>
            <w:vAlign w:val="bottom"/>
            <w:shd w:val="clear" w:color="auto" w:fill="DBE5F1"/>
          </w:tcPr>
          <w:p>
            <w:pPr>
              <w:jc w:val="center"/>
              <w:spacing w:after="0"/>
              <w:rPr>
                <w:sz w:val="20"/>
                <w:szCs w:val="20"/>
                <w:color w:val="auto"/>
              </w:rPr>
            </w:pPr>
            <w:r>
              <w:rPr>
                <w:rFonts w:ascii="Arial" w:cs="Arial" w:eastAsia="Arial" w:hAnsi="Arial"/>
                <w:sz w:val="16"/>
                <w:szCs w:val="16"/>
                <w:color w:val="auto"/>
                <w:w w:val="89"/>
              </w:rPr>
              <w:t>11,520</w:t>
            </w:r>
          </w:p>
        </w:tc>
        <w:tc>
          <w:tcPr>
            <w:tcW w:w="0" w:type="dxa"/>
            <w:vAlign w:val="bottom"/>
          </w:tcPr>
          <w:p>
            <w:pPr>
              <w:spacing w:after="0"/>
              <w:rPr>
                <w:sz w:val="1"/>
                <w:szCs w:val="1"/>
                <w:color w:val="auto"/>
              </w:rPr>
            </w:pPr>
          </w:p>
        </w:tc>
      </w:tr>
      <w:tr>
        <w:trPr>
          <w:trHeight w:val="419"/>
        </w:trPr>
        <w:tc>
          <w:tcPr>
            <w:tcW w:w="2300" w:type="dxa"/>
            <w:vAlign w:val="bottom"/>
            <w:shd w:val="clear" w:color="auto" w:fill="DBE5F1"/>
          </w:tcPr>
          <w:p>
            <w:pPr>
              <w:ind w:left="220"/>
              <w:spacing w:after="0"/>
              <w:rPr>
                <w:sz w:val="20"/>
                <w:szCs w:val="20"/>
                <w:color w:val="auto"/>
              </w:rPr>
            </w:pPr>
            <w:r>
              <w:rPr>
                <w:rFonts w:ascii="Arial" w:cs="Arial" w:eastAsia="Arial" w:hAnsi="Arial"/>
                <w:sz w:val="16"/>
                <w:szCs w:val="16"/>
                <w:b w:val="1"/>
                <w:bCs w:val="1"/>
                <w:color w:val="auto"/>
              </w:rPr>
              <w:t>Brian J. Radecki</w:t>
            </w:r>
          </w:p>
        </w:tc>
        <w:tc>
          <w:tcPr>
            <w:tcW w:w="4440" w:type="dxa"/>
            <w:vAlign w:val="bottom"/>
            <w:shd w:val="clear" w:color="auto" w:fill="DBE5F1"/>
          </w:tcPr>
          <w:p>
            <w:pPr>
              <w:ind w:left="160"/>
              <w:spacing w:after="0"/>
              <w:rPr>
                <w:sz w:val="20"/>
                <w:szCs w:val="20"/>
                <w:color w:val="auto"/>
              </w:rPr>
            </w:pPr>
            <w:r>
              <w:rPr>
                <w:rFonts w:ascii="Arial" w:cs="Arial" w:eastAsia="Arial" w:hAnsi="Arial"/>
                <w:sz w:val="16"/>
                <w:szCs w:val="16"/>
                <w:color w:val="auto"/>
              </w:rPr>
              <w:t>Former CFO</w:t>
            </w:r>
          </w:p>
        </w:tc>
        <w:tc>
          <w:tcPr>
            <w:tcW w:w="2720" w:type="dxa"/>
            <w:vAlign w:val="bottom"/>
            <w:shd w:val="clear" w:color="auto" w:fill="DBE5F1"/>
          </w:tcPr>
          <w:p>
            <w:pPr>
              <w:jc w:val="center"/>
              <w:spacing w:after="0"/>
              <w:rPr>
                <w:sz w:val="20"/>
                <w:szCs w:val="20"/>
                <w:color w:val="auto"/>
              </w:rPr>
            </w:pPr>
            <w:r>
              <w:rPr>
                <w:rFonts w:ascii="Arial" w:cs="Arial" w:eastAsia="Arial" w:hAnsi="Arial"/>
                <w:sz w:val="16"/>
                <w:szCs w:val="16"/>
                <w:color w:val="auto"/>
                <w:w w:val="89"/>
              </w:rPr>
              <w:t>$792,000</w:t>
            </w:r>
          </w:p>
        </w:tc>
        <w:tc>
          <w:tcPr>
            <w:tcW w:w="1940" w:type="dxa"/>
            <w:vAlign w:val="bottom"/>
            <w:shd w:val="clear" w:color="auto" w:fill="DBE5F1"/>
          </w:tcPr>
          <w:p>
            <w:pPr>
              <w:jc w:val="center"/>
              <w:spacing w:after="0"/>
              <w:rPr>
                <w:sz w:val="20"/>
                <w:szCs w:val="20"/>
                <w:color w:val="auto"/>
              </w:rPr>
            </w:pPr>
            <w:r>
              <w:rPr>
                <w:rFonts w:ascii="Arial" w:cs="Arial" w:eastAsia="Arial" w:hAnsi="Arial"/>
                <w:sz w:val="16"/>
                <w:szCs w:val="16"/>
                <w:color w:val="auto"/>
                <w:w w:val="89"/>
              </w:rPr>
              <w:t>5,040</w:t>
            </w:r>
          </w:p>
        </w:tc>
        <w:tc>
          <w:tcPr>
            <w:tcW w:w="0" w:type="dxa"/>
            <w:vAlign w:val="bottom"/>
          </w:tcPr>
          <w:p>
            <w:pPr>
              <w:spacing w:after="0"/>
              <w:rPr>
                <w:sz w:val="1"/>
                <w:szCs w:val="1"/>
                <w:color w:val="auto"/>
              </w:rPr>
            </w:pPr>
          </w:p>
        </w:tc>
      </w:tr>
      <w:tr>
        <w:trPr>
          <w:trHeight w:val="493"/>
        </w:trPr>
        <w:tc>
          <w:tcPr>
            <w:tcW w:w="2300" w:type="dxa"/>
            <w:vAlign w:val="bottom"/>
            <w:shd w:val="clear" w:color="auto" w:fill="DBE5F1"/>
          </w:tcPr>
          <w:p>
            <w:pPr>
              <w:ind w:left="220"/>
              <w:spacing w:after="0"/>
              <w:rPr>
                <w:sz w:val="20"/>
                <w:szCs w:val="20"/>
                <w:color w:val="auto"/>
              </w:rPr>
            </w:pPr>
            <w:r>
              <w:rPr>
                <w:rFonts w:ascii="Arial" w:cs="Arial" w:eastAsia="Arial" w:hAnsi="Arial"/>
                <w:sz w:val="16"/>
                <w:szCs w:val="16"/>
                <w:b w:val="1"/>
                <w:bCs w:val="1"/>
                <w:color w:val="auto"/>
              </w:rPr>
              <w:t>Scott L. Yinger</w:t>
            </w:r>
            <w:r>
              <w:rPr>
                <w:rFonts w:ascii="Arial" w:cs="Arial" w:eastAsia="Arial" w:hAnsi="Arial"/>
                <w:sz w:val="21"/>
                <w:szCs w:val="21"/>
                <w:b w:val="1"/>
                <w:bCs w:val="1"/>
                <w:color w:val="auto"/>
                <w:vertAlign w:val="superscript"/>
              </w:rPr>
              <w:t>(3)</w:t>
            </w:r>
          </w:p>
        </w:tc>
        <w:tc>
          <w:tcPr>
            <w:tcW w:w="4440" w:type="dxa"/>
            <w:vAlign w:val="bottom"/>
            <w:shd w:val="clear" w:color="auto" w:fill="DBE5F1"/>
          </w:tcPr>
          <w:p>
            <w:pPr>
              <w:ind w:left="160"/>
              <w:spacing w:after="0"/>
              <w:rPr>
                <w:sz w:val="20"/>
                <w:szCs w:val="20"/>
                <w:color w:val="auto"/>
              </w:rPr>
            </w:pPr>
            <w:r>
              <w:rPr>
                <w:rFonts w:ascii="Arial" w:cs="Arial" w:eastAsia="Arial" w:hAnsi="Arial"/>
                <w:sz w:val="16"/>
                <w:szCs w:val="16"/>
                <w:color w:val="auto"/>
              </w:rPr>
              <w:t>Interim CFO</w:t>
            </w:r>
          </w:p>
        </w:tc>
        <w:tc>
          <w:tcPr>
            <w:tcW w:w="2720" w:type="dxa"/>
            <w:vAlign w:val="bottom"/>
            <w:shd w:val="clear" w:color="auto" w:fill="DBE5F1"/>
          </w:tcPr>
          <w:p>
            <w:pPr>
              <w:jc w:val="center"/>
              <w:spacing w:after="0"/>
              <w:rPr>
                <w:sz w:val="20"/>
                <w:szCs w:val="20"/>
                <w:color w:val="auto"/>
              </w:rPr>
            </w:pPr>
            <w:r>
              <w:rPr>
                <w:rFonts w:ascii="Arial" w:cs="Arial" w:eastAsia="Arial" w:hAnsi="Arial"/>
                <w:sz w:val="14"/>
                <w:szCs w:val="14"/>
                <w:color w:val="auto"/>
                <w:w w:val="99"/>
              </w:rPr>
              <w:t>—</w:t>
            </w:r>
          </w:p>
        </w:tc>
        <w:tc>
          <w:tcPr>
            <w:tcW w:w="1940" w:type="dxa"/>
            <w:vAlign w:val="bottom"/>
            <w:shd w:val="clear" w:color="auto" w:fill="DBE5F1"/>
          </w:tcPr>
          <w:p>
            <w:pPr>
              <w:jc w:val="center"/>
              <w:spacing w:after="0"/>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344"/>
        </w:trPr>
        <w:tc>
          <w:tcPr>
            <w:tcW w:w="2300" w:type="dxa"/>
            <w:vAlign w:val="bottom"/>
            <w:shd w:val="clear" w:color="auto" w:fill="DBE5F1"/>
          </w:tcPr>
          <w:p>
            <w:pPr>
              <w:ind w:left="220"/>
              <w:spacing w:after="0"/>
              <w:rPr>
                <w:sz w:val="20"/>
                <w:szCs w:val="20"/>
                <w:color w:val="auto"/>
              </w:rPr>
            </w:pPr>
            <w:r>
              <w:rPr>
                <w:rFonts w:ascii="Arial" w:cs="Arial" w:eastAsia="Arial" w:hAnsi="Arial"/>
                <w:sz w:val="16"/>
                <w:szCs w:val="16"/>
                <w:b w:val="1"/>
                <w:bCs w:val="1"/>
                <w:color w:val="auto"/>
              </w:rPr>
              <w:t>Francis A. Carchedi</w:t>
            </w:r>
          </w:p>
        </w:tc>
        <w:tc>
          <w:tcPr>
            <w:tcW w:w="4440" w:type="dxa"/>
            <w:vAlign w:val="bottom"/>
            <w:shd w:val="clear" w:color="auto" w:fill="DBE5F1"/>
          </w:tcPr>
          <w:p>
            <w:pPr>
              <w:ind w:left="160"/>
              <w:spacing w:after="0"/>
              <w:rPr>
                <w:sz w:val="20"/>
                <w:szCs w:val="20"/>
                <w:color w:val="auto"/>
              </w:rPr>
            </w:pPr>
            <w:r>
              <w:rPr>
                <w:rFonts w:ascii="Arial" w:cs="Arial" w:eastAsia="Arial" w:hAnsi="Arial"/>
                <w:sz w:val="16"/>
                <w:szCs w:val="16"/>
                <w:color w:val="auto"/>
              </w:rPr>
              <w:t>Exec. Vice President, Corporate Development</w:t>
            </w:r>
          </w:p>
        </w:tc>
        <w:tc>
          <w:tcPr>
            <w:tcW w:w="2720" w:type="dxa"/>
            <w:vAlign w:val="bottom"/>
            <w:shd w:val="clear" w:color="auto" w:fill="DBE5F1"/>
          </w:tcPr>
          <w:p>
            <w:pPr>
              <w:jc w:val="center"/>
              <w:spacing w:after="0"/>
              <w:rPr>
                <w:sz w:val="20"/>
                <w:szCs w:val="20"/>
                <w:color w:val="auto"/>
              </w:rPr>
            </w:pPr>
            <w:r>
              <w:rPr>
                <w:rFonts w:ascii="Arial" w:cs="Arial" w:eastAsia="Arial" w:hAnsi="Arial"/>
                <w:sz w:val="16"/>
                <w:szCs w:val="16"/>
                <w:color w:val="auto"/>
                <w:w w:val="89"/>
              </w:rPr>
              <w:t>$480,000</w:t>
            </w:r>
          </w:p>
        </w:tc>
        <w:tc>
          <w:tcPr>
            <w:tcW w:w="1940" w:type="dxa"/>
            <w:vAlign w:val="bottom"/>
            <w:shd w:val="clear" w:color="auto" w:fill="DBE5F1"/>
          </w:tcPr>
          <w:p>
            <w:pPr>
              <w:jc w:val="center"/>
              <w:spacing w:after="0"/>
              <w:rPr>
                <w:sz w:val="20"/>
                <w:szCs w:val="20"/>
                <w:color w:val="auto"/>
              </w:rPr>
            </w:pPr>
            <w:r>
              <w:rPr>
                <w:rFonts w:ascii="Arial" w:cs="Arial" w:eastAsia="Arial" w:hAnsi="Arial"/>
                <w:sz w:val="16"/>
                <w:szCs w:val="16"/>
                <w:color w:val="auto"/>
                <w:w w:val="89"/>
              </w:rPr>
              <w:t>3,120</w:t>
            </w:r>
          </w:p>
        </w:tc>
        <w:tc>
          <w:tcPr>
            <w:tcW w:w="0" w:type="dxa"/>
            <w:vAlign w:val="bottom"/>
          </w:tcPr>
          <w:p>
            <w:pPr>
              <w:spacing w:after="0"/>
              <w:rPr>
                <w:sz w:val="1"/>
                <w:szCs w:val="1"/>
                <w:color w:val="auto"/>
              </w:rPr>
            </w:pPr>
          </w:p>
        </w:tc>
      </w:tr>
      <w:tr>
        <w:trPr>
          <w:trHeight w:val="419"/>
        </w:trPr>
        <w:tc>
          <w:tcPr>
            <w:tcW w:w="2300" w:type="dxa"/>
            <w:vAlign w:val="bottom"/>
            <w:shd w:val="clear" w:color="auto" w:fill="DBE5F1"/>
          </w:tcPr>
          <w:p>
            <w:pPr>
              <w:ind w:left="220"/>
              <w:spacing w:after="0"/>
              <w:rPr>
                <w:sz w:val="20"/>
                <w:szCs w:val="20"/>
                <w:color w:val="auto"/>
              </w:rPr>
            </w:pPr>
            <w:r>
              <w:rPr>
                <w:rFonts w:ascii="Arial" w:cs="Arial" w:eastAsia="Arial" w:hAnsi="Arial"/>
                <w:sz w:val="16"/>
                <w:szCs w:val="16"/>
                <w:b w:val="1"/>
                <w:bCs w:val="1"/>
                <w:color w:val="auto"/>
              </w:rPr>
              <w:t>Matthew F. W. Linnington</w:t>
            </w:r>
          </w:p>
        </w:tc>
        <w:tc>
          <w:tcPr>
            <w:tcW w:w="4440" w:type="dxa"/>
            <w:vAlign w:val="bottom"/>
            <w:shd w:val="clear" w:color="auto" w:fill="DBE5F1"/>
          </w:tcPr>
          <w:p>
            <w:pPr>
              <w:ind w:left="160"/>
              <w:spacing w:after="0"/>
              <w:rPr>
                <w:sz w:val="20"/>
                <w:szCs w:val="20"/>
                <w:color w:val="auto"/>
              </w:rPr>
            </w:pPr>
            <w:r>
              <w:rPr>
                <w:rFonts w:ascii="Arial" w:cs="Arial" w:eastAsia="Arial" w:hAnsi="Arial"/>
                <w:sz w:val="16"/>
                <w:szCs w:val="16"/>
                <w:color w:val="auto"/>
              </w:rPr>
              <w:t>Exec. Vice President, Sales</w:t>
            </w:r>
          </w:p>
        </w:tc>
        <w:tc>
          <w:tcPr>
            <w:tcW w:w="2720" w:type="dxa"/>
            <w:vAlign w:val="bottom"/>
            <w:shd w:val="clear" w:color="auto" w:fill="DBE5F1"/>
          </w:tcPr>
          <w:p>
            <w:pPr>
              <w:jc w:val="center"/>
              <w:spacing w:after="0"/>
              <w:rPr>
                <w:sz w:val="20"/>
                <w:szCs w:val="20"/>
                <w:color w:val="auto"/>
              </w:rPr>
            </w:pPr>
            <w:r>
              <w:rPr>
                <w:rFonts w:ascii="Arial" w:cs="Arial" w:eastAsia="Arial" w:hAnsi="Arial"/>
                <w:sz w:val="16"/>
                <w:szCs w:val="16"/>
                <w:color w:val="auto"/>
                <w:w w:val="89"/>
              </w:rPr>
              <w:t>$408,000</w:t>
            </w:r>
          </w:p>
        </w:tc>
        <w:tc>
          <w:tcPr>
            <w:tcW w:w="1940" w:type="dxa"/>
            <w:vAlign w:val="bottom"/>
            <w:shd w:val="clear" w:color="auto" w:fill="DBE5F1"/>
          </w:tcPr>
          <w:p>
            <w:pPr>
              <w:jc w:val="center"/>
              <w:spacing w:after="0"/>
              <w:rPr>
                <w:sz w:val="20"/>
                <w:szCs w:val="20"/>
                <w:color w:val="auto"/>
              </w:rPr>
            </w:pPr>
            <w:r>
              <w:rPr>
                <w:rFonts w:ascii="Arial" w:cs="Arial" w:eastAsia="Arial" w:hAnsi="Arial"/>
                <w:sz w:val="16"/>
                <w:szCs w:val="16"/>
                <w:color w:val="auto"/>
                <w:w w:val="89"/>
              </w:rPr>
              <w:t>2,640</w:t>
            </w:r>
          </w:p>
        </w:tc>
        <w:tc>
          <w:tcPr>
            <w:tcW w:w="0" w:type="dxa"/>
            <w:vAlign w:val="bottom"/>
          </w:tcPr>
          <w:p>
            <w:pPr>
              <w:spacing w:after="0"/>
              <w:rPr>
                <w:sz w:val="1"/>
                <w:szCs w:val="1"/>
                <w:color w:val="auto"/>
              </w:rPr>
            </w:pPr>
          </w:p>
        </w:tc>
      </w:tr>
      <w:tr>
        <w:trPr>
          <w:trHeight w:val="114"/>
        </w:trPr>
        <w:tc>
          <w:tcPr>
            <w:tcW w:w="2300" w:type="dxa"/>
            <w:vAlign w:val="bottom"/>
            <w:shd w:val="clear" w:color="auto" w:fill="DBE5F1"/>
          </w:tcPr>
          <w:p>
            <w:pPr>
              <w:spacing w:after="0"/>
              <w:rPr>
                <w:sz w:val="9"/>
                <w:szCs w:val="9"/>
                <w:color w:val="auto"/>
              </w:rPr>
            </w:pPr>
          </w:p>
        </w:tc>
        <w:tc>
          <w:tcPr>
            <w:tcW w:w="4440" w:type="dxa"/>
            <w:vAlign w:val="bottom"/>
            <w:shd w:val="clear" w:color="auto" w:fill="DBE5F1"/>
          </w:tcPr>
          <w:p>
            <w:pPr>
              <w:spacing w:after="0"/>
              <w:rPr>
                <w:sz w:val="9"/>
                <w:szCs w:val="9"/>
                <w:color w:val="auto"/>
              </w:rPr>
            </w:pPr>
          </w:p>
        </w:tc>
        <w:tc>
          <w:tcPr>
            <w:tcW w:w="2720" w:type="dxa"/>
            <w:vAlign w:val="bottom"/>
            <w:shd w:val="clear" w:color="auto" w:fill="DBE5F1"/>
          </w:tcPr>
          <w:p>
            <w:pPr>
              <w:spacing w:after="0"/>
              <w:rPr>
                <w:sz w:val="9"/>
                <w:szCs w:val="9"/>
                <w:color w:val="auto"/>
              </w:rPr>
            </w:pPr>
          </w:p>
        </w:tc>
        <w:tc>
          <w:tcPr>
            <w:tcW w:w="1940" w:type="dxa"/>
            <w:vAlign w:val="bottom"/>
            <w:shd w:val="clear" w:color="auto" w:fill="DBE5F1"/>
          </w:tcPr>
          <w:p>
            <w:pPr>
              <w:spacing w:after="0"/>
              <w:rPr>
                <w:sz w:val="9"/>
                <w:szCs w:val="9"/>
                <w:color w:val="auto"/>
              </w:rPr>
            </w:pPr>
          </w:p>
        </w:tc>
        <w:tc>
          <w:tcPr>
            <w:tcW w:w="0" w:type="dxa"/>
            <w:vAlign w:val="bottom"/>
          </w:tcPr>
          <w:p>
            <w:pPr>
              <w:spacing w:after="0"/>
              <w:rPr>
                <w:sz w:val="1"/>
                <w:szCs w:val="1"/>
                <w:color w:val="auto"/>
              </w:rPr>
            </w:pPr>
          </w:p>
        </w:tc>
      </w:tr>
    </w:tbl>
    <w:p>
      <w:pPr>
        <w:spacing w:after="0" w:line="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328930</wp:posOffset>
            </wp:positionV>
            <wp:extent cx="7237730" cy="16554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37730" cy="1655445"/>
                    </a:xfrm>
                    <a:prstGeom prst="rect">
                      <a:avLst/>
                    </a:prstGeom>
                    <a:noFill/>
                  </pic:spPr>
                </pic:pic>
              </a:graphicData>
            </a:graphic>
          </wp:anchor>
        </w:drawing>
      </w:r>
    </w:p>
    <w:p>
      <w:pPr>
        <w:spacing w:after="0"/>
        <w:rPr>
          <w:sz w:val="20"/>
          <w:szCs w:val="20"/>
          <w:color w:val="auto"/>
        </w:rPr>
      </w:pPr>
      <w:r>
        <w:rPr>
          <w:rFonts w:ascii="Arial" w:cs="Arial" w:eastAsia="Arial" w:hAnsi="Arial"/>
          <w:sz w:val="16"/>
          <w:szCs w:val="16"/>
          <w:color w:val="auto"/>
        </w:rPr>
        <w:t>_____________</w:t>
      </w:r>
    </w:p>
    <w:p>
      <w:pPr>
        <w:spacing w:after="0" w:line="32" w:lineRule="exact"/>
        <w:rPr>
          <w:sz w:val="20"/>
          <w:szCs w:val="20"/>
          <w:color w:val="auto"/>
        </w:rPr>
      </w:pPr>
    </w:p>
    <w:p>
      <w:pPr>
        <w:jc w:val="both"/>
        <w:ind w:left="340" w:hanging="332"/>
        <w:spacing w:after="0" w:line="255" w:lineRule="auto"/>
        <w:tabs>
          <w:tab w:leader="none" w:pos="340" w:val="left"/>
        </w:tabs>
        <w:numPr>
          <w:ilvl w:val="0"/>
          <w:numId w:val="42"/>
        </w:numPr>
        <w:rPr>
          <w:rFonts w:ascii="Arial" w:cs="Arial" w:eastAsia="Arial" w:hAnsi="Arial"/>
          <w:sz w:val="16"/>
          <w:szCs w:val="16"/>
          <w:color w:val="auto"/>
        </w:rPr>
      </w:pPr>
      <w:r>
        <w:rPr>
          <w:rFonts w:ascii="Arial" w:cs="Arial" w:eastAsia="Arial" w:hAnsi="Arial"/>
          <w:sz w:val="16"/>
          <w:szCs w:val="16"/>
          <w:color w:val="auto"/>
        </w:rPr>
        <w:t>Calculated by multiplying the target award value by 2 (to take into account the potential for the maximum 200% credit) and the result by 1.2 (to take into account the potential +20% TSR adjustment). The amounts reported in this table under “3-year Performance Stock Award Values” differ from the grant date fair values for these awards reported in the “Summary Compensation Table” and the “Grants of Plan-Based Awards” table in this Proxy Statement, which are computed in accordance with FASB ASC Topic 718 pursuant to SEC rules.</w:t>
      </w:r>
    </w:p>
    <w:p>
      <w:pPr>
        <w:spacing w:after="0" w:line="1" w:lineRule="exact"/>
        <w:rPr>
          <w:rFonts w:ascii="Arial" w:cs="Arial" w:eastAsia="Arial" w:hAnsi="Arial"/>
          <w:sz w:val="16"/>
          <w:szCs w:val="16"/>
          <w:color w:val="auto"/>
        </w:rPr>
      </w:pPr>
    </w:p>
    <w:p>
      <w:pPr>
        <w:jc w:val="both"/>
        <w:ind w:left="340" w:hanging="332"/>
        <w:spacing w:after="0" w:line="258" w:lineRule="auto"/>
        <w:tabs>
          <w:tab w:leader="none" w:pos="340" w:val="left"/>
        </w:tabs>
        <w:numPr>
          <w:ilvl w:val="0"/>
          <w:numId w:val="42"/>
        </w:numPr>
        <w:rPr>
          <w:rFonts w:ascii="Arial" w:cs="Arial" w:eastAsia="Arial" w:hAnsi="Arial"/>
          <w:sz w:val="16"/>
          <w:szCs w:val="16"/>
          <w:color w:val="auto"/>
        </w:rPr>
      </w:pPr>
      <w:r>
        <w:rPr>
          <w:rFonts w:ascii="Arial" w:cs="Arial" w:eastAsia="Arial" w:hAnsi="Arial"/>
          <w:sz w:val="16"/>
          <w:szCs w:val="16"/>
          <w:color w:val="auto"/>
        </w:rPr>
        <w:t>The maximum number of shares was determined by dividing the target award value by the fourth quarter 2014 average daily price ($161.56), rounding up to the nearest 100 shares, then multiplying that number by 2 (to take into account the potential for the maximum 200% credit) and the result by 1.2 (to take into account the potential +20% TSR adjustment).</w:t>
      </w:r>
    </w:p>
    <w:p>
      <w:pPr>
        <w:ind w:left="340" w:hanging="332"/>
        <w:spacing w:after="0"/>
        <w:tabs>
          <w:tab w:leader="none" w:pos="340" w:val="left"/>
        </w:tabs>
        <w:numPr>
          <w:ilvl w:val="0"/>
          <w:numId w:val="42"/>
        </w:numPr>
        <w:rPr>
          <w:rFonts w:ascii="Arial" w:cs="Arial" w:eastAsia="Arial" w:hAnsi="Arial"/>
          <w:sz w:val="16"/>
          <w:szCs w:val="16"/>
          <w:color w:val="auto"/>
        </w:rPr>
      </w:pPr>
      <w:r>
        <w:rPr>
          <w:rFonts w:ascii="Arial" w:cs="Arial" w:eastAsia="Arial" w:hAnsi="Arial"/>
          <w:sz w:val="16"/>
          <w:szCs w:val="16"/>
          <w:color w:val="auto"/>
        </w:rPr>
        <w:t>Mr. Yinger was not an executive officer when the three-year performance stock awards were granted in March 2015.</w:t>
      </w:r>
    </w:p>
    <w:p>
      <w:pPr>
        <w:spacing w:after="0" w:line="35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2015 Stock Option Awards</w:t>
      </w:r>
    </w:p>
    <w:p>
      <w:pPr>
        <w:spacing w:after="0" w:line="116"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On March 5, 2015, the Committee awarded the named executive officers stock options. The number of shares of common stock underlying the option awards granted to named executive officers was based on the award values described above. The table below sets forth the option award values and the number of shares of common stock underlying each option award for the option grants to the named executive officers granted in March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62865</wp:posOffset>
            </wp:positionV>
            <wp:extent cx="7237730" cy="16554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37730" cy="1655445"/>
                    </a:xfrm>
                    <a:prstGeom prst="rect">
                      <a:avLst/>
                    </a:prstGeom>
                    <a:noFill/>
                  </pic:spPr>
                </pic:pic>
              </a:graphicData>
            </a:graphic>
          </wp:anchor>
        </w:drawing>
      </w:r>
    </w:p>
    <w:p>
      <w:pPr>
        <w:spacing w:after="0" w:line="7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520" w:type="dxa"/>
            <w:vAlign w:val="bottom"/>
            <w:vMerge w:val="restart"/>
            <w:shd w:val="clear" w:color="auto" w:fill="B8CCE4"/>
          </w:tcPr>
          <w:p>
            <w:pPr>
              <w:ind w:left="180"/>
              <w:spacing w:after="0"/>
              <w:rPr>
                <w:sz w:val="20"/>
                <w:szCs w:val="20"/>
                <w:color w:val="auto"/>
              </w:rPr>
            </w:pPr>
            <w:r>
              <w:rPr>
                <w:rFonts w:ascii="Arial" w:cs="Arial" w:eastAsia="Arial" w:hAnsi="Arial"/>
                <w:sz w:val="18"/>
                <w:szCs w:val="18"/>
                <w:b w:val="1"/>
                <w:bCs w:val="1"/>
                <w:color w:val="auto"/>
              </w:rPr>
              <w:t>Name</w:t>
            </w:r>
          </w:p>
        </w:tc>
        <w:tc>
          <w:tcPr>
            <w:tcW w:w="4100" w:type="dxa"/>
            <w:vAlign w:val="bottom"/>
            <w:vMerge w:val="restart"/>
            <w:shd w:val="clear" w:color="auto" w:fill="B8CCE4"/>
          </w:tcPr>
          <w:p>
            <w:pPr>
              <w:ind w:left="160"/>
              <w:spacing w:after="0"/>
              <w:rPr>
                <w:sz w:val="20"/>
                <w:szCs w:val="20"/>
                <w:color w:val="auto"/>
              </w:rPr>
            </w:pPr>
            <w:r>
              <w:rPr>
                <w:rFonts w:ascii="Arial" w:cs="Arial" w:eastAsia="Arial" w:hAnsi="Arial"/>
                <w:sz w:val="18"/>
                <w:szCs w:val="18"/>
                <w:b w:val="1"/>
                <w:bCs w:val="1"/>
                <w:color w:val="auto"/>
              </w:rPr>
              <w:t>Title</w:t>
            </w:r>
          </w:p>
        </w:tc>
        <w:tc>
          <w:tcPr>
            <w:tcW w:w="2160" w:type="dxa"/>
            <w:vAlign w:val="bottom"/>
            <w:vMerge w:val="restart"/>
            <w:shd w:val="clear" w:color="auto" w:fill="B8CCE4"/>
          </w:tcPr>
          <w:p>
            <w:pPr>
              <w:ind w:left="260"/>
              <w:spacing w:after="0"/>
              <w:rPr>
                <w:sz w:val="20"/>
                <w:szCs w:val="20"/>
                <w:color w:val="auto"/>
              </w:rPr>
            </w:pPr>
            <w:r>
              <w:rPr>
                <w:rFonts w:ascii="Arial" w:cs="Arial" w:eastAsia="Arial" w:hAnsi="Arial"/>
                <w:sz w:val="18"/>
                <w:szCs w:val="18"/>
                <w:b w:val="1"/>
                <w:bCs w:val="1"/>
                <w:color w:val="auto"/>
              </w:rPr>
              <w:t>Option Award Values</w:t>
            </w:r>
          </w:p>
        </w:tc>
        <w:tc>
          <w:tcPr>
            <w:tcW w:w="2620" w:type="dxa"/>
            <w:vAlign w:val="bottom"/>
            <w:shd w:val="clear" w:color="auto" w:fill="B8CCE4"/>
          </w:tcPr>
          <w:p>
            <w:pPr>
              <w:jc w:val="center"/>
              <w:spacing w:after="0"/>
              <w:rPr>
                <w:sz w:val="20"/>
                <w:szCs w:val="20"/>
                <w:color w:val="auto"/>
              </w:rPr>
            </w:pPr>
            <w:r>
              <w:rPr>
                <w:rFonts w:ascii="Arial" w:cs="Arial" w:eastAsia="Arial" w:hAnsi="Arial"/>
                <w:sz w:val="18"/>
                <w:szCs w:val="18"/>
                <w:b w:val="1"/>
                <w:bCs w:val="1"/>
                <w:color w:val="auto"/>
                <w:w w:val="90"/>
              </w:rPr>
              <w:t>Shares Underlying Option</w:t>
            </w:r>
          </w:p>
        </w:tc>
        <w:tc>
          <w:tcPr>
            <w:tcW w:w="0" w:type="dxa"/>
            <w:vAlign w:val="bottom"/>
          </w:tcPr>
          <w:p>
            <w:pPr>
              <w:spacing w:after="0"/>
              <w:rPr>
                <w:sz w:val="1"/>
                <w:szCs w:val="1"/>
                <w:color w:val="auto"/>
              </w:rPr>
            </w:pPr>
          </w:p>
        </w:tc>
      </w:tr>
      <w:tr>
        <w:trPr>
          <w:trHeight w:val="126"/>
        </w:trPr>
        <w:tc>
          <w:tcPr>
            <w:tcW w:w="2520" w:type="dxa"/>
            <w:vAlign w:val="bottom"/>
            <w:vMerge w:val="continue"/>
            <w:shd w:val="clear" w:color="auto" w:fill="B8CCE4"/>
          </w:tcPr>
          <w:p>
            <w:pPr>
              <w:spacing w:after="0"/>
              <w:rPr>
                <w:sz w:val="10"/>
                <w:szCs w:val="10"/>
                <w:color w:val="auto"/>
              </w:rPr>
            </w:pPr>
          </w:p>
        </w:tc>
        <w:tc>
          <w:tcPr>
            <w:tcW w:w="4100" w:type="dxa"/>
            <w:vAlign w:val="bottom"/>
            <w:vMerge w:val="continue"/>
            <w:shd w:val="clear" w:color="auto" w:fill="B8CCE4"/>
          </w:tcPr>
          <w:p>
            <w:pPr>
              <w:spacing w:after="0"/>
              <w:rPr>
                <w:sz w:val="10"/>
                <w:szCs w:val="10"/>
                <w:color w:val="auto"/>
              </w:rPr>
            </w:pPr>
          </w:p>
        </w:tc>
        <w:tc>
          <w:tcPr>
            <w:tcW w:w="2160" w:type="dxa"/>
            <w:vAlign w:val="bottom"/>
            <w:vMerge w:val="continue"/>
            <w:shd w:val="clear" w:color="auto" w:fill="B8CCE4"/>
          </w:tcPr>
          <w:p>
            <w:pPr>
              <w:spacing w:after="0"/>
              <w:rPr>
                <w:sz w:val="10"/>
                <w:szCs w:val="10"/>
                <w:color w:val="auto"/>
              </w:rPr>
            </w:pPr>
          </w:p>
        </w:tc>
        <w:tc>
          <w:tcPr>
            <w:tcW w:w="2620" w:type="dxa"/>
            <w:vAlign w:val="bottom"/>
            <w:vMerge w:val="restart"/>
            <w:shd w:val="clear" w:color="auto" w:fill="B8CCE4"/>
          </w:tcPr>
          <w:p>
            <w:pPr>
              <w:jc w:val="center"/>
              <w:spacing w:after="0" w:line="262" w:lineRule="exact"/>
              <w:rPr>
                <w:sz w:val="20"/>
                <w:szCs w:val="20"/>
                <w:color w:val="auto"/>
              </w:rPr>
            </w:pPr>
            <w:r>
              <w:rPr>
                <w:rFonts w:ascii="Arial" w:cs="Arial" w:eastAsia="Arial" w:hAnsi="Arial"/>
                <w:sz w:val="18"/>
                <w:szCs w:val="18"/>
                <w:b w:val="1"/>
                <w:bCs w:val="1"/>
                <w:color w:val="auto"/>
                <w:w w:val="86"/>
              </w:rPr>
              <w:t>Awards</w:t>
            </w:r>
            <w:r>
              <w:rPr>
                <w:rFonts w:ascii="Arial" w:cs="Arial" w:eastAsia="Arial" w:hAnsi="Arial"/>
                <w:sz w:val="25"/>
                <w:szCs w:val="25"/>
                <w:b w:val="1"/>
                <w:bCs w:val="1"/>
                <w:color w:val="auto"/>
                <w:w w:val="86"/>
                <w:vertAlign w:val="superscript"/>
              </w:rPr>
              <w:t>(1)</w:t>
            </w:r>
          </w:p>
        </w:tc>
        <w:tc>
          <w:tcPr>
            <w:tcW w:w="0" w:type="dxa"/>
            <w:vAlign w:val="bottom"/>
          </w:tcPr>
          <w:p>
            <w:pPr>
              <w:spacing w:after="0"/>
              <w:rPr>
                <w:sz w:val="1"/>
                <w:szCs w:val="1"/>
                <w:color w:val="auto"/>
              </w:rPr>
            </w:pPr>
          </w:p>
        </w:tc>
      </w:tr>
      <w:tr>
        <w:trPr>
          <w:trHeight w:val="135"/>
        </w:trPr>
        <w:tc>
          <w:tcPr>
            <w:tcW w:w="2520" w:type="dxa"/>
            <w:vAlign w:val="bottom"/>
            <w:shd w:val="clear" w:color="auto" w:fill="B8CCE4"/>
          </w:tcPr>
          <w:p>
            <w:pPr>
              <w:spacing w:after="0"/>
              <w:rPr>
                <w:sz w:val="11"/>
                <w:szCs w:val="11"/>
                <w:color w:val="auto"/>
              </w:rPr>
            </w:pPr>
          </w:p>
        </w:tc>
        <w:tc>
          <w:tcPr>
            <w:tcW w:w="4100" w:type="dxa"/>
            <w:vAlign w:val="bottom"/>
            <w:shd w:val="clear" w:color="auto" w:fill="B8CCE4"/>
          </w:tcPr>
          <w:p>
            <w:pPr>
              <w:spacing w:after="0"/>
              <w:rPr>
                <w:sz w:val="11"/>
                <w:szCs w:val="11"/>
                <w:color w:val="auto"/>
              </w:rPr>
            </w:pPr>
          </w:p>
        </w:tc>
        <w:tc>
          <w:tcPr>
            <w:tcW w:w="2160" w:type="dxa"/>
            <w:vAlign w:val="bottom"/>
            <w:shd w:val="clear" w:color="auto" w:fill="B8CCE4"/>
          </w:tcPr>
          <w:p>
            <w:pPr>
              <w:spacing w:after="0"/>
              <w:rPr>
                <w:sz w:val="11"/>
                <w:szCs w:val="11"/>
                <w:color w:val="auto"/>
              </w:rPr>
            </w:pPr>
          </w:p>
        </w:tc>
        <w:tc>
          <w:tcPr>
            <w:tcW w:w="2620" w:type="dxa"/>
            <w:vAlign w:val="bottom"/>
            <w:vMerge w:val="continue"/>
            <w:shd w:val="clear" w:color="auto" w:fill="B8CCE4"/>
          </w:tcPr>
          <w:p>
            <w:pPr>
              <w:spacing w:after="0"/>
              <w:rPr>
                <w:sz w:val="11"/>
                <w:szCs w:val="11"/>
                <w:color w:val="auto"/>
              </w:rPr>
            </w:pPr>
          </w:p>
        </w:tc>
        <w:tc>
          <w:tcPr>
            <w:tcW w:w="0" w:type="dxa"/>
            <w:vAlign w:val="bottom"/>
          </w:tcPr>
          <w:p>
            <w:pPr>
              <w:spacing w:after="0"/>
              <w:rPr>
                <w:sz w:val="1"/>
                <w:szCs w:val="1"/>
                <w:color w:val="auto"/>
              </w:rPr>
            </w:pPr>
          </w:p>
        </w:tc>
      </w:tr>
      <w:tr>
        <w:trPr>
          <w:trHeight w:val="305"/>
        </w:trPr>
        <w:tc>
          <w:tcPr>
            <w:tcW w:w="2520" w:type="dxa"/>
            <w:vAlign w:val="bottom"/>
            <w:shd w:val="clear" w:color="auto" w:fill="DBE5F1"/>
          </w:tcPr>
          <w:p>
            <w:pPr>
              <w:ind w:left="220"/>
              <w:spacing w:after="0"/>
              <w:rPr>
                <w:sz w:val="20"/>
                <w:szCs w:val="20"/>
                <w:color w:val="auto"/>
              </w:rPr>
            </w:pPr>
            <w:r>
              <w:rPr>
                <w:rFonts w:ascii="Arial" w:cs="Arial" w:eastAsia="Arial" w:hAnsi="Arial"/>
                <w:sz w:val="16"/>
                <w:szCs w:val="16"/>
                <w:b w:val="1"/>
                <w:bCs w:val="1"/>
                <w:color w:val="auto"/>
              </w:rPr>
              <w:t>Andrew C. Florance</w:t>
            </w:r>
          </w:p>
        </w:tc>
        <w:tc>
          <w:tcPr>
            <w:tcW w:w="4100" w:type="dxa"/>
            <w:vAlign w:val="bottom"/>
            <w:shd w:val="clear" w:color="auto" w:fill="DBE5F1"/>
          </w:tcPr>
          <w:p>
            <w:pPr>
              <w:ind w:left="160"/>
              <w:spacing w:after="0"/>
              <w:rPr>
                <w:sz w:val="20"/>
                <w:szCs w:val="20"/>
                <w:color w:val="auto"/>
              </w:rPr>
            </w:pPr>
            <w:r>
              <w:rPr>
                <w:rFonts w:ascii="Arial" w:cs="Arial" w:eastAsia="Arial" w:hAnsi="Arial"/>
                <w:sz w:val="16"/>
                <w:szCs w:val="16"/>
                <w:color w:val="auto"/>
              </w:rPr>
              <w:t>CEO &amp; President</w:t>
            </w:r>
          </w:p>
        </w:tc>
        <w:tc>
          <w:tcPr>
            <w:tcW w:w="2160" w:type="dxa"/>
            <w:vAlign w:val="bottom"/>
            <w:shd w:val="clear" w:color="auto" w:fill="DBE5F1"/>
          </w:tcPr>
          <w:p>
            <w:pPr>
              <w:jc w:val="center"/>
              <w:spacing w:after="0"/>
              <w:rPr>
                <w:sz w:val="20"/>
                <w:szCs w:val="20"/>
                <w:color w:val="auto"/>
              </w:rPr>
            </w:pPr>
            <w:r>
              <w:rPr>
                <w:rFonts w:ascii="Arial" w:cs="Arial" w:eastAsia="Arial" w:hAnsi="Arial"/>
                <w:sz w:val="16"/>
                <w:szCs w:val="16"/>
                <w:color w:val="auto"/>
                <w:w w:val="92"/>
              </w:rPr>
              <w:t>$1,520,000</w:t>
            </w:r>
          </w:p>
        </w:tc>
        <w:tc>
          <w:tcPr>
            <w:tcW w:w="2620" w:type="dxa"/>
            <w:vAlign w:val="bottom"/>
            <w:shd w:val="clear" w:color="auto" w:fill="DBE5F1"/>
          </w:tcPr>
          <w:p>
            <w:pPr>
              <w:jc w:val="center"/>
              <w:spacing w:after="0"/>
              <w:rPr>
                <w:sz w:val="20"/>
                <w:szCs w:val="20"/>
                <w:color w:val="auto"/>
              </w:rPr>
            </w:pPr>
            <w:r>
              <w:rPr>
                <w:rFonts w:ascii="Arial" w:cs="Arial" w:eastAsia="Arial" w:hAnsi="Arial"/>
                <w:sz w:val="16"/>
                <w:szCs w:val="16"/>
                <w:color w:val="auto"/>
                <w:w w:val="89"/>
              </w:rPr>
              <w:t>32,200</w:t>
            </w:r>
          </w:p>
        </w:tc>
        <w:tc>
          <w:tcPr>
            <w:tcW w:w="0" w:type="dxa"/>
            <w:vAlign w:val="bottom"/>
          </w:tcPr>
          <w:p>
            <w:pPr>
              <w:spacing w:after="0"/>
              <w:rPr>
                <w:sz w:val="1"/>
                <w:szCs w:val="1"/>
                <w:color w:val="auto"/>
              </w:rPr>
            </w:pPr>
          </w:p>
        </w:tc>
      </w:tr>
      <w:tr>
        <w:trPr>
          <w:trHeight w:val="419"/>
        </w:trPr>
        <w:tc>
          <w:tcPr>
            <w:tcW w:w="2520" w:type="dxa"/>
            <w:vAlign w:val="bottom"/>
            <w:shd w:val="clear" w:color="auto" w:fill="DBE5F1"/>
          </w:tcPr>
          <w:p>
            <w:pPr>
              <w:ind w:left="220"/>
              <w:spacing w:after="0"/>
              <w:rPr>
                <w:sz w:val="20"/>
                <w:szCs w:val="20"/>
                <w:color w:val="auto"/>
              </w:rPr>
            </w:pPr>
            <w:r>
              <w:rPr>
                <w:rFonts w:ascii="Arial" w:cs="Arial" w:eastAsia="Arial" w:hAnsi="Arial"/>
                <w:sz w:val="16"/>
                <w:szCs w:val="16"/>
                <w:b w:val="1"/>
                <w:bCs w:val="1"/>
                <w:color w:val="auto"/>
              </w:rPr>
              <w:t>Brian J. Radecki</w:t>
            </w:r>
          </w:p>
        </w:tc>
        <w:tc>
          <w:tcPr>
            <w:tcW w:w="4100" w:type="dxa"/>
            <w:vAlign w:val="bottom"/>
            <w:shd w:val="clear" w:color="auto" w:fill="DBE5F1"/>
          </w:tcPr>
          <w:p>
            <w:pPr>
              <w:ind w:left="160"/>
              <w:spacing w:after="0"/>
              <w:rPr>
                <w:sz w:val="20"/>
                <w:szCs w:val="20"/>
                <w:color w:val="auto"/>
              </w:rPr>
            </w:pPr>
            <w:r>
              <w:rPr>
                <w:rFonts w:ascii="Arial" w:cs="Arial" w:eastAsia="Arial" w:hAnsi="Arial"/>
                <w:sz w:val="16"/>
                <w:szCs w:val="16"/>
                <w:color w:val="auto"/>
              </w:rPr>
              <w:t>Former CFO</w:t>
            </w:r>
          </w:p>
        </w:tc>
        <w:tc>
          <w:tcPr>
            <w:tcW w:w="2160" w:type="dxa"/>
            <w:vAlign w:val="bottom"/>
            <w:shd w:val="clear" w:color="auto" w:fill="DBE5F1"/>
          </w:tcPr>
          <w:p>
            <w:pPr>
              <w:jc w:val="center"/>
              <w:spacing w:after="0"/>
              <w:rPr>
                <w:sz w:val="20"/>
                <w:szCs w:val="20"/>
                <w:color w:val="auto"/>
              </w:rPr>
            </w:pPr>
            <w:r>
              <w:rPr>
                <w:rFonts w:ascii="Arial" w:cs="Arial" w:eastAsia="Arial" w:hAnsi="Arial"/>
                <w:sz w:val="16"/>
                <w:szCs w:val="16"/>
                <w:color w:val="auto"/>
                <w:w w:val="92"/>
              </w:rPr>
              <w:t>$660,000</w:t>
            </w:r>
          </w:p>
        </w:tc>
        <w:tc>
          <w:tcPr>
            <w:tcW w:w="2620" w:type="dxa"/>
            <w:vAlign w:val="bottom"/>
            <w:shd w:val="clear" w:color="auto" w:fill="DBE5F1"/>
          </w:tcPr>
          <w:p>
            <w:pPr>
              <w:jc w:val="center"/>
              <w:spacing w:after="0"/>
              <w:rPr>
                <w:sz w:val="20"/>
                <w:szCs w:val="20"/>
                <w:color w:val="auto"/>
              </w:rPr>
            </w:pPr>
            <w:r>
              <w:rPr>
                <w:rFonts w:ascii="Arial" w:cs="Arial" w:eastAsia="Arial" w:hAnsi="Arial"/>
                <w:sz w:val="16"/>
                <w:szCs w:val="16"/>
                <w:color w:val="auto"/>
                <w:w w:val="89"/>
              </w:rPr>
              <w:t>14,000</w:t>
            </w:r>
          </w:p>
        </w:tc>
        <w:tc>
          <w:tcPr>
            <w:tcW w:w="0" w:type="dxa"/>
            <w:vAlign w:val="bottom"/>
          </w:tcPr>
          <w:p>
            <w:pPr>
              <w:spacing w:after="0"/>
              <w:rPr>
                <w:sz w:val="1"/>
                <w:szCs w:val="1"/>
                <w:color w:val="auto"/>
              </w:rPr>
            </w:pPr>
          </w:p>
        </w:tc>
      </w:tr>
      <w:tr>
        <w:trPr>
          <w:trHeight w:val="493"/>
        </w:trPr>
        <w:tc>
          <w:tcPr>
            <w:tcW w:w="2520" w:type="dxa"/>
            <w:vAlign w:val="bottom"/>
            <w:shd w:val="clear" w:color="auto" w:fill="DBE5F1"/>
          </w:tcPr>
          <w:p>
            <w:pPr>
              <w:ind w:left="220"/>
              <w:spacing w:after="0"/>
              <w:rPr>
                <w:sz w:val="20"/>
                <w:szCs w:val="20"/>
                <w:color w:val="auto"/>
              </w:rPr>
            </w:pPr>
            <w:r>
              <w:rPr>
                <w:rFonts w:ascii="Arial" w:cs="Arial" w:eastAsia="Arial" w:hAnsi="Arial"/>
                <w:sz w:val="16"/>
                <w:szCs w:val="16"/>
                <w:b w:val="1"/>
                <w:bCs w:val="1"/>
                <w:color w:val="auto"/>
              </w:rPr>
              <w:t>Scott L. Yinger</w:t>
            </w:r>
            <w:r>
              <w:rPr>
                <w:rFonts w:ascii="Arial" w:cs="Arial" w:eastAsia="Arial" w:hAnsi="Arial"/>
                <w:sz w:val="21"/>
                <w:szCs w:val="21"/>
                <w:b w:val="1"/>
                <w:bCs w:val="1"/>
                <w:color w:val="auto"/>
                <w:vertAlign w:val="superscript"/>
              </w:rPr>
              <w:t>(2)</w:t>
            </w:r>
          </w:p>
        </w:tc>
        <w:tc>
          <w:tcPr>
            <w:tcW w:w="4100" w:type="dxa"/>
            <w:vAlign w:val="bottom"/>
            <w:shd w:val="clear" w:color="auto" w:fill="DBE5F1"/>
          </w:tcPr>
          <w:p>
            <w:pPr>
              <w:ind w:left="160"/>
              <w:spacing w:after="0"/>
              <w:rPr>
                <w:sz w:val="20"/>
                <w:szCs w:val="20"/>
                <w:color w:val="auto"/>
              </w:rPr>
            </w:pPr>
            <w:r>
              <w:rPr>
                <w:rFonts w:ascii="Arial" w:cs="Arial" w:eastAsia="Arial" w:hAnsi="Arial"/>
                <w:sz w:val="16"/>
                <w:szCs w:val="16"/>
                <w:color w:val="auto"/>
              </w:rPr>
              <w:t>Interim CFO</w:t>
            </w:r>
          </w:p>
        </w:tc>
        <w:tc>
          <w:tcPr>
            <w:tcW w:w="2160" w:type="dxa"/>
            <w:vAlign w:val="bottom"/>
            <w:shd w:val="clear" w:color="auto" w:fill="DBE5F1"/>
          </w:tcPr>
          <w:p>
            <w:pPr>
              <w:jc w:val="center"/>
              <w:spacing w:after="0"/>
              <w:rPr>
                <w:sz w:val="20"/>
                <w:szCs w:val="20"/>
                <w:color w:val="auto"/>
              </w:rPr>
            </w:pPr>
            <w:r>
              <w:rPr>
                <w:rFonts w:ascii="Arial" w:cs="Arial" w:eastAsia="Arial" w:hAnsi="Arial"/>
                <w:sz w:val="14"/>
                <w:szCs w:val="14"/>
                <w:color w:val="auto"/>
                <w:w w:val="99"/>
              </w:rPr>
              <w:t>—</w:t>
            </w:r>
          </w:p>
        </w:tc>
        <w:tc>
          <w:tcPr>
            <w:tcW w:w="2620" w:type="dxa"/>
            <w:vAlign w:val="bottom"/>
            <w:shd w:val="clear" w:color="auto" w:fill="DBE5F1"/>
          </w:tcPr>
          <w:p>
            <w:pPr>
              <w:jc w:val="center"/>
              <w:spacing w:after="0"/>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344"/>
        </w:trPr>
        <w:tc>
          <w:tcPr>
            <w:tcW w:w="2520" w:type="dxa"/>
            <w:vAlign w:val="bottom"/>
            <w:shd w:val="clear" w:color="auto" w:fill="DBE5F1"/>
          </w:tcPr>
          <w:p>
            <w:pPr>
              <w:ind w:left="220"/>
              <w:spacing w:after="0"/>
              <w:rPr>
                <w:sz w:val="20"/>
                <w:szCs w:val="20"/>
                <w:color w:val="auto"/>
              </w:rPr>
            </w:pPr>
            <w:r>
              <w:rPr>
                <w:rFonts w:ascii="Arial" w:cs="Arial" w:eastAsia="Arial" w:hAnsi="Arial"/>
                <w:sz w:val="16"/>
                <w:szCs w:val="16"/>
                <w:b w:val="1"/>
                <w:bCs w:val="1"/>
                <w:color w:val="auto"/>
              </w:rPr>
              <w:t>Francis A. Carchedi</w:t>
            </w:r>
          </w:p>
        </w:tc>
        <w:tc>
          <w:tcPr>
            <w:tcW w:w="4100" w:type="dxa"/>
            <w:vAlign w:val="bottom"/>
            <w:shd w:val="clear" w:color="auto" w:fill="DBE5F1"/>
          </w:tcPr>
          <w:p>
            <w:pPr>
              <w:ind w:left="160"/>
              <w:spacing w:after="0"/>
              <w:rPr>
                <w:sz w:val="20"/>
                <w:szCs w:val="20"/>
                <w:color w:val="auto"/>
              </w:rPr>
            </w:pPr>
            <w:r>
              <w:rPr>
                <w:rFonts w:ascii="Arial" w:cs="Arial" w:eastAsia="Arial" w:hAnsi="Arial"/>
                <w:sz w:val="16"/>
                <w:szCs w:val="16"/>
                <w:color w:val="auto"/>
              </w:rPr>
              <w:t>Exec. Vice President, Corp. Development</w:t>
            </w:r>
          </w:p>
        </w:tc>
        <w:tc>
          <w:tcPr>
            <w:tcW w:w="2160" w:type="dxa"/>
            <w:vAlign w:val="bottom"/>
            <w:shd w:val="clear" w:color="auto" w:fill="DBE5F1"/>
          </w:tcPr>
          <w:p>
            <w:pPr>
              <w:jc w:val="center"/>
              <w:spacing w:after="0"/>
              <w:rPr>
                <w:sz w:val="20"/>
                <w:szCs w:val="20"/>
                <w:color w:val="auto"/>
              </w:rPr>
            </w:pPr>
            <w:r>
              <w:rPr>
                <w:rFonts w:ascii="Arial" w:cs="Arial" w:eastAsia="Arial" w:hAnsi="Arial"/>
                <w:sz w:val="16"/>
                <w:szCs w:val="16"/>
                <w:color w:val="auto"/>
                <w:w w:val="92"/>
              </w:rPr>
              <w:t>$400,000</w:t>
            </w:r>
          </w:p>
        </w:tc>
        <w:tc>
          <w:tcPr>
            <w:tcW w:w="2620" w:type="dxa"/>
            <w:vAlign w:val="bottom"/>
            <w:shd w:val="clear" w:color="auto" w:fill="DBE5F1"/>
          </w:tcPr>
          <w:p>
            <w:pPr>
              <w:jc w:val="center"/>
              <w:spacing w:after="0"/>
              <w:rPr>
                <w:sz w:val="20"/>
                <w:szCs w:val="20"/>
                <w:color w:val="auto"/>
              </w:rPr>
            </w:pPr>
            <w:r>
              <w:rPr>
                <w:rFonts w:ascii="Arial" w:cs="Arial" w:eastAsia="Arial" w:hAnsi="Arial"/>
                <w:sz w:val="16"/>
                <w:szCs w:val="16"/>
                <w:color w:val="auto"/>
                <w:w w:val="89"/>
              </w:rPr>
              <w:t>8,500</w:t>
            </w:r>
          </w:p>
        </w:tc>
        <w:tc>
          <w:tcPr>
            <w:tcW w:w="0" w:type="dxa"/>
            <w:vAlign w:val="bottom"/>
          </w:tcPr>
          <w:p>
            <w:pPr>
              <w:spacing w:after="0"/>
              <w:rPr>
                <w:sz w:val="1"/>
                <w:szCs w:val="1"/>
                <w:color w:val="auto"/>
              </w:rPr>
            </w:pPr>
          </w:p>
        </w:tc>
      </w:tr>
      <w:tr>
        <w:trPr>
          <w:trHeight w:val="419"/>
        </w:trPr>
        <w:tc>
          <w:tcPr>
            <w:tcW w:w="2520" w:type="dxa"/>
            <w:vAlign w:val="bottom"/>
            <w:shd w:val="clear" w:color="auto" w:fill="DBE5F1"/>
          </w:tcPr>
          <w:p>
            <w:pPr>
              <w:ind w:left="220"/>
              <w:spacing w:after="0"/>
              <w:rPr>
                <w:sz w:val="20"/>
                <w:szCs w:val="20"/>
                <w:color w:val="auto"/>
              </w:rPr>
            </w:pPr>
            <w:r>
              <w:rPr>
                <w:rFonts w:ascii="Arial" w:cs="Arial" w:eastAsia="Arial" w:hAnsi="Arial"/>
                <w:sz w:val="16"/>
                <w:szCs w:val="16"/>
                <w:b w:val="1"/>
                <w:bCs w:val="1"/>
                <w:color w:val="auto"/>
              </w:rPr>
              <w:t>Matthew F. W. Linnington</w:t>
            </w:r>
          </w:p>
        </w:tc>
        <w:tc>
          <w:tcPr>
            <w:tcW w:w="4100" w:type="dxa"/>
            <w:vAlign w:val="bottom"/>
            <w:shd w:val="clear" w:color="auto" w:fill="DBE5F1"/>
          </w:tcPr>
          <w:p>
            <w:pPr>
              <w:ind w:left="160"/>
              <w:spacing w:after="0"/>
              <w:rPr>
                <w:sz w:val="20"/>
                <w:szCs w:val="20"/>
                <w:color w:val="auto"/>
              </w:rPr>
            </w:pPr>
            <w:r>
              <w:rPr>
                <w:rFonts w:ascii="Arial" w:cs="Arial" w:eastAsia="Arial" w:hAnsi="Arial"/>
                <w:sz w:val="16"/>
                <w:szCs w:val="16"/>
                <w:color w:val="auto"/>
              </w:rPr>
              <w:t>Exec. Vice President, Sales</w:t>
            </w:r>
          </w:p>
        </w:tc>
        <w:tc>
          <w:tcPr>
            <w:tcW w:w="2160" w:type="dxa"/>
            <w:vAlign w:val="bottom"/>
            <w:shd w:val="clear" w:color="auto" w:fill="DBE5F1"/>
          </w:tcPr>
          <w:p>
            <w:pPr>
              <w:jc w:val="center"/>
              <w:spacing w:after="0"/>
              <w:rPr>
                <w:sz w:val="20"/>
                <w:szCs w:val="20"/>
                <w:color w:val="auto"/>
              </w:rPr>
            </w:pPr>
            <w:r>
              <w:rPr>
                <w:rFonts w:ascii="Arial" w:cs="Arial" w:eastAsia="Arial" w:hAnsi="Arial"/>
                <w:sz w:val="16"/>
                <w:szCs w:val="16"/>
                <w:color w:val="auto"/>
                <w:w w:val="92"/>
              </w:rPr>
              <w:t>$340,000</w:t>
            </w:r>
          </w:p>
        </w:tc>
        <w:tc>
          <w:tcPr>
            <w:tcW w:w="2620" w:type="dxa"/>
            <w:vAlign w:val="bottom"/>
            <w:shd w:val="clear" w:color="auto" w:fill="DBE5F1"/>
          </w:tcPr>
          <w:p>
            <w:pPr>
              <w:jc w:val="center"/>
              <w:spacing w:after="0"/>
              <w:rPr>
                <w:sz w:val="20"/>
                <w:szCs w:val="20"/>
                <w:color w:val="auto"/>
              </w:rPr>
            </w:pPr>
            <w:r>
              <w:rPr>
                <w:rFonts w:ascii="Arial" w:cs="Arial" w:eastAsia="Arial" w:hAnsi="Arial"/>
                <w:sz w:val="16"/>
                <w:szCs w:val="16"/>
                <w:color w:val="auto"/>
                <w:w w:val="89"/>
              </w:rPr>
              <w:t>7,200</w:t>
            </w:r>
          </w:p>
        </w:tc>
        <w:tc>
          <w:tcPr>
            <w:tcW w:w="0" w:type="dxa"/>
            <w:vAlign w:val="bottom"/>
          </w:tcPr>
          <w:p>
            <w:pPr>
              <w:spacing w:after="0"/>
              <w:rPr>
                <w:sz w:val="1"/>
                <w:szCs w:val="1"/>
                <w:color w:val="auto"/>
              </w:rPr>
            </w:pPr>
          </w:p>
        </w:tc>
      </w:tr>
      <w:tr>
        <w:trPr>
          <w:trHeight w:val="114"/>
        </w:trPr>
        <w:tc>
          <w:tcPr>
            <w:tcW w:w="2520" w:type="dxa"/>
            <w:vAlign w:val="bottom"/>
            <w:shd w:val="clear" w:color="auto" w:fill="DBE5F1"/>
          </w:tcPr>
          <w:p>
            <w:pPr>
              <w:spacing w:after="0"/>
              <w:rPr>
                <w:sz w:val="9"/>
                <w:szCs w:val="9"/>
                <w:color w:val="auto"/>
              </w:rPr>
            </w:pPr>
          </w:p>
        </w:tc>
        <w:tc>
          <w:tcPr>
            <w:tcW w:w="4100" w:type="dxa"/>
            <w:vAlign w:val="bottom"/>
            <w:shd w:val="clear" w:color="auto" w:fill="DBE5F1"/>
          </w:tcPr>
          <w:p>
            <w:pPr>
              <w:spacing w:after="0"/>
              <w:rPr>
                <w:sz w:val="9"/>
                <w:szCs w:val="9"/>
                <w:color w:val="auto"/>
              </w:rPr>
            </w:pPr>
          </w:p>
        </w:tc>
        <w:tc>
          <w:tcPr>
            <w:tcW w:w="2160" w:type="dxa"/>
            <w:vAlign w:val="bottom"/>
            <w:shd w:val="clear" w:color="auto" w:fill="DBE5F1"/>
          </w:tcPr>
          <w:p>
            <w:pPr>
              <w:spacing w:after="0"/>
              <w:rPr>
                <w:sz w:val="9"/>
                <w:szCs w:val="9"/>
                <w:color w:val="auto"/>
              </w:rPr>
            </w:pPr>
          </w:p>
        </w:tc>
        <w:tc>
          <w:tcPr>
            <w:tcW w:w="2620" w:type="dxa"/>
            <w:vAlign w:val="bottom"/>
            <w:shd w:val="clear" w:color="auto" w:fill="DBE5F1"/>
          </w:tcPr>
          <w:p>
            <w:pPr>
              <w:spacing w:after="0"/>
              <w:rPr>
                <w:sz w:val="9"/>
                <w:szCs w:val="9"/>
                <w:color w:val="auto"/>
              </w:rPr>
            </w:pPr>
          </w:p>
        </w:tc>
        <w:tc>
          <w:tcPr>
            <w:tcW w:w="0" w:type="dxa"/>
            <w:vAlign w:val="bottom"/>
          </w:tcPr>
          <w:p>
            <w:pPr>
              <w:spacing w:after="0"/>
              <w:rPr>
                <w:sz w:val="1"/>
                <w:szCs w:val="1"/>
                <w:color w:val="auto"/>
              </w:rPr>
            </w:pPr>
          </w:p>
        </w:tc>
      </w:tr>
    </w:tbl>
    <w:p>
      <w:pPr>
        <w:spacing w:after="0" w:line="4" w:lineRule="exact"/>
        <w:rPr>
          <w:sz w:val="20"/>
          <w:szCs w:val="20"/>
          <w:color w:val="auto"/>
        </w:rPr>
      </w:pPr>
    </w:p>
    <w:p>
      <w:pPr>
        <w:spacing w:after="0"/>
        <w:rPr>
          <w:sz w:val="20"/>
          <w:szCs w:val="20"/>
          <w:color w:val="auto"/>
        </w:rPr>
      </w:pPr>
      <w:r>
        <w:rPr>
          <w:rFonts w:ascii="Arial" w:cs="Arial" w:eastAsia="Arial" w:hAnsi="Arial"/>
          <w:sz w:val="16"/>
          <w:szCs w:val="16"/>
          <w:color w:val="auto"/>
        </w:rPr>
        <w:t>_____________</w:t>
      </w:r>
    </w:p>
    <w:p>
      <w:pPr>
        <w:spacing w:after="0" w:line="19" w:lineRule="exact"/>
        <w:rPr>
          <w:sz w:val="20"/>
          <w:szCs w:val="20"/>
          <w:color w:val="auto"/>
        </w:rPr>
      </w:pPr>
    </w:p>
    <w:p>
      <w:pPr>
        <w:jc w:val="both"/>
        <w:ind w:left="340" w:hanging="332"/>
        <w:spacing w:after="0" w:line="246" w:lineRule="auto"/>
        <w:tabs>
          <w:tab w:leader="none" w:pos="340" w:val="left"/>
        </w:tabs>
        <w:numPr>
          <w:ilvl w:val="0"/>
          <w:numId w:val="43"/>
        </w:numPr>
        <w:rPr>
          <w:rFonts w:ascii="Arial" w:cs="Arial" w:eastAsia="Arial" w:hAnsi="Arial"/>
          <w:sz w:val="16"/>
          <w:szCs w:val="16"/>
          <w:color w:val="auto"/>
        </w:rPr>
      </w:pPr>
      <w:r>
        <w:rPr>
          <w:rFonts w:ascii="Arial" w:cs="Arial" w:eastAsia="Arial" w:hAnsi="Arial"/>
          <w:sz w:val="16"/>
          <w:szCs w:val="16"/>
          <w:color w:val="auto"/>
        </w:rPr>
        <w:t>The number of shares granted is determined by dividing the option award value by Willis Towers Watson’s assessed value per option calculated using the Black-Scholes model, rounded up to the nearest 100 shares. The amounts reported in this table under “Option Award Values” differ from the grant date fair values for these awards reported in the “Summary Compensation Table” and the “Grants of Plan-Based Awards” table in this Proxy Statement.</w:t>
      </w:r>
    </w:p>
    <w:p>
      <w:pPr>
        <w:spacing w:after="0" w:line="1" w:lineRule="exact"/>
        <w:rPr>
          <w:rFonts w:ascii="Arial" w:cs="Arial" w:eastAsia="Arial" w:hAnsi="Arial"/>
          <w:sz w:val="16"/>
          <w:szCs w:val="16"/>
          <w:color w:val="auto"/>
        </w:rPr>
      </w:pPr>
    </w:p>
    <w:p>
      <w:pPr>
        <w:ind w:left="340" w:hanging="332"/>
        <w:spacing w:after="0"/>
        <w:tabs>
          <w:tab w:leader="none" w:pos="340" w:val="left"/>
        </w:tabs>
        <w:numPr>
          <w:ilvl w:val="0"/>
          <w:numId w:val="43"/>
        </w:numPr>
        <w:rPr>
          <w:rFonts w:ascii="Arial" w:cs="Arial" w:eastAsia="Arial" w:hAnsi="Arial"/>
          <w:sz w:val="16"/>
          <w:szCs w:val="16"/>
          <w:color w:val="auto"/>
        </w:rPr>
      </w:pPr>
      <w:r>
        <w:rPr>
          <w:rFonts w:ascii="Arial" w:cs="Arial" w:eastAsia="Arial" w:hAnsi="Arial"/>
          <w:sz w:val="16"/>
          <w:szCs w:val="16"/>
          <w:color w:val="auto"/>
        </w:rPr>
        <w:t>Mr. Yinger was not an executive officer when the stock option awards were granted in March 2015.</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420"/>
          </w:cols>
          <w:pgMar w:left="240" w:top="518" w:right="239" w:bottom="1440" w:gutter="0" w:footer="0" w:header="0"/>
        </w:sectPr>
      </w:pPr>
    </w:p>
    <w:bookmarkStart w:id="69" w:name="page70"/>
    <w:bookmarkEnd w:id="69"/>
    <w:p>
      <w:pPr>
        <w:spacing w:after="0"/>
        <w:rPr>
          <w:sz w:val="20"/>
          <w:szCs w:val="20"/>
          <w:color w:val="auto"/>
        </w:rPr>
      </w:pPr>
      <w:r>
        <w:rPr>
          <w:rFonts w:ascii="Arial" w:cs="Arial" w:eastAsia="Arial" w:hAnsi="Arial"/>
          <w:sz w:val="20"/>
          <w:szCs w:val="20"/>
          <w:b w:val="1"/>
          <w:bCs w:val="1"/>
          <w:color w:val="auto"/>
        </w:rPr>
        <w:t>Target Equity Incentive Awards Granted in 2016</w:t>
      </w:r>
    </w:p>
    <w:p>
      <w:pPr>
        <w:spacing w:after="0" w:line="224"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Committee elected to review the target award values in late 2015 in advance of awarding the annual performance-based restricted stock awards in 2016 for 2015 performance and the annual stock option awards in 2016. After this additional review of the Company’s goals (including linking executive incentives with long-term stockholder value), previous equity awards to the respective named executive officers, the total mix of compensation for each individual, individual performance, internal pay equity and competitive considerations, and taking into account the late 2015 Willis Towers Watson study, the Committee determined to increase target award values for Mr. Florance and Mr. Linnington. Mr. Florance’s and Mr. Linnington’s target award values were increased in recognition of their responsibilities and performance. The target award value for Messrs. Florance and Carchedi were set within +/- 15% of the median blended market data. Mr. Linnington’s target award value falls below the median level of blended market data, and was determined after taking into account Mr. Linnington’s total mix of compensation and internal pay equity considerations.</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5978A5"/>
        </w:rPr>
        <w:t>TARGET EQUITY INCENTIVE AWARDS</w:t>
      </w:r>
    </w:p>
    <w:p>
      <w:pPr>
        <w:spacing w:after="0" w:line="126" w:lineRule="exact"/>
        <w:rPr>
          <w:sz w:val="20"/>
          <w:szCs w:val="20"/>
          <w:color w:val="auto"/>
        </w:rPr>
      </w:pPr>
    </w:p>
    <w:p>
      <w:pPr>
        <w:ind w:left="660"/>
        <w:spacing w:after="0"/>
        <w:rPr>
          <w:sz w:val="20"/>
          <w:szCs w:val="20"/>
          <w:color w:val="auto"/>
        </w:rPr>
      </w:pPr>
      <w:r>
        <w:rPr>
          <w:rFonts w:ascii="Arial" w:cs="Arial" w:eastAsia="Arial" w:hAnsi="Arial"/>
          <w:sz w:val="16"/>
          <w:szCs w:val="16"/>
          <w:color w:val="0D0D0D"/>
        </w:rPr>
        <w:t>Target value of the award components:</w:t>
      </w:r>
    </w:p>
    <w:p>
      <w:pPr>
        <w:spacing w:after="0" w:line="19" w:lineRule="exact"/>
        <w:rPr>
          <w:sz w:val="20"/>
          <w:szCs w:val="20"/>
          <w:color w:val="auto"/>
        </w:rPr>
      </w:pPr>
    </w:p>
    <w:p>
      <w:pPr>
        <w:ind w:left="980" w:hanging="162"/>
        <w:spacing w:after="0"/>
        <w:tabs>
          <w:tab w:leader="none" w:pos="980" w:val="left"/>
        </w:tabs>
        <w:numPr>
          <w:ilvl w:val="0"/>
          <w:numId w:val="44"/>
        </w:numPr>
        <w:rPr>
          <w:rFonts w:ascii="Arial" w:cs="Arial" w:eastAsia="Arial" w:hAnsi="Arial"/>
          <w:sz w:val="16"/>
          <w:szCs w:val="16"/>
          <w:color w:val="auto"/>
        </w:rPr>
      </w:pPr>
      <w:r>
        <w:rPr>
          <w:rFonts w:ascii="Arial" w:cs="Arial" w:eastAsia="Arial" w:hAnsi="Arial"/>
          <w:sz w:val="16"/>
          <w:szCs w:val="16"/>
          <w:color w:val="0D0D0D"/>
        </w:rPr>
        <w:t>40% options;</w:t>
      </w:r>
    </w:p>
    <w:p>
      <w:pPr>
        <w:spacing w:after="0" w:line="5" w:lineRule="exact"/>
        <w:rPr>
          <w:rFonts w:ascii="Arial" w:cs="Arial" w:eastAsia="Arial" w:hAnsi="Arial"/>
          <w:sz w:val="16"/>
          <w:szCs w:val="16"/>
          <w:color w:val="auto"/>
        </w:rPr>
      </w:pPr>
    </w:p>
    <w:p>
      <w:pPr>
        <w:ind w:left="980" w:right="20" w:hanging="162"/>
        <w:spacing w:after="0" w:line="246" w:lineRule="auto"/>
        <w:tabs>
          <w:tab w:leader="none" w:pos="980" w:val="left"/>
        </w:tabs>
        <w:numPr>
          <w:ilvl w:val="0"/>
          <w:numId w:val="44"/>
        </w:numPr>
        <w:rPr>
          <w:rFonts w:ascii="Arial" w:cs="Arial" w:eastAsia="Arial" w:hAnsi="Arial"/>
          <w:sz w:val="16"/>
          <w:szCs w:val="16"/>
          <w:color w:val="auto"/>
        </w:rPr>
      </w:pPr>
      <w:r>
        <w:rPr>
          <w:rFonts w:ascii="Arial" w:cs="Arial" w:eastAsia="Arial" w:hAnsi="Arial"/>
          <w:sz w:val="16"/>
          <w:szCs w:val="16"/>
          <w:color w:val="0D0D0D"/>
        </w:rPr>
        <w:t>40% performance-based restricted stock granted based on achievement of non-GAAP net income performance objectives and subject to a three-year vesting term; and</w:t>
      </w:r>
    </w:p>
    <w:p>
      <w:pPr>
        <w:ind w:left="980" w:hanging="162"/>
        <w:spacing w:after="0" w:line="257" w:lineRule="auto"/>
        <w:tabs>
          <w:tab w:leader="none" w:pos="980" w:val="left"/>
        </w:tabs>
        <w:numPr>
          <w:ilvl w:val="0"/>
          <w:numId w:val="44"/>
        </w:numPr>
        <w:rPr>
          <w:rFonts w:ascii="Arial" w:cs="Arial" w:eastAsia="Arial" w:hAnsi="Arial"/>
          <w:sz w:val="16"/>
          <w:szCs w:val="16"/>
          <w:color w:val="auto"/>
        </w:rPr>
      </w:pPr>
      <w:r>
        <w:rPr>
          <w:rFonts w:ascii="Arial" w:cs="Arial" w:eastAsia="Arial" w:hAnsi="Arial"/>
          <w:sz w:val="16"/>
          <w:szCs w:val="16"/>
          <w:color w:val="0D0D0D"/>
        </w:rPr>
        <w:t>20% performance shares earned based on a three-year cumulative revenue performance objective and adjustment based on achievement of total stockholder return relative to TSR of companies within the Russell 1000.</w:t>
      </w:r>
    </w:p>
    <w:p>
      <w:pPr>
        <w:spacing w:after="0" w:line="182"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chart below sets forth the target award values for the annual equity compensation awards, including the annual stock option awards granted in 2016 that vest ratably over three years, the performance-based restricted stock awards granted in 2016 for achievement of 2015 non-GAAP net income that vest ratably over three years, and the performance-based grant of restricted stock, which vests based on achievement of a three-year cumulative revenue goal and is subject to adjustment based on the Company’s total stockholder return over the same three-year period. The value of performance-based restricted stock ultimately awarded to our named executive officers in early 2016 for 2015 performance was determined based upon achievement of non-GAAP net income as described below. Each named executive officer had the potential to earn up to two times his annual performance-based restricted stock target award value for exceptional performance as measured against the goal.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86295" cy="218694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86295" cy="2186940"/>
                    </a:xfrm>
                    <a:prstGeom prst="rect">
                      <a:avLst/>
                    </a:prstGeom>
                    <a:noFill/>
                  </pic:spPr>
                </pic:pic>
              </a:graphicData>
            </a:graphic>
          </wp:anchor>
        </w:drawing>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280" w:type="dxa"/>
            <w:vAlign w:val="bottom"/>
            <w:shd w:val="clear" w:color="auto" w:fill="B8CCE4"/>
          </w:tcPr>
          <w:p>
            <w:pPr>
              <w:spacing w:after="0"/>
              <w:rPr>
                <w:sz w:val="20"/>
                <w:szCs w:val="20"/>
                <w:color w:val="auto"/>
              </w:rPr>
            </w:pPr>
          </w:p>
        </w:tc>
        <w:tc>
          <w:tcPr>
            <w:tcW w:w="2040" w:type="dxa"/>
            <w:vAlign w:val="bottom"/>
            <w:shd w:val="clear" w:color="auto" w:fill="B8CCE4"/>
          </w:tcPr>
          <w:p>
            <w:pPr>
              <w:spacing w:after="0"/>
              <w:rPr>
                <w:sz w:val="20"/>
                <w:szCs w:val="20"/>
                <w:color w:val="auto"/>
              </w:rPr>
            </w:pPr>
          </w:p>
        </w:tc>
        <w:tc>
          <w:tcPr>
            <w:tcW w:w="1700" w:type="dxa"/>
            <w:vAlign w:val="bottom"/>
            <w:shd w:val="clear" w:color="auto" w:fill="B8CCE4"/>
          </w:tcPr>
          <w:p>
            <w:pPr>
              <w:spacing w:after="0"/>
              <w:rPr>
                <w:sz w:val="20"/>
                <w:szCs w:val="20"/>
                <w:color w:val="auto"/>
              </w:rPr>
            </w:pPr>
          </w:p>
        </w:tc>
        <w:tc>
          <w:tcPr>
            <w:tcW w:w="1800" w:type="dxa"/>
            <w:vAlign w:val="bottom"/>
            <w:shd w:val="clear" w:color="auto" w:fill="B8CCE4"/>
          </w:tcPr>
          <w:p>
            <w:pPr>
              <w:jc w:val="center"/>
              <w:spacing w:after="0"/>
              <w:rPr>
                <w:sz w:val="20"/>
                <w:szCs w:val="20"/>
                <w:color w:val="auto"/>
              </w:rPr>
            </w:pPr>
            <w:r>
              <w:rPr>
                <w:rFonts w:ascii="Arial" w:cs="Arial" w:eastAsia="Arial" w:hAnsi="Arial"/>
                <w:sz w:val="18"/>
                <w:szCs w:val="18"/>
                <w:b w:val="1"/>
                <w:bCs w:val="1"/>
                <w:color w:val="auto"/>
                <w:w w:val="92"/>
              </w:rPr>
              <w:t>Annual Performance-</w:t>
            </w:r>
          </w:p>
        </w:tc>
        <w:tc>
          <w:tcPr>
            <w:tcW w:w="1640" w:type="dxa"/>
            <w:vAlign w:val="bottom"/>
            <w:shd w:val="clear" w:color="auto" w:fill="B8CCE4"/>
          </w:tcPr>
          <w:p>
            <w:pPr>
              <w:jc w:val="center"/>
              <w:spacing w:after="0"/>
              <w:rPr>
                <w:sz w:val="20"/>
                <w:szCs w:val="20"/>
                <w:color w:val="auto"/>
              </w:rPr>
            </w:pPr>
            <w:r>
              <w:rPr>
                <w:rFonts w:ascii="Arial" w:cs="Arial" w:eastAsia="Arial" w:hAnsi="Arial"/>
                <w:sz w:val="18"/>
                <w:szCs w:val="18"/>
                <w:b w:val="1"/>
                <w:bCs w:val="1"/>
                <w:color w:val="auto"/>
                <w:w w:val="94"/>
              </w:rPr>
              <w:t>3-year</w:t>
            </w:r>
          </w:p>
        </w:tc>
        <w:tc>
          <w:tcPr>
            <w:tcW w:w="1860" w:type="dxa"/>
            <w:vAlign w:val="bottom"/>
            <w:shd w:val="clear" w:color="auto" w:fill="B8CCE4"/>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280" w:type="dxa"/>
            <w:vAlign w:val="bottom"/>
            <w:vMerge w:val="restart"/>
            <w:shd w:val="clear" w:color="auto" w:fill="B8CCE4"/>
          </w:tcPr>
          <w:p>
            <w:pPr>
              <w:ind w:left="180"/>
              <w:spacing w:after="0"/>
              <w:rPr>
                <w:sz w:val="20"/>
                <w:szCs w:val="20"/>
                <w:color w:val="auto"/>
              </w:rPr>
            </w:pPr>
            <w:r>
              <w:rPr>
                <w:rFonts w:ascii="Arial" w:cs="Arial" w:eastAsia="Arial" w:hAnsi="Arial"/>
                <w:sz w:val="18"/>
                <w:szCs w:val="18"/>
                <w:b w:val="1"/>
                <w:bCs w:val="1"/>
                <w:color w:val="auto"/>
              </w:rPr>
              <w:t>Name</w:t>
            </w:r>
          </w:p>
        </w:tc>
        <w:tc>
          <w:tcPr>
            <w:tcW w:w="2040" w:type="dxa"/>
            <w:vAlign w:val="bottom"/>
            <w:vMerge w:val="restart"/>
            <w:shd w:val="clear" w:color="auto" w:fill="B8CCE4"/>
          </w:tcPr>
          <w:p>
            <w:pPr>
              <w:ind w:left="160"/>
              <w:spacing w:after="0"/>
              <w:rPr>
                <w:sz w:val="20"/>
                <w:szCs w:val="20"/>
                <w:color w:val="auto"/>
              </w:rPr>
            </w:pPr>
            <w:r>
              <w:rPr>
                <w:rFonts w:ascii="Arial" w:cs="Arial" w:eastAsia="Arial" w:hAnsi="Arial"/>
                <w:sz w:val="18"/>
                <w:szCs w:val="18"/>
                <w:b w:val="1"/>
                <w:bCs w:val="1"/>
                <w:color w:val="auto"/>
              </w:rPr>
              <w:t>Title</w:t>
            </w:r>
          </w:p>
        </w:tc>
        <w:tc>
          <w:tcPr>
            <w:tcW w:w="1700" w:type="dxa"/>
            <w:vAlign w:val="bottom"/>
            <w:shd w:val="clear" w:color="auto" w:fill="B8CCE4"/>
          </w:tcPr>
          <w:p>
            <w:pPr>
              <w:jc w:val="center"/>
              <w:spacing w:after="0"/>
              <w:rPr>
                <w:sz w:val="20"/>
                <w:szCs w:val="20"/>
                <w:color w:val="auto"/>
              </w:rPr>
            </w:pPr>
            <w:r>
              <w:rPr>
                <w:rFonts w:ascii="Arial" w:cs="Arial" w:eastAsia="Arial" w:hAnsi="Arial"/>
                <w:sz w:val="18"/>
                <w:szCs w:val="18"/>
                <w:b w:val="1"/>
                <w:bCs w:val="1"/>
                <w:color w:val="auto"/>
                <w:w w:val="93"/>
              </w:rPr>
              <w:t>Annual Option</w:t>
            </w:r>
          </w:p>
        </w:tc>
        <w:tc>
          <w:tcPr>
            <w:tcW w:w="1800" w:type="dxa"/>
            <w:vAlign w:val="bottom"/>
            <w:shd w:val="clear" w:color="auto" w:fill="B8CCE4"/>
          </w:tcPr>
          <w:p>
            <w:pPr>
              <w:jc w:val="center"/>
              <w:spacing w:after="0"/>
              <w:rPr>
                <w:sz w:val="20"/>
                <w:szCs w:val="20"/>
                <w:color w:val="auto"/>
              </w:rPr>
            </w:pPr>
            <w:r>
              <w:rPr>
                <w:rFonts w:ascii="Arial" w:cs="Arial" w:eastAsia="Arial" w:hAnsi="Arial"/>
                <w:sz w:val="18"/>
                <w:szCs w:val="18"/>
                <w:b w:val="1"/>
                <w:bCs w:val="1"/>
                <w:color w:val="auto"/>
                <w:w w:val="88"/>
              </w:rPr>
              <w:t>Based Restricted</w:t>
            </w:r>
          </w:p>
        </w:tc>
        <w:tc>
          <w:tcPr>
            <w:tcW w:w="1640" w:type="dxa"/>
            <w:vAlign w:val="bottom"/>
            <w:shd w:val="clear" w:color="auto" w:fill="B8CCE4"/>
          </w:tcPr>
          <w:p>
            <w:pPr>
              <w:jc w:val="center"/>
              <w:spacing w:after="0"/>
              <w:rPr>
                <w:sz w:val="20"/>
                <w:szCs w:val="20"/>
                <w:color w:val="auto"/>
              </w:rPr>
            </w:pPr>
            <w:r>
              <w:rPr>
                <w:rFonts w:ascii="Arial" w:cs="Arial" w:eastAsia="Arial" w:hAnsi="Arial"/>
                <w:sz w:val="18"/>
                <w:szCs w:val="18"/>
                <w:b w:val="1"/>
                <w:bCs w:val="1"/>
                <w:color w:val="auto"/>
                <w:w w:val="88"/>
              </w:rPr>
              <w:t>Performance Stock</w:t>
            </w:r>
          </w:p>
        </w:tc>
        <w:tc>
          <w:tcPr>
            <w:tcW w:w="1860" w:type="dxa"/>
            <w:vAlign w:val="bottom"/>
            <w:shd w:val="clear" w:color="auto" w:fill="B8CCE4"/>
          </w:tcPr>
          <w:p>
            <w:pPr>
              <w:jc w:val="center"/>
              <w:spacing w:after="0"/>
              <w:rPr>
                <w:sz w:val="20"/>
                <w:szCs w:val="20"/>
                <w:color w:val="auto"/>
              </w:rPr>
            </w:pPr>
            <w:r>
              <w:rPr>
                <w:rFonts w:ascii="Arial" w:cs="Arial" w:eastAsia="Arial" w:hAnsi="Arial"/>
                <w:sz w:val="18"/>
                <w:szCs w:val="18"/>
                <w:b w:val="1"/>
                <w:bCs w:val="1"/>
                <w:color w:val="auto"/>
                <w:w w:val="90"/>
              </w:rPr>
              <w:t>Aggregate Annual</w:t>
            </w:r>
          </w:p>
        </w:tc>
        <w:tc>
          <w:tcPr>
            <w:tcW w:w="0" w:type="dxa"/>
            <w:vAlign w:val="bottom"/>
          </w:tcPr>
          <w:p>
            <w:pPr>
              <w:spacing w:after="0"/>
              <w:rPr>
                <w:sz w:val="1"/>
                <w:szCs w:val="1"/>
                <w:color w:val="auto"/>
              </w:rPr>
            </w:pPr>
          </w:p>
        </w:tc>
      </w:tr>
      <w:tr>
        <w:trPr>
          <w:trHeight w:val="86"/>
        </w:trPr>
        <w:tc>
          <w:tcPr>
            <w:tcW w:w="2280" w:type="dxa"/>
            <w:vAlign w:val="bottom"/>
            <w:vMerge w:val="continue"/>
            <w:shd w:val="clear" w:color="auto" w:fill="B8CCE4"/>
          </w:tcPr>
          <w:p>
            <w:pPr>
              <w:spacing w:after="0"/>
              <w:rPr>
                <w:sz w:val="7"/>
                <w:szCs w:val="7"/>
                <w:color w:val="auto"/>
              </w:rPr>
            </w:pPr>
          </w:p>
        </w:tc>
        <w:tc>
          <w:tcPr>
            <w:tcW w:w="2040" w:type="dxa"/>
            <w:vAlign w:val="bottom"/>
            <w:vMerge w:val="continue"/>
            <w:shd w:val="clear" w:color="auto" w:fill="B8CCE4"/>
          </w:tcPr>
          <w:p>
            <w:pPr>
              <w:spacing w:after="0"/>
              <w:rPr>
                <w:sz w:val="7"/>
                <w:szCs w:val="7"/>
                <w:color w:val="auto"/>
              </w:rPr>
            </w:pPr>
          </w:p>
        </w:tc>
        <w:tc>
          <w:tcPr>
            <w:tcW w:w="1700" w:type="dxa"/>
            <w:vAlign w:val="bottom"/>
            <w:vMerge w:val="restart"/>
            <w:shd w:val="clear" w:color="auto" w:fill="B8CCE4"/>
          </w:tcPr>
          <w:p>
            <w:pPr>
              <w:jc w:val="center"/>
              <w:spacing w:after="0"/>
              <w:rPr>
                <w:sz w:val="20"/>
                <w:szCs w:val="20"/>
                <w:color w:val="auto"/>
              </w:rPr>
            </w:pPr>
            <w:r>
              <w:rPr>
                <w:rFonts w:ascii="Arial" w:cs="Arial" w:eastAsia="Arial" w:hAnsi="Arial"/>
                <w:sz w:val="18"/>
                <w:szCs w:val="18"/>
                <w:b w:val="1"/>
                <w:bCs w:val="1"/>
                <w:color w:val="auto"/>
                <w:w w:val="90"/>
              </w:rPr>
              <w:t>Target Award Values</w:t>
            </w:r>
          </w:p>
        </w:tc>
        <w:tc>
          <w:tcPr>
            <w:tcW w:w="1800" w:type="dxa"/>
            <w:vAlign w:val="bottom"/>
            <w:vMerge w:val="restart"/>
            <w:shd w:val="clear" w:color="auto" w:fill="B8CCE4"/>
          </w:tcPr>
          <w:p>
            <w:pPr>
              <w:jc w:val="center"/>
              <w:spacing w:after="0"/>
              <w:rPr>
                <w:sz w:val="20"/>
                <w:szCs w:val="20"/>
                <w:color w:val="auto"/>
              </w:rPr>
            </w:pPr>
            <w:r>
              <w:rPr>
                <w:rFonts w:ascii="Arial" w:cs="Arial" w:eastAsia="Arial" w:hAnsi="Arial"/>
                <w:sz w:val="18"/>
                <w:szCs w:val="18"/>
                <w:b w:val="1"/>
                <w:bCs w:val="1"/>
                <w:color w:val="auto"/>
                <w:w w:val="91"/>
              </w:rPr>
              <w:t>Stock Target Award</w:t>
            </w:r>
          </w:p>
        </w:tc>
        <w:tc>
          <w:tcPr>
            <w:tcW w:w="1640" w:type="dxa"/>
            <w:vAlign w:val="bottom"/>
            <w:vMerge w:val="restart"/>
            <w:shd w:val="clear" w:color="auto" w:fill="B8CCE4"/>
          </w:tcPr>
          <w:p>
            <w:pPr>
              <w:jc w:val="center"/>
              <w:spacing w:after="0"/>
              <w:rPr>
                <w:sz w:val="20"/>
                <w:szCs w:val="20"/>
                <w:color w:val="auto"/>
              </w:rPr>
            </w:pPr>
            <w:r>
              <w:rPr>
                <w:rFonts w:ascii="Arial" w:cs="Arial" w:eastAsia="Arial" w:hAnsi="Arial"/>
                <w:sz w:val="18"/>
                <w:szCs w:val="18"/>
                <w:b w:val="1"/>
                <w:bCs w:val="1"/>
                <w:color w:val="auto"/>
                <w:w w:val="92"/>
              </w:rPr>
              <w:t>Target Award</w:t>
            </w:r>
          </w:p>
        </w:tc>
        <w:tc>
          <w:tcPr>
            <w:tcW w:w="1860" w:type="dxa"/>
            <w:vAlign w:val="bottom"/>
            <w:vMerge w:val="restart"/>
            <w:shd w:val="clear" w:color="auto" w:fill="B8CCE4"/>
          </w:tcPr>
          <w:p>
            <w:pPr>
              <w:jc w:val="center"/>
              <w:spacing w:after="0"/>
              <w:rPr>
                <w:sz w:val="20"/>
                <w:szCs w:val="20"/>
                <w:color w:val="auto"/>
              </w:rPr>
            </w:pPr>
            <w:r>
              <w:rPr>
                <w:rFonts w:ascii="Arial" w:cs="Arial" w:eastAsia="Arial" w:hAnsi="Arial"/>
                <w:sz w:val="18"/>
                <w:szCs w:val="18"/>
                <w:b w:val="1"/>
                <w:bCs w:val="1"/>
                <w:color w:val="auto"/>
                <w:w w:val="89"/>
              </w:rPr>
              <w:t>Target Award Values</w:t>
            </w:r>
          </w:p>
        </w:tc>
        <w:tc>
          <w:tcPr>
            <w:tcW w:w="0" w:type="dxa"/>
            <w:vAlign w:val="bottom"/>
          </w:tcPr>
          <w:p>
            <w:pPr>
              <w:spacing w:after="0"/>
              <w:rPr>
                <w:sz w:val="1"/>
                <w:szCs w:val="1"/>
                <w:color w:val="auto"/>
              </w:rPr>
            </w:pPr>
          </w:p>
        </w:tc>
      </w:tr>
      <w:tr>
        <w:trPr>
          <w:trHeight w:val="130"/>
        </w:trPr>
        <w:tc>
          <w:tcPr>
            <w:tcW w:w="2280" w:type="dxa"/>
            <w:vAlign w:val="bottom"/>
            <w:shd w:val="clear" w:color="auto" w:fill="B8CCE4"/>
          </w:tcPr>
          <w:p>
            <w:pPr>
              <w:spacing w:after="0"/>
              <w:rPr>
                <w:sz w:val="11"/>
                <w:szCs w:val="11"/>
                <w:color w:val="auto"/>
              </w:rPr>
            </w:pPr>
          </w:p>
        </w:tc>
        <w:tc>
          <w:tcPr>
            <w:tcW w:w="2040" w:type="dxa"/>
            <w:vAlign w:val="bottom"/>
            <w:shd w:val="clear" w:color="auto" w:fill="B8CCE4"/>
          </w:tcPr>
          <w:p>
            <w:pPr>
              <w:spacing w:after="0"/>
              <w:rPr>
                <w:sz w:val="11"/>
                <w:szCs w:val="11"/>
                <w:color w:val="auto"/>
              </w:rPr>
            </w:pPr>
          </w:p>
        </w:tc>
        <w:tc>
          <w:tcPr>
            <w:tcW w:w="1700" w:type="dxa"/>
            <w:vAlign w:val="bottom"/>
            <w:vMerge w:val="continue"/>
            <w:shd w:val="clear" w:color="auto" w:fill="B8CCE4"/>
          </w:tcPr>
          <w:p>
            <w:pPr>
              <w:spacing w:after="0"/>
              <w:rPr>
                <w:sz w:val="11"/>
                <w:szCs w:val="11"/>
                <w:color w:val="auto"/>
              </w:rPr>
            </w:pPr>
          </w:p>
        </w:tc>
        <w:tc>
          <w:tcPr>
            <w:tcW w:w="1800" w:type="dxa"/>
            <w:vAlign w:val="bottom"/>
            <w:vMerge w:val="continue"/>
            <w:shd w:val="clear" w:color="auto" w:fill="B8CCE4"/>
          </w:tcPr>
          <w:p>
            <w:pPr>
              <w:spacing w:after="0"/>
              <w:rPr>
                <w:sz w:val="11"/>
                <w:szCs w:val="11"/>
                <w:color w:val="auto"/>
              </w:rPr>
            </w:pPr>
          </w:p>
        </w:tc>
        <w:tc>
          <w:tcPr>
            <w:tcW w:w="1640" w:type="dxa"/>
            <w:vAlign w:val="bottom"/>
            <w:vMerge w:val="continue"/>
            <w:shd w:val="clear" w:color="auto" w:fill="B8CCE4"/>
          </w:tcPr>
          <w:p>
            <w:pPr>
              <w:spacing w:after="0"/>
              <w:rPr>
                <w:sz w:val="11"/>
                <w:szCs w:val="11"/>
                <w:color w:val="auto"/>
              </w:rPr>
            </w:pPr>
          </w:p>
        </w:tc>
        <w:tc>
          <w:tcPr>
            <w:tcW w:w="1860" w:type="dxa"/>
            <w:vAlign w:val="bottom"/>
            <w:vMerge w:val="continue"/>
            <w:shd w:val="clear" w:color="auto" w:fill="B8CCE4"/>
          </w:tcPr>
          <w:p>
            <w:pPr>
              <w:spacing w:after="0"/>
              <w:rPr>
                <w:sz w:val="11"/>
                <w:szCs w:val="11"/>
                <w:color w:val="auto"/>
              </w:rPr>
            </w:pPr>
          </w:p>
        </w:tc>
        <w:tc>
          <w:tcPr>
            <w:tcW w:w="0" w:type="dxa"/>
            <w:vAlign w:val="bottom"/>
          </w:tcPr>
          <w:p>
            <w:pPr>
              <w:spacing w:after="0"/>
              <w:rPr>
                <w:sz w:val="1"/>
                <w:szCs w:val="1"/>
                <w:color w:val="auto"/>
              </w:rPr>
            </w:pPr>
          </w:p>
        </w:tc>
      </w:tr>
      <w:tr>
        <w:trPr>
          <w:trHeight w:val="241"/>
        </w:trPr>
        <w:tc>
          <w:tcPr>
            <w:tcW w:w="2280" w:type="dxa"/>
            <w:vAlign w:val="bottom"/>
            <w:tcBorders>
              <w:bottom w:val="single" w:sz="8" w:color="B8CCE4"/>
            </w:tcBorders>
            <w:shd w:val="clear" w:color="auto" w:fill="B8CCE4"/>
          </w:tcPr>
          <w:p>
            <w:pPr>
              <w:spacing w:after="0"/>
              <w:rPr>
                <w:sz w:val="20"/>
                <w:szCs w:val="20"/>
                <w:color w:val="auto"/>
              </w:rPr>
            </w:pPr>
          </w:p>
        </w:tc>
        <w:tc>
          <w:tcPr>
            <w:tcW w:w="2040" w:type="dxa"/>
            <w:vAlign w:val="bottom"/>
            <w:tcBorders>
              <w:bottom w:val="single" w:sz="8" w:color="B8CCE4"/>
            </w:tcBorders>
            <w:shd w:val="clear" w:color="auto" w:fill="B8CCE4"/>
          </w:tcPr>
          <w:p>
            <w:pPr>
              <w:spacing w:after="0"/>
              <w:rPr>
                <w:sz w:val="20"/>
                <w:szCs w:val="20"/>
                <w:color w:val="auto"/>
              </w:rPr>
            </w:pPr>
          </w:p>
        </w:tc>
        <w:tc>
          <w:tcPr>
            <w:tcW w:w="1700" w:type="dxa"/>
            <w:vAlign w:val="bottom"/>
            <w:tcBorders>
              <w:bottom w:val="single" w:sz="8" w:color="B8CCE4"/>
            </w:tcBorders>
            <w:shd w:val="clear" w:color="auto" w:fill="B8CCE4"/>
          </w:tcPr>
          <w:p>
            <w:pPr>
              <w:spacing w:after="0"/>
              <w:rPr>
                <w:sz w:val="20"/>
                <w:szCs w:val="20"/>
                <w:color w:val="auto"/>
              </w:rPr>
            </w:pPr>
          </w:p>
        </w:tc>
        <w:tc>
          <w:tcPr>
            <w:tcW w:w="1800" w:type="dxa"/>
            <w:vAlign w:val="bottom"/>
            <w:tcBorders>
              <w:bottom w:val="single" w:sz="8" w:color="B8CCE4"/>
            </w:tcBorders>
            <w:shd w:val="clear" w:color="auto" w:fill="B8CCE4"/>
          </w:tcPr>
          <w:p>
            <w:pPr>
              <w:jc w:val="center"/>
              <w:spacing w:after="0"/>
              <w:rPr>
                <w:sz w:val="20"/>
                <w:szCs w:val="20"/>
                <w:color w:val="auto"/>
              </w:rPr>
            </w:pPr>
            <w:r>
              <w:rPr>
                <w:rFonts w:ascii="Arial" w:cs="Arial" w:eastAsia="Arial" w:hAnsi="Arial"/>
                <w:sz w:val="18"/>
                <w:szCs w:val="18"/>
                <w:b w:val="1"/>
                <w:bCs w:val="1"/>
                <w:color w:val="auto"/>
                <w:w w:val="86"/>
              </w:rPr>
              <w:t>Values</w:t>
            </w:r>
          </w:p>
        </w:tc>
        <w:tc>
          <w:tcPr>
            <w:tcW w:w="1640" w:type="dxa"/>
            <w:vAlign w:val="bottom"/>
            <w:tcBorders>
              <w:bottom w:val="single" w:sz="8" w:color="B8CCE4"/>
            </w:tcBorders>
            <w:shd w:val="clear" w:color="auto" w:fill="B8CCE4"/>
          </w:tcPr>
          <w:p>
            <w:pPr>
              <w:jc w:val="center"/>
              <w:spacing w:after="0"/>
              <w:rPr>
                <w:sz w:val="20"/>
                <w:szCs w:val="20"/>
                <w:color w:val="auto"/>
              </w:rPr>
            </w:pPr>
            <w:r>
              <w:rPr>
                <w:rFonts w:ascii="Arial" w:cs="Arial" w:eastAsia="Arial" w:hAnsi="Arial"/>
                <w:sz w:val="18"/>
                <w:szCs w:val="18"/>
                <w:b w:val="1"/>
                <w:bCs w:val="1"/>
                <w:color w:val="auto"/>
                <w:w w:val="86"/>
              </w:rPr>
              <w:t>Values</w:t>
            </w:r>
          </w:p>
        </w:tc>
        <w:tc>
          <w:tcPr>
            <w:tcW w:w="1860" w:type="dxa"/>
            <w:vAlign w:val="bottom"/>
            <w:tcBorders>
              <w:bottom w:val="single" w:sz="8" w:color="B8CCE4"/>
            </w:tcBorders>
            <w:shd w:val="clear" w:color="auto" w:fill="B8CCE4"/>
          </w:tcPr>
          <w:p>
            <w:pPr>
              <w:spacing w:after="0"/>
              <w:rPr>
                <w:sz w:val="20"/>
                <w:szCs w:val="20"/>
                <w:color w:val="auto"/>
              </w:rPr>
            </w:pPr>
          </w:p>
        </w:tc>
        <w:tc>
          <w:tcPr>
            <w:tcW w:w="0" w:type="dxa"/>
            <w:vAlign w:val="bottom"/>
          </w:tcPr>
          <w:p>
            <w:pPr>
              <w:spacing w:after="0"/>
              <w:rPr>
                <w:sz w:val="1"/>
                <w:szCs w:val="1"/>
                <w:color w:val="auto"/>
              </w:rPr>
            </w:pPr>
          </w:p>
        </w:tc>
      </w:tr>
      <w:tr>
        <w:trPr>
          <w:trHeight w:val="305"/>
        </w:trPr>
        <w:tc>
          <w:tcPr>
            <w:tcW w:w="2280" w:type="dxa"/>
            <w:vAlign w:val="bottom"/>
            <w:shd w:val="clear" w:color="auto" w:fill="DBE5F1"/>
          </w:tcPr>
          <w:p>
            <w:pPr>
              <w:ind w:left="220"/>
              <w:spacing w:after="0"/>
              <w:rPr>
                <w:sz w:val="20"/>
                <w:szCs w:val="20"/>
                <w:color w:val="auto"/>
              </w:rPr>
            </w:pPr>
            <w:r>
              <w:rPr>
                <w:rFonts w:ascii="Arial" w:cs="Arial" w:eastAsia="Arial" w:hAnsi="Arial"/>
                <w:sz w:val="16"/>
                <w:szCs w:val="16"/>
                <w:b w:val="1"/>
                <w:bCs w:val="1"/>
                <w:color w:val="auto"/>
              </w:rPr>
              <w:t>Andrew C. Florance</w:t>
            </w:r>
          </w:p>
        </w:tc>
        <w:tc>
          <w:tcPr>
            <w:tcW w:w="2040" w:type="dxa"/>
            <w:vAlign w:val="bottom"/>
            <w:shd w:val="clear" w:color="auto" w:fill="DBE5F1"/>
          </w:tcPr>
          <w:p>
            <w:pPr>
              <w:ind w:left="160"/>
              <w:spacing w:after="0"/>
              <w:rPr>
                <w:sz w:val="20"/>
                <w:szCs w:val="20"/>
                <w:color w:val="auto"/>
              </w:rPr>
            </w:pPr>
            <w:r>
              <w:rPr>
                <w:rFonts w:ascii="Arial" w:cs="Arial" w:eastAsia="Arial" w:hAnsi="Arial"/>
                <w:sz w:val="16"/>
                <w:szCs w:val="16"/>
                <w:color w:val="auto"/>
              </w:rPr>
              <w:t>CEO &amp; President</w:t>
            </w:r>
          </w:p>
        </w:tc>
        <w:tc>
          <w:tcPr>
            <w:tcW w:w="1700" w:type="dxa"/>
            <w:vAlign w:val="bottom"/>
            <w:shd w:val="clear" w:color="auto" w:fill="DBE5F1"/>
          </w:tcPr>
          <w:p>
            <w:pPr>
              <w:jc w:val="center"/>
              <w:spacing w:after="0"/>
              <w:rPr>
                <w:sz w:val="20"/>
                <w:szCs w:val="20"/>
                <w:color w:val="auto"/>
              </w:rPr>
            </w:pPr>
            <w:r>
              <w:rPr>
                <w:rFonts w:ascii="Arial" w:cs="Arial" w:eastAsia="Arial" w:hAnsi="Arial"/>
                <w:sz w:val="16"/>
                <w:szCs w:val="16"/>
                <w:color w:val="auto"/>
                <w:w w:val="92"/>
              </w:rPr>
              <w:t>$1,800,000</w:t>
            </w:r>
          </w:p>
        </w:tc>
        <w:tc>
          <w:tcPr>
            <w:tcW w:w="1800" w:type="dxa"/>
            <w:vAlign w:val="bottom"/>
            <w:shd w:val="clear" w:color="auto" w:fill="DBE5F1"/>
          </w:tcPr>
          <w:p>
            <w:pPr>
              <w:jc w:val="center"/>
              <w:spacing w:after="0"/>
              <w:rPr>
                <w:sz w:val="20"/>
                <w:szCs w:val="20"/>
                <w:color w:val="auto"/>
              </w:rPr>
            </w:pPr>
            <w:r>
              <w:rPr>
                <w:rFonts w:ascii="Arial" w:cs="Arial" w:eastAsia="Arial" w:hAnsi="Arial"/>
                <w:sz w:val="16"/>
                <w:szCs w:val="16"/>
                <w:color w:val="auto"/>
                <w:w w:val="89"/>
              </w:rPr>
              <w:t>$1,800,000</w:t>
            </w:r>
          </w:p>
        </w:tc>
        <w:tc>
          <w:tcPr>
            <w:tcW w:w="1640" w:type="dxa"/>
            <w:vAlign w:val="bottom"/>
            <w:shd w:val="clear" w:color="auto" w:fill="DBE5F1"/>
          </w:tcPr>
          <w:p>
            <w:pPr>
              <w:jc w:val="center"/>
              <w:spacing w:after="0"/>
              <w:rPr>
                <w:sz w:val="20"/>
                <w:szCs w:val="20"/>
                <w:color w:val="auto"/>
              </w:rPr>
            </w:pPr>
            <w:r>
              <w:rPr>
                <w:rFonts w:ascii="Arial" w:cs="Arial" w:eastAsia="Arial" w:hAnsi="Arial"/>
                <w:sz w:val="16"/>
                <w:szCs w:val="16"/>
                <w:color w:val="auto"/>
                <w:w w:val="92"/>
              </w:rPr>
              <w:t>$900,000</w:t>
            </w:r>
          </w:p>
        </w:tc>
        <w:tc>
          <w:tcPr>
            <w:tcW w:w="1860" w:type="dxa"/>
            <w:vAlign w:val="bottom"/>
            <w:shd w:val="clear" w:color="auto" w:fill="DBE5F1"/>
          </w:tcPr>
          <w:p>
            <w:pPr>
              <w:jc w:val="center"/>
              <w:spacing w:after="0"/>
              <w:rPr>
                <w:sz w:val="20"/>
                <w:szCs w:val="20"/>
                <w:color w:val="auto"/>
              </w:rPr>
            </w:pPr>
            <w:r>
              <w:rPr>
                <w:rFonts w:ascii="Arial" w:cs="Arial" w:eastAsia="Arial" w:hAnsi="Arial"/>
                <w:sz w:val="16"/>
                <w:szCs w:val="16"/>
                <w:color w:val="auto"/>
                <w:w w:val="89"/>
              </w:rPr>
              <w:t>$4,500,000</w:t>
            </w:r>
          </w:p>
        </w:tc>
        <w:tc>
          <w:tcPr>
            <w:tcW w:w="0" w:type="dxa"/>
            <w:vAlign w:val="bottom"/>
          </w:tcPr>
          <w:p>
            <w:pPr>
              <w:spacing w:after="0"/>
              <w:rPr>
                <w:sz w:val="1"/>
                <w:szCs w:val="1"/>
                <w:color w:val="auto"/>
              </w:rPr>
            </w:pPr>
          </w:p>
        </w:tc>
      </w:tr>
      <w:tr>
        <w:trPr>
          <w:trHeight w:val="493"/>
        </w:trPr>
        <w:tc>
          <w:tcPr>
            <w:tcW w:w="2280" w:type="dxa"/>
            <w:vAlign w:val="bottom"/>
            <w:shd w:val="clear" w:color="auto" w:fill="DBE5F1"/>
          </w:tcPr>
          <w:p>
            <w:pPr>
              <w:ind w:left="220"/>
              <w:spacing w:after="0"/>
              <w:rPr>
                <w:sz w:val="20"/>
                <w:szCs w:val="20"/>
                <w:color w:val="auto"/>
              </w:rPr>
            </w:pPr>
            <w:r>
              <w:rPr>
                <w:rFonts w:ascii="Arial" w:cs="Arial" w:eastAsia="Arial" w:hAnsi="Arial"/>
                <w:sz w:val="16"/>
                <w:szCs w:val="16"/>
                <w:b w:val="1"/>
                <w:bCs w:val="1"/>
                <w:color w:val="auto"/>
              </w:rPr>
              <w:t>Brian J. Radecki</w:t>
            </w:r>
            <w:r>
              <w:rPr>
                <w:rFonts w:ascii="Arial" w:cs="Arial" w:eastAsia="Arial" w:hAnsi="Arial"/>
                <w:sz w:val="21"/>
                <w:szCs w:val="21"/>
                <w:b w:val="1"/>
                <w:bCs w:val="1"/>
                <w:color w:val="auto"/>
                <w:vertAlign w:val="superscript"/>
              </w:rPr>
              <w:t>(1)</w:t>
            </w:r>
          </w:p>
        </w:tc>
        <w:tc>
          <w:tcPr>
            <w:tcW w:w="2040" w:type="dxa"/>
            <w:vAlign w:val="bottom"/>
            <w:shd w:val="clear" w:color="auto" w:fill="DBE5F1"/>
          </w:tcPr>
          <w:p>
            <w:pPr>
              <w:ind w:left="160"/>
              <w:spacing w:after="0"/>
              <w:rPr>
                <w:sz w:val="20"/>
                <w:szCs w:val="20"/>
                <w:color w:val="auto"/>
              </w:rPr>
            </w:pPr>
            <w:r>
              <w:rPr>
                <w:rFonts w:ascii="Arial" w:cs="Arial" w:eastAsia="Arial" w:hAnsi="Arial"/>
                <w:sz w:val="16"/>
                <w:szCs w:val="16"/>
                <w:color w:val="auto"/>
              </w:rPr>
              <w:t>Former CFO</w:t>
            </w:r>
          </w:p>
        </w:tc>
        <w:tc>
          <w:tcPr>
            <w:tcW w:w="7000" w:type="dxa"/>
            <w:vAlign w:val="bottom"/>
            <w:gridSpan w:val="4"/>
            <w:shd w:val="clear" w:color="auto" w:fill="DBE5F1"/>
          </w:tcPr>
          <w:p>
            <w:pPr>
              <w:jc w:val="center"/>
              <w:spacing w:after="0"/>
              <w:rPr>
                <w:sz w:val="20"/>
                <w:szCs w:val="20"/>
                <w:color w:val="auto"/>
              </w:rPr>
            </w:pPr>
            <w:r>
              <w:rPr>
                <w:rFonts w:ascii="Arial" w:cs="Arial" w:eastAsia="Arial" w:hAnsi="Arial"/>
                <w:sz w:val="16"/>
                <w:szCs w:val="16"/>
                <w:color w:val="auto"/>
                <w:w w:val="93"/>
              </w:rPr>
              <w:t>Not a participant in the executive equity incentive program in 2016</w:t>
            </w:r>
          </w:p>
        </w:tc>
        <w:tc>
          <w:tcPr>
            <w:tcW w:w="0" w:type="dxa"/>
            <w:vAlign w:val="bottom"/>
          </w:tcPr>
          <w:p>
            <w:pPr>
              <w:spacing w:after="0"/>
              <w:rPr>
                <w:sz w:val="1"/>
                <w:szCs w:val="1"/>
                <w:color w:val="auto"/>
              </w:rPr>
            </w:pPr>
          </w:p>
        </w:tc>
      </w:tr>
      <w:tr>
        <w:trPr>
          <w:trHeight w:val="419"/>
        </w:trPr>
        <w:tc>
          <w:tcPr>
            <w:tcW w:w="2280" w:type="dxa"/>
            <w:vAlign w:val="bottom"/>
            <w:shd w:val="clear" w:color="auto" w:fill="DBE5F1"/>
          </w:tcPr>
          <w:p>
            <w:pPr>
              <w:ind w:left="220"/>
              <w:spacing w:after="0"/>
              <w:rPr>
                <w:sz w:val="20"/>
                <w:szCs w:val="20"/>
                <w:color w:val="auto"/>
              </w:rPr>
            </w:pPr>
            <w:r>
              <w:rPr>
                <w:rFonts w:ascii="Arial" w:cs="Arial" w:eastAsia="Arial" w:hAnsi="Arial"/>
                <w:sz w:val="16"/>
                <w:szCs w:val="16"/>
                <w:b w:val="1"/>
                <w:bCs w:val="1"/>
                <w:color w:val="auto"/>
              </w:rPr>
              <w:t>Scott L. Yinger</w:t>
            </w:r>
            <w:r>
              <w:rPr>
                <w:rFonts w:ascii="Arial" w:cs="Arial" w:eastAsia="Arial" w:hAnsi="Arial"/>
                <w:sz w:val="21"/>
                <w:szCs w:val="21"/>
                <w:b w:val="1"/>
                <w:bCs w:val="1"/>
                <w:color w:val="auto"/>
                <w:vertAlign w:val="superscript"/>
              </w:rPr>
              <w:t>(2)</w:t>
            </w:r>
          </w:p>
        </w:tc>
        <w:tc>
          <w:tcPr>
            <w:tcW w:w="2040" w:type="dxa"/>
            <w:vAlign w:val="bottom"/>
            <w:shd w:val="clear" w:color="auto" w:fill="DBE5F1"/>
          </w:tcPr>
          <w:p>
            <w:pPr>
              <w:ind w:left="160"/>
              <w:spacing w:after="0"/>
              <w:rPr>
                <w:sz w:val="20"/>
                <w:szCs w:val="20"/>
                <w:color w:val="auto"/>
              </w:rPr>
            </w:pPr>
            <w:r>
              <w:rPr>
                <w:rFonts w:ascii="Arial" w:cs="Arial" w:eastAsia="Arial" w:hAnsi="Arial"/>
                <w:sz w:val="16"/>
                <w:szCs w:val="16"/>
                <w:color w:val="auto"/>
              </w:rPr>
              <w:t>Interim CFO</w:t>
            </w:r>
          </w:p>
        </w:tc>
        <w:tc>
          <w:tcPr>
            <w:tcW w:w="7000" w:type="dxa"/>
            <w:vAlign w:val="bottom"/>
            <w:gridSpan w:val="4"/>
            <w:shd w:val="clear" w:color="auto" w:fill="DBE5F1"/>
          </w:tcPr>
          <w:p>
            <w:pPr>
              <w:jc w:val="center"/>
              <w:spacing w:after="0"/>
              <w:rPr>
                <w:sz w:val="20"/>
                <w:szCs w:val="20"/>
                <w:color w:val="auto"/>
              </w:rPr>
            </w:pPr>
            <w:r>
              <w:rPr>
                <w:rFonts w:ascii="Arial" w:cs="Arial" w:eastAsia="Arial" w:hAnsi="Arial"/>
                <w:sz w:val="16"/>
                <w:szCs w:val="16"/>
                <w:color w:val="auto"/>
                <w:w w:val="92"/>
              </w:rPr>
              <w:t>Not a participant in the executive equity incentive program in 2015 or 2016</w:t>
            </w:r>
          </w:p>
        </w:tc>
        <w:tc>
          <w:tcPr>
            <w:tcW w:w="0" w:type="dxa"/>
            <w:vAlign w:val="bottom"/>
          </w:tcPr>
          <w:p>
            <w:pPr>
              <w:spacing w:after="0"/>
              <w:rPr>
                <w:sz w:val="1"/>
                <w:szCs w:val="1"/>
                <w:color w:val="auto"/>
              </w:rPr>
            </w:pPr>
          </w:p>
        </w:tc>
      </w:tr>
      <w:tr>
        <w:trPr>
          <w:trHeight w:val="313"/>
        </w:trPr>
        <w:tc>
          <w:tcPr>
            <w:tcW w:w="2280" w:type="dxa"/>
            <w:vAlign w:val="bottom"/>
            <w:vMerge w:val="restart"/>
            <w:shd w:val="clear" w:color="auto" w:fill="DBE5F1"/>
          </w:tcPr>
          <w:p>
            <w:pPr>
              <w:ind w:left="220"/>
              <w:spacing w:after="0"/>
              <w:rPr>
                <w:sz w:val="20"/>
                <w:szCs w:val="20"/>
                <w:color w:val="auto"/>
              </w:rPr>
            </w:pPr>
            <w:r>
              <w:rPr>
                <w:rFonts w:ascii="Arial" w:cs="Arial" w:eastAsia="Arial" w:hAnsi="Arial"/>
                <w:sz w:val="16"/>
                <w:szCs w:val="16"/>
                <w:b w:val="1"/>
                <w:bCs w:val="1"/>
                <w:color w:val="auto"/>
              </w:rPr>
              <w:t>Francis A. Carchedi</w:t>
            </w:r>
          </w:p>
        </w:tc>
        <w:tc>
          <w:tcPr>
            <w:tcW w:w="2040" w:type="dxa"/>
            <w:vAlign w:val="bottom"/>
            <w:shd w:val="clear" w:color="auto" w:fill="DBE5F1"/>
          </w:tcPr>
          <w:p>
            <w:pPr>
              <w:ind w:left="160"/>
              <w:spacing w:after="0"/>
              <w:rPr>
                <w:sz w:val="20"/>
                <w:szCs w:val="20"/>
                <w:color w:val="auto"/>
              </w:rPr>
            </w:pPr>
            <w:r>
              <w:rPr>
                <w:rFonts w:ascii="Arial" w:cs="Arial" w:eastAsia="Arial" w:hAnsi="Arial"/>
                <w:sz w:val="16"/>
                <w:szCs w:val="16"/>
                <w:color w:val="auto"/>
              </w:rPr>
              <w:t>Exec. Vice President,</w:t>
            </w:r>
          </w:p>
        </w:tc>
        <w:tc>
          <w:tcPr>
            <w:tcW w:w="1700" w:type="dxa"/>
            <w:vAlign w:val="bottom"/>
            <w:vMerge w:val="restart"/>
            <w:shd w:val="clear" w:color="auto" w:fill="DBE5F1"/>
          </w:tcPr>
          <w:p>
            <w:pPr>
              <w:jc w:val="center"/>
              <w:spacing w:after="0"/>
              <w:rPr>
                <w:sz w:val="20"/>
                <w:szCs w:val="20"/>
                <w:color w:val="auto"/>
              </w:rPr>
            </w:pPr>
            <w:r>
              <w:rPr>
                <w:rFonts w:ascii="Arial" w:cs="Arial" w:eastAsia="Arial" w:hAnsi="Arial"/>
                <w:sz w:val="16"/>
                <w:szCs w:val="16"/>
                <w:color w:val="auto"/>
                <w:w w:val="89"/>
              </w:rPr>
              <w:t>$400,000</w:t>
            </w:r>
          </w:p>
        </w:tc>
        <w:tc>
          <w:tcPr>
            <w:tcW w:w="1800" w:type="dxa"/>
            <w:vAlign w:val="bottom"/>
            <w:vMerge w:val="restart"/>
            <w:shd w:val="clear" w:color="auto" w:fill="DBE5F1"/>
          </w:tcPr>
          <w:p>
            <w:pPr>
              <w:jc w:val="center"/>
              <w:spacing w:after="0"/>
              <w:rPr>
                <w:sz w:val="20"/>
                <w:szCs w:val="20"/>
                <w:color w:val="auto"/>
              </w:rPr>
            </w:pPr>
            <w:r>
              <w:rPr>
                <w:rFonts w:ascii="Arial" w:cs="Arial" w:eastAsia="Arial" w:hAnsi="Arial"/>
                <w:sz w:val="16"/>
                <w:szCs w:val="16"/>
                <w:color w:val="auto"/>
                <w:w w:val="89"/>
              </w:rPr>
              <w:t>$400,000</w:t>
            </w:r>
          </w:p>
        </w:tc>
        <w:tc>
          <w:tcPr>
            <w:tcW w:w="1640" w:type="dxa"/>
            <w:vAlign w:val="bottom"/>
            <w:vMerge w:val="restart"/>
            <w:shd w:val="clear" w:color="auto" w:fill="DBE5F1"/>
          </w:tcPr>
          <w:p>
            <w:pPr>
              <w:jc w:val="center"/>
              <w:spacing w:after="0"/>
              <w:rPr>
                <w:sz w:val="20"/>
                <w:szCs w:val="20"/>
                <w:color w:val="auto"/>
              </w:rPr>
            </w:pPr>
            <w:r>
              <w:rPr>
                <w:rFonts w:ascii="Arial" w:cs="Arial" w:eastAsia="Arial" w:hAnsi="Arial"/>
                <w:sz w:val="16"/>
                <w:szCs w:val="16"/>
                <w:color w:val="auto"/>
                <w:w w:val="92"/>
              </w:rPr>
              <w:t>$200,000</w:t>
            </w:r>
          </w:p>
        </w:tc>
        <w:tc>
          <w:tcPr>
            <w:tcW w:w="1860" w:type="dxa"/>
            <w:vAlign w:val="bottom"/>
            <w:vMerge w:val="restart"/>
            <w:shd w:val="clear" w:color="auto" w:fill="DBE5F1"/>
          </w:tcPr>
          <w:p>
            <w:pPr>
              <w:jc w:val="center"/>
              <w:spacing w:after="0"/>
              <w:rPr>
                <w:sz w:val="20"/>
                <w:szCs w:val="20"/>
                <w:color w:val="auto"/>
              </w:rPr>
            </w:pPr>
            <w:r>
              <w:rPr>
                <w:rFonts w:ascii="Arial" w:cs="Arial" w:eastAsia="Arial" w:hAnsi="Arial"/>
                <w:sz w:val="16"/>
                <w:szCs w:val="16"/>
                <w:color w:val="auto"/>
                <w:w w:val="89"/>
              </w:rPr>
              <w:t>$1,000,000</w:t>
            </w:r>
          </w:p>
        </w:tc>
        <w:tc>
          <w:tcPr>
            <w:tcW w:w="0" w:type="dxa"/>
            <w:vAlign w:val="bottom"/>
          </w:tcPr>
          <w:p>
            <w:pPr>
              <w:spacing w:after="0"/>
              <w:rPr>
                <w:sz w:val="1"/>
                <w:szCs w:val="1"/>
                <w:color w:val="auto"/>
              </w:rPr>
            </w:pPr>
          </w:p>
        </w:tc>
      </w:tr>
      <w:tr>
        <w:trPr>
          <w:trHeight w:val="139"/>
        </w:trPr>
        <w:tc>
          <w:tcPr>
            <w:tcW w:w="2280" w:type="dxa"/>
            <w:vAlign w:val="bottom"/>
            <w:vMerge w:val="continue"/>
            <w:shd w:val="clear" w:color="auto" w:fill="DBE5F1"/>
          </w:tcPr>
          <w:p>
            <w:pPr>
              <w:spacing w:after="0"/>
              <w:rPr>
                <w:sz w:val="12"/>
                <w:szCs w:val="12"/>
                <w:color w:val="auto"/>
              </w:rPr>
            </w:pPr>
          </w:p>
        </w:tc>
        <w:tc>
          <w:tcPr>
            <w:tcW w:w="2040" w:type="dxa"/>
            <w:vAlign w:val="bottom"/>
            <w:vMerge w:val="restart"/>
            <w:shd w:val="clear" w:color="auto" w:fill="DBE5F1"/>
          </w:tcPr>
          <w:p>
            <w:pPr>
              <w:ind w:left="160"/>
              <w:spacing w:after="0"/>
              <w:rPr>
                <w:sz w:val="20"/>
                <w:szCs w:val="20"/>
                <w:color w:val="auto"/>
              </w:rPr>
            </w:pPr>
            <w:r>
              <w:rPr>
                <w:rFonts w:ascii="Arial" w:cs="Arial" w:eastAsia="Arial" w:hAnsi="Arial"/>
                <w:sz w:val="16"/>
                <w:szCs w:val="16"/>
                <w:color w:val="auto"/>
              </w:rPr>
              <w:t>Corp. Development</w:t>
            </w:r>
          </w:p>
        </w:tc>
        <w:tc>
          <w:tcPr>
            <w:tcW w:w="1700" w:type="dxa"/>
            <w:vAlign w:val="bottom"/>
            <w:vMerge w:val="continue"/>
            <w:shd w:val="clear" w:color="auto" w:fill="DBE5F1"/>
          </w:tcPr>
          <w:p>
            <w:pPr>
              <w:spacing w:after="0"/>
              <w:rPr>
                <w:sz w:val="12"/>
                <w:szCs w:val="12"/>
                <w:color w:val="auto"/>
              </w:rPr>
            </w:pPr>
          </w:p>
        </w:tc>
        <w:tc>
          <w:tcPr>
            <w:tcW w:w="1800" w:type="dxa"/>
            <w:vAlign w:val="bottom"/>
            <w:vMerge w:val="continue"/>
            <w:shd w:val="clear" w:color="auto" w:fill="DBE5F1"/>
          </w:tcPr>
          <w:p>
            <w:pPr>
              <w:spacing w:after="0"/>
              <w:rPr>
                <w:sz w:val="12"/>
                <w:szCs w:val="12"/>
                <w:color w:val="auto"/>
              </w:rPr>
            </w:pPr>
          </w:p>
        </w:tc>
        <w:tc>
          <w:tcPr>
            <w:tcW w:w="1640" w:type="dxa"/>
            <w:vAlign w:val="bottom"/>
            <w:vMerge w:val="continue"/>
            <w:shd w:val="clear" w:color="auto" w:fill="DBE5F1"/>
          </w:tcPr>
          <w:p>
            <w:pPr>
              <w:spacing w:after="0"/>
              <w:rPr>
                <w:sz w:val="12"/>
                <w:szCs w:val="12"/>
                <w:color w:val="auto"/>
              </w:rPr>
            </w:pPr>
          </w:p>
        </w:tc>
        <w:tc>
          <w:tcPr>
            <w:tcW w:w="1860" w:type="dxa"/>
            <w:vAlign w:val="bottom"/>
            <w:vMerge w:val="continue"/>
            <w:shd w:val="clear" w:color="auto" w:fill="DBE5F1"/>
          </w:tcPr>
          <w:p>
            <w:pPr>
              <w:spacing w:after="0"/>
              <w:rPr>
                <w:sz w:val="12"/>
                <w:szCs w:val="12"/>
                <w:color w:val="auto"/>
              </w:rPr>
            </w:pPr>
          </w:p>
        </w:tc>
        <w:tc>
          <w:tcPr>
            <w:tcW w:w="0" w:type="dxa"/>
            <w:vAlign w:val="bottom"/>
          </w:tcPr>
          <w:p>
            <w:pPr>
              <w:spacing w:after="0"/>
              <w:rPr>
                <w:sz w:val="1"/>
                <w:szCs w:val="1"/>
                <w:color w:val="auto"/>
              </w:rPr>
            </w:pPr>
          </w:p>
        </w:tc>
      </w:tr>
      <w:tr>
        <w:trPr>
          <w:trHeight w:val="68"/>
        </w:trPr>
        <w:tc>
          <w:tcPr>
            <w:tcW w:w="2280" w:type="dxa"/>
            <w:vAlign w:val="bottom"/>
            <w:shd w:val="clear" w:color="auto" w:fill="DBE5F1"/>
          </w:tcPr>
          <w:p>
            <w:pPr>
              <w:spacing w:after="0"/>
              <w:rPr>
                <w:sz w:val="5"/>
                <w:szCs w:val="5"/>
                <w:color w:val="auto"/>
              </w:rPr>
            </w:pPr>
          </w:p>
        </w:tc>
        <w:tc>
          <w:tcPr>
            <w:tcW w:w="2040" w:type="dxa"/>
            <w:vAlign w:val="bottom"/>
            <w:vMerge w:val="continue"/>
            <w:shd w:val="clear" w:color="auto" w:fill="DBE5F1"/>
          </w:tcPr>
          <w:p>
            <w:pPr>
              <w:spacing w:after="0"/>
              <w:rPr>
                <w:sz w:val="5"/>
                <w:szCs w:val="5"/>
                <w:color w:val="auto"/>
              </w:rPr>
            </w:pPr>
          </w:p>
        </w:tc>
        <w:tc>
          <w:tcPr>
            <w:tcW w:w="1700" w:type="dxa"/>
            <w:vAlign w:val="bottom"/>
            <w:shd w:val="clear" w:color="auto" w:fill="DBE5F1"/>
          </w:tcPr>
          <w:p>
            <w:pPr>
              <w:spacing w:after="0"/>
              <w:rPr>
                <w:sz w:val="5"/>
                <w:szCs w:val="5"/>
                <w:color w:val="auto"/>
              </w:rPr>
            </w:pPr>
          </w:p>
        </w:tc>
        <w:tc>
          <w:tcPr>
            <w:tcW w:w="1800" w:type="dxa"/>
            <w:vAlign w:val="bottom"/>
            <w:shd w:val="clear" w:color="auto" w:fill="DBE5F1"/>
          </w:tcPr>
          <w:p>
            <w:pPr>
              <w:spacing w:after="0"/>
              <w:rPr>
                <w:sz w:val="5"/>
                <w:szCs w:val="5"/>
                <w:color w:val="auto"/>
              </w:rPr>
            </w:pPr>
          </w:p>
        </w:tc>
        <w:tc>
          <w:tcPr>
            <w:tcW w:w="1640" w:type="dxa"/>
            <w:vAlign w:val="bottom"/>
            <w:shd w:val="clear" w:color="auto" w:fill="DBE5F1"/>
          </w:tcPr>
          <w:p>
            <w:pPr>
              <w:spacing w:after="0"/>
              <w:rPr>
                <w:sz w:val="5"/>
                <w:szCs w:val="5"/>
                <w:color w:val="auto"/>
              </w:rPr>
            </w:pPr>
          </w:p>
        </w:tc>
        <w:tc>
          <w:tcPr>
            <w:tcW w:w="1860" w:type="dxa"/>
            <w:vAlign w:val="bottom"/>
            <w:shd w:val="clear" w:color="auto" w:fill="DBE5F1"/>
          </w:tcPr>
          <w:p>
            <w:pPr>
              <w:spacing w:after="0"/>
              <w:rPr>
                <w:sz w:val="5"/>
                <w:szCs w:val="5"/>
                <w:color w:val="auto"/>
              </w:rPr>
            </w:pPr>
          </w:p>
        </w:tc>
        <w:tc>
          <w:tcPr>
            <w:tcW w:w="0" w:type="dxa"/>
            <w:vAlign w:val="bottom"/>
          </w:tcPr>
          <w:p>
            <w:pPr>
              <w:spacing w:after="0"/>
              <w:rPr>
                <w:sz w:val="1"/>
                <w:szCs w:val="1"/>
                <w:color w:val="auto"/>
              </w:rPr>
            </w:pPr>
          </w:p>
        </w:tc>
      </w:tr>
      <w:tr>
        <w:trPr>
          <w:trHeight w:val="415"/>
        </w:trPr>
        <w:tc>
          <w:tcPr>
            <w:tcW w:w="2280" w:type="dxa"/>
            <w:vAlign w:val="bottom"/>
            <w:vMerge w:val="restart"/>
            <w:shd w:val="clear" w:color="auto" w:fill="DBE5F1"/>
          </w:tcPr>
          <w:p>
            <w:pPr>
              <w:ind w:left="220"/>
              <w:spacing w:after="0"/>
              <w:rPr>
                <w:sz w:val="20"/>
                <w:szCs w:val="20"/>
                <w:color w:val="auto"/>
              </w:rPr>
            </w:pPr>
            <w:r>
              <w:rPr>
                <w:rFonts w:ascii="Arial" w:cs="Arial" w:eastAsia="Arial" w:hAnsi="Arial"/>
                <w:sz w:val="16"/>
                <w:szCs w:val="16"/>
                <w:b w:val="1"/>
                <w:bCs w:val="1"/>
                <w:color w:val="auto"/>
              </w:rPr>
              <w:t>Matthew F. W. Linnington</w:t>
            </w:r>
          </w:p>
        </w:tc>
        <w:tc>
          <w:tcPr>
            <w:tcW w:w="2040" w:type="dxa"/>
            <w:vAlign w:val="bottom"/>
            <w:shd w:val="clear" w:color="auto" w:fill="DBE5F1"/>
          </w:tcPr>
          <w:p>
            <w:pPr>
              <w:ind w:left="160"/>
              <w:spacing w:after="0"/>
              <w:rPr>
                <w:sz w:val="20"/>
                <w:szCs w:val="20"/>
                <w:color w:val="auto"/>
              </w:rPr>
            </w:pPr>
            <w:r>
              <w:rPr>
                <w:rFonts w:ascii="Arial" w:cs="Arial" w:eastAsia="Arial" w:hAnsi="Arial"/>
                <w:sz w:val="16"/>
                <w:szCs w:val="16"/>
                <w:color w:val="auto"/>
              </w:rPr>
              <w:t>Exec. Vice President,</w:t>
            </w:r>
          </w:p>
        </w:tc>
        <w:tc>
          <w:tcPr>
            <w:tcW w:w="1700" w:type="dxa"/>
            <w:vAlign w:val="bottom"/>
            <w:vMerge w:val="restart"/>
            <w:shd w:val="clear" w:color="auto" w:fill="DBE5F1"/>
          </w:tcPr>
          <w:p>
            <w:pPr>
              <w:jc w:val="center"/>
              <w:spacing w:after="0"/>
              <w:rPr>
                <w:sz w:val="20"/>
                <w:szCs w:val="20"/>
                <w:color w:val="auto"/>
              </w:rPr>
            </w:pPr>
            <w:r>
              <w:rPr>
                <w:rFonts w:ascii="Arial" w:cs="Arial" w:eastAsia="Arial" w:hAnsi="Arial"/>
                <w:sz w:val="16"/>
                <w:szCs w:val="16"/>
                <w:color w:val="auto"/>
                <w:w w:val="89"/>
              </w:rPr>
              <w:t>$440,000</w:t>
            </w:r>
          </w:p>
        </w:tc>
        <w:tc>
          <w:tcPr>
            <w:tcW w:w="1800" w:type="dxa"/>
            <w:vAlign w:val="bottom"/>
            <w:vMerge w:val="restart"/>
            <w:shd w:val="clear" w:color="auto" w:fill="DBE5F1"/>
          </w:tcPr>
          <w:p>
            <w:pPr>
              <w:jc w:val="center"/>
              <w:spacing w:after="0"/>
              <w:rPr>
                <w:sz w:val="20"/>
                <w:szCs w:val="20"/>
                <w:color w:val="auto"/>
              </w:rPr>
            </w:pPr>
            <w:r>
              <w:rPr>
                <w:rFonts w:ascii="Arial" w:cs="Arial" w:eastAsia="Arial" w:hAnsi="Arial"/>
                <w:sz w:val="16"/>
                <w:szCs w:val="16"/>
                <w:color w:val="auto"/>
                <w:w w:val="89"/>
              </w:rPr>
              <w:t>$440,000</w:t>
            </w:r>
          </w:p>
        </w:tc>
        <w:tc>
          <w:tcPr>
            <w:tcW w:w="1640" w:type="dxa"/>
            <w:vAlign w:val="bottom"/>
            <w:vMerge w:val="restart"/>
            <w:shd w:val="clear" w:color="auto" w:fill="DBE5F1"/>
          </w:tcPr>
          <w:p>
            <w:pPr>
              <w:jc w:val="center"/>
              <w:spacing w:after="0"/>
              <w:rPr>
                <w:sz w:val="20"/>
                <w:szCs w:val="20"/>
                <w:color w:val="auto"/>
              </w:rPr>
            </w:pPr>
            <w:r>
              <w:rPr>
                <w:rFonts w:ascii="Arial" w:cs="Arial" w:eastAsia="Arial" w:hAnsi="Arial"/>
                <w:sz w:val="16"/>
                <w:szCs w:val="16"/>
                <w:color w:val="auto"/>
                <w:w w:val="92"/>
              </w:rPr>
              <w:t>$220,000</w:t>
            </w:r>
          </w:p>
        </w:tc>
        <w:tc>
          <w:tcPr>
            <w:tcW w:w="1860" w:type="dxa"/>
            <w:vAlign w:val="bottom"/>
            <w:vMerge w:val="restart"/>
            <w:shd w:val="clear" w:color="auto" w:fill="DBE5F1"/>
          </w:tcPr>
          <w:p>
            <w:pPr>
              <w:jc w:val="center"/>
              <w:spacing w:after="0"/>
              <w:rPr>
                <w:sz w:val="20"/>
                <w:szCs w:val="20"/>
                <w:color w:val="auto"/>
              </w:rPr>
            </w:pPr>
            <w:r>
              <w:rPr>
                <w:rFonts w:ascii="Arial" w:cs="Arial" w:eastAsia="Arial" w:hAnsi="Arial"/>
                <w:sz w:val="16"/>
                <w:szCs w:val="16"/>
                <w:color w:val="auto"/>
                <w:w w:val="89"/>
              </w:rPr>
              <w:t>$1,100,000</w:t>
            </w:r>
          </w:p>
        </w:tc>
        <w:tc>
          <w:tcPr>
            <w:tcW w:w="0" w:type="dxa"/>
            <w:vAlign w:val="bottom"/>
          </w:tcPr>
          <w:p>
            <w:pPr>
              <w:spacing w:after="0"/>
              <w:rPr>
                <w:sz w:val="1"/>
                <w:szCs w:val="1"/>
                <w:color w:val="auto"/>
              </w:rPr>
            </w:pPr>
          </w:p>
        </w:tc>
      </w:tr>
      <w:tr>
        <w:trPr>
          <w:trHeight w:val="139"/>
        </w:trPr>
        <w:tc>
          <w:tcPr>
            <w:tcW w:w="2280" w:type="dxa"/>
            <w:vAlign w:val="bottom"/>
            <w:vMerge w:val="continue"/>
            <w:shd w:val="clear" w:color="auto" w:fill="DBE5F1"/>
          </w:tcPr>
          <w:p>
            <w:pPr>
              <w:spacing w:after="0"/>
              <w:rPr>
                <w:sz w:val="12"/>
                <w:szCs w:val="12"/>
                <w:color w:val="auto"/>
              </w:rPr>
            </w:pPr>
          </w:p>
        </w:tc>
        <w:tc>
          <w:tcPr>
            <w:tcW w:w="2040" w:type="dxa"/>
            <w:vAlign w:val="bottom"/>
            <w:vMerge w:val="restart"/>
            <w:shd w:val="clear" w:color="auto" w:fill="DBE5F1"/>
          </w:tcPr>
          <w:p>
            <w:pPr>
              <w:ind w:left="160"/>
              <w:spacing w:after="0"/>
              <w:rPr>
                <w:sz w:val="20"/>
                <w:szCs w:val="20"/>
                <w:color w:val="auto"/>
              </w:rPr>
            </w:pPr>
            <w:r>
              <w:rPr>
                <w:rFonts w:ascii="Arial" w:cs="Arial" w:eastAsia="Arial" w:hAnsi="Arial"/>
                <w:sz w:val="16"/>
                <w:szCs w:val="16"/>
                <w:color w:val="auto"/>
              </w:rPr>
              <w:t>Sales</w:t>
            </w:r>
          </w:p>
        </w:tc>
        <w:tc>
          <w:tcPr>
            <w:tcW w:w="1700" w:type="dxa"/>
            <w:vAlign w:val="bottom"/>
            <w:vMerge w:val="continue"/>
            <w:shd w:val="clear" w:color="auto" w:fill="DBE5F1"/>
          </w:tcPr>
          <w:p>
            <w:pPr>
              <w:spacing w:after="0"/>
              <w:rPr>
                <w:sz w:val="12"/>
                <w:szCs w:val="12"/>
                <w:color w:val="auto"/>
              </w:rPr>
            </w:pPr>
          </w:p>
        </w:tc>
        <w:tc>
          <w:tcPr>
            <w:tcW w:w="1800" w:type="dxa"/>
            <w:vAlign w:val="bottom"/>
            <w:vMerge w:val="continue"/>
            <w:shd w:val="clear" w:color="auto" w:fill="DBE5F1"/>
          </w:tcPr>
          <w:p>
            <w:pPr>
              <w:spacing w:after="0"/>
              <w:rPr>
                <w:sz w:val="12"/>
                <w:szCs w:val="12"/>
                <w:color w:val="auto"/>
              </w:rPr>
            </w:pPr>
          </w:p>
        </w:tc>
        <w:tc>
          <w:tcPr>
            <w:tcW w:w="1640" w:type="dxa"/>
            <w:vAlign w:val="bottom"/>
            <w:vMerge w:val="continue"/>
            <w:shd w:val="clear" w:color="auto" w:fill="DBE5F1"/>
          </w:tcPr>
          <w:p>
            <w:pPr>
              <w:spacing w:after="0"/>
              <w:rPr>
                <w:sz w:val="12"/>
                <w:szCs w:val="12"/>
                <w:color w:val="auto"/>
              </w:rPr>
            </w:pPr>
          </w:p>
        </w:tc>
        <w:tc>
          <w:tcPr>
            <w:tcW w:w="1860" w:type="dxa"/>
            <w:vAlign w:val="bottom"/>
            <w:vMerge w:val="continue"/>
            <w:shd w:val="clear" w:color="auto" w:fill="DBE5F1"/>
          </w:tcPr>
          <w:p>
            <w:pPr>
              <w:spacing w:after="0"/>
              <w:rPr>
                <w:sz w:val="12"/>
                <w:szCs w:val="12"/>
                <w:color w:val="auto"/>
              </w:rPr>
            </w:pPr>
          </w:p>
        </w:tc>
        <w:tc>
          <w:tcPr>
            <w:tcW w:w="0" w:type="dxa"/>
            <w:vAlign w:val="bottom"/>
          </w:tcPr>
          <w:p>
            <w:pPr>
              <w:spacing w:after="0"/>
              <w:rPr>
                <w:sz w:val="1"/>
                <w:szCs w:val="1"/>
                <w:color w:val="auto"/>
              </w:rPr>
            </w:pPr>
          </w:p>
        </w:tc>
      </w:tr>
      <w:tr>
        <w:trPr>
          <w:trHeight w:val="68"/>
        </w:trPr>
        <w:tc>
          <w:tcPr>
            <w:tcW w:w="2280" w:type="dxa"/>
            <w:vAlign w:val="bottom"/>
            <w:shd w:val="clear" w:color="auto" w:fill="DBE5F1"/>
          </w:tcPr>
          <w:p>
            <w:pPr>
              <w:spacing w:after="0"/>
              <w:rPr>
                <w:sz w:val="5"/>
                <w:szCs w:val="5"/>
                <w:color w:val="auto"/>
              </w:rPr>
            </w:pPr>
          </w:p>
        </w:tc>
        <w:tc>
          <w:tcPr>
            <w:tcW w:w="2040" w:type="dxa"/>
            <w:vAlign w:val="bottom"/>
            <w:vMerge w:val="continue"/>
            <w:shd w:val="clear" w:color="auto" w:fill="DBE5F1"/>
          </w:tcPr>
          <w:p>
            <w:pPr>
              <w:spacing w:after="0"/>
              <w:rPr>
                <w:sz w:val="5"/>
                <w:szCs w:val="5"/>
                <w:color w:val="auto"/>
              </w:rPr>
            </w:pPr>
          </w:p>
        </w:tc>
        <w:tc>
          <w:tcPr>
            <w:tcW w:w="1700" w:type="dxa"/>
            <w:vAlign w:val="bottom"/>
            <w:shd w:val="clear" w:color="auto" w:fill="DBE5F1"/>
          </w:tcPr>
          <w:p>
            <w:pPr>
              <w:spacing w:after="0"/>
              <w:rPr>
                <w:sz w:val="5"/>
                <w:szCs w:val="5"/>
                <w:color w:val="auto"/>
              </w:rPr>
            </w:pPr>
          </w:p>
        </w:tc>
        <w:tc>
          <w:tcPr>
            <w:tcW w:w="1800" w:type="dxa"/>
            <w:vAlign w:val="bottom"/>
            <w:shd w:val="clear" w:color="auto" w:fill="DBE5F1"/>
          </w:tcPr>
          <w:p>
            <w:pPr>
              <w:spacing w:after="0"/>
              <w:rPr>
                <w:sz w:val="5"/>
                <w:szCs w:val="5"/>
                <w:color w:val="auto"/>
              </w:rPr>
            </w:pPr>
          </w:p>
        </w:tc>
        <w:tc>
          <w:tcPr>
            <w:tcW w:w="1640" w:type="dxa"/>
            <w:vAlign w:val="bottom"/>
            <w:shd w:val="clear" w:color="auto" w:fill="DBE5F1"/>
          </w:tcPr>
          <w:p>
            <w:pPr>
              <w:spacing w:after="0"/>
              <w:rPr>
                <w:sz w:val="5"/>
                <w:szCs w:val="5"/>
                <w:color w:val="auto"/>
              </w:rPr>
            </w:pPr>
          </w:p>
        </w:tc>
        <w:tc>
          <w:tcPr>
            <w:tcW w:w="1860" w:type="dxa"/>
            <w:vAlign w:val="bottom"/>
            <w:shd w:val="clear" w:color="auto" w:fill="DBE5F1"/>
          </w:tcPr>
          <w:p>
            <w:pPr>
              <w:spacing w:after="0"/>
              <w:rPr>
                <w:sz w:val="5"/>
                <w:szCs w:val="5"/>
                <w:color w:val="auto"/>
              </w:rPr>
            </w:pPr>
          </w:p>
        </w:tc>
        <w:tc>
          <w:tcPr>
            <w:tcW w:w="0" w:type="dxa"/>
            <w:vAlign w:val="bottom"/>
          </w:tcPr>
          <w:p>
            <w:pPr>
              <w:spacing w:after="0"/>
              <w:rPr>
                <w:sz w:val="1"/>
                <w:szCs w:val="1"/>
                <w:color w:val="auto"/>
              </w:rPr>
            </w:pPr>
          </w:p>
        </w:tc>
      </w:tr>
      <w:tr>
        <w:trPr>
          <w:trHeight w:val="141"/>
        </w:trPr>
        <w:tc>
          <w:tcPr>
            <w:tcW w:w="2280" w:type="dxa"/>
            <w:vAlign w:val="bottom"/>
            <w:shd w:val="clear" w:color="auto" w:fill="DBE5F1"/>
          </w:tcPr>
          <w:p>
            <w:pPr>
              <w:spacing w:after="0"/>
              <w:rPr>
                <w:sz w:val="12"/>
                <w:szCs w:val="12"/>
                <w:color w:val="auto"/>
              </w:rPr>
            </w:pPr>
          </w:p>
        </w:tc>
        <w:tc>
          <w:tcPr>
            <w:tcW w:w="2040" w:type="dxa"/>
            <w:vAlign w:val="bottom"/>
            <w:shd w:val="clear" w:color="auto" w:fill="DBE5F1"/>
          </w:tcPr>
          <w:p>
            <w:pPr>
              <w:spacing w:after="0"/>
              <w:rPr>
                <w:sz w:val="12"/>
                <w:szCs w:val="12"/>
                <w:color w:val="auto"/>
              </w:rPr>
            </w:pPr>
          </w:p>
        </w:tc>
        <w:tc>
          <w:tcPr>
            <w:tcW w:w="1700" w:type="dxa"/>
            <w:vAlign w:val="bottom"/>
            <w:shd w:val="clear" w:color="auto" w:fill="DBE5F1"/>
          </w:tcPr>
          <w:p>
            <w:pPr>
              <w:spacing w:after="0"/>
              <w:rPr>
                <w:sz w:val="12"/>
                <w:szCs w:val="12"/>
                <w:color w:val="auto"/>
              </w:rPr>
            </w:pPr>
          </w:p>
        </w:tc>
        <w:tc>
          <w:tcPr>
            <w:tcW w:w="1800" w:type="dxa"/>
            <w:vAlign w:val="bottom"/>
            <w:shd w:val="clear" w:color="auto" w:fill="DBE5F1"/>
          </w:tcPr>
          <w:p>
            <w:pPr>
              <w:spacing w:after="0"/>
              <w:rPr>
                <w:sz w:val="12"/>
                <w:szCs w:val="12"/>
                <w:color w:val="auto"/>
              </w:rPr>
            </w:pPr>
          </w:p>
        </w:tc>
        <w:tc>
          <w:tcPr>
            <w:tcW w:w="1640" w:type="dxa"/>
            <w:vAlign w:val="bottom"/>
            <w:shd w:val="clear" w:color="auto" w:fill="DBE5F1"/>
          </w:tcPr>
          <w:p>
            <w:pPr>
              <w:spacing w:after="0"/>
              <w:rPr>
                <w:sz w:val="12"/>
                <w:szCs w:val="12"/>
                <w:color w:val="auto"/>
              </w:rPr>
            </w:pPr>
          </w:p>
        </w:tc>
        <w:tc>
          <w:tcPr>
            <w:tcW w:w="1860" w:type="dxa"/>
            <w:vAlign w:val="bottom"/>
            <w:shd w:val="clear" w:color="auto" w:fill="DBE5F1"/>
          </w:tcPr>
          <w:p>
            <w:pPr>
              <w:spacing w:after="0"/>
              <w:rPr>
                <w:sz w:val="12"/>
                <w:szCs w:val="12"/>
                <w:color w:val="auto"/>
              </w:rPr>
            </w:pPr>
          </w:p>
        </w:tc>
        <w:tc>
          <w:tcPr>
            <w:tcW w:w="0" w:type="dxa"/>
            <w:vAlign w:val="bottom"/>
          </w:tcPr>
          <w:p>
            <w:pPr>
              <w:spacing w:after="0"/>
              <w:rPr>
                <w:sz w:val="1"/>
                <w:szCs w:val="1"/>
                <w:color w:val="auto"/>
              </w:rPr>
            </w:pPr>
          </w:p>
        </w:tc>
      </w:tr>
      <w:tr>
        <w:trPr>
          <w:trHeight w:val="207"/>
        </w:trPr>
        <w:tc>
          <w:tcPr>
            <w:tcW w:w="2280" w:type="dxa"/>
            <w:vAlign w:val="bottom"/>
          </w:tcPr>
          <w:p>
            <w:pPr>
              <w:spacing w:after="0"/>
              <w:rPr>
                <w:sz w:val="20"/>
                <w:szCs w:val="20"/>
                <w:color w:val="auto"/>
              </w:rPr>
            </w:pPr>
            <w:r>
              <w:rPr>
                <w:rFonts w:ascii="Arial" w:cs="Arial" w:eastAsia="Arial" w:hAnsi="Arial"/>
                <w:sz w:val="16"/>
                <w:szCs w:val="16"/>
                <w:color w:val="auto"/>
              </w:rPr>
              <w:t>_____________</w:t>
            </w:r>
          </w:p>
        </w:tc>
        <w:tc>
          <w:tcPr>
            <w:tcW w:w="204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340" w:hanging="332"/>
        <w:spacing w:after="0"/>
        <w:tabs>
          <w:tab w:leader="none" w:pos="340" w:val="left"/>
        </w:tabs>
        <w:numPr>
          <w:ilvl w:val="0"/>
          <w:numId w:val="45"/>
        </w:numPr>
        <w:rPr>
          <w:rFonts w:ascii="Arial" w:cs="Arial" w:eastAsia="Arial" w:hAnsi="Arial"/>
          <w:sz w:val="16"/>
          <w:szCs w:val="16"/>
          <w:color w:val="auto"/>
        </w:rPr>
      </w:pPr>
      <w:r>
        <w:rPr>
          <w:rFonts w:ascii="Arial" w:cs="Arial" w:eastAsia="Arial" w:hAnsi="Arial"/>
          <w:sz w:val="16"/>
          <w:szCs w:val="16"/>
          <w:color w:val="auto"/>
        </w:rPr>
        <w:t>Mr. Radecki resigned as Chief Financial Officer in 2015, and therefore was not eligible for the equity grants awarded in March 2016.</w:t>
      </w:r>
    </w:p>
    <w:p>
      <w:pPr>
        <w:spacing w:after="0" w:line="5" w:lineRule="exact"/>
        <w:rPr>
          <w:rFonts w:ascii="Arial" w:cs="Arial" w:eastAsia="Arial" w:hAnsi="Arial"/>
          <w:sz w:val="16"/>
          <w:szCs w:val="16"/>
          <w:color w:val="auto"/>
        </w:rPr>
      </w:pPr>
    </w:p>
    <w:p>
      <w:pPr>
        <w:ind w:left="340" w:hanging="332"/>
        <w:spacing w:after="0"/>
        <w:tabs>
          <w:tab w:leader="none" w:pos="340" w:val="left"/>
        </w:tabs>
        <w:numPr>
          <w:ilvl w:val="0"/>
          <w:numId w:val="45"/>
        </w:numPr>
        <w:rPr>
          <w:rFonts w:ascii="Arial" w:cs="Arial" w:eastAsia="Arial" w:hAnsi="Arial"/>
          <w:sz w:val="16"/>
          <w:szCs w:val="16"/>
          <w:color w:val="auto"/>
        </w:rPr>
      </w:pPr>
      <w:r>
        <w:rPr>
          <w:rFonts w:ascii="Arial" w:cs="Arial" w:eastAsia="Arial" w:hAnsi="Arial"/>
          <w:sz w:val="16"/>
          <w:szCs w:val="16"/>
          <w:color w:val="auto"/>
        </w:rPr>
        <w:t>Mr. Yinger was not an executive officer in March 2016, and therefore was not eligible for the equity grants awarded at that time.</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420"/>
          </w:cols>
          <w:pgMar w:left="240" w:top="360" w:right="239" w:bottom="1440" w:gutter="0" w:footer="0" w:header="0"/>
        </w:sectPr>
      </w:pPr>
    </w:p>
    <w:bookmarkStart w:id="70" w:name="page71"/>
    <w:bookmarkEnd w:id="70"/>
    <w:p>
      <w:pPr>
        <w:spacing w:after="0"/>
        <w:rPr>
          <w:sz w:val="20"/>
          <w:szCs w:val="20"/>
          <w:color w:val="auto"/>
        </w:rPr>
      </w:pPr>
      <w:r>
        <w:rPr>
          <w:rFonts w:ascii="Arial" w:cs="Arial" w:eastAsia="Arial" w:hAnsi="Arial"/>
          <w:sz w:val="20"/>
          <w:szCs w:val="20"/>
          <w:b w:val="1"/>
          <w:bCs w:val="1"/>
          <w:color w:val="auto"/>
        </w:rPr>
        <w:t>2015 Performance-Based Restricted Stock Awards Granted in 2016</w:t>
      </w:r>
    </w:p>
    <w:p>
      <w:pPr>
        <w:spacing w:after="0" w:line="224"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On March 11, 2016, the Committee approved and awarded each named executive officer a grant of restricted stock, the size of which was based on the target award values set forth above and achievement of non-GAAP net income for 2015 (the “2015 Performance-Based Stock Awards”).</w:t>
      </w:r>
    </w:p>
    <w:p>
      <w:pPr>
        <w:spacing w:after="0" w:line="91" w:lineRule="exact"/>
        <w:rPr>
          <w:sz w:val="20"/>
          <w:szCs w:val="20"/>
          <w:color w:val="auto"/>
        </w:rPr>
      </w:pPr>
    </w:p>
    <w:p>
      <w:pPr>
        <w:spacing w:after="0"/>
        <w:rPr>
          <w:sz w:val="20"/>
          <w:szCs w:val="20"/>
          <w:color w:val="auto"/>
        </w:rPr>
      </w:pPr>
      <w:r>
        <w:rPr>
          <w:rFonts w:ascii="Arial" w:cs="Arial" w:eastAsia="Arial" w:hAnsi="Arial"/>
          <w:sz w:val="18"/>
          <w:szCs w:val="18"/>
          <w:b w:val="1"/>
          <w:bCs w:val="1"/>
          <w:color w:val="5978A5"/>
        </w:rPr>
        <w:t>2015 Performance-Based Stock Awards – Financial Goal</w:t>
      </w:r>
      <w:r>
        <w:rPr>
          <w:rFonts w:ascii="Arial" w:cs="Arial" w:eastAsia="Arial" w:hAnsi="Arial"/>
          <w:sz w:val="25"/>
          <w:szCs w:val="25"/>
          <w:color w:val="000000"/>
          <w:vertAlign w:val="superscript"/>
        </w:rPr>
        <w:t>(1)</w:t>
      </w:r>
    </w:p>
    <w:p>
      <w:pPr>
        <w:spacing w:after="0"/>
        <w:rPr>
          <w:sz w:val="20"/>
          <w:szCs w:val="20"/>
          <w:color w:val="auto"/>
        </w:rPr>
      </w:pPr>
      <w:r>
        <w:rPr>
          <w:rFonts w:ascii="Arial" w:cs="Arial" w:eastAsia="Arial" w:hAnsi="Arial"/>
          <w:sz w:val="18"/>
          <w:szCs w:val="18"/>
          <w:i w:val="1"/>
          <w:iCs w:val="1"/>
          <w:color w:val="auto"/>
        </w:rPr>
        <w:t>(dollar amounts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142240</wp:posOffset>
            </wp:positionV>
            <wp:extent cx="7254875" cy="81470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54875" cy="814705"/>
                    </a:xfrm>
                    <a:prstGeom prst="rect">
                      <a:avLst/>
                    </a:prstGeom>
                    <a:noFill/>
                  </pic:spPr>
                </pic:pic>
              </a:graphicData>
            </a:graphic>
          </wp:anchor>
        </w:drawing>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324"/>
        </w:trPr>
        <w:tc>
          <w:tcPr>
            <w:tcW w:w="3200" w:type="dxa"/>
            <w:vAlign w:val="bottom"/>
            <w:gridSpan w:val="3"/>
            <w:shd w:val="clear" w:color="auto" w:fill="B8CCE4"/>
          </w:tcPr>
          <w:p>
            <w:pPr>
              <w:ind w:left="180"/>
              <w:spacing w:after="0"/>
              <w:rPr>
                <w:sz w:val="20"/>
                <w:szCs w:val="20"/>
                <w:color w:val="auto"/>
              </w:rPr>
            </w:pPr>
            <w:r>
              <w:rPr>
                <w:rFonts w:ascii="Arial" w:cs="Arial" w:eastAsia="Arial" w:hAnsi="Arial"/>
                <w:sz w:val="18"/>
                <w:szCs w:val="18"/>
                <w:b w:val="1"/>
                <w:bCs w:val="1"/>
                <w:color w:val="auto"/>
              </w:rPr>
              <w:t>Performance Metric</w:t>
            </w:r>
          </w:p>
        </w:tc>
        <w:tc>
          <w:tcPr>
            <w:tcW w:w="2140" w:type="dxa"/>
            <w:vAlign w:val="bottom"/>
            <w:shd w:val="clear" w:color="auto" w:fill="B8CCE4"/>
          </w:tcPr>
          <w:p>
            <w:pPr>
              <w:ind w:left="460"/>
              <w:spacing w:after="0"/>
              <w:rPr>
                <w:sz w:val="20"/>
                <w:szCs w:val="20"/>
                <w:color w:val="auto"/>
              </w:rPr>
            </w:pPr>
            <w:r>
              <w:rPr>
                <w:rFonts w:ascii="Arial" w:cs="Arial" w:eastAsia="Arial" w:hAnsi="Arial"/>
                <w:sz w:val="18"/>
                <w:szCs w:val="18"/>
                <w:b w:val="1"/>
                <w:bCs w:val="1"/>
                <w:color w:val="auto"/>
              </w:rPr>
              <w:t>Threshold Goal</w:t>
            </w:r>
          </w:p>
        </w:tc>
        <w:tc>
          <w:tcPr>
            <w:tcW w:w="1900" w:type="dxa"/>
            <w:vAlign w:val="bottom"/>
            <w:shd w:val="clear" w:color="auto" w:fill="B8CCE4"/>
          </w:tcPr>
          <w:p>
            <w:pPr>
              <w:jc w:val="center"/>
              <w:spacing w:after="0"/>
              <w:rPr>
                <w:sz w:val="20"/>
                <w:szCs w:val="20"/>
                <w:color w:val="auto"/>
              </w:rPr>
            </w:pPr>
            <w:r>
              <w:rPr>
                <w:rFonts w:ascii="Arial" w:cs="Arial" w:eastAsia="Arial" w:hAnsi="Arial"/>
                <w:sz w:val="18"/>
                <w:szCs w:val="18"/>
                <w:b w:val="1"/>
                <w:bCs w:val="1"/>
                <w:color w:val="auto"/>
                <w:w w:val="91"/>
              </w:rPr>
              <w:t>Target Goal</w:t>
            </w:r>
          </w:p>
        </w:tc>
        <w:tc>
          <w:tcPr>
            <w:tcW w:w="2200" w:type="dxa"/>
            <w:vAlign w:val="bottom"/>
            <w:shd w:val="clear" w:color="auto" w:fill="B8CCE4"/>
          </w:tcPr>
          <w:p>
            <w:pPr>
              <w:jc w:val="center"/>
              <w:spacing w:after="0"/>
              <w:rPr>
                <w:sz w:val="20"/>
                <w:szCs w:val="20"/>
                <w:color w:val="auto"/>
              </w:rPr>
            </w:pPr>
            <w:r>
              <w:rPr>
                <w:rFonts w:ascii="Arial" w:cs="Arial" w:eastAsia="Arial" w:hAnsi="Arial"/>
                <w:sz w:val="18"/>
                <w:szCs w:val="18"/>
                <w:b w:val="1"/>
                <w:bCs w:val="1"/>
                <w:color w:val="auto"/>
                <w:w w:val="95"/>
              </w:rPr>
              <w:t>Maximum Goal</w:t>
            </w:r>
          </w:p>
        </w:tc>
        <w:tc>
          <w:tcPr>
            <w:tcW w:w="1980" w:type="dxa"/>
            <w:vAlign w:val="bottom"/>
            <w:shd w:val="clear" w:color="auto" w:fill="B8CCE4"/>
          </w:tcPr>
          <w:p>
            <w:pPr>
              <w:jc w:val="center"/>
              <w:spacing w:after="0"/>
              <w:rPr>
                <w:sz w:val="20"/>
                <w:szCs w:val="20"/>
                <w:color w:val="auto"/>
              </w:rPr>
            </w:pPr>
            <w:r>
              <w:rPr>
                <w:rFonts w:ascii="Arial" w:cs="Arial" w:eastAsia="Arial" w:hAnsi="Arial"/>
                <w:sz w:val="18"/>
                <w:szCs w:val="18"/>
                <w:b w:val="1"/>
                <w:bCs w:val="1"/>
                <w:color w:val="auto"/>
                <w:w w:val="91"/>
              </w:rPr>
              <w:t>2015 Actual</w:t>
            </w:r>
          </w:p>
        </w:tc>
      </w:tr>
      <w:tr>
        <w:trPr>
          <w:trHeight w:val="108"/>
        </w:trPr>
        <w:tc>
          <w:tcPr>
            <w:tcW w:w="1300" w:type="dxa"/>
            <w:vAlign w:val="bottom"/>
            <w:shd w:val="clear" w:color="auto" w:fill="B8CCE4"/>
          </w:tcPr>
          <w:p>
            <w:pPr>
              <w:spacing w:after="0"/>
              <w:rPr>
                <w:sz w:val="9"/>
                <w:szCs w:val="9"/>
                <w:color w:val="auto"/>
              </w:rPr>
            </w:pPr>
          </w:p>
        </w:tc>
        <w:tc>
          <w:tcPr>
            <w:tcW w:w="300" w:type="dxa"/>
            <w:vAlign w:val="bottom"/>
            <w:shd w:val="clear" w:color="auto" w:fill="B8CCE4"/>
          </w:tcPr>
          <w:p>
            <w:pPr>
              <w:spacing w:after="0"/>
              <w:rPr>
                <w:sz w:val="9"/>
                <w:szCs w:val="9"/>
                <w:color w:val="auto"/>
              </w:rPr>
            </w:pPr>
          </w:p>
        </w:tc>
        <w:tc>
          <w:tcPr>
            <w:tcW w:w="1600" w:type="dxa"/>
            <w:vAlign w:val="bottom"/>
            <w:shd w:val="clear" w:color="auto" w:fill="B8CCE4"/>
          </w:tcPr>
          <w:p>
            <w:pPr>
              <w:spacing w:after="0"/>
              <w:rPr>
                <w:sz w:val="9"/>
                <w:szCs w:val="9"/>
                <w:color w:val="auto"/>
              </w:rPr>
            </w:pPr>
          </w:p>
        </w:tc>
        <w:tc>
          <w:tcPr>
            <w:tcW w:w="2140" w:type="dxa"/>
            <w:vAlign w:val="bottom"/>
            <w:shd w:val="clear" w:color="auto" w:fill="B8CCE4"/>
          </w:tcPr>
          <w:p>
            <w:pPr>
              <w:spacing w:after="0"/>
              <w:rPr>
                <w:sz w:val="9"/>
                <w:szCs w:val="9"/>
                <w:color w:val="auto"/>
              </w:rPr>
            </w:pPr>
          </w:p>
        </w:tc>
        <w:tc>
          <w:tcPr>
            <w:tcW w:w="1900" w:type="dxa"/>
            <w:vAlign w:val="bottom"/>
            <w:shd w:val="clear" w:color="auto" w:fill="B8CCE4"/>
          </w:tcPr>
          <w:p>
            <w:pPr>
              <w:spacing w:after="0"/>
              <w:rPr>
                <w:sz w:val="9"/>
                <w:szCs w:val="9"/>
                <w:color w:val="auto"/>
              </w:rPr>
            </w:pPr>
          </w:p>
        </w:tc>
        <w:tc>
          <w:tcPr>
            <w:tcW w:w="2200" w:type="dxa"/>
            <w:vAlign w:val="bottom"/>
            <w:shd w:val="clear" w:color="auto" w:fill="B8CCE4"/>
          </w:tcPr>
          <w:p>
            <w:pPr>
              <w:spacing w:after="0"/>
              <w:rPr>
                <w:sz w:val="9"/>
                <w:szCs w:val="9"/>
                <w:color w:val="auto"/>
              </w:rPr>
            </w:pPr>
          </w:p>
        </w:tc>
        <w:tc>
          <w:tcPr>
            <w:tcW w:w="1980" w:type="dxa"/>
            <w:vAlign w:val="bottom"/>
            <w:shd w:val="clear" w:color="auto" w:fill="B8CCE4"/>
          </w:tcPr>
          <w:p>
            <w:pPr>
              <w:spacing w:after="0"/>
              <w:rPr>
                <w:sz w:val="9"/>
                <w:szCs w:val="9"/>
                <w:color w:val="auto"/>
              </w:rPr>
            </w:pPr>
          </w:p>
        </w:tc>
      </w:tr>
      <w:tr>
        <w:trPr>
          <w:trHeight w:val="278"/>
        </w:trPr>
        <w:tc>
          <w:tcPr>
            <w:tcW w:w="3200" w:type="dxa"/>
            <w:vAlign w:val="bottom"/>
            <w:gridSpan w:val="3"/>
            <w:shd w:val="clear" w:color="auto" w:fill="DBE5F1"/>
          </w:tcPr>
          <w:p>
            <w:pPr>
              <w:ind w:left="180"/>
              <w:spacing w:after="0"/>
              <w:rPr>
                <w:sz w:val="20"/>
                <w:szCs w:val="20"/>
                <w:color w:val="auto"/>
              </w:rPr>
            </w:pPr>
            <w:r>
              <w:rPr>
                <w:rFonts w:ascii="Arial" w:cs="Arial" w:eastAsia="Arial" w:hAnsi="Arial"/>
                <w:sz w:val="16"/>
                <w:szCs w:val="16"/>
                <w:b w:val="1"/>
                <w:bCs w:val="1"/>
                <w:color w:val="auto"/>
              </w:rPr>
              <w:t>Non-GAAP Net Income</w:t>
            </w:r>
          </w:p>
        </w:tc>
        <w:tc>
          <w:tcPr>
            <w:tcW w:w="2140" w:type="dxa"/>
            <w:vAlign w:val="bottom"/>
            <w:shd w:val="clear" w:color="auto" w:fill="DBE5F1"/>
          </w:tcPr>
          <w:p>
            <w:pPr>
              <w:jc w:val="right"/>
              <w:ind w:right="816"/>
              <w:spacing w:after="0"/>
              <w:rPr>
                <w:sz w:val="20"/>
                <w:szCs w:val="20"/>
                <w:color w:val="auto"/>
              </w:rPr>
            </w:pPr>
            <w:r>
              <w:rPr>
                <w:rFonts w:ascii="Arial" w:cs="Arial" w:eastAsia="Arial" w:hAnsi="Arial"/>
                <w:sz w:val="16"/>
                <w:szCs w:val="16"/>
                <w:color w:val="auto"/>
              </w:rPr>
              <w:t>$40.3</w:t>
            </w:r>
          </w:p>
        </w:tc>
        <w:tc>
          <w:tcPr>
            <w:tcW w:w="1900" w:type="dxa"/>
            <w:vAlign w:val="bottom"/>
            <w:shd w:val="clear" w:color="auto" w:fill="DBE5F1"/>
          </w:tcPr>
          <w:p>
            <w:pPr>
              <w:jc w:val="center"/>
              <w:spacing w:after="0"/>
              <w:rPr>
                <w:sz w:val="20"/>
                <w:szCs w:val="20"/>
                <w:color w:val="auto"/>
              </w:rPr>
            </w:pPr>
            <w:r>
              <w:rPr>
                <w:rFonts w:ascii="Arial" w:cs="Arial" w:eastAsia="Arial" w:hAnsi="Arial"/>
                <w:sz w:val="16"/>
                <w:szCs w:val="16"/>
                <w:color w:val="auto"/>
                <w:w w:val="89"/>
              </w:rPr>
              <w:t>$50.4</w:t>
            </w:r>
          </w:p>
        </w:tc>
        <w:tc>
          <w:tcPr>
            <w:tcW w:w="2200" w:type="dxa"/>
            <w:vAlign w:val="bottom"/>
            <w:shd w:val="clear" w:color="auto" w:fill="DBE5F1"/>
          </w:tcPr>
          <w:p>
            <w:pPr>
              <w:jc w:val="center"/>
              <w:spacing w:after="0"/>
              <w:rPr>
                <w:sz w:val="20"/>
                <w:szCs w:val="20"/>
                <w:color w:val="auto"/>
              </w:rPr>
            </w:pPr>
            <w:r>
              <w:rPr>
                <w:rFonts w:ascii="Arial" w:cs="Arial" w:eastAsia="Arial" w:hAnsi="Arial"/>
                <w:sz w:val="16"/>
                <w:szCs w:val="16"/>
                <w:color w:val="auto"/>
                <w:w w:val="89"/>
              </w:rPr>
              <w:t>$55.4</w:t>
            </w:r>
          </w:p>
        </w:tc>
        <w:tc>
          <w:tcPr>
            <w:tcW w:w="1980" w:type="dxa"/>
            <w:vAlign w:val="bottom"/>
            <w:shd w:val="clear" w:color="auto" w:fill="DBE5F1"/>
          </w:tcPr>
          <w:p>
            <w:pPr>
              <w:jc w:val="center"/>
              <w:spacing w:after="0"/>
              <w:rPr>
                <w:sz w:val="20"/>
                <w:szCs w:val="20"/>
                <w:color w:val="auto"/>
              </w:rPr>
            </w:pPr>
            <w:r>
              <w:rPr>
                <w:rFonts w:ascii="Arial" w:cs="Arial" w:eastAsia="Arial" w:hAnsi="Arial"/>
                <w:sz w:val="16"/>
                <w:szCs w:val="16"/>
                <w:color w:val="auto"/>
                <w:w w:val="89"/>
              </w:rPr>
              <w:t>$65.9</w:t>
            </w:r>
          </w:p>
        </w:tc>
      </w:tr>
      <w:tr>
        <w:trPr>
          <w:trHeight w:val="419"/>
        </w:trPr>
        <w:tc>
          <w:tcPr>
            <w:tcW w:w="3200" w:type="dxa"/>
            <w:vAlign w:val="bottom"/>
            <w:gridSpan w:val="3"/>
            <w:shd w:val="clear" w:color="auto" w:fill="DBE5F1"/>
          </w:tcPr>
          <w:p>
            <w:pPr>
              <w:ind w:left="180"/>
              <w:spacing w:after="0"/>
              <w:rPr>
                <w:sz w:val="20"/>
                <w:szCs w:val="20"/>
                <w:color w:val="auto"/>
              </w:rPr>
            </w:pPr>
            <w:r>
              <w:rPr>
                <w:rFonts w:ascii="Arial" w:cs="Arial" w:eastAsia="Arial" w:hAnsi="Arial"/>
                <w:sz w:val="16"/>
                <w:szCs w:val="16"/>
                <w:b w:val="1"/>
                <w:bCs w:val="1"/>
                <w:i w:val="1"/>
                <w:iCs w:val="1"/>
                <w:color w:val="auto"/>
              </w:rPr>
              <w:t>Payout Percentage</w:t>
            </w:r>
          </w:p>
        </w:tc>
        <w:tc>
          <w:tcPr>
            <w:tcW w:w="2140" w:type="dxa"/>
            <w:vAlign w:val="bottom"/>
            <w:shd w:val="clear" w:color="auto" w:fill="DBE5F1"/>
          </w:tcPr>
          <w:p>
            <w:pPr>
              <w:jc w:val="right"/>
              <w:ind w:right="856"/>
              <w:spacing w:after="0"/>
              <w:rPr>
                <w:sz w:val="20"/>
                <w:szCs w:val="20"/>
                <w:color w:val="auto"/>
              </w:rPr>
            </w:pPr>
            <w:r>
              <w:rPr>
                <w:rFonts w:ascii="Arial" w:cs="Arial" w:eastAsia="Arial" w:hAnsi="Arial"/>
                <w:sz w:val="16"/>
                <w:szCs w:val="16"/>
                <w:i w:val="1"/>
                <w:iCs w:val="1"/>
                <w:color w:val="auto"/>
              </w:rPr>
              <w:t>50%</w:t>
            </w:r>
          </w:p>
        </w:tc>
        <w:tc>
          <w:tcPr>
            <w:tcW w:w="1900" w:type="dxa"/>
            <w:vAlign w:val="bottom"/>
            <w:shd w:val="clear" w:color="auto" w:fill="DBE5F1"/>
          </w:tcPr>
          <w:p>
            <w:pPr>
              <w:jc w:val="center"/>
              <w:spacing w:after="0"/>
              <w:rPr>
                <w:sz w:val="20"/>
                <w:szCs w:val="20"/>
                <w:color w:val="auto"/>
              </w:rPr>
            </w:pPr>
            <w:r>
              <w:rPr>
                <w:rFonts w:ascii="Arial" w:cs="Arial" w:eastAsia="Arial" w:hAnsi="Arial"/>
                <w:sz w:val="16"/>
                <w:szCs w:val="16"/>
                <w:i w:val="1"/>
                <w:iCs w:val="1"/>
                <w:color w:val="auto"/>
                <w:w w:val="92"/>
              </w:rPr>
              <w:t>100%</w:t>
            </w:r>
          </w:p>
        </w:tc>
        <w:tc>
          <w:tcPr>
            <w:tcW w:w="2200" w:type="dxa"/>
            <w:vAlign w:val="bottom"/>
            <w:shd w:val="clear" w:color="auto" w:fill="DBE5F1"/>
          </w:tcPr>
          <w:p>
            <w:pPr>
              <w:jc w:val="center"/>
              <w:spacing w:after="0"/>
              <w:rPr>
                <w:sz w:val="20"/>
                <w:szCs w:val="20"/>
                <w:color w:val="auto"/>
              </w:rPr>
            </w:pPr>
            <w:r>
              <w:rPr>
                <w:rFonts w:ascii="Arial" w:cs="Arial" w:eastAsia="Arial" w:hAnsi="Arial"/>
                <w:sz w:val="16"/>
                <w:szCs w:val="16"/>
                <w:i w:val="1"/>
                <w:iCs w:val="1"/>
                <w:color w:val="auto"/>
                <w:w w:val="92"/>
              </w:rPr>
              <w:t>200%</w:t>
            </w:r>
          </w:p>
        </w:tc>
        <w:tc>
          <w:tcPr>
            <w:tcW w:w="1980" w:type="dxa"/>
            <w:vAlign w:val="bottom"/>
            <w:shd w:val="clear" w:color="auto" w:fill="DBE5F1"/>
          </w:tcPr>
          <w:p>
            <w:pPr>
              <w:jc w:val="center"/>
              <w:spacing w:after="0"/>
              <w:rPr>
                <w:sz w:val="20"/>
                <w:szCs w:val="20"/>
                <w:color w:val="auto"/>
              </w:rPr>
            </w:pPr>
            <w:r>
              <w:rPr>
                <w:rFonts w:ascii="Arial" w:cs="Arial" w:eastAsia="Arial" w:hAnsi="Arial"/>
                <w:sz w:val="16"/>
                <w:szCs w:val="16"/>
                <w:i w:val="1"/>
                <w:iCs w:val="1"/>
                <w:color w:val="auto"/>
                <w:w w:val="87"/>
              </w:rPr>
              <w:t>200%</w:t>
            </w:r>
          </w:p>
        </w:tc>
      </w:tr>
      <w:tr>
        <w:trPr>
          <w:trHeight w:val="141"/>
        </w:trPr>
        <w:tc>
          <w:tcPr>
            <w:tcW w:w="1300" w:type="dxa"/>
            <w:vAlign w:val="bottom"/>
            <w:shd w:val="clear" w:color="auto" w:fill="DBE5F1"/>
          </w:tcPr>
          <w:p>
            <w:pPr>
              <w:spacing w:after="0"/>
              <w:rPr>
                <w:sz w:val="12"/>
                <w:szCs w:val="12"/>
                <w:color w:val="auto"/>
              </w:rPr>
            </w:pPr>
          </w:p>
        </w:tc>
        <w:tc>
          <w:tcPr>
            <w:tcW w:w="300" w:type="dxa"/>
            <w:vAlign w:val="bottom"/>
            <w:shd w:val="clear" w:color="auto" w:fill="DBE5F1"/>
          </w:tcPr>
          <w:p>
            <w:pPr>
              <w:spacing w:after="0"/>
              <w:rPr>
                <w:sz w:val="12"/>
                <w:szCs w:val="12"/>
                <w:color w:val="auto"/>
              </w:rPr>
            </w:pPr>
          </w:p>
        </w:tc>
        <w:tc>
          <w:tcPr>
            <w:tcW w:w="1600" w:type="dxa"/>
            <w:vAlign w:val="bottom"/>
            <w:shd w:val="clear" w:color="auto" w:fill="DBE5F1"/>
          </w:tcPr>
          <w:p>
            <w:pPr>
              <w:spacing w:after="0"/>
              <w:rPr>
                <w:sz w:val="12"/>
                <w:szCs w:val="12"/>
                <w:color w:val="auto"/>
              </w:rPr>
            </w:pPr>
          </w:p>
        </w:tc>
        <w:tc>
          <w:tcPr>
            <w:tcW w:w="2140" w:type="dxa"/>
            <w:vAlign w:val="bottom"/>
            <w:shd w:val="clear" w:color="auto" w:fill="DBE5F1"/>
          </w:tcPr>
          <w:p>
            <w:pPr>
              <w:spacing w:after="0"/>
              <w:rPr>
                <w:sz w:val="12"/>
                <w:szCs w:val="12"/>
                <w:color w:val="auto"/>
              </w:rPr>
            </w:pPr>
          </w:p>
        </w:tc>
        <w:tc>
          <w:tcPr>
            <w:tcW w:w="1900" w:type="dxa"/>
            <w:vAlign w:val="bottom"/>
            <w:shd w:val="clear" w:color="auto" w:fill="DBE5F1"/>
          </w:tcPr>
          <w:p>
            <w:pPr>
              <w:spacing w:after="0"/>
              <w:rPr>
                <w:sz w:val="12"/>
                <w:szCs w:val="12"/>
                <w:color w:val="auto"/>
              </w:rPr>
            </w:pPr>
          </w:p>
        </w:tc>
        <w:tc>
          <w:tcPr>
            <w:tcW w:w="2200" w:type="dxa"/>
            <w:vAlign w:val="bottom"/>
            <w:shd w:val="clear" w:color="auto" w:fill="DBE5F1"/>
          </w:tcPr>
          <w:p>
            <w:pPr>
              <w:spacing w:after="0"/>
              <w:rPr>
                <w:sz w:val="12"/>
                <w:szCs w:val="12"/>
                <w:color w:val="auto"/>
              </w:rPr>
            </w:pPr>
          </w:p>
        </w:tc>
        <w:tc>
          <w:tcPr>
            <w:tcW w:w="1980" w:type="dxa"/>
            <w:vAlign w:val="bottom"/>
            <w:shd w:val="clear" w:color="auto" w:fill="DBE5F1"/>
          </w:tcPr>
          <w:p>
            <w:pPr>
              <w:spacing w:after="0"/>
              <w:rPr>
                <w:sz w:val="12"/>
                <w:szCs w:val="12"/>
                <w:color w:val="auto"/>
              </w:rPr>
            </w:pPr>
          </w:p>
        </w:tc>
      </w:tr>
      <w:tr>
        <w:trPr>
          <w:trHeight w:val="149"/>
        </w:trPr>
        <w:tc>
          <w:tcPr>
            <w:tcW w:w="130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600" w:type="dxa"/>
            <w:vAlign w:val="bottom"/>
          </w:tcPr>
          <w:p>
            <w:pPr>
              <w:spacing w:after="0"/>
              <w:rPr>
                <w:sz w:val="12"/>
                <w:szCs w:val="12"/>
                <w:color w:val="auto"/>
              </w:rPr>
            </w:pPr>
          </w:p>
        </w:tc>
        <w:tc>
          <w:tcPr>
            <w:tcW w:w="214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1980" w:type="dxa"/>
            <w:vAlign w:val="bottom"/>
          </w:tcPr>
          <w:p>
            <w:pPr>
              <w:spacing w:after="0"/>
              <w:rPr>
                <w:sz w:val="12"/>
                <w:szCs w:val="12"/>
                <w:color w:val="auto"/>
              </w:rPr>
            </w:pPr>
          </w:p>
        </w:tc>
      </w:tr>
    </w:tbl>
    <w:p>
      <w:pPr>
        <w:spacing w:after="0" w:line="4" w:lineRule="exact"/>
        <w:rPr>
          <w:sz w:val="20"/>
          <w:szCs w:val="20"/>
          <w:color w:val="auto"/>
        </w:rPr>
      </w:pPr>
    </w:p>
    <w:p>
      <w:pPr>
        <w:jc w:val="both"/>
        <w:ind w:left="340" w:hanging="332"/>
        <w:spacing w:after="0" w:line="261" w:lineRule="auto"/>
        <w:tabs>
          <w:tab w:leader="none" w:pos="340" w:val="left"/>
        </w:tabs>
        <w:numPr>
          <w:ilvl w:val="0"/>
          <w:numId w:val="46"/>
        </w:numPr>
        <w:rPr>
          <w:rFonts w:ascii="Arial" w:cs="Arial" w:eastAsia="Arial" w:hAnsi="Arial"/>
          <w:sz w:val="16"/>
          <w:szCs w:val="16"/>
          <w:color w:val="auto"/>
        </w:rPr>
      </w:pPr>
      <w:r>
        <w:rPr>
          <w:rFonts w:ascii="Arial" w:cs="Arial" w:eastAsia="Arial" w:hAnsi="Arial"/>
          <w:sz w:val="16"/>
          <w:szCs w:val="16"/>
          <w:color w:val="auto"/>
        </w:rPr>
        <w:t>Named executive officers could receive between 0% and 200% credit for the non-GAAP net income goal, depending upon actual non-GAAP net income achieved in 2015. Credit for performance between threshold and target and between target and maximum are determined by linear interpolation. No credit is given for performance below threshold and credit is capped at 200% of target.</w:t>
      </w:r>
    </w:p>
    <w:p>
      <w:pPr>
        <w:spacing w:after="0" w:line="206" w:lineRule="exact"/>
        <w:rPr>
          <w:sz w:val="20"/>
          <w:szCs w:val="20"/>
          <w:color w:val="auto"/>
        </w:rPr>
      </w:pPr>
    </w:p>
    <w:p>
      <w:pPr>
        <w:jc w:val="both"/>
        <w:spacing w:after="0" w:line="341" w:lineRule="auto"/>
        <w:rPr>
          <w:sz w:val="20"/>
          <w:szCs w:val="20"/>
          <w:color w:val="auto"/>
        </w:rPr>
      </w:pPr>
      <w:r>
        <w:rPr>
          <w:rFonts w:ascii="Arial" w:cs="Arial" w:eastAsia="Arial" w:hAnsi="Arial"/>
          <w:sz w:val="16"/>
          <w:szCs w:val="16"/>
          <w:color w:val="auto"/>
        </w:rPr>
        <w:t>The non-GAAP net income goal for 2015 reflects the Company’s expected investments and strategic initiatives in the Apartments.com and Apartment Finder businesses, related marketing campaign and acquisition integration costs, as well as the uncertainty and challenges the Company faced in the apartment rentals industry and in connection with implementation of its new business model for this sector. The non-GAAP net income target for 2015 was set at a level the Compensation Committee believed was challenging given the Company’s very recent entry into the apartment rental listings industry, the changes and investments believed to be required to succeed in that sector and the challenges the Company was and is facing in order to succeed. As a result of the investments made in the business and the exceptional performance of our management team, including an improved consumer experience on our apartment rental listings sites, increased brand awareness and successful integration of acquired entities, the Company achieved stronger than expected net new subscription sales, which together with management’s focus on operational efficiency and cost reduction and management initiatives implemented in 2015, resulted in stronger than forecasted earnings results. For 2015 performance, each named executive officer received 200.0% of his target award value. The 2015 Performance-Based Stock Awards were granted on March 11, 2016, and the stock award value earned by each named executive officer is shown in the table below. As these awards were granted in early 2016, the grant date fair values of these awards are not included in the Summary Compensation Table or Grants of Plan-Based Awards Table below, but will be reflected in next year’s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49530</wp:posOffset>
            </wp:positionV>
            <wp:extent cx="7178040" cy="16554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78040" cy="1655445"/>
                    </a:xfrm>
                    <a:prstGeom prst="rect">
                      <a:avLst/>
                    </a:prstGeom>
                    <a:noFill/>
                  </pic:spPr>
                </pic:pic>
              </a:graphicData>
            </a:graphic>
          </wp:anchor>
        </w:drawing>
      </w:r>
    </w:p>
    <w:p>
      <w:pPr>
        <w:spacing w:after="0" w:line="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420" w:type="dxa"/>
            <w:vAlign w:val="bottom"/>
            <w:vMerge w:val="restart"/>
            <w:shd w:val="clear" w:color="auto" w:fill="B8CCE4"/>
          </w:tcPr>
          <w:p>
            <w:pPr>
              <w:ind w:left="180"/>
              <w:spacing w:after="0"/>
              <w:rPr>
                <w:sz w:val="20"/>
                <w:szCs w:val="20"/>
                <w:color w:val="auto"/>
              </w:rPr>
            </w:pPr>
            <w:r>
              <w:rPr>
                <w:rFonts w:ascii="Arial" w:cs="Arial" w:eastAsia="Arial" w:hAnsi="Arial"/>
                <w:sz w:val="18"/>
                <w:szCs w:val="18"/>
                <w:b w:val="1"/>
                <w:bCs w:val="1"/>
                <w:color w:val="auto"/>
              </w:rPr>
              <w:t>Name</w:t>
            </w:r>
          </w:p>
        </w:tc>
        <w:tc>
          <w:tcPr>
            <w:tcW w:w="4200" w:type="dxa"/>
            <w:vAlign w:val="bottom"/>
            <w:vMerge w:val="restart"/>
            <w:shd w:val="clear" w:color="auto" w:fill="B8CCE4"/>
          </w:tcPr>
          <w:p>
            <w:pPr>
              <w:ind w:left="160"/>
              <w:spacing w:after="0"/>
              <w:rPr>
                <w:sz w:val="20"/>
                <w:szCs w:val="20"/>
                <w:color w:val="auto"/>
              </w:rPr>
            </w:pPr>
            <w:r>
              <w:rPr>
                <w:rFonts w:ascii="Arial" w:cs="Arial" w:eastAsia="Arial" w:hAnsi="Arial"/>
                <w:sz w:val="18"/>
                <w:szCs w:val="18"/>
                <w:b w:val="1"/>
                <w:bCs w:val="1"/>
                <w:color w:val="auto"/>
              </w:rPr>
              <w:t>Title</w:t>
            </w:r>
          </w:p>
        </w:tc>
        <w:tc>
          <w:tcPr>
            <w:tcW w:w="2280" w:type="dxa"/>
            <w:vAlign w:val="bottom"/>
            <w:shd w:val="clear" w:color="auto" w:fill="B8CCE4"/>
          </w:tcPr>
          <w:p>
            <w:pPr>
              <w:jc w:val="center"/>
              <w:spacing w:after="0"/>
              <w:rPr>
                <w:sz w:val="20"/>
                <w:szCs w:val="20"/>
                <w:color w:val="auto"/>
              </w:rPr>
            </w:pPr>
            <w:r>
              <w:rPr>
                <w:rFonts w:ascii="Arial" w:cs="Arial" w:eastAsia="Arial" w:hAnsi="Arial"/>
                <w:sz w:val="18"/>
                <w:szCs w:val="18"/>
                <w:b w:val="1"/>
                <w:bCs w:val="1"/>
                <w:color w:val="auto"/>
                <w:w w:val="94"/>
              </w:rPr>
              <w:t>Award Earned</w:t>
            </w:r>
          </w:p>
        </w:tc>
        <w:tc>
          <w:tcPr>
            <w:tcW w:w="2400" w:type="dxa"/>
            <w:vAlign w:val="bottom"/>
            <w:shd w:val="clear" w:color="auto" w:fill="B8CCE4"/>
          </w:tcPr>
          <w:p>
            <w:pPr>
              <w:ind w:left="680"/>
              <w:spacing w:after="0"/>
              <w:rPr>
                <w:sz w:val="20"/>
                <w:szCs w:val="20"/>
                <w:color w:val="auto"/>
              </w:rPr>
            </w:pPr>
            <w:r>
              <w:rPr>
                <w:rFonts w:ascii="Arial" w:cs="Arial" w:eastAsia="Arial" w:hAnsi="Arial"/>
                <w:sz w:val="18"/>
                <w:szCs w:val="18"/>
                <w:b w:val="1"/>
                <w:bCs w:val="1"/>
                <w:color w:val="auto"/>
              </w:rPr>
              <w:t>Actual Award</w:t>
            </w:r>
          </w:p>
        </w:tc>
        <w:tc>
          <w:tcPr>
            <w:tcW w:w="0" w:type="dxa"/>
            <w:vAlign w:val="bottom"/>
          </w:tcPr>
          <w:p>
            <w:pPr>
              <w:spacing w:after="0"/>
              <w:rPr>
                <w:sz w:val="1"/>
                <w:szCs w:val="1"/>
                <w:color w:val="auto"/>
              </w:rPr>
            </w:pPr>
          </w:p>
        </w:tc>
      </w:tr>
      <w:tr>
        <w:trPr>
          <w:trHeight w:val="86"/>
        </w:trPr>
        <w:tc>
          <w:tcPr>
            <w:tcW w:w="2420" w:type="dxa"/>
            <w:vAlign w:val="bottom"/>
            <w:vMerge w:val="continue"/>
            <w:shd w:val="clear" w:color="auto" w:fill="B8CCE4"/>
          </w:tcPr>
          <w:p>
            <w:pPr>
              <w:spacing w:after="0"/>
              <w:rPr>
                <w:sz w:val="7"/>
                <w:szCs w:val="7"/>
                <w:color w:val="auto"/>
              </w:rPr>
            </w:pPr>
          </w:p>
        </w:tc>
        <w:tc>
          <w:tcPr>
            <w:tcW w:w="4200" w:type="dxa"/>
            <w:vAlign w:val="bottom"/>
            <w:vMerge w:val="continue"/>
            <w:shd w:val="clear" w:color="auto" w:fill="B8CCE4"/>
          </w:tcPr>
          <w:p>
            <w:pPr>
              <w:spacing w:after="0"/>
              <w:rPr>
                <w:sz w:val="7"/>
                <w:szCs w:val="7"/>
                <w:color w:val="auto"/>
              </w:rPr>
            </w:pPr>
          </w:p>
        </w:tc>
        <w:tc>
          <w:tcPr>
            <w:tcW w:w="2280" w:type="dxa"/>
            <w:vAlign w:val="bottom"/>
            <w:vMerge w:val="restart"/>
            <w:shd w:val="clear" w:color="auto" w:fill="B8CCE4"/>
          </w:tcPr>
          <w:p>
            <w:pPr>
              <w:jc w:val="center"/>
              <w:spacing w:after="0"/>
              <w:rPr>
                <w:sz w:val="20"/>
                <w:szCs w:val="20"/>
                <w:color w:val="auto"/>
              </w:rPr>
            </w:pPr>
            <w:r>
              <w:rPr>
                <w:rFonts w:ascii="Arial" w:cs="Arial" w:eastAsia="Arial" w:hAnsi="Arial"/>
                <w:sz w:val="18"/>
                <w:szCs w:val="18"/>
                <w:b w:val="1"/>
                <w:bCs w:val="1"/>
                <w:color w:val="auto"/>
                <w:w w:val="93"/>
              </w:rPr>
              <w:t>Value ($)</w:t>
            </w:r>
          </w:p>
        </w:tc>
        <w:tc>
          <w:tcPr>
            <w:tcW w:w="2400" w:type="dxa"/>
            <w:vAlign w:val="bottom"/>
            <w:vMerge w:val="restart"/>
            <w:shd w:val="clear" w:color="auto" w:fill="B8CCE4"/>
          </w:tcPr>
          <w:p>
            <w:pPr>
              <w:ind w:left="660"/>
              <w:spacing w:after="0" w:line="262" w:lineRule="exact"/>
              <w:rPr>
                <w:sz w:val="20"/>
                <w:szCs w:val="20"/>
                <w:color w:val="auto"/>
              </w:rPr>
            </w:pPr>
            <w:r>
              <w:rPr>
                <w:rFonts w:ascii="Arial" w:cs="Arial" w:eastAsia="Arial" w:hAnsi="Arial"/>
                <w:sz w:val="18"/>
                <w:szCs w:val="18"/>
                <w:b w:val="1"/>
                <w:bCs w:val="1"/>
                <w:color w:val="auto"/>
              </w:rPr>
              <w:t>of Shares (#)</w:t>
            </w:r>
            <w:r>
              <w:rPr>
                <w:rFonts w:ascii="Arial" w:cs="Arial" w:eastAsia="Arial" w:hAnsi="Arial"/>
                <w:sz w:val="25"/>
                <w:szCs w:val="25"/>
                <w:b w:val="1"/>
                <w:bCs w:val="1"/>
                <w:color w:val="auto"/>
                <w:vertAlign w:val="superscript"/>
              </w:rPr>
              <w:t>(1)</w:t>
            </w:r>
          </w:p>
        </w:tc>
        <w:tc>
          <w:tcPr>
            <w:tcW w:w="0" w:type="dxa"/>
            <w:vAlign w:val="bottom"/>
          </w:tcPr>
          <w:p>
            <w:pPr>
              <w:spacing w:after="0"/>
              <w:rPr>
                <w:sz w:val="1"/>
                <w:szCs w:val="1"/>
                <w:color w:val="auto"/>
              </w:rPr>
            </w:pPr>
          </w:p>
        </w:tc>
      </w:tr>
      <w:tr>
        <w:trPr>
          <w:trHeight w:val="176"/>
        </w:trPr>
        <w:tc>
          <w:tcPr>
            <w:tcW w:w="2420" w:type="dxa"/>
            <w:vAlign w:val="bottom"/>
            <w:shd w:val="clear" w:color="auto" w:fill="B8CCE4"/>
          </w:tcPr>
          <w:p>
            <w:pPr>
              <w:spacing w:after="0"/>
              <w:rPr>
                <w:sz w:val="15"/>
                <w:szCs w:val="15"/>
                <w:color w:val="auto"/>
              </w:rPr>
            </w:pPr>
          </w:p>
        </w:tc>
        <w:tc>
          <w:tcPr>
            <w:tcW w:w="4200" w:type="dxa"/>
            <w:vAlign w:val="bottom"/>
            <w:shd w:val="clear" w:color="auto" w:fill="B8CCE4"/>
          </w:tcPr>
          <w:p>
            <w:pPr>
              <w:spacing w:after="0"/>
              <w:rPr>
                <w:sz w:val="15"/>
                <w:szCs w:val="15"/>
                <w:color w:val="auto"/>
              </w:rPr>
            </w:pPr>
          </w:p>
        </w:tc>
        <w:tc>
          <w:tcPr>
            <w:tcW w:w="2280" w:type="dxa"/>
            <w:vAlign w:val="bottom"/>
            <w:vMerge w:val="continue"/>
            <w:shd w:val="clear" w:color="auto" w:fill="B8CCE4"/>
          </w:tcPr>
          <w:p>
            <w:pPr>
              <w:spacing w:after="0"/>
              <w:rPr>
                <w:sz w:val="15"/>
                <w:szCs w:val="15"/>
                <w:color w:val="auto"/>
              </w:rPr>
            </w:pPr>
          </w:p>
        </w:tc>
        <w:tc>
          <w:tcPr>
            <w:tcW w:w="2400" w:type="dxa"/>
            <w:vAlign w:val="bottom"/>
            <w:vMerge w:val="continue"/>
            <w:shd w:val="clear" w:color="auto" w:fill="B8CCE4"/>
          </w:tcPr>
          <w:p>
            <w:pPr>
              <w:spacing w:after="0"/>
              <w:rPr>
                <w:sz w:val="15"/>
                <w:szCs w:val="15"/>
                <w:color w:val="auto"/>
              </w:rPr>
            </w:pPr>
          </w:p>
        </w:tc>
        <w:tc>
          <w:tcPr>
            <w:tcW w:w="0" w:type="dxa"/>
            <w:vAlign w:val="bottom"/>
          </w:tcPr>
          <w:p>
            <w:pPr>
              <w:spacing w:after="0"/>
              <w:rPr>
                <w:sz w:val="1"/>
                <w:szCs w:val="1"/>
                <w:color w:val="auto"/>
              </w:rPr>
            </w:pPr>
          </w:p>
        </w:tc>
      </w:tr>
      <w:tr>
        <w:trPr>
          <w:trHeight w:val="305"/>
        </w:trPr>
        <w:tc>
          <w:tcPr>
            <w:tcW w:w="2420" w:type="dxa"/>
            <w:vAlign w:val="bottom"/>
            <w:shd w:val="clear" w:color="auto" w:fill="DBE5F1"/>
          </w:tcPr>
          <w:p>
            <w:pPr>
              <w:ind w:left="180"/>
              <w:spacing w:after="0"/>
              <w:rPr>
                <w:sz w:val="20"/>
                <w:szCs w:val="20"/>
                <w:color w:val="auto"/>
              </w:rPr>
            </w:pPr>
            <w:r>
              <w:rPr>
                <w:rFonts w:ascii="Arial" w:cs="Arial" w:eastAsia="Arial" w:hAnsi="Arial"/>
                <w:sz w:val="16"/>
                <w:szCs w:val="16"/>
                <w:b w:val="1"/>
                <w:bCs w:val="1"/>
                <w:color w:val="auto"/>
              </w:rPr>
              <w:t>Andrew C. Florance</w:t>
            </w:r>
          </w:p>
        </w:tc>
        <w:tc>
          <w:tcPr>
            <w:tcW w:w="4200" w:type="dxa"/>
            <w:vAlign w:val="bottom"/>
            <w:shd w:val="clear" w:color="auto" w:fill="DBE5F1"/>
          </w:tcPr>
          <w:p>
            <w:pPr>
              <w:ind w:left="160"/>
              <w:spacing w:after="0"/>
              <w:rPr>
                <w:sz w:val="20"/>
                <w:szCs w:val="20"/>
                <w:color w:val="auto"/>
              </w:rPr>
            </w:pPr>
            <w:r>
              <w:rPr>
                <w:rFonts w:ascii="Arial" w:cs="Arial" w:eastAsia="Arial" w:hAnsi="Arial"/>
                <w:sz w:val="16"/>
                <w:szCs w:val="16"/>
                <w:color w:val="auto"/>
              </w:rPr>
              <w:t>CEO &amp; President</w:t>
            </w:r>
          </w:p>
        </w:tc>
        <w:tc>
          <w:tcPr>
            <w:tcW w:w="2280" w:type="dxa"/>
            <w:vAlign w:val="bottom"/>
            <w:shd w:val="clear" w:color="auto" w:fill="DBE5F1"/>
          </w:tcPr>
          <w:p>
            <w:pPr>
              <w:jc w:val="center"/>
              <w:spacing w:after="0"/>
              <w:rPr>
                <w:sz w:val="20"/>
                <w:szCs w:val="20"/>
                <w:color w:val="auto"/>
              </w:rPr>
            </w:pPr>
            <w:r>
              <w:rPr>
                <w:rFonts w:ascii="Arial" w:cs="Arial" w:eastAsia="Arial" w:hAnsi="Arial"/>
                <w:sz w:val="16"/>
                <w:szCs w:val="16"/>
                <w:color w:val="auto"/>
                <w:w w:val="92"/>
              </w:rPr>
              <w:t>$3,600,000</w:t>
            </w:r>
          </w:p>
        </w:tc>
        <w:tc>
          <w:tcPr>
            <w:tcW w:w="2400" w:type="dxa"/>
            <w:vAlign w:val="bottom"/>
            <w:shd w:val="clear" w:color="auto" w:fill="DBE5F1"/>
          </w:tcPr>
          <w:p>
            <w:pPr>
              <w:jc w:val="center"/>
              <w:spacing w:after="0"/>
              <w:rPr>
                <w:sz w:val="20"/>
                <w:szCs w:val="20"/>
                <w:color w:val="auto"/>
              </w:rPr>
            </w:pPr>
            <w:r>
              <w:rPr>
                <w:rFonts w:ascii="Arial" w:cs="Arial" w:eastAsia="Arial" w:hAnsi="Arial"/>
                <w:sz w:val="16"/>
                <w:szCs w:val="16"/>
                <w:color w:val="auto"/>
                <w:w w:val="93"/>
              </w:rPr>
              <w:t>18,100</w:t>
            </w:r>
          </w:p>
        </w:tc>
        <w:tc>
          <w:tcPr>
            <w:tcW w:w="0" w:type="dxa"/>
            <w:vAlign w:val="bottom"/>
          </w:tcPr>
          <w:p>
            <w:pPr>
              <w:spacing w:after="0"/>
              <w:rPr>
                <w:sz w:val="1"/>
                <w:szCs w:val="1"/>
                <w:color w:val="auto"/>
              </w:rPr>
            </w:pPr>
          </w:p>
        </w:tc>
      </w:tr>
      <w:tr>
        <w:trPr>
          <w:trHeight w:val="493"/>
        </w:trPr>
        <w:tc>
          <w:tcPr>
            <w:tcW w:w="2420" w:type="dxa"/>
            <w:vAlign w:val="bottom"/>
            <w:shd w:val="clear" w:color="auto" w:fill="DBE5F1"/>
          </w:tcPr>
          <w:p>
            <w:pPr>
              <w:ind w:left="220"/>
              <w:spacing w:after="0"/>
              <w:rPr>
                <w:sz w:val="20"/>
                <w:szCs w:val="20"/>
                <w:color w:val="auto"/>
              </w:rPr>
            </w:pPr>
            <w:r>
              <w:rPr>
                <w:rFonts w:ascii="Arial" w:cs="Arial" w:eastAsia="Arial" w:hAnsi="Arial"/>
                <w:sz w:val="16"/>
                <w:szCs w:val="16"/>
                <w:b w:val="1"/>
                <w:bCs w:val="1"/>
                <w:color w:val="auto"/>
              </w:rPr>
              <w:t>Brian J. Radecki</w:t>
            </w:r>
            <w:r>
              <w:rPr>
                <w:rFonts w:ascii="Arial" w:cs="Arial" w:eastAsia="Arial" w:hAnsi="Arial"/>
                <w:sz w:val="21"/>
                <w:szCs w:val="21"/>
                <w:b w:val="1"/>
                <w:bCs w:val="1"/>
                <w:color w:val="auto"/>
                <w:vertAlign w:val="superscript"/>
              </w:rPr>
              <w:t>(2)</w:t>
            </w:r>
          </w:p>
        </w:tc>
        <w:tc>
          <w:tcPr>
            <w:tcW w:w="4200" w:type="dxa"/>
            <w:vAlign w:val="bottom"/>
            <w:shd w:val="clear" w:color="auto" w:fill="DBE5F1"/>
          </w:tcPr>
          <w:p>
            <w:pPr>
              <w:ind w:left="160"/>
              <w:spacing w:after="0"/>
              <w:rPr>
                <w:sz w:val="20"/>
                <w:szCs w:val="20"/>
                <w:color w:val="auto"/>
              </w:rPr>
            </w:pPr>
            <w:r>
              <w:rPr>
                <w:rFonts w:ascii="Arial" w:cs="Arial" w:eastAsia="Arial" w:hAnsi="Arial"/>
                <w:sz w:val="16"/>
                <w:szCs w:val="16"/>
                <w:color w:val="auto"/>
              </w:rPr>
              <w:t>Former CFO</w:t>
            </w:r>
          </w:p>
        </w:tc>
        <w:tc>
          <w:tcPr>
            <w:tcW w:w="2280" w:type="dxa"/>
            <w:vAlign w:val="bottom"/>
            <w:shd w:val="clear" w:color="auto" w:fill="DBE5F1"/>
          </w:tcPr>
          <w:p>
            <w:pPr>
              <w:jc w:val="center"/>
              <w:spacing w:after="0"/>
              <w:rPr>
                <w:sz w:val="20"/>
                <w:szCs w:val="20"/>
                <w:color w:val="auto"/>
              </w:rPr>
            </w:pPr>
            <w:r>
              <w:rPr>
                <w:rFonts w:ascii="Arial" w:cs="Arial" w:eastAsia="Arial" w:hAnsi="Arial"/>
                <w:sz w:val="14"/>
                <w:szCs w:val="14"/>
                <w:color w:val="auto"/>
                <w:w w:val="99"/>
              </w:rPr>
              <w:t>—</w:t>
            </w:r>
          </w:p>
        </w:tc>
        <w:tc>
          <w:tcPr>
            <w:tcW w:w="2400" w:type="dxa"/>
            <w:vAlign w:val="bottom"/>
            <w:shd w:val="clear" w:color="auto" w:fill="DBE5F1"/>
          </w:tcPr>
          <w:p>
            <w:pPr>
              <w:jc w:val="center"/>
              <w:spacing w:after="0"/>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419"/>
        </w:trPr>
        <w:tc>
          <w:tcPr>
            <w:tcW w:w="2420" w:type="dxa"/>
            <w:vAlign w:val="bottom"/>
            <w:shd w:val="clear" w:color="auto" w:fill="DBE5F1"/>
          </w:tcPr>
          <w:p>
            <w:pPr>
              <w:ind w:left="220"/>
              <w:spacing w:after="0"/>
              <w:rPr>
                <w:sz w:val="20"/>
                <w:szCs w:val="20"/>
                <w:color w:val="auto"/>
              </w:rPr>
            </w:pPr>
            <w:r>
              <w:rPr>
                <w:rFonts w:ascii="Arial" w:cs="Arial" w:eastAsia="Arial" w:hAnsi="Arial"/>
                <w:sz w:val="16"/>
                <w:szCs w:val="16"/>
                <w:b w:val="1"/>
                <w:bCs w:val="1"/>
                <w:color w:val="auto"/>
              </w:rPr>
              <w:t>Scott L. Yinger</w:t>
            </w:r>
            <w:r>
              <w:rPr>
                <w:rFonts w:ascii="Arial" w:cs="Arial" w:eastAsia="Arial" w:hAnsi="Arial"/>
                <w:sz w:val="21"/>
                <w:szCs w:val="21"/>
                <w:b w:val="1"/>
                <w:bCs w:val="1"/>
                <w:color w:val="auto"/>
                <w:vertAlign w:val="superscript"/>
              </w:rPr>
              <w:t>(3)</w:t>
            </w:r>
          </w:p>
        </w:tc>
        <w:tc>
          <w:tcPr>
            <w:tcW w:w="4200" w:type="dxa"/>
            <w:vAlign w:val="bottom"/>
            <w:shd w:val="clear" w:color="auto" w:fill="DBE5F1"/>
          </w:tcPr>
          <w:p>
            <w:pPr>
              <w:ind w:left="160"/>
              <w:spacing w:after="0"/>
              <w:rPr>
                <w:sz w:val="20"/>
                <w:szCs w:val="20"/>
                <w:color w:val="auto"/>
              </w:rPr>
            </w:pPr>
            <w:r>
              <w:rPr>
                <w:rFonts w:ascii="Arial" w:cs="Arial" w:eastAsia="Arial" w:hAnsi="Arial"/>
                <w:sz w:val="16"/>
                <w:szCs w:val="16"/>
                <w:color w:val="auto"/>
              </w:rPr>
              <w:t>Interim CFO</w:t>
            </w:r>
          </w:p>
        </w:tc>
        <w:tc>
          <w:tcPr>
            <w:tcW w:w="2280" w:type="dxa"/>
            <w:vAlign w:val="bottom"/>
            <w:shd w:val="clear" w:color="auto" w:fill="DBE5F1"/>
          </w:tcPr>
          <w:p>
            <w:pPr>
              <w:jc w:val="center"/>
              <w:spacing w:after="0"/>
              <w:rPr>
                <w:sz w:val="20"/>
                <w:szCs w:val="20"/>
                <w:color w:val="auto"/>
              </w:rPr>
            </w:pPr>
            <w:r>
              <w:rPr>
                <w:rFonts w:ascii="Arial" w:cs="Arial" w:eastAsia="Arial" w:hAnsi="Arial"/>
                <w:sz w:val="14"/>
                <w:szCs w:val="14"/>
                <w:color w:val="auto"/>
                <w:w w:val="99"/>
              </w:rPr>
              <w:t>—</w:t>
            </w:r>
          </w:p>
        </w:tc>
        <w:tc>
          <w:tcPr>
            <w:tcW w:w="2400" w:type="dxa"/>
            <w:vAlign w:val="bottom"/>
            <w:shd w:val="clear" w:color="auto" w:fill="DBE5F1"/>
          </w:tcPr>
          <w:p>
            <w:pPr>
              <w:jc w:val="center"/>
              <w:spacing w:after="0"/>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344"/>
        </w:trPr>
        <w:tc>
          <w:tcPr>
            <w:tcW w:w="2420" w:type="dxa"/>
            <w:vAlign w:val="bottom"/>
            <w:shd w:val="clear" w:color="auto" w:fill="DBE5F1"/>
          </w:tcPr>
          <w:p>
            <w:pPr>
              <w:ind w:left="180"/>
              <w:spacing w:after="0"/>
              <w:rPr>
                <w:sz w:val="20"/>
                <w:szCs w:val="20"/>
                <w:color w:val="auto"/>
              </w:rPr>
            </w:pPr>
            <w:r>
              <w:rPr>
                <w:rFonts w:ascii="Arial" w:cs="Arial" w:eastAsia="Arial" w:hAnsi="Arial"/>
                <w:sz w:val="16"/>
                <w:szCs w:val="16"/>
                <w:b w:val="1"/>
                <w:bCs w:val="1"/>
                <w:color w:val="auto"/>
              </w:rPr>
              <w:t>Francis A. Carchedi</w:t>
            </w:r>
          </w:p>
        </w:tc>
        <w:tc>
          <w:tcPr>
            <w:tcW w:w="4200" w:type="dxa"/>
            <w:vAlign w:val="bottom"/>
            <w:shd w:val="clear" w:color="auto" w:fill="DBE5F1"/>
          </w:tcPr>
          <w:p>
            <w:pPr>
              <w:ind w:left="160"/>
              <w:spacing w:after="0"/>
              <w:rPr>
                <w:sz w:val="20"/>
                <w:szCs w:val="20"/>
                <w:color w:val="auto"/>
              </w:rPr>
            </w:pPr>
            <w:r>
              <w:rPr>
                <w:rFonts w:ascii="Arial" w:cs="Arial" w:eastAsia="Arial" w:hAnsi="Arial"/>
                <w:sz w:val="16"/>
                <w:szCs w:val="16"/>
                <w:color w:val="auto"/>
              </w:rPr>
              <w:t>Exec. Vice President, Corp. Development</w:t>
            </w:r>
          </w:p>
        </w:tc>
        <w:tc>
          <w:tcPr>
            <w:tcW w:w="2280" w:type="dxa"/>
            <w:vAlign w:val="bottom"/>
            <w:shd w:val="clear" w:color="auto" w:fill="DBE5F1"/>
          </w:tcPr>
          <w:p>
            <w:pPr>
              <w:jc w:val="center"/>
              <w:spacing w:after="0"/>
              <w:rPr>
                <w:sz w:val="20"/>
                <w:szCs w:val="20"/>
                <w:color w:val="auto"/>
              </w:rPr>
            </w:pPr>
            <w:r>
              <w:rPr>
                <w:rFonts w:ascii="Arial" w:cs="Arial" w:eastAsia="Arial" w:hAnsi="Arial"/>
                <w:sz w:val="16"/>
                <w:szCs w:val="16"/>
                <w:color w:val="auto"/>
                <w:w w:val="92"/>
              </w:rPr>
              <w:t>$800,000</w:t>
            </w:r>
          </w:p>
        </w:tc>
        <w:tc>
          <w:tcPr>
            <w:tcW w:w="2400" w:type="dxa"/>
            <w:vAlign w:val="bottom"/>
            <w:shd w:val="clear" w:color="auto" w:fill="DBE5F1"/>
          </w:tcPr>
          <w:p>
            <w:pPr>
              <w:jc w:val="center"/>
              <w:spacing w:after="0"/>
              <w:rPr>
                <w:sz w:val="20"/>
                <w:szCs w:val="20"/>
                <w:color w:val="auto"/>
              </w:rPr>
            </w:pPr>
            <w:r>
              <w:rPr>
                <w:rFonts w:ascii="Arial" w:cs="Arial" w:eastAsia="Arial" w:hAnsi="Arial"/>
                <w:sz w:val="16"/>
                <w:szCs w:val="16"/>
                <w:color w:val="auto"/>
                <w:w w:val="94"/>
              </w:rPr>
              <w:t>4,100</w:t>
            </w:r>
          </w:p>
        </w:tc>
        <w:tc>
          <w:tcPr>
            <w:tcW w:w="0" w:type="dxa"/>
            <w:vAlign w:val="bottom"/>
          </w:tcPr>
          <w:p>
            <w:pPr>
              <w:spacing w:after="0"/>
              <w:rPr>
                <w:sz w:val="1"/>
                <w:szCs w:val="1"/>
                <w:color w:val="auto"/>
              </w:rPr>
            </w:pPr>
          </w:p>
        </w:tc>
      </w:tr>
      <w:tr>
        <w:trPr>
          <w:trHeight w:val="419"/>
        </w:trPr>
        <w:tc>
          <w:tcPr>
            <w:tcW w:w="2420" w:type="dxa"/>
            <w:vAlign w:val="bottom"/>
            <w:shd w:val="clear" w:color="auto" w:fill="DBE5F1"/>
          </w:tcPr>
          <w:p>
            <w:pPr>
              <w:ind w:left="180"/>
              <w:spacing w:after="0"/>
              <w:rPr>
                <w:sz w:val="20"/>
                <w:szCs w:val="20"/>
                <w:color w:val="auto"/>
              </w:rPr>
            </w:pPr>
            <w:r>
              <w:rPr>
                <w:rFonts w:ascii="Arial" w:cs="Arial" w:eastAsia="Arial" w:hAnsi="Arial"/>
                <w:sz w:val="16"/>
                <w:szCs w:val="16"/>
                <w:b w:val="1"/>
                <w:bCs w:val="1"/>
                <w:color w:val="auto"/>
              </w:rPr>
              <w:t>Matthew F. W. Linnington</w:t>
            </w:r>
          </w:p>
        </w:tc>
        <w:tc>
          <w:tcPr>
            <w:tcW w:w="4200" w:type="dxa"/>
            <w:vAlign w:val="bottom"/>
            <w:shd w:val="clear" w:color="auto" w:fill="DBE5F1"/>
          </w:tcPr>
          <w:p>
            <w:pPr>
              <w:ind w:left="160"/>
              <w:spacing w:after="0"/>
              <w:rPr>
                <w:sz w:val="20"/>
                <w:szCs w:val="20"/>
                <w:color w:val="auto"/>
              </w:rPr>
            </w:pPr>
            <w:r>
              <w:rPr>
                <w:rFonts w:ascii="Arial" w:cs="Arial" w:eastAsia="Arial" w:hAnsi="Arial"/>
                <w:sz w:val="16"/>
                <w:szCs w:val="16"/>
                <w:color w:val="auto"/>
              </w:rPr>
              <w:t>Exec. Vice President, Sales</w:t>
            </w:r>
          </w:p>
        </w:tc>
        <w:tc>
          <w:tcPr>
            <w:tcW w:w="2280" w:type="dxa"/>
            <w:vAlign w:val="bottom"/>
            <w:shd w:val="clear" w:color="auto" w:fill="DBE5F1"/>
          </w:tcPr>
          <w:p>
            <w:pPr>
              <w:jc w:val="center"/>
              <w:spacing w:after="0"/>
              <w:rPr>
                <w:sz w:val="20"/>
                <w:szCs w:val="20"/>
                <w:color w:val="auto"/>
              </w:rPr>
            </w:pPr>
            <w:r>
              <w:rPr>
                <w:rFonts w:ascii="Arial" w:cs="Arial" w:eastAsia="Arial" w:hAnsi="Arial"/>
                <w:sz w:val="16"/>
                <w:szCs w:val="16"/>
                <w:color w:val="auto"/>
                <w:w w:val="92"/>
              </w:rPr>
              <w:t>$880,000</w:t>
            </w:r>
          </w:p>
        </w:tc>
        <w:tc>
          <w:tcPr>
            <w:tcW w:w="2400" w:type="dxa"/>
            <w:vAlign w:val="bottom"/>
            <w:shd w:val="clear" w:color="auto" w:fill="DBE5F1"/>
          </w:tcPr>
          <w:p>
            <w:pPr>
              <w:jc w:val="center"/>
              <w:spacing w:after="0"/>
              <w:rPr>
                <w:sz w:val="20"/>
                <w:szCs w:val="20"/>
                <w:color w:val="auto"/>
              </w:rPr>
            </w:pPr>
            <w:r>
              <w:rPr>
                <w:rFonts w:ascii="Arial" w:cs="Arial" w:eastAsia="Arial" w:hAnsi="Arial"/>
                <w:sz w:val="16"/>
                <w:szCs w:val="16"/>
                <w:color w:val="auto"/>
                <w:w w:val="94"/>
              </w:rPr>
              <w:t>4,500</w:t>
            </w:r>
          </w:p>
        </w:tc>
        <w:tc>
          <w:tcPr>
            <w:tcW w:w="0" w:type="dxa"/>
            <w:vAlign w:val="bottom"/>
          </w:tcPr>
          <w:p>
            <w:pPr>
              <w:spacing w:after="0"/>
              <w:rPr>
                <w:sz w:val="1"/>
                <w:szCs w:val="1"/>
                <w:color w:val="auto"/>
              </w:rPr>
            </w:pPr>
          </w:p>
        </w:tc>
      </w:tr>
      <w:tr>
        <w:trPr>
          <w:trHeight w:val="114"/>
        </w:trPr>
        <w:tc>
          <w:tcPr>
            <w:tcW w:w="2420" w:type="dxa"/>
            <w:vAlign w:val="bottom"/>
            <w:shd w:val="clear" w:color="auto" w:fill="DBE5F1"/>
          </w:tcPr>
          <w:p>
            <w:pPr>
              <w:spacing w:after="0"/>
              <w:rPr>
                <w:sz w:val="9"/>
                <w:szCs w:val="9"/>
                <w:color w:val="auto"/>
              </w:rPr>
            </w:pPr>
          </w:p>
        </w:tc>
        <w:tc>
          <w:tcPr>
            <w:tcW w:w="4200" w:type="dxa"/>
            <w:vAlign w:val="bottom"/>
            <w:shd w:val="clear" w:color="auto" w:fill="DBE5F1"/>
          </w:tcPr>
          <w:p>
            <w:pPr>
              <w:spacing w:after="0"/>
              <w:rPr>
                <w:sz w:val="9"/>
                <w:szCs w:val="9"/>
                <w:color w:val="auto"/>
              </w:rPr>
            </w:pPr>
          </w:p>
        </w:tc>
        <w:tc>
          <w:tcPr>
            <w:tcW w:w="2280" w:type="dxa"/>
            <w:vAlign w:val="bottom"/>
            <w:shd w:val="clear" w:color="auto" w:fill="DBE5F1"/>
          </w:tcPr>
          <w:p>
            <w:pPr>
              <w:spacing w:after="0"/>
              <w:rPr>
                <w:sz w:val="9"/>
                <w:szCs w:val="9"/>
                <w:color w:val="auto"/>
              </w:rPr>
            </w:pPr>
          </w:p>
        </w:tc>
        <w:tc>
          <w:tcPr>
            <w:tcW w:w="2400" w:type="dxa"/>
            <w:vAlign w:val="bottom"/>
            <w:shd w:val="clear" w:color="auto" w:fill="DBE5F1"/>
          </w:tcPr>
          <w:p>
            <w:pPr>
              <w:spacing w:after="0"/>
              <w:rPr>
                <w:sz w:val="9"/>
                <w:szCs w:val="9"/>
                <w:color w:val="auto"/>
              </w:rPr>
            </w:pPr>
          </w:p>
        </w:tc>
        <w:tc>
          <w:tcPr>
            <w:tcW w:w="0" w:type="dxa"/>
            <w:vAlign w:val="bottom"/>
          </w:tcPr>
          <w:p>
            <w:pPr>
              <w:spacing w:after="0"/>
              <w:rPr>
                <w:sz w:val="1"/>
                <w:szCs w:val="1"/>
                <w:color w:val="auto"/>
              </w:rPr>
            </w:pPr>
          </w:p>
        </w:tc>
      </w:tr>
    </w:tbl>
    <w:p>
      <w:pPr>
        <w:spacing w:after="0"/>
        <w:rPr>
          <w:sz w:val="20"/>
          <w:szCs w:val="20"/>
          <w:color w:val="auto"/>
        </w:rPr>
      </w:pPr>
      <w:r>
        <w:rPr>
          <w:rFonts w:ascii="Arial" w:cs="Arial" w:eastAsia="Arial" w:hAnsi="Arial"/>
          <w:sz w:val="14"/>
          <w:szCs w:val="14"/>
          <w:color w:val="auto"/>
        </w:rPr>
        <w:t>_____________</w:t>
      </w:r>
    </w:p>
    <w:p>
      <w:pPr>
        <w:spacing w:after="0" w:line="16" w:lineRule="exact"/>
        <w:rPr>
          <w:sz w:val="20"/>
          <w:szCs w:val="20"/>
          <w:color w:val="auto"/>
        </w:rPr>
      </w:pPr>
    </w:p>
    <w:p>
      <w:pPr>
        <w:ind w:left="340" w:hanging="318"/>
        <w:spacing w:after="0" w:line="248" w:lineRule="auto"/>
        <w:tabs>
          <w:tab w:leader="none" w:pos="340" w:val="left"/>
        </w:tabs>
        <w:numPr>
          <w:ilvl w:val="0"/>
          <w:numId w:val="47"/>
        </w:numPr>
        <w:rPr>
          <w:rFonts w:ascii="Arial" w:cs="Arial" w:eastAsia="Arial" w:hAnsi="Arial"/>
          <w:sz w:val="16"/>
          <w:szCs w:val="16"/>
          <w:color w:val="auto"/>
        </w:rPr>
      </w:pPr>
      <w:r>
        <w:rPr>
          <w:rFonts w:ascii="Arial" w:cs="Arial" w:eastAsia="Arial" w:hAnsi="Arial"/>
          <w:sz w:val="16"/>
          <w:szCs w:val="16"/>
          <w:color w:val="auto"/>
        </w:rPr>
        <w:t>The number of shares granted is determined by dividing the earned award value by the fourth quarter 2015 average daily price ($199.01), rounded up to the nearest 100 shares.</w:t>
      </w:r>
    </w:p>
    <w:p>
      <w:pPr>
        <w:ind w:left="340" w:hanging="318"/>
        <w:spacing w:after="0"/>
        <w:tabs>
          <w:tab w:leader="none" w:pos="340" w:val="left"/>
        </w:tabs>
        <w:numPr>
          <w:ilvl w:val="0"/>
          <w:numId w:val="47"/>
        </w:numPr>
        <w:rPr>
          <w:rFonts w:ascii="Arial" w:cs="Arial" w:eastAsia="Arial" w:hAnsi="Arial"/>
          <w:sz w:val="16"/>
          <w:szCs w:val="16"/>
          <w:color w:val="auto"/>
        </w:rPr>
      </w:pPr>
      <w:r>
        <w:rPr>
          <w:rFonts w:ascii="Arial" w:cs="Arial" w:eastAsia="Arial" w:hAnsi="Arial"/>
          <w:sz w:val="16"/>
          <w:szCs w:val="16"/>
          <w:color w:val="auto"/>
        </w:rPr>
        <w:t>Mr. Radecki resigned as Chief Financial Officer in 2015, and therefore was not eligible for the equity grants awarded in March 2016.</w:t>
      </w:r>
    </w:p>
    <w:p>
      <w:pPr>
        <w:spacing w:after="0" w:line="5" w:lineRule="exact"/>
        <w:rPr>
          <w:rFonts w:ascii="Arial" w:cs="Arial" w:eastAsia="Arial" w:hAnsi="Arial"/>
          <w:sz w:val="16"/>
          <w:szCs w:val="16"/>
          <w:color w:val="auto"/>
        </w:rPr>
      </w:pPr>
    </w:p>
    <w:p>
      <w:pPr>
        <w:ind w:left="340" w:hanging="318"/>
        <w:spacing w:after="0"/>
        <w:tabs>
          <w:tab w:leader="none" w:pos="340" w:val="left"/>
        </w:tabs>
        <w:numPr>
          <w:ilvl w:val="0"/>
          <w:numId w:val="47"/>
        </w:numPr>
        <w:rPr>
          <w:rFonts w:ascii="Arial" w:cs="Arial" w:eastAsia="Arial" w:hAnsi="Arial"/>
          <w:sz w:val="16"/>
          <w:szCs w:val="16"/>
          <w:color w:val="auto"/>
        </w:rPr>
      </w:pPr>
      <w:r>
        <w:rPr>
          <w:rFonts w:ascii="Arial" w:cs="Arial" w:eastAsia="Arial" w:hAnsi="Arial"/>
          <w:sz w:val="16"/>
          <w:szCs w:val="16"/>
          <w:color w:val="auto"/>
        </w:rPr>
        <w:t>Mr. Yinger was not an executive officer in March 2016, and therefore was not eligible for the equity grants awarded at that time.</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420"/>
          </w:cols>
          <w:pgMar w:left="240" w:top="360" w:right="239" w:bottom="1440" w:gutter="0" w:footer="0" w:header="0"/>
        </w:sectPr>
      </w:pPr>
    </w:p>
    <w:bookmarkStart w:id="71" w:name="page72"/>
    <w:bookmarkEnd w:id="71"/>
    <w:p>
      <w:pPr>
        <w:spacing w:after="0"/>
        <w:rPr>
          <w:sz w:val="20"/>
          <w:szCs w:val="20"/>
          <w:color w:val="auto"/>
        </w:rPr>
      </w:pPr>
      <w:r>
        <w:rPr>
          <w:rFonts w:ascii="Arial" w:cs="Arial" w:eastAsia="Arial" w:hAnsi="Arial"/>
          <w:sz w:val="25"/>
          <w:szCs w:val="25"/>
          <w:b w:val="1"/>
          <w:bCs w:val="1"/>
          <w:color w:val="FFFFFF"/>
        </w:rPr>
        <w:t>SION PROCESS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106680</wp:posOffset>
            </wp:positionV>
            <wp:extent cx="7246620" cy="22288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46620" cy="222885"/>
                    </a:xfrm>
                    <a:prstGeom prst="rect">
                      <a:avLst/>
                    </a:prstGeom>
                    <a:noFill/>
                  </pic:spPr>
                </pic:pic>
              </a:graphicData>
            </a:graphic>
          </wp:anchor>
        </w:drawing>
      </w:r>
    </w:p>
    <w:p>
      <w:pPr>
        <w:spacing w:after="0" w:line="152" w:lineRule="exact"/>
        <w:rPr>
          <w:sz w:val="20"/>
          <w:szCs w:val="20"/>
          <w:color w:val="auto"/>
        </w:rPr>
      </w:pPr>
    </w:p>
    <w:p>
      <w:pPr>
        <w:ind w:left="40"/>
        <w:spacing w:after="0"/>
        <w:rPr>
          <w:sz w:val="20"/>
          <w:szCs w:val="20"/>
          <w:color w:val="auto"/>
        </w:rPr>
      </w:pPr>
      <w:r>
        <w:rPr>
          <w:rFonts w:ascii="Arial" w:cs="Arial" w:eastAsia="Arial" w:hAnsi="Arial"/>
          <w:sz w:val="25"/>
          <w:szCs w:val="25"/>
          <w:b w:val="1"/>
          <w:bCs w:val="1"/>
          <w:color w:val="FFFFFF"/>
        </w:rPr>
        <w:t>COMPENSATION DECISION PROCESS</w:t>
      </w:r>
    </w:p>
    <w:p>
      <w:pPr>
        <w:spacing w:after="0" w:line="23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COMPENSATION COMMITTEE</w:t>
      </w:r>
    </w:p>
    <w:p>
      <w:pPr>
        <w:spacing w:after="0"/>
        <w:rPr>
          <w:sz w:val="20"/>
          <w:szCs w:val="20"/>
          <w:color w:val="auto"/>
        </w:rPr>
      </w:pPr>
      <w:r>
        <w:rPr>
          <w:rFonts w:ascii="Arial" w:cs="Arial" w:eastAsia="Arial" w:hAnsi="Arial"/>
          <w:sz w:val="18"/>
          <w:szCs w:val="18"/>
          <w:b w:val="1"/>
          <w:bCs w:val="1"/>
          <w:color w:val="5978A5"/>
        </w:rPr>
        <w:t>Composed entirely of independent directors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color w:val="auto"/>
        </w:rPr>
        <w:t>The Compensation Committee operates under a written charter approved by the Board. The Compensation Committee:</w:t>
      </w:r>
    </w:p>
    <w:p>
      <w:pPr>
        <w:spacing w:after="0" w:line="225" w:lineRule="exact"/>
        <w:rPr>
          <w:sz w:val="20"/>
          <w:szCs w:val="20"/>
          <w:color w:val="auto"/>
        </w:rPr>
      </w:pPr>
    </w:p>
    <w:p>
      <w:pPr>
        <w:ind w:left="420" w:right="20" w:hanging="250"/>
        <w:spacing w:after="0" w:line="258" w:lineRule="auto"/>
        <w:tabs>
          <w:tab w:leader="none" w:pos="420" w:val="left"/>
        </w:tabs>
        <w:numPr>
          <w:ilvl w:val="0"/>
          <w:numId w:val="48"/>
        </w:numPr>
        <w:rPr>
          <w:rFonts w:ascii="Arial" w:cs="Arial" w:eastAsia="Arial" w:hAnsi="Arial"/>
          <w:sz w:val="18"/>
          <w:szCs w:val="18"/>
          <w:color w:val="auto"/>
        </w:rPr>
      </w:pPr>
      <w:r>
        <w:rPr>
          <w:rFonts w:ascii="Arial" w:cs="Arial" w:eastAsia="Arial" w:hAnsi="Arial"/>
          <w:sz w:val="18"/>
          <w:szCs w:val="18"/>
          <w:color w:val="auto"/>
        </w:rPr>
        <w:t>Oversees the Company’s compensation structure, policies and programs for executive officers and assesses whether the compensation structure establishes appropriate incentives for the executive officers;</w:t>
      </w:r>
    </w:p>
    <w:p>
      <w:pPr>
        <w:spacing w:after="0" w:line="1" w:lineRule="exact"/>
        <w:rPr>
          <w:rFonts w:ascii="Arial" w:cs="Arial" w:eastAsia="Arial" w:hAnsi="Arial"/>
          <w:sz w:val="18"/>
          <w:szCs w:val="18"/>
          <w:color w:val="auto"/>
        </w:rPr>
      </w:pPr>
    </w:p>
    <w:p>
      <w:pPr>
        <w:ind w:left="420" w:hanging="250"/>
        <w:spacing w:after="0"/>
        <w:tabs>
          <w:tab w:leader="none" w:pos="420" w:val="left"/>
        </w:tabs>
        <w:numPr>
          <w:ilvl w:val="0"/>
          <w:numId w:val="48"/>
        </w:numPr>
        <w:rPr>
          <w:rFonts w:ascii="Arial" w:cs="Arial" w:eastAsia="Arial" w:hAnsi="Arial"/>
          <w:sz w:val="18"/>
          <w:szCs w:val="18"/>
          <w:color w:val="auto"/>
        </w:rPr>
      </w:pPr>
      <w:r>
        <w:rPr>
          <w:rFonts w:ascii="Arial" w:cs="Arial" w:eastAsia="Arial" w:hAnsi="Arial"/>
          <w:sz w:val="18"/>
          <w:szCs w:val="18"/>
          <w:color w:val="auto"/>
        </w:rPr>
        <w:t>Annually reviews and approves corporate goals and objectives relevant to CEO’s and other executive officers’ compensation;</w:t>
      </w:r>
    </w:p>
    <w:p>
      <w:pPr>
        <w:spacing w:after="0" w:line="9" w:lineRule="exact"/>
        <w:rPr>
          <w:rFonts w:ascii="Arial" w:cs="Arial" w:eastAsia="Arial" w:hAnsi="Arial"/>
          <w:sz w:val="18"/>
          <w:szCs w:val="18"/>
          <w:color w:val="auto"/>
        </w:rPr>
      </w:pPr>
    </w:p>
    <w:p>
      <w:pPr>
        <w:ind w:left="420" w:hanging="250"/>
        <w:spacing w:after="0" w:line="250" w:lineRule="auto"/>
        <w:tabs>
          <w:tab w:leader="none" w:pos="420" w:val="left"/>
        </w:tabs>
        <w:numPr>
          <w:ilvl w:val="0"/>
          <w:numId w:val="48"/>
        </w:numPr>
        <w:rPr>
          <w:rFonts w:ascii="Arial" w:cs="Arial" w:eastAsia="Arial" w:hAnsi="Arial"/>
          <w:sz w:val="18"/>
          <w:szCs w:val="18"/>
          <w:color w:val="auto"/>
        </w:rPr>
      </w:pPr>
      <w:r>
        <w:rPr>
          <w:rFonts w:ascii="Arial" w:cs="Arial" w:eastAsia="Arial" w:hAnsi="Arial"/>
          <w:sz w:val="18"/>
          <w:szCs w:val="18"/>
          <w:color w:val="auto"/>
        </w:rPr>
        <w:t>Determines and sets compensation levels based on the Compensation Committee’s evaluation and, with respect to the other executives, the recommendations of the CEO;</w:t>
      </w:r>
    </w:p>
    <w:p>
      <w:pPr>
        <w:ind w:left="420" w:hanging="250"/>
        <w:spacing w:after="0"/>
        <w:tabs>
          <w:tab w:leader="none" w:pos="420" w:val="left"/>
        </w:tabs>
        <w:numPr>
          <w:ilvl w:val="0"/>
          <w:numId w:val="48"/>
        </w:numPr>
        <w:rPr>
          <w:rFonts w:ascii="Arial" w:cs="Arial" w:eastAsia="Arial" w:hAnsi="Arial"/>
          <w:sz w:val="18"/>
          <w:szCs w:val="18"/>
          <w:color w:val="auto"/>
        </w:rPr>
      </w:pPr>
      <w:r>
        <w:rPr>
          <w:rFonts w:ascii="Arial" w:cs="Arial" w:eastAsia="Arial" w:hAnsi="Arial"/>
          <w:sz w:val="18"/>
          <w:szCs w:val="18"/>
          <w:color w:val="auto"/>
        </w:rPr>
        <w:t>Approves stock options and other stock incentive awards for executive officers;</w:t>
      </w:r>
    </w:p>
    <w:p>
      <w:pPr>
        <w:spacing w:after="0" w:line="9" w:lineRule="exact"/>
        <w:rPr>
          <w:rFonts w:ascii="Arial" w:cs="Arial" w:eastAsia="Arial" w:hAnsi="Arial"/>
          <w:sz w:val="18"/>
          <w:szCs w:val="18"/>
          <w:color w:val="auto"/>
        </w:rPr>
      </w:pPr>
    </w:p>
    <w:p>
      <w:pPr>
        <w:ind w:left="420" w:hanging="250"/>
        <w:spacing w:after="0"/>
        <w:tabs>
          <w:tab w:leader="none" w:pos="420" w:val="left"/>
        </w:tabs>
        <w:numPr>
          <w:ilvl w:val="0"/>
          <w:numId w:val="48"/>
        </w:numPr>
        <w:rPr>
          <w:rFonts w:ascii="Arial" w:cs="Arial" w:eastAsia="Arial" w:hAnsi="Arial"/>
          <w:sz w:val="18"/>
          <w:szCs w:val="18"/>
          <w:color w:val="auto"/>
        </w:rPr>
      </w:pPr>
      <w:r>
        <w:rPr>
          <w:rFonts w:ascii="Arial" w:cs="Arial" w:eastAsia="Arial" w:hAnsi="Arial"/>
          <w:sz w:val="18"/>
          <w:szCs w:val="18"/>
          <w:color w:val="auto"/>
        </w:rPr>
        <w:t>Reviews and approves the design of benefit plans pertaining to executive officers;</w:t>
      </w:r>
    </w:p>
    <w:p>
      <w:pPr>
        <w:spacing w:after="0" w:line="9" w:lineRule="exact"/>
        <w:rPr>
          <w:rFonts w:ascii="Arial" w:cs="Arial" w:eastAsia="Arial" w:hAnsi="Arial"/>
          <w:sz w:val="18"/>
          <w:szCs w:val="18"/>
          <w:color w:val="auto"/>
        </w:rPr>
      </w:pPr>
    </w:p>
    <w:p>
      <w:pPr>
        <w:ind w:left="420" w:hanging="250"/>
        <w:spacing w:after="0"/>
        <w:tabs>
          <w:tab w:leader="none" w:pos="420" w:val="left"/>
        </w:tabs>
        <w:numPr>
          <w:ilvl w:val="0"/>
          <w:numId w:val="48"/>
        </w:numPr>
        <w:rPr>
          <w:rFonts w:ascii="Arial" w:cs="Arial" w:eastAsia="Arial" w:hAnsi="Arial"/>
          <w:sz w:val="18"/>
          <w:szCs w:val="18"/>
          <w:color w:val="auto"/>
        </w:rPr>
      </w:pPr>
      <w:r>
        <w:rPr>
          <w:rFonts w:ascii="Arial" w:cs="Arial" w:eastAsia="Arial" w:hAnsi="Arial"/>
          <w:sz w:val="18"/>
          <w:szCs w:val="18"/>
          <w:color w:val="auto"/>
        </w:rPr>
        <w:t>Reviews and recommends employment agreements for executive officers;</w:t>
      </w:r>
    </w:p>
    <w:p>
      <w:pPr>
        <w:spacing w:after="0" w:line="9" w:lineRule="exact"/>
        <w:rPr>
          <w:rFonts w:ascii="Arial" w:cs="Arial" w:eastAsia="Arial" w:hAnsi="Arial"/>
          <w:sz w:val="18"/>
          <w:szCs w:val="18"/>
          <w:color w:val="auto"/>
        </w:rPr>
      </w:pPr>
    </w:p>
    <w:p>
      <w:pPr>
        <w:ind w:left="420" w:hanging="250"/>
        <w:spacing w:after="0"/>
        <w:tabs>
          <w:tab w:leader="none" w:pos="420" w:val="left"/>
        </w:tabs>
        <w:numPr>
          <w:ilvl w:val="0"/>
          <w:numId w:val="48"/>
        </w:numPr>
        <w:rPr>
          <w:rFonts w:ascii="Arial" w:cs="Arial" w:eastAsia="Arial" w:hAnsi="Arial"/>
          <w:sz w:val="18"/>
          <w:szCs w:val="18"/>
          <w:color w:val="auto"/>
        </w:rPr>
      </w:pPr>
      <w:r>
        <w:rPr>
          <w:rFonts w:ascii="Arial" w:cs="Arial" w:eastAsia="Arial" w:hAnsi="Arial"/>
          <w:sz w:val="18"/>
          <w:szCs w:val="18"/>
          <w:color w:val="auto"/>
        </w:rPr>
        <w:t>Approves, amends or modifies the terms of any compensation or benefit plan that does not require stockholder approval;</w:t>
      </w:r>
    </w:p>
    <w:p>
      <w:pPr>
        <w:spacing w:after="0" w:line="9" w:lineRule="exact"/>
        <w:rPr>
          <w:rFonts w:ascii="Arial" w:cs="Arial" w:eastAsia="Arial" w:hAnsi="Arial"/>
          <w:sz w:val="18"/>
          <w:szCs w:val="18"/>
          <w:color w:val="auto"/>
        </w:rPr>
      </w:pPr>
    </w:p>
    <w:p>
      <w:pPr>
        <w:ind w:left="420" w:hanging="250"/>
        <w:spacing w:after="0"/>
        <w:tabs>
          <w:tab w:leader="none" w:pos="420" w:val="left"/>
        </w:tabs>
        <w:numPr>
          <w:ilvl w:val="0"/>
          <w:numId w:val="48"/>
        </w:numPr>
        <w:rPr>
          <w:rFonts w:ascii="Arial" w:cs="Arial" w:eastAsia="Arial" w:hAnsi="Arial"/>
          <w:sz w:val="17"/>
          <w:szCs w:val="17"/>
          <w:color w:val="auto"/>
        </w:rPr>
      </w:pPr>
      <w:r>
        <w:rPr>
          <w:rFonts w:ascii="Arial" w:cs="Arial" w:eastAsia="Arial" w:hAnsi="Arial"/>
          <w:sz w:val="17"/>
          <w:szCs w:val="17"/>
          <w:color w:val="auto"/>
        </w:rPr>
        <w:t>Reviews the compensation of Directors for service on the Board and its committees and recommends changes in compensation to the Board; and</w:t>
      </w:r>
    </w:p>
    <w:p>
      <w:pPr>
        <w:spacing w:after="0" w:line="20" w:lineRule="exact"/>
        <w:rPr>
          <w:rFonts w:ascii="Arial" w:cs="Arial" w:eastAsia="Arial" w:hAnsi="Arial"/>
          <w:sz w:val="17"/>
          <w:szCs w:val="17"/>
          <w:color w:val="auto"/>
        </w:rPr>
      </w:pPr>
    </w:p>
    <w:p>
      <w:pPr>
        <w:ind w:left="420" w:right="20" w:hanging="250"/>
        <w:spacing w:after="0" w:line="261" w:lineRule="auto"/>
        <w:tabs>
          <w:tab w:leader="none" w:pos="420" w:val="left"/>
        </w:tabs>
        <w:numPr>
          <w:ilvl w:val="0"/>
          <w:numId w:val="48"/>
        </w:numPr>
        <w:rPr>
          <w:rFonts w:ascii="Arial" w:cs="Arial" w:eastAsia="Arial" w:hAnsi="Arial"/>
          <w:sz w:val="18"/>
          <w:szCs w:val="18"/>
          <w:color w:val="auto"/>
        </w:rPr>
      </w:pPr>
      <w:r>
        <w:rPr>
          <w:rFonts w:ascii="Arial" w:cs="Arial" w:eastAsia="Arial" w:hAnsi="Arial"/>
          <w:sz w:val="18"/>
          <w:szCs w:val="18"/>
          <w:color w:val="auto"/>
        </w:rPr>
        <w:t>Reviews and discusses with management the Company’s compensation discussion and analysis and related disclosures required to be included in the Company’s annual report and proxy statement.</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5978A5"/>
        </w:rPr>
        <w:t>READ THE BOARD COMMITTEES’ CHARTERS</w:t>
      </w:r>
    </w:p>
    <w:p>
      <w:pPr>
        <w:spacing w:after="0" w:line="27" w:lineRule="exact"/>
        <w:rPr>
          <w:sz w:val="20"/>
          <w:szCs w:val="20"/>
          <w:color w:val="auto"/>
        </w:rPr>
      </w:pPr>
    </w:p>
    <w:p>
      <w:pPr>
        <w:ind w:left="660"/>
        <w:spacing w:after="0" w:line="276" w:lineRule="auto"/>
        <w:rPr>
          <w:sz w:val="20"/>
          <w:szCs w:val="20"/>
          <w:color w:val="auto"/>
        </w:rPr>
      </w:pPr>
      <w:r>
        <w:rPr>
          <w:rFonts w:ascii="Arial" w:cs="Arial" w:eastAsia="Arial" w:hAnsi="Arial"/>
          <w:sz w:val="18"/>
          <w:szCs w:val="18"/>
          <w:color w:val="auto"/>
        </w:rPr>
        <w:t xml:space="preserve">All of the charters for the Company’s Board committees are available in the “Investors” section of the Company’s website at </w:t>
      </w:r>
      <w:r>
        <w:rPr>
          <w:rFonts w:ascii="Arial" w:cs="Arial" w:eastAsia="Arial" w:hAnsi="Arial"/>
          <w:sz w:val="18"/>
          <w:szCs w:val="18"/>
          <w:b w:val="1"/>
          <w:bCs w:val="1"/>
          <w:color w:val="auto"/>
        </w:rPr>
        <w:t>www.costargroup.com/investors/governance.</w:t>
      </w:r>
    </w:p>
    <w:p>
      <w:pPr>
        <w:spacing w:after="0" w:line="17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addition, the Board has designated the Compensation Committee as the Administrator of the Company’s 1998 Stock Incentive Plan, as amended (the “1998 Plan”), the Company’s 2007 Stock Incentive Plan, as amended (the “2007 Plan”), the Company’s 2011 Cash Incentive Plan, the Company’s 2016 Stock Incentive Plan, and the Company’s 2016 Cash Incentive Plan. The Compensation Committee may delegate its duties or responsibilities to a subcommittee of the Compensation Committee, and it has authority to retain and to direct management to retain outside advisors and experts that it determines appropriate to assist with performance of its functions.</w:t>
      </w:r>
    </w:p>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For additional information about the Committee’s authority and its ability to delegate its authority, see the section of this Proxy Statement titled “Additional Information—Board Meetings and Committees—Compensation Committee.”</w:t>
      </w:r>
    </w:p>
    <w:p>
      <w:pPr>
        <w:spacing w:after="0" w:line="33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INDEPENDENT COMPENSATION CONSULTANT</w:t>
      </w:r>
    </w:p>
    <w:p>
      <w:pPr>
        <w:spacing w:after="0"/>
        <w:rPr>
          <w:sz w:val="20"/>
          <w:szCs w:val="20"/>
          <w:color w:val="auto"/>
        </w:rPr>
      </w:pPr>
      <w:r>
        <w:rPr>
          <w:rFonts w:ascii="Arial" w:cs="Arial" w:eastAsia="Arial" w:hAnsi="Arial"/>
          <w:sz w:val="18"/>
          <w:szCs w:val="18"/>
          <w:b w:val="1"/>
          <w:bCs w:val="1"/>
          <w:color w:val="5978A5"/>
        </w:rPr>
        <w:t>Willis Towers Watson</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color w:val="auto"/>
        </w:rPr>
        <w:t>In 2015, Willis Towers Watson:</w:t>
      </w:r>
    </w:p>
    <w:p>
      <w:pPr>
        <w:spacing w:after="0" w:line="225" w:lineRule="exact"/>
        <w:rPr>
          <w:sz w:val="20"/>
          <w:szCs w:val="20"/>
          <w:color w:val="auto"/>
        </w:rPr>
      </w:pPr>
    </w:p>
    <w:p>
      <w:pPr>
        <w:ind w:left="660" w:hanging="328"/>
        <w:spacing w:after="0"/>
        <w:tabs>
          <w:tab w:leader="none" w:pos="6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Updated the Company’s peer group;</w:t>
      </w:r>
    </w:p>
    <w:p>
      <w:pPr>
        <w:spacing w:after="0" w:line="23"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Provided the Compensation Committee with a compensation analysis with respect to the competitiveness of the Company’s executive compensation programs; and</w:t>
      </w:r>
    </w:p>
    <w:p>
      <w:pPr>
        <w:ind w:left="660" w:hanging="328"/>
        <w:spacing w:after="0" w:line="261" w:lineRule="auto"/>
        <w:tabs>
          <w:tab w:leader="none" w:pos="6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Conducted a market study of executive compensation practices to ensure that the Company’s compensation programs are reasonable and competitive.</w:t>
      </w:r>
    </w:p>
    <w:p>
      <w:pPr>
        <w:spacing w:after="0" w:line="179"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b w:val="1"/>
          <w:bCs w:val="1"/>
          <w:color w:val="5978A5"/>
        </w:rPr>
        <w:t>ABOUT WILLIS TOWERS WATSON</w:t>
      </w:r>
    </w:p>
    <w:p>
      <w:pPr>
        <w:spacing w:after="0" w:line="40"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6"/>
          <w:szCs w:val="16"/>
          <w:color w:val="auto"/>
        </w:rPr>
        <w:t>Willis Towers Watson is engaged by and reports to the Compensation Committee, and occasionally meets with management to discuss compensation</w:t>
      </w:r>
    </w:p>
    <w:p>
      <w:pPr>
        <w:spacing w:after="0" w:line="86" w:lineRule="exact"/>
        <w:rPr>
          <w:rFonts w:ascii="Arial" w:cs="Arial" w:eastAsia="Arial" w:hAnsi="Arial"/>
          <w:sz w:val="18"/>
          <w:szCs w:val="18"/>
          <w:color w:val="auto"/>
        </w:rPr>
      </w:pPr>
    </w:p>
    <w:p>
      <w:pPr>
        <w:ind w:left="660"/>
        <w:spacing w:after="0" w:line="324" w:lineRule="auto"/>
        <w:rPr>
          <w:rFonts w:ascii="Arial" w:cs="Arial" w:eastAsia="Arial" w:hAnsi="Arial"/>
          <w:sz w:val="18"/>
          <w:szCs w:val="18"/>
          <w:color w:val="auto"/>
        </w:rPr>
      </w:pPr>
      <w:r>
        <w:rPr>
          <w:rFonts w:ascii="Arial" w:cs="Arial" w:eastAsia="Arial" w:hAnsi="Arial"/>
          <w:sz w:val="18"/>
          <w:szCs w:val="18"/>
          <w:color w:val="auto"/>
        </w:rPr>
        <w:t>initiatives and issues. The Compensation Committee determined that Willis Towers Watson’s work as the Compensation Committee’s compensation consultant does not present any conflicts of interest.</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420"/>
          </w:cols>
          <w:pgMar w:left="240" w:top="360" w:right="239" w:bottom="1440" w:gutter="0" w:footer="0" w:header="0"/>
        </w:sectPr>
      </w:pPr>
    </w:p>
    <w:bookmarkStart w:id="72" w:name="page73"/>
    <w:bookmarkEnd w:id="72"/>
    <w:p>
      <w:pPr>
        <w:spacing w:after="0"/>
        <w:rPr>
          <w:sz w:val="20"/>
          <w:szCs w:val="20"/>
          <w:color w:val="auto"/>
        </w:rPr>
      </w:pPr>
      <w:r>
        <w:rPr>
          <w:rFonts w:ascii="Arial" w:cs="Arial" w:eastAsia="Arial" w:hAnsi="Arial"/>
          <w:sz w:val="20"/>
          <w:szCs w:val="20"/>
          <w:b w:val="1"/>
          <w:bCs w:val="1"/>
          <w:color w:val="auto"/>
        </w:rPr>
        <w:t>MANAGEMENT</w:t>
      </w:r>
    </w:p>
    <w:p>
      <w:pPr>
        <w:spacing w:after="0" w:line="211" w:lineRule="exact"/>
        <w:rPr>
          <w:sz w:val="20"/>
          <w:szCs w:val="20"/>
          <w:color w:val="auto"/>
        </w:rPr>
      </w:pPr>
    </w:p>
    <w:p>
      <w:pPr>
        <w:ind w:left="660" w:hanging="328"/>
        <w:spacing w:after="0" w:line="258" w:lineRule="auto"/>
        <w:tabs>
          <w:tab w:leader="none" w:pos="6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Supports the Compensation Committee by making recommendations and providing analyses and meets with Willis Towers Watson to discuss compensation initiatives and competitive practices;</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Chief Executive Officer is responsible for conducting an annual performance evaluation of each of the NEOs; and</w:t>
      </w:r>
    </w:p>
    <w:p>
      <w:pPr>
        <w:spacing w:after="0" w:line="9" w:lineRule="exact"/>
        <w:rPr>
          <w:rFonts w:ascii="Arial" w:cs="Arial" w:eastAsia="Arial" w:hAnsi="Arial"/>
          <w:sz w:val="18"/>
          <w:szCs w:val="18"/>
          <w:color w:val="auto"/>
        </w:rPr>
      </w:pPr>
    </w:p>
    <w:p>
      <w:pPr>
        <w:ind w:left="660" w:hanging="328"/>
        <w:spacing w:after="0" w:line="261" w:lineRule="auto"/>
        <w:tabs>
          <w:tab w:leader="none" w:pos="6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Based on performance and competitive benchmarking reports, the CEO makes recommendations to the Compensation Committee for the compensation of the other NEOs.</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420"/>
          </w:cols>
          <w:pgMar w:left="240" w:top="562" w:right="239" w:bottom="1440" w:gutter="0" w:footer="0" w:header="0"/>
        </w:sectPr>
      </w:pPr>
    </w:p>
    <w:bookmarkStart w:id="73" w:name="page74"/>
    <w:bookmarkEnd w:id="73"/>
    <w:p>
      <w:pPr>
        <w:ind w:left="40"/>
        <w:spacing w:after="0"/>
        <w:rPr>
          <w:sz w:val="20"/>
          <w:szCs w:val="20"/>
          <w:color w:val="auto"/>
        </w:rPr>
      </w:pPr>
      <w:r>
        <w:rPr>
          <w:rFonts w:ascii="Arial" w:cs="Arial" w:eastAsia="Arial" w:hAnsi="Arial"/>
          <w:sz w:val="25"/>
          <w:szCs w:val="25"/>
          <w:b w:val="1"/>
          <w:bCs w:val="1"/>
          <w:color w:val="FFFFFF"/>
        </w:rPr>
        <w:drawing>
          <wp:anchor simplePos="0" relativeHeight="251657728" behindDoc="1" locked="0" layoutInCell="0" allowOverlap="1">
            <wp:simplePos x="0" y="0"/>
            <wp:positionH relativeFrom="page">
              <wp:posOffset>157480</wp:posOffset>
            </wp:positionH>
            <wp:positionV relativeFrom="page">
              <wp:posOffset>757555</wp:posOffset>
            </wp:positionV>
            <wp:extent cx="7246620" cy="22288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46620" cy="222885"/>
                    </a:xfrm>
                    <a:prstGeom prst="rect">
                      <a:avLst/>
                    </a:prstGeom>
                    <a:noFill/>
                  </pic:spPr>
                </pic:pic>
              </a:graphicData>
            </a:graphic>
          </wp:anchor>
        </w:drawing>
        <w:t>OTHER COMPENSATION POLICIES AND PRACTICES</w:t>
      </w:r>
    </w:p>
    <w:p>
      <w:pPr>
        <w:spacing w:after="0" w:line="41" w:lineRule="exact"/>
        <w:rPr>
          <w:sz w:val="20"/>
          <w:szCs w:val="20"/>
          <w:color w:val="auto"/>
        </w:rPr>
      </w:pPr>
    </w:p>
    <w:p>
      <w:pPr>
        <w:spacing w:after="0"/>
        <w:rPr>
          <w:sz w:val="20"/>
          <w:szCs w:val="20"/>
          <w:color w:val="auto"/>
        </w:rPr>
      </w:pPr>
      <w:r>
        <w:rPr>
          <w:rFonts w:ascii="Arial" w:cs="Arial" w:eastAsia="Arial" w:hAnsi="Arial"/>
          <w:sz w:val="25"/>
          <w:szCs w:val="25"/>
          <w:b w:val="1"/>
          <w:bCs w:val="1"/>
          <w:color w:val="FFFFFF"/>
        </w:rPr>
        <w:t>OTHER COMPENSATION POLICIES AND PRACTICES</w:t>
      </w:r>
    </w:p>
    <w:p>
      <w:pPr>
        <w:spacing w:after="0" w:line="5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EXECUTIVE STOCK OWNERSHIP POLICY</w:t>
      </w:r>
    </w:p>
    <w:p>
      <w:pPr>
        <w:spacing w:after="0" w:line="13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 believes that its executive officers should have a significant financial stake in the Company. To better align the interests of our executive officers with those of our stockholders, the Compensation Committee adopted an Executive Stock Ownership Policy. Executive officers are expected to own shares of the Company’s common stock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73025</wp:posOffset>
            </wp:positionV>
            <wp:extent cx="7254875" cy="83185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54875" cy="831850"/>
                    </a:xfrm>
                    <a:prstGeom prst="rect">
                      <a:avLst/>
                    </a:prstGeom>
                    <a:noFill/>
                  </pic:spPr>
                </pic:pic>
              </a:graphicData>
            </a:graphic>
          </wp:anchor>
        </w:drawing>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324"/>
        </w:trPr>
        <w:tc>
          <w:tcPr>
            <w:tcW w:w="3200" w:type="dxa"/>
            <w:vAlign w:val="bottom"/>
            <w:shd w:val="clear" w:color="auto" w:fill="B8CCE4"/>
          </w:tcPr>
          <w:p>
            <w:pPr>
              <w:ind w:left="180"/>
              <w:spacing w:after="0"/>
              <w:rPr>
                <w:sz w:val="20"/>
                <w:szCs w:val="20"/>
                <w:color w:val="auto"/>
              </w:rPr>
            </w:pPr>
            <w:r>
              <w:rPr>
                <w:rFonts w:ascii="Arial" w:cs="Arial" w:eastAsia="Arial" w:hAnsi="Arial"/>
                <w:sz w:val="18"/>
                <w:szCs w:val="18"/>
                <w:b w:val="1"/>
                <w:bCs w:val="1"/>
                <w:color w:val="auto"/>
              </w:rPr>
              <w:t>Name</w:t>
            </w:r>
          </w:p>
        </w:tc>
        <w:tc>
          <w:tcPr>
            <w:tcW w:w="8220" w:type="dxa"/>
            <w:vAlign w:val="bottom"/>
            <w:shd w:val="clear" w:color="auto" w:fill="B8CCE4"/>
          </w:tcPr>
          <w:p>
            <w:pPr>
              <w:ind w:left="3860"/>
              <w:spacing w:after="0"/>
              <w:rPr>
                <w:sz w:val="20"/>
                <w:szCs w:val="20"/>
                <w:color w:val="auto"/>
              </w:rPr>
            </w:pPr>
            <w:r>
              <w:rPr>
                <w:rFonts w:ascii="Arial" w:cs="Arial" w:eastAsia="Arial" w:hAnsi="Arial"/>
                <w:sz w:val="18"/>
                <w:szCs w:val="18"/>
                <w:b w:val="1"/>
                <w:bCs w:val="1"/>
                <w:color w:val="auto"/>
              </w:rPr>
              <w:t>Shares</w:t>
            </w:r>
          </w:p>
        </w:tc>
      </w:tr>
      <w:tr>
        <w:trPr>
          <w:trHeight w:val="108"/>
        </w:trPr>
        <w:tc>
          <w:tcPr>
            <w:tcW w:w="3200" w:type="dxa"/>
            <w:vAlign w:val="bottom"/>
            <w:shd w:val="clear" w:color="auto" w:fill="B8CCE4"/>
          </w:tcPr>
          <w:p>
            <w:pPr>
              <w:spacing w:after="0"/>
              <w:rPr>
                <w:sz w:val="9"/>
                <w:szCs w:val="9"/>
                <w:color w:val="auto"/>
              </w:rPr>
            </w:pPr>
          </w:p>
        </w:tc>
        <w:tc>
          <w:tcPr>
            <w:tcW w:w="8220" w:type="dxa"/>
            <w:vAlign w:val="bottom"/>
            <w:shd w:val="clear" w:color="auto" w:fill="B8CCE4"/>
          </w:tcPr>
          <w:p>
            <w:pPr>
              <w:spacing w:after="0"/>
              <w:rPr>
                <w:sz w:val="9"/>
                <w:szCs w:val="9"/>
                <w:color w:val="auto"/>
              </w:rPr>
            </w:pPr>
          </w:p>
        </w:tc>
      </w:tr>
      <w:tr>
        <w:trPr>
          <w:trHeight w:val="324"/>
        </w:trPr>
        <w:tc>
          <w:tcPr>
            <w:tcW w:w="3200" w:type="dxa"/>
            <w:vAlign w:val="bottom"/>
            <w:shd w:val="clear" w:color="auto" w:fill="DBE5F1"/>
          </w:tcPr>
          <w:p>
            <w:pPr>
              <w:ind w:left="180"/>
              <w:spacing w:after="0"/>
              <w:rPr>
                <w:sz w:val="20"/>
                <w:szCs w:val="20"/>
                <w:color w:val="auto"/>
              </w:rPr>
            </w:pPr>
            <w:r>
              <w:rPr>
                <w:rFonts w:ascii="Arial" w:cs="Arial" w:eastAsia="Arial" w:hAnsi="Arial"/>
                <w:sz w:val="18"/>
                <w:szCs w:val="18"/>
                <w:b w:val="1"/>
                <w:bCs w:val="1"/>
                <w:color w:val="auto"/>
              </w:rPr>
              <w:t>CEO &amp; President</w:t>
            </w:r>
          </w:p>
        </w:tc>
        <w:tc>
          <w:tcPr>
            <w:tcW w:w="8220" w:type="dxa"/>
            <w:vAlign w:val="bottom"/>
            <w:shd w:val="clear" w:color="auto" w:fill="DBE5F1"/>
          </w:tcPr>
          <w:p>
            <w:pPr>
              <w:ind w:left="140"/>
              <w:spacing w:after="0"/>
              <w:rPr>
                <w:sz w:val="20"/>
                <w:szCs w:val="20"/>
                <w:color w:val="auto"/>
              </w:rPr>
            </w:pPr>
            <w:r>
              <w:rPr>
                <w:rFonts w:ascii="Arial" w:cs="Arial" w:eastAsia="Arial" w:hAnsi="Arial"/>
                <w:sz w:val="18"/>
                <w:szCs w:val="18"/>
                <w:color w:val="auto"/>
              </w:rPr>
              <w:t>Required to own shares with a value equal to 6x annual base salary</w:t>
            </w:r>
          </w:p>
        </w:tc>
      </w:tr>
      <w:tr>
        <w:trPr>
          <w:trHeight w:val="432"/>
        </w:trPr>
        <w:tc>
          <w:tcPr>
            <w:tcW w:w="3200" w:type="dxa"/>
            <w:vAlign w:val="bottom"/>
            <w:shd w:val="clear" w:color="auto" w:fill="DBE5F1"/>
          </w:tcPr>
          <w:p>
            <w:pPr>
              <w:ind w:left="180"/>
              <w:spacing w:after="0"/>
              <w:rPr>
                <w:sz w:val="20"/>
                <w:szCs w:val="20"/>
                <w:color w:val="auto"/>
              </w:rPr>
            </w:pPr>
            <w:r>
              <w:rPr>
                <w:rFonts w:ascii="Arial" w:cs="Arial" w:eastAsia="Arial" w:hAnsi="Arial"/>
                <w:sz w:val="18"/>
                <w:szCs w:val="18"/>
                <w:b w:val="1"/>
                <w:bCs w:val="1"/>
                <w:color w:val="auto"/>
              </w:rPr>
              <w:t>Other Executive Officers</w:t>
            </w:r>
          </w:p>
        </w:tc>
        <w:tc>
          <w:tcPr>
            <w:tcW w:w="8220" w:type="dxa"/>
            <w:vAlign w:val="bottom"/>
            <w:shd w:val="clear" w:color="auto" w:fill="DBE5F1"/>
          </w:tcPr>
          <w:p>
            <w:pPr>
              <w:ind w:left="140"/>
              <w:spacing w:after="0"/>
              <w:rPr>
                <w:sz w:val="20"/>
                <w:szCs w:val="20"/>
                <w:color w:val="auto"/>
              </w:rPr>
            </w:pPr>
            <w:r>
              <w:rPr>
                <w:rFonts w:ascii="Arial" w:cs="Arial" w:eastAsia="Arial" w:hAnsi="Arial"/>
                <w:sz w:val="18"/>
                <w:szCs w:val="18"/>
                <w:color w:val="auto"/>
              </w:rPr>
              <w:t>Required to own shares with a value equal to 2x annual base salary</w:t>
            </w:r>
          </w:p>
        </w:tc>
      </w:tr>
      <w:tr>
        <w:trPr>
          <w:trHeight w:val="108"/>
        </w:trPr>
        <w:tc>
          <w:tcPr>
            <w:tcW w:w="3200" w:type="dxa"/>
            <w:vAlign w:val="bottom"/>
            <w:shd w:val="clear" w:color="auto" w:fill="DBE5F1"/>
          </w:tcPr>
          <w:p>
            <w:pPr>
              <w:spacing w:after="0"/>
              <w:rPr>
                <w:sz w:val="9"/>
                <w:szCs w:val="9"/>
                <w:color w:val="auto"/>
              </w:rPr>
            </w:pPr>
          </w:p>
        </w:tc>
        <w:tc>
          <w:tcPr>
            <w:tcW w:w="8220" w:type="dxa"/>
            <w:vAlign w:val="bottom"/>
            <w:shd w:val="clear" w:color="auto" w:fill="DBE5F1"/>
          </w:tcPr>
          <w:p>
            <w:pPr>
              <w:spacing w:after="0"/>
              <w:rPr>
                <w:sz w:val="9"/>
                <w:szCs w:val="9"/>
                <w:color w:val="auto"/>
              </w:rPr>
            </w:pPr>
          </w:p>
        </w:tc>
      </w:tr>
    </w:tbl>
    <w:p>
      <w:pPr>
        <w:spacing w:after="0" w:line="200" w:lineRule="exact"/>
        <w:rPr>
          <w:sz w:val="20"/>
          <w:szCs w:val="20"/>
          <w:color w:val="auto"/>
        </w:rPr>
      </w:pPr>
    </w:p>
    <w:p>
      <w:pPr>
        <w:spacing w:after="0" w:line="23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Shares subject to unvested or unexercised equity awards are not considered owned by the executive for purposes of the policy. The current executive officers have until December 31, 2019 to meet the ownership requirements.</w:t>
      </w:r>
    </w:p>
    <w:p>
      <w:pPr>
        <w:spacing w:after="0" w:line="16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EQUITY GRANT PRACTICES</w:t>
      </w:r>
    </w:p>
    <w:p>
      <w:pPr>
        <w:spacing w:after="0" w:line="238"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Company does not have any program, plan or practice to time equity awards in coordination with the release of material non-public information, nor does the Company time the release of material nonpublic information for the purpose of affecting the value of executive compensation.</w:t>
      </w:r>
    </w:p>
    <w:p>
      <w:pPr>
        <w:spacing w:after="0" w:line="13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RECOUPMENT (OR “CLAWBACK”) POLICY</w:t>
      </w:r>
    </w:p>
    <w:p>
      <w:pPr>
        <w:spacing w:after="0" w:line="26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Compensation Committee has approved a recoupment (“clawback”) policy. In the event of a restatement due to material non-compliance with financial reporting requirements, the Board is required to review cash incentive payments to executive officers and all performance-based equity awards issued to executive officers during the three years prior to the date the Company determines the restatement is required. If the Board determines that the payments or grants would have been lower had they been determined or calculated based on the restated results, the Board will, to the extent permitted by governing law, seek to recoup for the benefit of the Company the value of such payments made to executive officers whom the Board determines engaged in willful misconduct or gross negligence.</w:t>
      </w:r>
    </w:p>
    <w:p>
      <w:pPr>
        <w:spacing w:after="0" w:line="18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ANTI-HEDGING POLICIES</w:t>
      </w:r>
    </w:p>
    <w:p>
      <w:pPr>
        <w:spacing w:after="0" w:line="23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Pursuant to the Company’s insider trading policy, the Company does not permit directors, officers or other employees to engage in speculative or short-term financial activities involving the Company’s stock or derivatives based on the Company’s securities without the consent of the Company’s compliance officer. In addition, the Company does not generally allow any such activities or other hedging activities by its executive officers or directors absent an extraordinary circumstance.</w:t>
      </w:r>
    </w:p>
    <w:p>
      <w:pPr>
        <w:spacing w:after="0" w:line="17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TERMINATION AND CHANGE OF CONTROL PAYMENTS</w:t>
      </w:r>
    </w:p>
    <w:p>
      <w:pPr>
        <w:spacing w:after="0" w:line="22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Except for Mr. Florance, who has termination provisions in his employment agreement, Mr. Linnington, who has a severance provision in his employment terms providing for severance in the event of his termination by the Company without cause, and Mr. Wheeler, who has a severance provision in his employment terms providing for severance in the event he terminates for good reason or is terminated by the Company without cause, the Company is not obligated to provide significant severance or termination payments to named executive officers. The Company has a Company-wide severance plan that provides payments that do not discriminate in scope, terms or operation in favor of executive officers of the Company and that are available generally to all salaried employees, including the named executive officers. Pursuant to the Company’s severance policy, in recognition of their service to the Company, full-time staff</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420"/>
          </w:cols>
          <w:pgMar w:left="240" w:top="1197" w:right="239" w:bottom="1440" w:gutter="0" w:footer="0" w:header="0"/>
        </w:sectPr>
      </w:pPr>
    </w:p>
    <w:bookmarkStart w:id="74" w:name="page75"/>
    <w:bookmarkEnd w:id="74"/>
    <w:p>
      <w:pPr>
        <w:jc w:val="both"/>
        <w:spacing w:after="0" w:line="257" w:lineRule="auto"/>
        <w:rPr>
          <w:sz w:val="20"/>
          <w:szCs w:val="20"/>
          <w:color w:val="auto"/>
        </w:rPr>
      </w:pPr>
      <w:r>
        <w:rPr>
          <w:rFonts w:ascii="Arial" w:cs="Arial" w:eastAsia="Arial" w:hAnsi="Arial"/>
          <w:sz w:val="18"/>
          <w:szCs w:val="18"/>
          <w:color w:val="auto"/>
        </w:rPr>
        <w:t>who are part of a position reduction may receive severance pay equal to two weeks current base pay for the first year or less of employment, plus one week current base pay for each completed additional year of continuous service (up to a 16-week maximum payout) in exchange for a full release of claims. All Company employees are employed at will and, unless specified otherwise by an employment agreement, CoStar is not liable to pay severance but has chosen to adopt this severance policy to apply only in limited circumstances. The Company may choose to pay severance outside of the severance policy in its sole discretion and may amend, alter or discontinue the severance policy at any time.</w:t>
      </w:r>
    </w:p>
    <w:p>
      <w:pPr>
        <w:spacing w:after="0" w:line="188"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Similarly, except for Mr. Florance, who negotiated change of control provisions in his employment agreement, the Company does not provide significant cash payments to named executive officers upon a change of control or other similar significant corporate event. However, in order to protect the rights granted under the Company’s 1998, 2007 and 2016 stock incentive plans, the form of grant agreement provides for acceleration of vesting of stock and option grants and rights to exercise stock options upon certain significant events, including a change of control, liquidation or dissolution of the Company or the sale or disposition of all or substantially all of the Company’s assets (except in the event that the awards are assumed or substitute grants are awarded pursuant to the terms of the grant). Those rights do not discriminate in scope, terms or operation in favor of named executive officers of the Company and are available generally to all employees who participate in those plans, including the named executive officers.</w:t>
      </w:r>
    </w:p>
    <w:p>
      <w:pPr>
        <w:spacing w:after="0" w:line="17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Details of the potential termination payments for Messrs. Florance and Linnington, of the rights triggered under the 1998 and 2007 stock incentive plans in the case of a significant corporate event and potential payments under the Company-wide severance policy are set out below in the section titled “Potential Payments Upon Termination or Change of Control” in this Proxy Statement.</w:t>
      </w:r>
    </w:p>
    <w:p>
      <w:pPr>
        <w:spacing w:after="0" w:line="17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POLICY ON DEDUCTIBILITY OF COMPENSATION</w:t>
      </w:r>
    </w:p>
    <w:p>
      <w:pPr>
        <w:spacing w:after="0" w:line="238"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Section 162(m) of the Internal Revenue Code disallows the deduction of compensation paid by a public company to its Chief Executive Officer and each of the other three most highly compensated executive officers (not including the Company’s Chief Financial Officer) that exceeds $1 million. Compensation that is considered “performance-based” is excluded from the $1 million limit if, among other requirements, the compensation is payable only upon attainment of pre-established, objective performance goals under a plan approved by the stockholders. The CoStar Group, Inc. 2007 Stock Incentive Plan, as amended, and the CoStar Group, Inc. 2016 Stock Incentive Plan have been structured so that stock options, stock appreciation rights and certain restricted stock and restricted stock unit awards may qualify as “performance-based” compensation under Section 162(m). In addition, bonuses payable under the CoStar Group, Inc. 2011 Incentive Bonus Plan and the CoStar Group, Inc. 2016 Cash Incentive Plan are intended to qualify as “performance-based” compensation under Section 162(m). The rules and regulations promulgated under Section 162(m) are complicated, however, and subject to change from time to time, sometimes with retroactive effect. In addition, a number of requirements must be met in order for particular compensation to so qualify. As such, there can be no assurance that any compensation awarded or paid by the Company will be fully deductible under all circumstances. Furthermore, while the Committee may consider tax deductibility as one of the factors in determining executive compensation, to retain maximum flexibility in designing compensation programs that meet the Committee’s stated objectives, the Committee may not necessarily limit or structure compensation so that it is deductible under Section 162(m).</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420"/>
          </w:cols>
          <w:pgMar w:left="240" w:top="368" w:right="239" w:bottom="1440" w:gutter="0" w:footer="0" w:header="0"/>
        </w:sectPr>
      </w:pPr>
    </w:p>
    <w:bookmarkStart w:id="75" w:name="page76"/>
    <w:bookmarkEnd w:id="75"/>
    <w:p>
      <w:pPr>
        <w:ind w:left="40"/>
        <w:spacing w:after="0"/>
        <w:rPr>
          <w:sz w:val="20"/>
          <w:szCs w:val="20"/>
          <w:color w:val="auto"/>
        </w:rPr>
      </w:pPr>
      <w:r>
        <w:rPr>
          <w:rFonts w:ascii="Arial" w:cs="Arial" w:eastAsia="Arial" w:hAnsi="Arial"/>
          <w:sz w:val="25"/>
          <w:szCs w:val="25"/>
          <w:b w:val="1"/>
          <w:bCs w:val="1"/>
          <w:color w:val="FFFFFF"/>
        </w:rPr>
        <w:drawing>
          <wp:anchor simplePos="0" relativeHeight="251657728" behindDoc="1" locked="0" layoutInCell="0" allowOverlap="1">
            <wp:simplePos x="0" y="0"/>
            <wp:positionH relativeFrom="page">
              <wp:posOffset>157480</wp:posOffset>
            </wp:positionH>
            <wp:positionV relativeFrom="page">
              <wp:posOffset>492125</wp:posOffset>
            </wp:positionV>
            <wp:extent cx="7246620" cy="22288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46620" cy="222885"/>
                    </a:xfrm>
                    <a:prstGeom prst="rect">
                      <a:avLst/>
                    </a:prstGeom>
                    <a:noFill/>
                  </pic:spPr>
                </pic:pic>
              </a:graphicData>
            </a:graphic>
          </wp:anchor>
        </w:drawing>
        <w:t>EXECUTIVE COMPENSATION TABLES AND DISCUSSION</w:t>
      </w:r>
    </w:p>
    <w:p>
      <w:pPr>
        <w:spacing w:after="0" w:line="369"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The following table includes information concerning compensation paid to or earned by the Company’s “named executive officers” listed in the table for 2013, 2014 and 2015.</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SUMMARY COMPENSATION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177165</wp:posOffset>
            </wp:positionV>
            <wp:extent cx="7246620" cy="441642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46620" cy="4416425"/>
                    </a:xfrm>
                    <a:prstGeom prst="rect">
                      <a:avLst/>
                    </a:prstGeom>
                    <a:noFill/>
                  </pic:spPr>
                </pic:pic>
              </a:graphicData>
            </a:graphic>
          </wp:anchor>
        </w:drawing>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301"/>
        </w:trPr>
        <w:tc>
          <w:tcPr>
            <w:tcW w:w="2520" w:type="dxa"/>
            <w:vAlign w:val="bottom"/>
            <w:shd w:val="clear" w:color="auto" w:fill="B8CCE4"/>
          </w:tcPr>
          <w:p>
            <w:pPr>
              <w:spacing w:after="0"/>
              <w:rPr>
                <w:sz w:val="24"/>
                <w:szCs w:val="24"/>
                <w:color w:val="auto"/>
              </w:rPr>
            </w:pPr>
          </w:p>
        </w:tc>
        <w:tc>
          <w:tcPr>
            <w:tcW w:w="580" w:type="dxa"/>
            <w:vAlign w:val="bottom"/>
            <w:shd w:val="clear" w:color="auto" w:fill="B8CCE4"/>
          </w:tcPr>
          <w:p>
            <w:pPr>
              <w:spacing w:after="0"/>
              <w:rPr>
                <w:sz w:val="24"/>
                <w:szCs w:val="24"/>
                <w:color w:val="auto"/>
              </w:rPr>
            </w:pPr>
          </w:p>
        </w:tc>
        <w:tc>
          <w:tcPr>
            <w:tcW w:w="1160" w:type="dxa"/>
            <w:vAlign w:val="bottom"/>
            <w:shd w:val="clear" w:color="auto" w:fill="B8CCE4"/>
          </w:tcPr>
          <w:p>
            <w:pPr>
              <w:spacing w:after="0"/>
              <w:rPr>
                <w:sz w:val="24"/>
                <w:szCs w:val="24"/>
                <w:color w:val="auto"/>
              </w:rPr>
            </w:pPr>
          </w:p>
        </w:tc>
        <w:tc>
          <w:tcPr>
            <w:tcW w:w="1500" w:type="dxa"/>
            <w:vAlign w:val="bottom"/>
            <w:vMerge w:val="restart"/>
            <w:shd w:val="clear" w:color="auto" w:fill="B8CCE4"/>
          </w:tcPr>
          <w:p>
            <w:pPr>
              <w:jc w:val="center"/>
              <w:ind w:right="8"/>
              <w:spacing w:after="0"/>
              <w:rPr>
                <w:sz w:val="20"/>
                <w:szCs w:val="20"/>
                <w:color w:val="auto"/>
              </w:rPr>
            </w:pPr>
            <w:r>
              <w:rPr>
                <w:rFonts w:ascii="Arial" w:cs="Arial" w:eastAsia="Arial" w:hAnsi="Arial"/>
                <w:sz w:val="14"/>
                <w:szCs w:val="14"/>
                <w:b w:val="1"/>
                <w:bCs w:val="1"/>
                <w:color w:val="auto"/>
                <w:w w:val="89"/>
              </w:rPr>
              <w:t>Stock</w:t>
            </w:r>
          </w:p>
        </w:tc>
        <w:tc>
          <w:tcPr>
            <w:tcW w:w="1280" w:type="dxa"/>
            <w:vAlign w:val="bottom"/>
            <w:vMerge w:val="restart"/>
            <w:shd w:val="clear" w:color="auto" w:fill="B8CCE4"/>
          </w:tcPr>
          <w:p>
            <w:pPr>
              <w:jc w:val="center"/>
              <w:ind w:right="128"/>
              <w:spacing w:after="0"/>
              <w:rPr>
                <w:sz w:val="20"/>
                <w:szCs w:val="20"/>
                <w:color w:val="auto"/>
              </w:rPr>
            </w:pPr>
            <w:r>
              <w:rPr>
                <w:rFonts w:ascii="Arial" w:cs="Arial" w:eastAsia="Arial" w:hAnsi="Arial"/>
                <w:sz w:val="14"/>
                <w:szCs w:val="14"/>
                <w:b w:val="1"/>
                <w:bCs w:val="1"/>
                <w:color w:val="auto"/>
                <w:w w:val="97"/>
              </w:rPr>
              <w:t>Option</w:t>
            </w:r>
          </w:p>
        </w:tc>
        <w:tc>
          <w:tcPr>
            <w:tcW w:w="1360" w:type="dxa"/>
            <w:vAlign w:val="bottom"/>
            <w:shd w:val="clear" w:color="auto" w:fill="B8CCE4"/>
          </w:tcPr>
          <w:p>
            <w:pPr>
              <w:jc w:val="center"/>
              <w:ind w:left="48"/>
              <w:spacing w:after="0"/>
              <w:rPr>
                <w:sz w:val="20"/>
                <w:szCs w:val="20"/>
                <w:color w:val="auto"/>
              </w:rPr>
            </w:pPr>
            <w:r>
              <w:rPr>
                <w:rFonts w:ascii="Arial" w:cs="Arial" w:eastAsia="Arial" w:hAnsi="Arial"/>
                <w:sz w:val="14"/>
                <w:szCs w:val="14"/>
                <w:b w:val="1"/>
                <w:bCs w:val="1"/>
                <w:color w:val="auto"/>
                <w:w w:val="96"/>
              </w:rPr>
              <w:t>Non-Equity</w:t>
            </w:r>
          </w:p>
        </w:tc>
        <w:tc>
          <w:tcPr>
            <w:tcW w:w="300" w:type="dxa"/>
            <w:vAlign w:val="bottom"/>
            <w:shd w:val="clear" w:color="auto" w:fill="B8CCE4"/>
          </w:tcPr>
          <w:p>
            <w:pPr>
              <w:spacing w:after="0"/>
              <w:rPr>
                <w:sz w:val="24"/>
                <w:szCs w:val="24"/>
                <w:color w:val="auto"/>
              </w:rPr>
            </w:pPr>
          </w:p>
        </w:tc>
        <w:tc>
          <w:tcPr>
            <w:tcW w:w="1580" w:type="dxa"/>
            <w:vAlign w:val="bottom"/>
            <w:vMerge w:val="restart"/>
            <w:shd w:val="clear" w:color="auto" w:fill="B8CCE4"/>
          </w:tcPr>
          <w:p>
            <w:pPr>
              <w:jc w:val="center"/>
              <w:ind w:right="211"/>
              <w:spacing w:after="0"/>
              <w:rPr>
                <w:sz w:val="20"/>
                <w:szCs w:val="20"/>
                <w:color w:val="auto"/>
              </w:rPr>
            </w:pPr>
            <w:r>
              <w:rPr>
                <w:rFonts w:ascii="Arial" w:cs="Arial" w:eastAsia="Arial" w:hAnsi="Arial"/>
                <w:sz w:val="14"/>
                <w:szCs w:val="14"/>
                <w:b w:val="1"/>
                <w:bCs w:val="1"/>
                <w:color w:val="auto"/>
                <w:w w:val="98"/>
              </w:rPr>
              <w:t>All Other</w:t>
            </w:r>
          </w:p>
        </w:tc>
        <w:tc>
          <w:tcPr>
            <w:tcW w:w="1140" w:type="dxa"/>
            <w:vAlign w:val="bottom"/>
            <w:shd w:val="clear" w:color="auto" w:fill="B8CCE4"/>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520" w:type="dxa"/>
            <w:vAlign w:val="bottom"/>
            <w:shd w:val="clear" w:color="auto" w:fill="B8CCE4"/>
          </w:tcPr>
          <w:p>
            <w:pPr>
              <w:spacing w:after="0"/>
              <w:rPr>
                <w:sz w:val="12"/>
                <w:szCs w:val="12"/>
                <w:color w:val="auto"/>
              </w:rPr>
            </w:pPr>
          </w:p>
        </w:tc>
        <w:tc>
          <w:tcPr>
            <w:tcW w:w="580" w:type="dxa"/>
            <w:vAlign w:val="bottom"/>
            <w:shd w:val="clear" w:color="auto" w:fill="B8CCE4"/>
          </w:tcPr>
          <w:p>
            <w:pPr>
              <w:spacing w:after="0"/>
              <w:rPr>
                <w:sz w:val="12"/>
                <w:szCs w:val="12"/>
                <w:color w:val="auto"/>
              </w:rPr>
            </w:pPr>
          </w:p>
        </w:tc>
        <w:tc>
          <w:tcPr>
            <w:tcW w:w="1160" w:type="dxa"/>
            <w:vAlign w:val="bottom"/>
            <w:vMerge w:val="restart"/>
            <w:shd w:val="clear" w:color="auto" w:fill="B8CCE4"/>
          </w:tcPr>
          <w:p>
            <w:pPr>
              <w:ind w:left="380"/>
              <w:spacing w:after="0"/>
              <w:rPr>
                <w:sz w:val="20"/>
                <w:szCs w:val="20"/>
                <w:color w:val="auto"/>
              </w:rPr>
            </w:pPr>
            <w:r>
              <w:rPr>
                <w:rFonts w:ascii="Arial" w:cs="Arial" w:eastAsia="Arial" w:hAnsi="Arial"/>
                <w:sz w:val="14"/>
                <w:szCs w:val="14"/>
                <w:b w:val="1"/>
                <w:bCs w:val="1"/>
                <w:color w:val="auto"/>
              </w:rPr>
              <w:t>Salary</w:t>
            </w:r>
          </w:p>
        </w:tc>
        <w:tc>
          <w:tcPr>
            <w:tcW w:w="1500" w:type="dxa"/>
            <w:vAlign w:val="bottom"/>
            <w:vMerge w:val="continue"/>
            <w:shd w:val="clear" w:color="auto" w:fill="B8CCE4"/>
          </w:tcPr>
          <w:p>
            <w:pPr>
              <w:spacing w:after="0"/>
              <w:rPr>
                <w:sz w:val="12"/>
                <w:szCs w:val="12"/>
                <w:color w:val="auto"/>
              </w:rPr>
            </w:pPr>
          </w:p>
        </w:tc>
        <w:tc>
          <w:tcPr>
            <w:tcW w:w="1280" w:type="dxa"/>
            <w:vAlign w:val="bottom"/>
            <w:vMerge w:val="continue"/>
            <w:shd w:val="clear" w:color="auto" w:fill="B8CCE4"/>
          </w:tcPr>
          <w:p>
            <w:pPr>
              <w:spacing w:after="0"/>
              <w:rPr>
                <w:sz w:val="12"/>
                <w:szCs w:val="12"/>
                <w:color w:val="auto"/>
              </w:rPr>
            </w:pPr>
          </w:p>
        </w:tc>
        <w:tc>
          <w:tcPr>
            <w:tcW w:w="1360" w:type="dxa"/>
            <w:vAlign w:val="bottom"/>
            <w:shd w:val="clear" w:color="auto" w:fill="B8CCE4"/>
          </w:tcPr>
          <w:p>
            <w:pPr>
              <w:jc w:val="center"/>
              <w:ind w:left="48"/>
              <w:spacing w:after="0" w:line="149" w:lineRule="exact"/>
              <w:rPr>
                <w:sz w:val="20"/>
                <w:szCs w:val="20"/>
                <w:color w:val="auto"/>
              </w:rPr>
            </w:pPr>
            <w:r>
              <w:rPr>
                <w:rFonts w:ascii="Arial" w:cs="Arial" w:eastAsia="Arial" w:hAnsi="Arial"/>
                <w:sz w:val="14"/>
                <w:szCs w:val="14"/>
                <w:b w:val="1"/>
                <w:bCs w:val="1"/>
                <w:color w:val="auto"/>
                <w:w w:val="93"/>
              </w:rPr>
              <w:t>Incentive Plan</w:t>
            </w:r>
          </w:p>
        </w:tc>
        <w:tc>
          <w:tcPr>
            <w:tcW w:w="300" w:type="dxa"/>
            <w:vAlign w:val="bottom"/>
            <w:shd w:val="clear" w:color="auto" w:fill="B8CCE4"/>
          </w:tcPr>
          <w:p>
            <w:pPr>
              <w:spacing w:after="0"/>
              <w:rPr>
                <w:sz w:val="12"/>
                <w:szCs w:val="12"/>
                <w:color w:val="auto"/>
              </w:rPr>
            </w:pPr>
          </w:p>
        </w:tc>
        <w:tc>
          <w:tcPr>
            <w:tcW w:w="1580" w:type="dxa"/>
            <w:vAlign w:val="bottom"/>
            <w:vMerge w:val="continue"/>
            <w:shd w:val="clear" w:color="auto" w:fill="B8CCE4"/>
          </w:tcPr>
          <w:p>
            <w:pPr>
              <w:spacing w:after="0"/>
              <w:rPr>
                <w:sz w:val="12"/>
                <w:szCs w:val="12"/>
                <w:color w:val="auto"/>
              </w:rPr>
            </w:pPr>
          </w:p>
        </w:tc>
        <w:tc>
          <w:tcPr>
            <w:tcW w:w="1140" w:type="dxa"/>
            <w:vAlign w:val="bottom"/>
            <w:vMerge w:val="restart"/>
            <w:shd w:val="clear" w:color="auto" w:fill="B8CCE4"/>
          </w:tcPr>
          <w:p>
            <w:pPr>
              <w:jc w:val="right"/>
              <w:ind w:right="44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9"/>
        </w:trPr>
        <w:tc>
          <w:tcPr>
            <w:tcW w:w="2520" w:type="dxa"/>
            <w:vAlign w:val="bottom"/>
            <w:vMerge w:val="restart"/>
            <w:shd w:val="clear" w:color="auto" w:fill="B8CCE4"/>
          </w:tcPr>
          <w:p>
            <w:pPr>
              <w:ind w:left="40"/>
              <w:spacing w:after="0"/>
              <w:rPr>
                <w:sz w:val="20"/>
                <w:szCs w:val="20"/>
                <w:color w:val="auto"/>
              </w:rPr>
            </w:pPr>
            <w:r>
              <w:rPr>
                <w:rFonts w:ascii="Arial" w:cs="Arial" w:eastAsia="Arial" w:hAnsi="Arial"/>
                <w:sz w:val="14"/>
                <w:szCs w:val="14"/>
                <w:b w:val="1"/>
                <w:bCs w:val="1"/>
                <w:color w:val="auto"/>
              </w:rPr>
              <w:t>Name and Principal Position</w:t>
            </w:r>
          </w:p>
        </w:tc>
        <w:tc>
          <w:tcPr>
            <w:tcW w:w="580" w:type="dxa"/>
            <w:vAlign w:val="bottom"/>
            <w:vMerge w:val="restart"/>
            <w:shd w:val="clear" w:color="auto" w:fill="B8CCE4"/>
          </w:tcPr>
          <w:p>
            <w:pPr>
              <w:jc w:val="right"/>
              <w:ind w:right="68"/>
              <w:spacing w:after="0"/>
              <w:rPr>
                <w:sz w:val="20"/>
                <w:szCs w:val="20"/>
                <w:color w:val="auto"/>
              </w:rPr>
            </w:pPr>
            <w:r>
              <w:rPr>
                <w:rFonts w:ascii="Arial" w:cs="Arial" w:eastAsia="Arial" w:hAnsi="Arial"/>
                <w:sz w:val="14"/>
                <w:szCs w:val="14"/>
                <w:b w:val="1"/>
                <w:bCs w:val="1"/>
                <w:color w:val="auto"/>
              </w:rPr>
              <w:t>Year</w:t>
            </w:r>
          </w:p>
        </w:tc>
        <w:tc>
          <w:tcPr>
            <w:tcW w:w="1160" w:type="dxa"/>
            <w:vAlign w:val="bottom"/>
            <w:vMerge w:val="continue"/>
            <w:shd w:val="clear" w:color="auto" w:fill="B8CCE4"/>
          </w:tcPr>
          <w:p>
            <w:pPr>
              <w:spacing w:after="0"/>
              <w:rPr>
                <w:sz w:val="12"/>
                <w:szCs w:val="12"/>
                <w:color w:val="auto"/>
              </w:rPr>
            </w:pPr>
          </w:p>
        </w:tc>
        <w:tc>
          <w:tcPr>
            <w:tcW w:w="1500" w:type="dxa"/>
            <w:vAlign w:val="bottom"/>
            <w:shd w:val="clear" w:color="auto" w:fill="B8CCE4"/>
          </w:tcPr>
          <w:p>
            <w:pPr>
              <w:jc w:val="center"/>
              <w:ind w:right="8"/>
              <w:spacing w:after="0" w:line="149" w:lineRule="exact"/>
              <w:rPr>
                <w:sz w:val="20"/>
                <w:szCs w:val="20"/>
                <w:color w:val="auto"/>
              </w:rPr>
            </w:pPr>
            <w:r>
              <w:rPr>
                <w:rFonts w:ascii="Arial" w:cs="Arial" w:eastAsia="Arial" w:hAnsi="Arial"/>
                <w:sz w:val="14"/>
                <w:szCs w:val="14"/>
                <w:b w:val="1"/>
                <w:bCs w:val="1"/>
                <w:color w:val="auto"/>
                <w:w w:val="96"/>
              </w:rPr>
              <w:t>Awards</w:t>
            </w:r>
            <w:r>
              <w:rPr>
                <w:rFonts w:ascii="Arial" w:cs="Arial" w:eastAsia="Arial" w:hAnsi="Arial"/>
                <w:sz w:val="8"/>
                <w:szCs w:val="8"/>
                <w:b w:val="1"/>
                <w:bCs w:val="1"/>
                <w:color w:val="auto"/>
                <w:w w:val="96"/>
              </w:rPr>
              <w:t>(1)</w:t>
            </w:r>
          </w:p>
        </w:tc>
        <w:tc>
          <w:tcPr>
            <w:tcW w:w="1280" w:type="dxa"/>
            <w:vAlign w:val="bottom"/>
            <w:shd w:val="clear" w:color="auto" w:fill="B8CCE4"/>
          </w:tcPr>
          <w:p>
            <w:pPr>
              <w:jc w:val="center"/>
              <w:ind w:right="148"/>
              <w:spacing w:after="0" w:line="149" w:lineRule="exact"/>
              <w:rPr>
                <w:sz w:val="20"/>
                <w:szCs w:val="20"/>
                <w:color w:val="auto"/>
              </w:rPr>
            </w:pPr>
            <w:r>
              <w:rPr>
                <w:rFonts w:ascii="Arial" w:cs="Arial" w:eastAsia="Arial" w:hAnsi="Arial"/>
                <w:sz w:val="14"/>
                <w:szCs w:val="14"/>
                <w:b w:val="1"/>
                <w:bCs w:val="1"/>
                <w:color w:val="auto"/>
                <w:w w:val="96"/>
              </w:rPr>
              <w:t>Awards</w:t>
            </w:r>
            <w:r>
              <w:rPr>
                <w:rFonts w:ascii="Arial" w:cs="Arial" w:eastAsia="Arial" w:hAnsi="Arial"/>
                <w:sz w:val="8"/>
                <w:szCs w:val="8"/>
                <w:b w:val="1"/>
                <w:bCs w:val="1"/>
                <w:color w:val="auto"/>
                <w:w w:val="96"/>
              </w:rPr>
              <w:t>(1)</w:t>
            </w:r>
          </w:p>
        </w:tc>
        <w:tc>
          <w:tcPr>
            <w:tcW w:w="1360" w:type="dxa"/>
            <w:vAlign w:val="bottom"/>
            <w:shd w:val="clear" w:color="auto" w:fill="B8CCE4"/>
          </w:tcPr>
          <w:p>
            <w:pPr>
              <w:jc w:val="center"/>
              <w:ind w:left="28"/>
              <w:spacing w:after="0" w:line="149" w:lineRule="exact"/>
              <w:rPr>
                <w:sz w:val="20"/>
                <w:szCs w:val="20"/>
                <w:color w:val="auto"/>
              </w:rPr>
            </w:pPr>
            <w:r>
              <w:rPr>
                <w:rFonts w:ascii="Arial" w:cs="Arial" w:eastAsia="Arial" w:hAnsi="Arial"/>
                <w:sz w:val="14"/>
                <w:szCs w:val="14"/>
                <w:b w:val="1"/>
                <w:bCs w:val="1"/>
                <w:color w:val="auto"/>
                <w:w w:val="91"/>
              </w:rPr>
              <w:t>Compensation</w:t>
            </w:r>
            <w:r>
              <w:rPr>
                <w:rFonts w:ascii="Arial" w:cs="Arial" w:eastAsia="Arial" w:hAnsi="Arial"/>
                <w:sz w:val="8"/>
                <w:szCs w:val="8"/>
                <w:b w:val="1"/>
                <w:bCs w:val="1"/>
                <w:color w:val="auto"/>
                <w:w w:val="91"/>
              </w:rPr>
              <w:t>(2)</w:t>
            </w:r>
          </w:p>
        </w:tc>
        <w:tc>
          <w:tcPr>
            <w:tcW w:w="300" w:type="dxa"/>
            <w:vAlign w:val="bottom"/>
            <w:shd w:val="clear" w:color="auto" w:fill="B8CCE4"/>
          </w:tcPr>
          <w:p>
            <w:pPr>
              <w:spacing w:after="0"/>
              <w:rPr>
                <w:sz w:val="12"/>
                <w:szCs w:val="12"/>
                <w:color w:val="auto"/>
              </w:rPr>
            </w:pPr>
          </w:p>
        </w:tc>
        <w:tc>
          <w:tcPr>
            <w:tcW w:w="1580" w:type="dxa"/>
            <w:vAlign w:val="bottom"/>
            <w:shd w:val="clear" w:color="auto" w:fill="B8CCE4"/>
          </w:tcPr>
          <w:p>
            <w:pPr>
              <w:jc w:val="center"/>
              <w:ind w:right="211"/>
              <w:spacing w:after="0" w:line="149" w:lineRule="exact"/>
              <w:rPr>
                <w:sz w:val="20"/>
                <w:szCs w:val="20"/>
                <w:color w:val="auto"/>
              </w:rPr>
            </w:pPr>
            <w:r>
              <w:rPr>
                <w:rFonts w:ascii="Arial" w:cs="Arial" w:eastAsia="Arial" w:hAnsi="Arial"/>
                <w:sz w:val="14"/>
                <w:szCs w:val="14"/>
                <w:b w:val="1"/>
                <w:bCs w:val="1"/>
                <w:color w:val="auto"/>
                <w:w w:val="92"/>
              </w:rPr>
              <w:t>Compensation</w:t>
            </w:r>
          </w:p>
        </w:tc>
        <w:tc>
          <w:tcPr>
            <w:tcW w:w="1140" w:type="dxa"/>
            <w:vAlign w:val="bottom"/>
            <w:vMerge w:val="continue"/>
            <w:shd w:val="clear" w:color="auto" w:fill="B8CCE4"/>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2520" w:type="dxa"/>
            <w:vAlign w:val="bottom"/>
            <w:tcBorders>
              <w:bottom w:val="single" w:sz="8" w:color="B8CCE4"/>
            </w:tcBorders>
            <w:vMerge w:val="continue"/>
            <w:shd w:val="clear" w:color="auto" w:fill="B8CCE4"/>
          </w:tcPr>
          <w:p>
            <w:pPr>
              <w:spacing w:after="0"/>
              <w:rPr>
                <w:sz w:val="16"/>
                <w:szCs w:val="16"/>
                <w:color w:val="auto"/>
              </w:rPr>
            </w:pPr>
          </w:p>
        </w:tc>
        <w:tc>
          <w:tcPr>
            <w:tcW w:w="580" w:type="dxa"/>
            <w:vAlign w:val="bottom"/>
            <w:tcBorders>
              <w:bottom w:val="single" w:sz="8" w:color="B8CCE4"/>
            </w:tcBorders>
            <w:vMerge w:val="continue"/>
            <w:shd w:val="clear" w:color="auto" w:fill="B8CCE4"/>
          </w:tcPr>
          <w:p>
            <w:pPr>
              <w:spacing w:after="0"/>
              <w:rPr>
                <w:sz w:val="16"/>
                <w:szCs w:val="16"/>
                <w:color w:val="auto"/>
              </w:rPr>
            </w:pPr>
          </w:p>
        </w:tc>
        <w:tc>
          <w:tcPr>
            <w:tcW w:w="1160" w:type="dxa"/>
            <w:vAlign w:val="bottom"/>
            <w:tcBorders>
              <w:bottom w:val="single" w:sz="8" w:color="B8CCE4"/>
            </w:tcBorders>
            <w:shd w:val="clear" w:color="auto" w:fill="B8CCE4"/>
          </w:tcPr>
          <w:p>
            <w:pPr>
              <w:ind w:left="500"/>
              <w:spacing w:after="0"/>
              <w:rPr>
                <w:sz w:val="20"/>
                <w:szCs w:val="20"/>
                <w:color w:val="auto"/>
              </w:rPr>
            </w:pPr>
            <w:r>
              <w:rPr>
                <w:rFonts w:ascii="Arial" w:cs="Arial" w:eastAsia="Arial" w:hAnsi="Arial"/>
                <w:sz w:val="14"/>
                <w:szCs w:val="14"/>
                <w:b w:val="1"/>
                <w:bCs w:val="1"/>
                <w:color w:val="auto"/>
              </w:rPr>
              <w:t>($)</w:t>
            </w:r>
          </w:p>
        </w:tc>
        <w:tc>
          <w:tcPr>
            <w:tcW w:w="1500" w:type="dxa"/>
            <w:vAlign w:val="bottom"/>
            <w:tcBorders>
              <w:bottom w:val="single" w:sz="8" w:color="B8CCE4"/>
            </w:tcBorders>
            <w:shd w:val="clear" w:color="auto" w:fill="B8CCE4"/>
          </w:tcPr>
          <w:p>
            <w:pPr>
              <w:jc w:val="center"/>
              <w:ind w:right="28"/>
              <w:spacing w:after="0"/>
              <w:rPr>
                <w:sz w:val="20"/>
                <w:szCs w:val="20"/>
                <w:color w:val="auto"/>
              </w:rPr>
            </w:pPr>
            <w:r>
              <w:rPr>
                <w:rFonts w:ascii="Arial" w:cs="Arial" w:eastAsia="Arial" w:hAnsi="Arial"/>
                <w:sz w:val="14"/>
                <w:szCs w:val="14"/>
                <w:b w:val="1"/>
                <w:bCs w:val="1"/>
                <w:color w:val="auto"/>
                <w:w w:val="93"/>
              </w:rPr>
              <w:t>($)</w:t>
            </w:r>
          </w:p>
        </w:tc>
        <w:tc>
          <w:tcPr>
            <w:tcW w:w="1280" w:type="dxa"/>
            <w:vAlign w:val="bottom"/>
            <w:tcBorders>
              <w:bottom w:val="single" w:sz="8" w:color="B8CCE4"/>
            </w:tcBorders>
            <w:shd w:val="clear" w:color="auto" w:fill="B8CCE4"/>
          </w:tcPr>
          <w:p>
            <w:pPr>
              <w:jc w:val="center"/>
              <w:ind w:right="128"/>
              <w:spacing w:after="0"/>
              <w:rPr>
                <w:sz w:val="20"/>
                <w:szCs w:val="20"/>
                <w:color w:val="auto"/>
              </w:rPr>
            </w:pPr>
            <w:r>
              <w:rPr>
                <w:rFonts w:ascii="Arial" w:cs="Arial" w:eastAsia="Arial" w:hAnsi="Arial"/>
                <w:sz w:val="14"/>
                <w:szCs w:val="14"/>
                <w:b w:val="1"/>
                <w:bCs w:val="1"/>
                <w:color w:val="auto"/>
                <w:w w:val="93"/>
              </w:rPr>
              <w:t>($)</w:t>
            </w:r>
          </w:p>
        </w:tc>
        <w:tc>
          <w:tcPr>
            <w:tcW w:w="1360" w:type="dxa"/>
            <w:vAlign w:val="bottom"/>
            <w:tcBorders>
              <w:bottom w:val="single" w:sz="8" w:color="B8CCE4"/>
            </w:tcBorders>
            <w:shd w:val="clear" w:color="auto" w:fill="B8CCE4"/>
          </w:tcPr>
          <w:p>
            <w:pPr>
              <w:jc w:val="center"/>
              <w:ind w:left="28"/>
              <w:spacing w:after="0"/>
              <w:rPr>
                <w:sz w:val="20"/>
                <w:szCs w:val="20"/>
                <w:color w:val="auto"/>
              </w:rPr>
            </w:pPr>
            <w:r>
              <w:rPr>
                <w:rFonts w:ascii="Arial" w:cs="Arial" w:eastAsia="Arial" w:hAnsi="Arial"/>
                <w:sz w:val="14"/>
                <w:szCs w:val="14"/>
                <w:b w:val="1"/>
                <w:bCs w:val="1"/>
                <w:color w:val="auto"/>
              </w:rPr>
              <w:t>($)</w:t>
            </w:r>
          </w:p>
        </w:tc>
        <w:tc>
          <w:tcPr>
            <w:tcW w:w="300" w:type="dxa"/>
            <w:vAlign w:val="bottom"/>
            <w:tcBorders>
              <w:bottom w:val="single" w:sz="8" w:color="B8CCE4"/>
            </w:tcBorders>
            <w:shd w:val="clear" w:color="auto" w:fill="B8CCE4"/>
          </w:tcPr>
          <w:p>
            <w:pPr>
              <w:spacing w:after="0"/>
              <w:rPr>
                <w:sz w:val="16"/>
                <w:szCs w:val="16"/>
                <w:color w:val="auto"/>
              </w:rPr>
            </w:pPr>
          </w:p>
        </w:tc>
        <w:tc>
          <w:tcPr>
            <w:tcW w:w="1580" w:type="dxa"/>
            <w:vAlign w:val="bottom"/>
            <w:tcBorders>
              <w:bottom w:val="single" w:sz="8" w:color="B8CCE4"/>
            </w:tcBorders>
            <w:shd w:val="clear" w:color="auto" w:fill="B8CCE4"/>
          </w:tcPr>
          <w:p>
            <w:pPr>
              <w:jc w:val="center"/>
              <w:ind w:right="211"/>
              <w:spacing w:after="0"/>
              <w:rPr>
                <w:sz w:val="20"/>
                <w:szCs w:val="20"/>
                <w:color w:val="auto"/>
              </w:rPr>
            </w:pPr>
            <w:r>
              <w:rPr>
                <w:rFonts w:ascii="Arial" w:cs="Arial" w:eastAsia="Arial" w:hAnsi="Arial"/>
                <w:sz w:val="14"/>
                <w:szCs w:val="14"/>
                <w:b w:val="1"/>
                <w:bCs w:val="1"/>
                <w:color w:val="auto"/>
              </w:rPr>
              <w:t>($)</w:t>
            </w:r>
          </w:p>
        </w:tc>
        <w:tc>
          <w:tcPr>
            <w:tcW w:w="1140" w:type="dxa"/>
            <w:vAlign w:val="bottom"/>
            <w:tcBorders>
              <w:bottom w:val="single" w:sz="8" w:color="B8CCE4"/>
            </w:tcBorders>
            <w:shd w:val="clear" w:color="auto" w:fill="B8CCE4"/>
          </w:tcPr>
          <w:p>
            <w:pPr>
              <w:jc w:val="right"/>
              <w:ind w:right="508"/>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30"/>
        </w:trPr>
        <w:tc>
          <w:tcPr>
            <w:tcW w:w="2520" w:type="dxa"/>
            <w:vAlign w:val="bottom"/>
            <w:shd w:val="clear" w:color="auto" w:fill="DBE5F1"/>
          </w:tcPr>
          <w:p>
            <w:pPr>
              <w:ind w:left="20"/>
              <w:spacing w:after="0"/>
              <w:rPr>
                <w:sz w:val="20"/>
                <w:szCs w:val="20"/>
                <w:color w:val="auto"/>
              </w:rPr>
            </w:pPr>
            <w:r>
              <w:rPr>
                <w:rFonts w:ascii="Arial" w:cs="Arial" w:eastAsia="Arial" w:hAnsi="Arial"/>
                <w:sz w:val="14"/>
                <w:szCs w:val="14"/>
                <w:b w:val="1"/>
                <w:bCs w:val="1"/>
                <w:color w:val="auto"/>
              </w:rPr>
              <w:t>Andrew C. Florance</w:t>
            </w:r>
          </w:p>
        </w:tc>
        <w:tc>
          <w:tcPr>
            <w:tcW w:w="580" w:type="dxa"/>
            <w:vAlign w:val="bottom"/>
            <w:shd w:val="clear" w:color="auto" w:fill="DBE5F1"/>
          </w:tcPr>
          <w:p>
            <w:pPr>
              <w:jc w:val="right"/>
              <w:spacing w:after="0"/>
              <w:rPr>
                <w:sz w:val="20"/>
                <w:szCs w:val="20"/>
                <w:color w:val="auto"/>
              </w:rPr>
            </w:pPr>
            <w:r>
              <w:rPr>
                <w:rFonts w:ascii="Arial" w:cs="Arial" w:eastAsia="Arial" w:hAnsi="Arial"/>
                <w:sz w:val="14"/>
                <w:szCs w:val="14"/>
                <w:color w:val="auto"/>
              </w:rPr>
              <w:t>2015</w:t>
            </w:r>
          </w:p>
        </w:tc>
        <w:tc>
          <w:tcPr>
            <w:tcW w:w="1160" w:type="dxa"/>
            <w:vAlign w:val="bottom"/>
            <w:shd w:val="clear" w:color="auto" w:fill="DBE5F1"/>
          </w:tcPr>
          <w:p>
            <w:pPr>
              <w:ind w:left="500"/>
              <w:spacing w:after="0"/>
              <w:rPr>
                <w:sz w:val="20"/>
                <w:szCs w:val="20"/>
                <w:color w:val="auto"/>
              </w:rPr>
            </w:pPr>
            <w:r>
              <w:rPr>
                <w:rFonts w:ascii="Arial" w:cs="Arial" w:eastAsia="Arial" w:hAnsi="Arial"/>
                <w:sz w:val="14"/>
                <w:szCs w:val="14"/>
                <w:color w:val="auto"/>
              </w:rPr>
              <w:t>$714,448</w:t>
            </w:r>
          </w:p>
        </w:tc>
        <w:tc>
          <w:tcPr>
            <w:tcW w:w="1500" w:type="dxa"/>
            <w:vAlign w:val="bottom"/>
            <w:shd w:val="clear" w:color="auto" w:fill="DBE5F1"/>
          </w:tcPr>
          <w:p>
            <w:pPr>
              <w:jc w:val="right"/>
              <w:ind w:right="148"/>
              <w:spacing w:after="0"/>
              <w:rPr>
                <w:sz w:val="20"/>
                <w:szCs w:val="20"/>
                <w:color w:val="auto"/>
              </w:rPr>
            </w:pPr>
            <w:r>
              <w:rPr>
                <w:rFonts w:ascii="Arial" w:cs="Arial" w:eastAsia="Arial" w:hAnsi="Arial"/>
                <w:sz w:val="14"/>
                <w:szCs w:val="14"/>
                <w:color w:val="auto"/>
              </w:rPr>
              <w:t>$6,057,823</w:t>
            </w:r>
          </w:p>
        </w:tc>
        <w:tc>
          <w:tcPr>
            <w:tcW w:w="1280" w:type="dxa"/>
            <w:vAlign w:val="bottom"/>
            <w:shd w:val="clear" w:color="auto" w:fill="DBE5F1"/>
          </w:tcPr>
          <w:p>
            <w:pPr>
              <w:jc w:val="right"/>
              <w:ind w:right="148"/>
              <w:spacing w:after="0"/>
              <w:rPr>
                <w:sz w:val="20"/>
                <w:szCs w:val="20"/>
                <w:color w:val="auto"/>
              </w:rPr>
            </w:pPr>
            <w:r>
              <w:rPr>
                <w:rFonts w:ascii="Arial" w:cs="Arial" w:eastAsia="Arial" w:hAnsi="Arial"/>
                <w:sz w:val="14"/>
                <w:szCs w:val="14"/>
                <w:color w:val="auto"/>
              </w:rPr>
              <w:t>$1,820,266</w:t>
            </w:r>
          </w:p>
        </w:tc>
        <w:tc>
          <w:tcPr>
            <w:tcW w:w="1660" w:type="dxa"/>
            <w:vAlign w:val="bottom"/>
            <w:gridSpan w:val="2"/>
            <w:shd w:val="clear" w:color="auto" w:fill="DBE5F1"/>
          </w:tcPr>
          <w:p>
            <w:pPr>
              <w:jc w:val="right"/>
              <w:ind w:right="155"/>
              <w:spacing w:after="0"/>
              <w:rPr>
                <w:sz w:val="20"/>
                <w:szCs w:val="20"/>
                <w:color w:val="auto"/>
              </w:rPr>
            </w:pPr>
            <w:r>
              <w:rPr>
                <w:rFonts w:ascii="Arial" w:cs="Arial" w:eastAsia="Arial" w:hAnsi="Arial"/>
                <w:sz w:val="14"/>
                <w:szCs w:val="14"/>
                <w:color w:val="auto"/>
              </w:rPr>
              <w:t>$1,390,000</w:t>
            </w:r>
          </w:p>
        </w:tc>
        <w:tc>
          <w:tcPr>
            <w:tcW w:w="1580" w:type="dxa"/>
            <w:vAlign w:val="bottom"/>
            <w:shd w:val="clear" w:color="auto" w:fill="DBE5F1"/>
          </w:tcPr>
          <w:p>
            <w:pPr>
              <w:jc w:val="right"/>
              <w:ind w:right="251"/>
              <w:spacing w:after="0"/>
              <w:rPr>
                <w:sz w:val="20"/>
                <w:szCs w:val="20"/>
                <w:color w:val="auto"/>
              </w:rPr>
            </w:pPr>
            <w:r>
              <w:rPr>
                <w:rFonts w:ascii="Arial" w:cs="Arial" w:eastAsia="Arial" w:hAnsi="Arial"/>
                <w:sz w:val="14"/>
                <w:szCs w:val="14"/>
                <w:color w:val="auto"/>
              </w:rPr>
              <w:t>$11,712</w:t>
            </w:r>
            <w:r>
              <w:rPr>
                <w:rFonts w:ascii="Arial" w:cs="Arial" w:eastAsia="Arial" w:hAnsi="Arial"/>
                <w:sz w:val="8"/>
                <w:szCs w:val="8"/>
                <w:color w:val="auto"/>
              </w:rPr>
              <w:t>(3a)</w:t>
            </w:r>
          </w:p>
        </w:tc>
        <w:tc>
          <w:tcPr>
            <w:tcW w:w="1140" w:type="dxa"/>
            <w:vAlign w:val="bottom"/>
            <w:shd w:val="clear" w:color="auto" w:fill="DBE5F1"/>
          </w:tcPr>
          <w:p>
            <w:pPr>
              <w:jc w:val="right"/>
              <w:ind w:right="28"/>
              <w:spacing w:after="0"/>
              <w:rPr>
                <w:sz w:val="20"/>
                <w:szCs w:val="20"/>
                <w:color w:val="auto"/>
              </w:rPr>
            </w:pPr>
            <w:r>
              <w:rPr>
                <w:rFonts w:ascii="Arial" w:cs="Arial" w:eastAsia="Arial" w:hAnsi="Arial"/>
                <w:sz w:val="14"/>
                <w:szCs w:val="14"/>
                <w:color w:val="auto"/>
              </w:rPr>
              <w:t>$9,994,249</w:t>
            </w:r>
          </w:p>
        </w:tc>
        <w:tc>
          <w:tcPr>
            <w:tcW w:w="0" w:type="dxa"/>
            <w:vAlign w:val="bottom"/>
          </w:tcPr>
          <w:p>
            <w:pPr>
              <w:spacing w:after="0"/>
              <w:rPr>
                <w:sz w:val="1"/>
                <w:szCs w:val="1"/>
                <w:color w:val="auto"/>
              </w:rPr>
            </w:pPr>
          </w:p>
        </w:tc>
      </w:tr>
      <w:tr>
        <w:trPr>
          <w:trHeight w:val="89"/>
        </w:trPr>
        <w:tc>
          <w:tcPr>
            <w:tcW w:w="2520" w:type="dxa"/>
            <w:vAlign w:val="bottom"/>
            <w:shd w:val="clear" w:color="auto" w:fill="DBE5F1"/>
          </w:tcPr>
          <w:p>
            <w:pPr>
              <w:ind w:left="60"/>
              <w:spacing w:after="0" w:line="90" w:lineRule="exact"/>
              <w:rPr>
                <w:sz w:val="20"/>
                <w:szCs w:val="20"/>
                <w:color w:val="auto"/>
              </w:rPr>
            </w:pPr>
            <w:r>
              <w:rPr>
                <w:rFonts w:ascii="Arial" w:cs="Arial" w:eastAsia="Arial" w:hAnsi="Arial"/>
                <w:sz w:val="10"/>
                <w:szCs w:val="10"/>
                <w:b w:val="1"/>
                <w:bCs w:val="1"/>
                <w:i w:val="1"/>
                <w:iCs w:val="1"/>
                <w:color w:val="auto"/>
              </w:rPr>
              <w:t>Chief Executive Officer</w:t>
            </w:r>
          </w:p>
        </w:tc>
        <w:tc>
          <w:tcPr>
            <w:tcW w:w="580" w:type="dxa"/>
            <w:vAlign w:val="bottom"/>
            <w:shd w:val="clear" w:color="auto" w:fill="DBE5F1"/>
          </w:tcPr>
          <w:p>
            <w:pPr>
              <w:spacing w:after="0"/>
              <w:rPr>
                <w:sz w:val="7"/>
                <w:szCs w:val="7"/>
                <w:color w:val="auto"/>
              </w:rPr>
            </w:pPr>
          </w:p>
        </w:tc>
        <w:tc>
          <w:tcPr>
            <w:tcW w:w="1160" w:type="dxa"/>
            <w:vAlign w:val="bottom"/>
            <w:shd w:val="clear" w:color="auto" w:fill="DBE5F1"/>
          </w:tcPr>
          <w:p>
            <w:pPr>
              <w:spacing w:after="0"/>
              <w:rPr>
                <w:sz w:val="7"/>
                <w:szCs w:val="7"/>
                <w:color w:val="auto"/>
              </w:rPr>
            </w:pPr>
          </w:p>
        </w:tc>
        <w:tc>
          <w:tcPr>
            <w:tcW w:w="1500" w:type="dxa"/>
            <w:vAlign w:val="bottom"/>
            <w:shd w:val="clear" w:color="auto" w:fill="DBE5F1"/>
          </w:tcPr>
          <w:p>
            <w:pPr>
              <w:spacing w:after="0"/>
              <w:rPr>
                <w:sz w:val="7"/>
                <w:szCs w:val="7"/>
                <w:color w:val="auto"/>
              </w:rPr>
            </w:pPr>
          </w:p>
        </w:tc>
        <w:tc>
          <w:tcPr>
            <w:tcW w:w="1280" w:type="dxa"/>
            <w:vAlign w:val="bottom"/>
            <w:shd w:val="clear" w:color="auto" w:fill="DBE5F1"/>
          </w:tcPr>
          <w:p>
            <w:pPr>
              <w:spacing w:after="0"/>
              <w:rPr>
                <w:sz w:val="7"/>
                <w:szCs w:val="7"/>
                <w:color w:val="auto"/>
              </w:rPr>
            </w:pPr>
          </w:p>
        </w:tc>
        <w:tc>
          <w:tcPr>
            <w:tcW w:w="1360" w:type="dxa"/>
            <w:vAlign w:val="bottom"/>
            <w:shd w:val="clear" w:color="auto" w:fill="DBE5F1"/>
          </w:tcPr>
          <w:p>
            <w:pPr>
              <w:spacing w:after="0"/>
              <w:rPr>
                <w:sz w:val="7"/>
                <w:szCs w:val="7"/>
                <w:color w:val="auto"/>
              </w:rPr>
            </w:pPr>
          </w:p>
        </w:tc>
        <w:tc>
          <w:tcPr>
            <w:tcW w:w="300" w:type="dxa"/>
            <w:vAlign w:val="bottom"/>
            <w:shd w:val="clear" w:color="auto" w:fill="DBE5F1"/>
          </w:tcPr>
          <w:p>
            <w:pPr>
              <w:spacing w:after="0"/>
              <w:rPr>
                <w:sz w:val="7"/>
                <w:szCs w:val="7"/>
                <w:color w:val="auto"/>
              </w:rPr>
            </w:pPr>
          </w:p>
        </w:tc>
        <w:tc>
          <w:tcPr>
            <w:tcW w:w="1580" w:type="dxa"/>
            <w:vAlign w:val="bottom"/>
            <w:shd w:val="clear" w:color="auto" w:fill="DBE5F1"/>
          </w:tcPr>
          <w:p>
            <w:pPr>
              <w:spacing w:after="0"/>
              <w:rPr>
                <w:sz w:val="7"/>
                <w:szCs w:val="7"/>
                <w:color w:val="auto"/>
              </w:rPr>
            </w:pPr>
          </w:p>
        </w:tc>
        <w:tc>
          <w:tcPr>
            <w:tcW w:w="1140" w:type="dxa"/>
            <w:vAlign w:val="bottom"/>
            <w:shd w:val="clear" w:color="auto" w:fill="DBE5F1"/>
          </w:tcPr>
          <w:p>
            <w:pPr>
              <w:spacing w:after="0"/>
              <w:rPr>
                <w:sz w:val="7"/>
                <w:szCs w:val="7"/>
                <w:color w:val="auto"/>
              </w:rPr>
            </w:pPr>
          </w:p>
        </w:tc>
        <w:tc>
          <w:tcPr>
            <w:tcW w:w="0" w:type="dxa"/>
            <w:vAlign w:val="bottom"/>
          </w:tcPr>
          <w:p>
            <w:pPr>
              <w:spacing w:after="0"/>
              <w:rPr>
                <w:sz w:val="1"/>
                <w:szCs w:val="1"/>
                <w:color w:val="auto"/>
              </w:rPr>
            </w:pPr>
          </w:p>
        </w:tc>
      </w:tr>
      <w:tr>
        <w:trPr>
          <w:trHeight w:val="182"/>
        </w:trPr>
        <w:tc>
          <w:tcPr>
            <w:tcW w:w="2520" w:type="dxa"/>
            <w:vAlign w:val="bottom"/>
            <w:shd w:val="clear" w:color="auto" w:fill="DBE5F1"/>
          </w:tcPr>
          <w:p>
            <w:pPr>
              <w:ind w:left="60"/>
              <w:spacing w:after="0"/>
              <w:rPr>
                <w:sz w:val="20"/>
                <w:szCs w:val="20"/>
                <w:color w:val="auto"/>
              </w:rPr>
            </w:pPr>
            <w:r>
              <w:rPr>
                <w:rFonts w:ascii="Arial" w:cs="Arial" w:eastAsia="Arial" w:hAnsi="Arial"/>
                <w:sz w:val="14"/>
                <w:szCs w:val="14"/>
                <w:b w:val="1"/>
                <w:bCs w:val="1"/>
                <w:i w:val="1"/>
                <w:iCs w:val="1"/>
                <w:color w:val="auto"/>
              </w:rPr>
              <w:t>and President</w:t>
            </w:r>
          </w:p>
        </w:tc>
        <w:tc>
          <w:tcPr>
            <w:tcW w:w="580" w:type="dxa"/>
            <w:vAlign w:val="bottom"/>
            <w:shd w:val="clear" w:color="auto" w:fill="DBE5F1"/>
          </w:tcPr>
          <w:p>
            <w:pPr>
              <w:spacing w:after="0"/>
              <w:rPr>
                <w:sz w:val="15"/>
                <w:szCs w:val="15"/>
                <w:color w:val="auto"/>
              </w:rPr>
            </w:pPr>
          </w:p>
        </w:tc>
        <w:tc>
          <w:tcPr>
            <w:tcW w:w="1160" w:type="dxa"/>
            <w:vAlign w:val="bottom"/>
            <w:shd w:val="clear" w:color="auto" w:fill="DBE5F1"/>
          </w:tcPr>
          <w:p>
            <w:pPr>
              <w:spacing w:after="0"/>
              <w:rPr>
                <w:sz w:val="15"/>
                <w:szCs w:val="15"/>
                <w:color w:val="auto"/>
              </w:rPr>
            </w:pPr>
          </w:p>
        </w:tc>
        <w:tc>
          <w:tcPr>
            <w:tcW w:w="1500" w:type="dxa"/>
            <w:vAlign w:val="bottom"/>
            <w:shd w:val="clear" w:color="auto" w:fill="DBE5F1"/>
          </w:tcPr>
          <w:p>
            <w:pPr>
              <w:spacing w:after="0"/>
              <w:rPr>
                <w:sz w:val="15"/>
                <w:szCs w:val="15"/>
                <w:color w:val="auto"/>
              </w:rPr>
            </w:pPr>
          </w:p>
        </w:tc>
        <w:tc>
          <w:tcPr>
            <w:tcW w:w="1280" w:type="dxa"/>
            <w:vAlign w:val="bottom"/>
            <w:shd w:val="clear" w:color="auto" w:fill="DBE5F1"/>
          </w:tcPr>
          <w:p>
            <w:pPr>
              <w:spacing w:after="0"/>
              <w:rPr>
                <w:sz w:val="15"/>
                <w:szCs w:val="15"/>
                <w:color w:val="auto"/>
              </w:rPr>
            </w:pPr>
          </w:p>
        </w:tc>
        <w:tc>
          <w:tcPr>
            <w:tcW w:w="1360" w:type="dxa"/>
            <w:vAlign w:val="bottom"/>
            <w:shd w:val="clear" w:color="auto" w:fill="DBE5F1"/>
          </w:tcPr>
          <w:p>
            <w:pPr>
              <w:spacing w:after="0"/>
              <w:rPr>
                <w:sz w:val="15"/>
                <w:szCs w:val="15"/>
                <w:color w:val="auto"/>
              </w:rPr>
            </w:pPr>
          </w:p>
        </w:tc>
        <w:tc>
          <w:tcPr>
            <w:tcW w:w="300" w:type="dxa"/>
            <w:vAlign w:val="bottom"/>
            <w:shd w:val="clear" w:color="auto" w:fill="DBE5F1"/>
          </w:tcPr>
          <w:p>
            <w:pPr>
              <w:spacing w:after="0"/>
              <w:rPr>
                <w:sz w:val="15"/>
                <w:szCs w:val="15"/>
                <w:color w:val="auto"/>
              </w:rPr>
            </w:pPr>
          </w:p>
        </w:tc>
        <w:tc>
          <w:tcPr>
            <w:tcW w:w="1580" w:type="dxa"/>
            <w:vAlign w:val="bottom"/>
            <w:shd w:val="clear" w:color="auto" w:fill="DBE5F1"/>
          </w:tcPr>
          <w:p>
            <w:pPr>
              <w:spacing w:after="0"/>
              <w:rPr>
                <w:sz w:val="15"/>
                <w:szCs w:val="15"/>
                <w:color w:val="auto"/>
              </w:rPr>
            </w:pPr>
          </w:p>
        </w:tc>
        <w:tc>
          <w:tcPr>
            <w:tcW w:w="1140" w:type="dxa"/>
            <w:vAlign w:val="bottom"/>
            <w:shd w:val="clear" w:color="auto" w:fill="DBE5F1"/>
          </w:tcPr>
          <w:p>
            <w:pPr>
              <w:spacing w:after="0"/>
              <w:rPr>
                <w:sz w:val="15"/>
                <w:szCs w:val="15"/>
                <w:color w:val="auto"/>
              </w:rPr>
            </w:pPr>
          </w:p>
        </w:tc>
        <w:tc>
          <w:tcPr>
            <w:tcW w:w="0" w:type="dxa"/>
            <w:vAlign w:val="bottom"/>
          </w:tcPr>
          <w:p>
            <w:pPr>
              <w:spacing w:after="0"/>
              <w:rPr>
                <w:sz w:val="1"/>
                <w:szCs w:val="1"/>
                <w:color w:val="auto"/>
              </w:rPr>
            </w:pPr>
          </w:p>
        </w:tc>
      </w:tr>
      <w:tr>
        <w:trPr>
          <w:trHeight w:val="284"/>
        </w:trPr>
        <w:tc>
          <w:tcPr>
            <w:tcW w:w="2520" w:type="dxa"/>
            <w:vAlign w:val="bottom"/>
            <w:shd w:val="clear" w:color="auto" w:fill="DBE5F1"/>
          </w:tcPr>
          <w:p>
            <w:pPr>
              <w:spacing w:after="0"/>
              <w:rPr>
                <w:sz w:val="24"/>
                <w:szCs w:val="24"/>
                <w:color w:val="auto"/>
              </w:rPr>
            </w:pPr>
          </w:p>
        </w:tc>
        <w:tc>
          <w:tcPr>
            <w:tcW w:w="580" w:type="dxa"/>
            <w:vAlign w:val="bottom"/>
            <w:shd w:val="clear" w:color="auto" w:fill="DBE5F1"/>
          </w:tcPr>
          <w:p>
            <w:pPr>
              <w:jc w:val="right"/>
              <w:spacing w:after="0"/>
              <w:rPr>
                <w:sz w:val="20"/>
                <w:szCs w:val="20"/>
                <w:color w:val="auto"/>
              </w:rPr>
            </w:pPr>
            <w:r>
              <w:rPr>
                <w:rFonts w:ascii="Arial" w:cs="Arial" w:eastAsia="Arial" w:hAnsi="Arial"/>
                <w:sz w:val="14"/>
                <w:szCs w:val="14"/>
                <w:color w:val="auto"/>
              </w:rPr>
              <w:t>2014</w:t>
            </w:r>
          </w:p>
        </w:tc>
        <w:tc>
          <w:tcPr>
            <w:tcW w:w="1160" w:type="dxa"/>
            <w:vAlign w:val="bottom"/>
            <w:shd w:val="clear" w:color="auto" w:fill="DBE5F1"/>
          </w:tcPr>
          <w:p>
            <w:pPr>
              <w:ind w:left="500"/>
              <w:spacing w:after="0"/>
              <w:rPr>
                <w:sz w:val="20"/>
                <w:szCs w:val="20"/>
                <w:color w:val="auto"/>
              </w:rPr>
            </w:pPr>
            <w:r>
              <w:rPr>
                <w:rFonts w:ascii="Arial" w:cs="Arial" w:eastAsia="Arial" w:hAnsi="Arial"/>
                <w:sz w:val="14"/>
                <w:szCs w:val="14"/>
                <w:color w:val="auto"/>
              </w:rPr>
              <w:t>$638,142</w:t>
            </w:r>
          </w:p>
        </w:tc>
        <w:tc>
          <w:tcPr>
            <w:tcW w:w="1500" w:type="dxa"/>
            <w:vAlign w:val="bottom"/>
            <w:shd w:val="clear" w:color="auto" w:fill="DBE5F1"/>
          </w:tcPr>
          <w:p>
            <w:pPr>
              <w:jc w:val="right"/>
              <w:ind w:right="148"/>
              <w:spacing w:after="0"/>
              <w:rPr>
                <w:sz w:val="20"/>
                <w:szCs w:val="20"/>
                <w:color w:val="auto"/>
              </w:rPr>
            </w:pPr>
            <w:r>
              <w:rPr>
                <w:rFonts w:ascii="Arial" w:cs="Arial" w:eastAsia="Arial" w:hAnsi="Arial"/>
                <w:sz w:val="14"/>
                <w:szCs w:val="14"/>
                <w:color w:val="auto"/>
              </w:rPr>
              <w:t>$5,119,648</w:t>
            </w:r>
          </w:p>
        </w:tc>
        <w:tc>
          <w:tcPr>
            <w:tcW w:w="1280" w:type="dxa"/>
            <w:vAlign w:val="bottom"/>
            <w:shd w:val="clear" w:color="auto" w:fill="DBE5F1"/>
          </w:tcPr>
          <w:p>
            <w:pPr>
              <w:jc w:val="right"/>
              <w:ind w:right="148"/>
              <w:spacing w:after="0"/>
              <w:rPr>
                <w:sz w:val="20"/>
                <w:szCs w:val="20"/>
                <w:color w:val="auto"/>
              </w:rPr>
            </w:pPr>
            <w:r>
              <w:rPr>
                <w:rFonts w:ascii="Arial" w:cs="Arial" w:eastAsia="Arial" w:hAnsi="Arial"/>
                <w:sz w:val="14"/>
                <w:szCs w:val="14"/>
                <w:color w:val="auto"/>
              </w:rPr>
              <w:t>$1,952,832</w:t>
            </w:r>
          </w:p>
        </w:tc>
        <w:tc>
          <w:tcPr>
            <w:tcW w:w="1660" w:type="dxa"/>
            <w:vAlign w:val="bottom"/>
            <w:gridSpan w:val="2"/>
            <w:shd w:val="clear" w:color="auto" w:fill="DBE5F1"/>
          </w:tcPr>
          <w:p>
            <w:pPr>
              <w:jc w:val="right"/>
              <w:ind w:right="155"/>
              <w:spacing w:after="0"/>
              <w:rPr>
                <w:sz w:val="20"/>
                <w:szCs w:val="20"/>
                <w:color w:val="auto"/>
              </w:rPr>
            </w:pPr>
            <w:r>
              <w:rPr>
                <w:rFonts w:ascii="Arial" w:cs="Arial" w:eastAsia="Arial" w:hAnsi="Arial"/>
                <w:sz w:val="14"/>
                <w:szCs w:val="14"/>
                <w:color w:val="auto"/>
              </w:rPr>
              <w:t>$1,310,000</w:t>
            </w:r>
          </w:p>
        </w:tc>
        <w:tc>
          <w:tcPr>
            <w:tcW w:w="1580" w:type="dxa"/>
            <w:vAlign w:val="bottom"/>
            <w:shd w:val="clear" w:color="auto" w:fill="DBE5F1"/>
          </w:tcPr>
          <w:p>
            <w:pPr>
              <w:jc w:val="right"/>
              <w:ind w:right="251"/>
              <w:spacing w:after="0"/>
              <w:rPr>
                <w:sz w:val="20"/>
                <w:szCs w:val="20"/>
                <w:color w:val="auto"/>
              </w:rPr>
            </w:pPr>
            <w:r>
              <w:rPr>
                <w:rFonts w:ascii="Arial" w:cs="Arial" w:eastAsia="Arial" w:hAnsi="Arial"/>
                <w:sz w:val="14"/>
                <w:szCs w:val="14"/>
                <w:color w:val="auto"/>
              </w:rPr>
              <w:t>$15,362</w:t>
            </w:r>
          </w:p>
        </w:tc>
        <w:tc>
          <w:tcPr>
            <w:tcW w:w="1140" w:type="dxa"/>
            <w:vAlign w:val="bottom"/>
            <w:shd w:val="clear" w:color="auto" w:fill="DBE5F1"/>
          </w:tcPr>
          <w:p>
            <w:pPr>
              <w:jc w:val="right"/>
              <w:ind w:right="28"/>
              <w:spacing w:after="0"/>
              <w:rPr>
                <w:sz w:val="20"/>
                <w:szCs w:val="20"/>
                <w:color w:val="auto"/>
              </w:rPr>
            </w:pPr>
            <w:r>
              <w:rPr>
                <w:rFonts w:ascii="Arial" w:cs="Arial" w:eastAsia="Arial" w:hAnsi="Arial"/>
                <w:sz w:val="14"/>
                <w:szCs w:val="14"/>
                <w:color w:val="auto"/>
              </w:rPr>
              <w:t>$9,035,984</w:t>
            </w:r>
          </w:p>
        </w:tc>
        <w:tc>
          <w:tcPr>
            <w:tcW w:w="0" w:type="dxa"/>
            <w:vAlign w:val="bottom"/>
          </w:tcPr>
          <w:p>
            <w:pPr>
              <w:spacing w:after="0"/>
              <w:rPr>
                <w:sz w:val="1"/>
                <w:szCs w:val="1"/>
                <w:color w:val="auto"/>
              </w:rPr>
            </w:pPr>
          </w:p>
        </w:tc>
      </w:tr>
      <w:tr>
        <w:trPr>
          <w:trHeight w:val="485"/>
        </w:trPr>
        <w:tc>
          <w:tcPr>
            <w:tcW w:w="2520" w:type="dxa"/>
            <w:vAlign w:val="bottom"/>
            <w:shd w:val="clear" w:color="auto" w:fill="DBE5F1"/>
          </w:tcPr>
          <w:p>
            <w:pPr>
              <w:spacing w:after="0"/>
              <w:rPr>
                <w:sz w:val="24"/>
                <w:szCs w:val="24"/>
                <w:color w:val="auto"/>
              </w:rPr>
            </w:pPr>
          </w:p>
        </w:tc>
        <w:tc>
          <w:tcPr>
            <w:tcW w:w="580" w:type="dxa"/>
            <w:vAlign w:val="bottom"/>
            <w:shd w:val="clear" w:color="auto" w:fill="DBE5F1"/>
          </w:tcPr>
          <w:p>
            <w:pPr>
              <w:jc w:val="right"/>
              <w:spacing w:after="0"/>
              <w:rPr>
                <w:sz w:val="20"/>
                <w:szCs w:val="20"/>
                <w:color w:val="auto"/>
              </w:rPr>
            </w:pPr>
            <w:r>
              <w:rPr>
                <w:rFonts w:ascii="Arial" w:cs="Arial" w:eastAsia="Arial" w:hAnsi="Arial"/>
                <w:sz w:val="14"/>
                <w:szCs w:val="14"/>
                <w:color w:val="auto"/>
              </w:rPr>
              <w:t>2013</w:t>
            </w:r>
          </w:p>
        </w:tc>
        <w:tc>
          <w:tcPr>
            <w:tcW w:w="1160" w:type="dxa"/>
            <w:vAlign w:val="bottom"/>
            <w:shd w:val="clear" w:color="auto" w:fill="DBE5F1"/>
          </w:tcPr>
          <w:p>
            <w:pPr>
              <w:ind w:left="500"/>
              <w:spacing w:after="0"/>
              <w:rPr>
                <w:sz w:val="20"/>
                <w:szCs w:val="20"/>
                <w:color w:val="auto"/>
              </w:rPr>
            </w:pPr>
            <w:r>
              <w:rPr>
                <w:rFonts w:ascii="Arial" w:cs="Arial" w:eastAsia="Arial" w:hAnsi="Arial"/>
                <w:sz w:val="14"/>
                <w:szCs w:val="14"/>
                <w:color w:val="auto"/>
              </w:rPr>
              <w:t>$561,267</w:t>
            </w:r>
          </w:p>
        </w:tc>
        <w:tc>
          <w:tcPr>
            <w:tcW w:w="1500" w:type="dxa"/>
            <w:vAlign w:val="bottom"/>
            <w:shd w:val="clear" w:color="auto" w:fill="DBE5F1"/>
          </w:tcPr>
          <w:p>
            <w:pPr>
              <w:jc w:val="right"/>
              <w:ind w:right="148"/>
              <w:spacing w:after="0"/>
              <w:rPr>
                <w:sz w:val="20"/>
                <w:szCs w:val="20"/>
                <w:color w:val="auto"/>
              </w:rPr>
            </w:pPr>
            <w:r>
              <w:rPr>
                <w:rFonts w:ascii="Arial" w:cs="Arial" w:eastAsia="Arial" w:hAnsi="Arial"/>
                <w:sz w:val="14"/>
                <w:szCs w:val="14"/>
                <w:color w:val="auto"/>
              </w:rPr>
              <w:t>$3,432,576</w:t>
            </w:r>
          </w:p>
        </w:tc>
        <w:tc>
          <w:tcPr>
            <w:tcW w:w="1280" w:type="dxa"/>
            <w:vAlign w:val="bottom"/>
            <w:shd w:val="clear" w:color="auto" w:fill="DBE5F1"/>
          </w:tcPr>
          <w:p>
            <w:pPr>
              <w:jc w:val="right"/>
              <w:ind w:right="148"/>
              <w:spacing w:after="0"/>
              <w:rPr>
                <w:sz w:val="20"/>
                <w:szCs w:val="20"/>
                <w:color w:val="auto"/>
              </w:rPr>
            </w:pPr>
            <w:r>
              <w:rPr>
                <w:rFonts w:ascii="Arial" w:cs="Arial" w:eastAsia="Arial" w:hAnsi="Arial"/>
                <w:sz w:val="14"/>
                <w:szCs w:val="14"/>
                <w:color w:val="auto"/>
              </w:rPr>
              <w:t>$1,919,830</w:t>
            </w:r>
          </w:p>
        </w:tc>
        <w:tc>
          <w:tcPr>
            <w:tcW w:w="1660" w:type="dxa"/>
            <w:vAlign w:val="bottom"/>
            <w:gridSpan w:val="2"/>
            <w:shd w:val="clear" w:color="auto" w:fill="DBE5F1"/>
          </w:tcPr>
          <w:p>
            <w:pPr>
              <w:jc w:val="right"/>
              <w:ind w:right="155"/>
              <w:spacing w:after="0"/>
              <w:rPr>
                <w:sz w:val="20"/>
                <w:szCs w:val="20"/>
                <w:color w:val="auto"/>
              </w:rPr>
            </w:pPr>
            <w:r>
              <w:rPr>
                <w:rFonts w:ascii="Arial" w:cs="Arial" w:eastAsia="Arial" w:hAnsi="Arial"/>
                <w:sz w:val="14"/>
                <w:szCs w:val="14"/>
                <w:color w:val="auto"/>
              </w:rPr>
              <w:t>$1,127,500</w:t>
            </w:r>
          </w:p>
        </w:tc>
        <w:tc>
          <w:tcPr>
            <w:tcW w:w="1580" w:type="dxa"/>
            <w:vAlign w:val="bottom"/>
            <w:shd w:val="clear" w:color="auto" w:fill="DBE5F1"/>
          </w:tcPr>
          <w:p>
            <w:pPr>
              <w:jc w:val="right"/>
              <w:ind w:right="251"/>
              <w:spacing w:after="0"/>
              <w:rPr>
                <w:sz w:val="20"/>
                <w:szCs w:val="20"/>
                <w:color w:val="auto"/>
              </w:rPr>
            </w:pPr>
            <w:r>
              <w:rPr>
                <w:rFonts w:ascii="Arial" w:cs="Arial" w:eastAsia="Arial" w:hAnsi="Arial"/>
                <w:sz w:val="14"/>
                <w:szCs w:val="14"/>
                <w:color w:val="auto"/>
              </w:rPr>
              <w:t>$20,677</w:t>
            </w:r>
          </w:p>
        </w:tc>
        <w:tc>
          <w:tcPr>
            <w:tcW w:w="1140" w:type="dxa"/>
            <w:vAlign w:val="bottom"/>
            <w:shd w:val="clear" w:color="auto" w:fill="DBE5F1"/>
          </w:tcPr>
          <w:p>
            <w:pPr>
              <w:jc w:val="right"/>
              <w:ind w:right="28"/>
              <w:spacing w:after="0"/>
              <w:rPr>
                <w:sz w:val="20"/>
                <w:szCs w:val="20"/>
                <w:color w:val="auto"/>
              </w:rPr>
            </w:pPr>
            <w:r>
              <w:rPr>
                <w:rFonts w:ascii="Arial" w:cs="Arial" w:eastAsia="Arial" w:hAnsi="Arial"/>
                <w:sz w:val="14"/>
                <w:szCs w:val="14"/>
                <w:color w:val="auto"/>
              </w:rPr>
              <w:t>$7,061,850</w:t>
            </w:r>
          </w:p>
        </w:tc>
        <w:tc>
          <w:tcPr>
            <w:tcW w:w="0" w:type="dxa"/>
            <w:vAlign w:val="bottom"/>
          </w:tcPr>
          <w:p>
            <w:pPr>
              <w:spacing w:after="0"/>
              <w:rPr>
                <w:sz w:val="1"/>
                <w:szCs w:val="1"/>
                <w:color w:val="auto"/>
              </w:rPr>
            </w:pPr>
          </w:p>
        </w:tc>
      </w:tr>
      <w:tr>
        <w:trPr>
          <w:trHeight w:val="257"/>
        </w:trPr>
        <w:tc>
          <w:tcPr>
            <w:tcW w:w="2520" w:type="dxa"/>
            <w:vAlign w:val="bottom"/>
            <w:shd w:val="clear" w:color="auto" w:fill="F2F2F2"/>
          </w:tcPr>
          <w:p>
            <w:pPr>
              <w:spacing w:after="0"/>
              <w:rPr>
                <w:sz w:val="22"/>
                <w:szCs w:val="22"/>
                <w:color w:val="auto"/>
              </w:rPr>
            </w:pPr>
          </w:p>
        </w:tc>
        <w:tc>
          <w:tcPr>
            <w:tcW w:w="580" w:type="dxa"/>
            <w:vAlign w:val="bottom"/>
            <w:shd w:val="clear" w:color="auto" w:fill="F2F2F2"/>
          </w:tcPr>
          <w:p>
            <w:pPr>
              <w:spacing w:after="0"/>
              <w:rPr>
                <w:sz w:val="22"/>
                <w:szCs w:val="22"/>
                <w:color w:val="auto"/>
              </w:rPr>
            </w:pPr>
          </w:p>
        </w:tc>
        <w:tc>
          <w:tcPr>
            <w:tcW w:w="1160" w:type="dxa"/>
            <w:vAlign w:val="bottom"/>
            <w:shd w:val="clear" w:color="auto" w:fill="F2F2F2"/>
          </w:tcPr>
          <w:p>
            <w:pPr>
              <w:spacing w:after="0"/>
              <w:rPr>
                <w:sz w:val="22"/>
                <w:szCs w:val="22"/>
                <w:color w:val="auto"/>
              </w:rPr>
            </w:pPr>
          </w:p>
        </w:tc>
        <w:tc>
          <w:tcPr>
            <w:tcW w:w="1500" w:type="dxa"/>
            <w:vAlign w:val="bottom"/>
            <w:shd w:val="clear" w:color="auto" w:fill="F2F2F2"/>
          </w:tcPr>
          <w:p>
            <w:pPr>
              <w:spacing w:after="0"/>
              <w:rPr>
                <w:sz w:val="22"/>
                <w:szCs w:val="22"/>
                <w:color w:val="auto"/>
              </w:rPr>
            </w:pPr>
          </w:p>
        </w:tc>
        <w:tc>
          <w:tcPr>
            <w:tcW w:w="1280" w:type="dxa"/>
            <w:vAlign w:val="bottom"/>
            <w:shd w:val="clear" w:color="auto" w:fill="F2F2F2"/>
          </w:tcPr>
          <w:p>
            <w:pPr>
              <w:spacing w:after="0"/>
              <w:rPr>
                <w:sz w:val="22"/>
                <w:szCs w:val="22"/>
                <w:color w:val="auto"/>
              </w:rPr>
            </w:pPr>
          </w:p>
        </w:tc>
        <w:tc>
          <w:tcPr>
            <w:tcW w:w="1660" w:type="dxa"/>
            <w:vAlign w:val="bottom"/>
            <w:gridSpan w:val="2"/>
            <w:shd w:val="clear" w:color="auto" w:fill="F2F2F2"/>
          </w:tcPr>
          <w:p>
            <w:pPr>
              <w:spacing w:after="0"/>
              <w:rPr>
                <w:sz w:val="22"/>
                <w:szCs w:val="22"/>
                <w:color w:val="auto"/>
              </w:rPr>
            </w:pPr>
          </w:p>
        </w:tc>
        <w:tc>
          <w:tcPr>
            <w:tcW w:w="1580" w:type="dxa"/>
            <w:vAlign w:val="bottom"/>
            <w:shd w:val="clear" w:color="auto" w:fill="F2F2F2"/>
          </w:tcPr>
          <w:p>
            <w:pPr>
              <w:spacing w:after="0"/>
              <w:rPr>
                <w:sz w:val="22"/>
                <w:szCs w:val="22"/>
                <w:color w:val="auto"/>
              </w:rPr>
            </w:pPr>
          </w:p>
        </w:tc>
        <w:tc>
          <w:tcPr>
            <w:tcW w:w="1140" w:type="dxa"/>
            <w:vAlign w:val="bottom"/>
            <w:shd w:val="clear" w:color="auto" w:fill="F2F2F2"/>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2520" w:type="dxa"/>
            <w:vAlign w:val="bottom"/>
            <w:shd w:val="clear" w:color="auto" w:fill="DBE5F1"/>
          </w:tcPr>
          <w:p>
            <w:pPr>
              <w:ind w:left="20"/>
              <w:spacing w:after="0"/>
              <w:rPr>
                <w:sz w:val="20"/>
                <w:szCs w:val="20"/>
                <w:color w:val="auto"/>
              </w:rPr>
            </w:pPr>
            <w:r>
              <w:rPr>
                <w:rFonts w:ascii="Arial" w:cs="Arial" w:eastAsia="Arial" w:hAnsi="Arial"/>
                <w:sz w:val="14"/>
                <w:szCs w:val="14"/>
                <w:b w:val="1"/>
                <w:bCs w:val="1"/>
                <w:color w:val="auto"/>
              </w:rPr>
              <w:t>Brian J. Radecki</w:t>
            </w:r>
          </w:p>
        </w:tc>
        <w:tc>
          <w:tcPr>
            <w:tcW w:w="580" w:type="dxa"/>
            <w:vAlign w:val="bottom"/>
            <w:shd w:val="clear" w:color="auto" w:fill="DBE5F1"/>
          </w:tcPr>
          <w:p>
            <w:pPr>
              <w:jc w:val="right"/>
              <w:spacing w:after="0"/>
              <w:rPr>
                <w:sz w:val="20"/>
                <w:szCs w:val="20"/>
                <w:color w:val="auto"/>
              </w:rPr>
            </w:pPr>
            <w:r>
              <w:rPr>
                <w:rFonts w:ascii="Arial" w:cs="Arial" w:eastAsia="Arial" w:hAnsi="Arial"/>
                <w:sz w:val="14"/>
                <w:szCs w:val="14"/>
                <w:color w:val="auto"/>
              </w:rPr>
              <w:t>2015</w:t>
            </w:r>
          </w:p>
        </w:tc>
        <w:tc>
          <w:tcPr>
            <w:tcW w:w="1160" w:type="dxa"/>
            <w:vAlign w:val="bottom"/>
            <w:shd w:val="clear" w:color="auto" w:fill="DBE5F1"/>
          </w:tcPr>
          <w:p>
            <w:pPr>
              <w:ind w:left="500"/>
              <w:spacing w:after="0"/>
              <w:rPr>
                <w:sz w:val="20"/>
                <w:szCs w:val="20"/>
                <w:color w:val="auto"/>
              </w:rPr>
            </w:pPr>
            <w:r>
              <w:rPr>
                <w:rFonts w:ascii="Arial" w:cs="Arial" w:eastAsia="Arial" w:hAnsi="Arial"/>
                <w:sz w:val="14"/>
                <w:szCs w:val="14"/>
                <w:color w:val="auto"/>
              </w:rPr>
              <w:t>$305,129</w:t>
            </w:r>
          </w:p>
        </w:tc>
        <w:tc>
          <w:tcPr>
            <w:tcW w:w="1500" w:type="dxa"/>
            <w:vAlign w:val="bottom"/>
            <w:shd w:val="clear" w:color="auto" w:fill="DBE5F1"/>
          </w:tcPr>
          <w:p>
            <w:pPr>
              <w:jc w:val="right"/>
              <w:ind w:right="148"/>
              <w:spacing w:after="0"/>
              <w:rPr>
                <w:sz w:val="20"/>
                <w:szCs w:val="20"/>
                <w:color w:val="auto"/>
              </w:rPr>
            </w:pPr>
            <w:r>
              <w:rPr>
                <w:rFonts w:ascii="Arial" w:cs="Arial" w:eastAsia="Arial" w:hAnsi="Arial"/>
                <w:sz w:val="14"/>
                <w:szCs w:val="14"/>
                <w:color w:val="auto"/>
              </w:rPr>
              <w:t>$2,636,981</w:t>
            </w:r>
          </w:p>
        </w:tc>
        <w:tc>
          <w:tcPr>
            <w:tcW w:w="1280" w:type="dxa"/>
            <w:vAlign w:val="bottom"/>
            <w:shd w:val="clear" w:color="auto" w:fill="DBE5F1"/>
          </w:tcPr>
          <w:p>
            <w:pPr>
              <w:jc w:val="right"/>
              <w:ind w:right="148"/>
              <w:spacing w:after="0"/>
              <w:rPr>
                <w:sz w:val="20"/>
                <w:szCs w:val="20"/>
                <w:color w:val="auto"/>
              </w:rPr>
            </w:pPr>
            <w:r>
              <w:rPr>
                <w:rFonts w:ascii="Arial" w:cs="Arial" w:eastAsia="Arial" w:hAnsi="Arial"/>
                <w:sz w:val="14"/>
                <w:szCs w:val="14"/>
                <w:color w:val="auto"/>
              </w:rPr>
              <w:t>$791,420</w:t>
            </w:r>
          </w:p>
        </w:tc>
        <w:tc>
          <w:tcPr>
            <w:tcW w:w="1660" w:type="dxa"/>
            <w:vAlign w:val="bottom"/>
            <w:gridSpan w:val="2"/>
            <w:shd w:val="clear" w:color="auto" w:fill="DBE5F1"/>
          </w:tcPr>
          <w:p>
            <w:pPr>
              <w:jc w:val="right"/>
              <w:ind w:right="155"/>
              <w:spacing w:after="0"/>
              <w:rPr>
                <w:sz w:val="20"/>
                <w:szCs w:val="20"/>
                <w:color w:val="auto"/>
              </w:rPr>
            </w:pPr>
            <w:r>
              <w:rPr>
                <w:rFonts w:ascii="Arial" w:cs="Arial" w:eastAsia="Arial" w:hAnsi="Arial"/>
                <w:sz w:val="14"/>
                <w:szCs w:val="14"/>
                <w:color w:val="auto"/>
              </w:rPr>
              <w:t>$0</w:t>
            </w:r>
          </w:p>
        </w:tc>
        <w:tc>
          <w:tcPr>
            <w:tcW w:w="1580" w:type="dxa"/>
            <w:vAlign w:val="bottom"/>
            <w:shd w:val="clear" w:color="auto" w:fill="DBE5F1"/>
          </w:tcPr>
          <w:p>
            <w:pPr>
              <w:jc w:val="right"/>
              <w:ind w:right="251"/>
              <w:spacing w:after="0"/>
              <w:rPr>
                <w:sz w:val="20"/>
                <w:szCs w:val="20"/>
                <w:color w:val="auto"/>
              </w:rPr>
            </w:pPr>
            <w:r>
              <w:rPr>
                <w:rFonts w:ascii="Arial" w:cs="Arial" w:eastAsia="Arial" w:hAnsi="Arial"/>
                <w:sz w:val="14"/>
                <w:szCs w:val="14"/>
                <w:color w:val="auto"/>
              </w:rPr>
              <w:t>$50,429</w:t>
            </w:r>
            <w:r>
              <w:rPr>
                <w:rFonts w:ascii="Arial" w:cs="Arial" w:eastAsia="Arial" w:hAnsi="Arial"/>
                <w:sz w:val="8"/>
                <w:szCs w:val="8"/>
                <w:color w:val="auto"/>
              </w:rPr>
              <w:t>(3b)</w:t>
            </w:r>
          </w:p>
        </w:tc>
        <w:tc>
          <w:tcPr>
            <w:tcW w:w="1140" w:type="dxa"/>
            <w:vAlign w:val="bottom"/>
            <w:shd w:val="clear" w:color="auto" w:fill="DBE5F1"/>
          </w:tcPr>
          <w:p>
            <w:pPr>
              <w:jc w:val="right"/>
              <w:ind w:right="28"/>
              <w:spacing w:after="0"/>
              <w:rPr>
                <w:sz w:val="20"/>
                <w:szCs w:val="20"/>
                <w:color w:val="auto"/>
              </w:rPr>
            </w:pPr>
            <w:r>
              <w:rPr>
                <w:rFonts w:ascii="Arial" w:cs="Arial" w:eastAsia="Arial" w:hAnsi="Arial"/>
                <w:sz w:val="14"/>
                <w:szCs w:val="14"/>
                <w:color w:val="auto"/>
              </w:rPr>
              <w:t>$3,783,959</w:t>
            </w:r>
          </w:p>
        </w:tc>
        <w:tc>
          <w:tcPr>
            <w:tcW w:w="0" w:type="dxa"/>
            <w:vAlign w:val="bottom"/>
          </w:tcPr>
          <w:p>
            <w:pPr>
              <w:spacing w:after="0"/>
              <w:rPr>
                <w:sz w:val="1"/>
                <w:szCs w:val="1"/>
                <w:color w:val="auto"/>
              </w:rPr>
            </w:pPr>
          </w:p>
        </w:tc>
      </w:tr>
      <w:tr>
        <w:trPr>
          <w:trHeight w:val="89"/>
        </w:trPr>
        <w:tc>
          <w:tcPr>
            <w:tcW w:w="2520" w:type="dxa"/>
            <w:vAlign w:val="bottom"/>
            <w:shd w:val="clear" w:color="auto" w:fill="DBE5F1"/>
          </w:tcPr>
          <w:p>
            <w:pPr>
              <w:ind w:left="60"/>
              <w:spacing w:after="0" w:line="90" w:lineRule="exact"/>
              <w:rPr>
                <w:sz w:val="20"/>
                <w:szCs w:val="20"/>
                <w:color w:val="auto"/>
              </w:rPr>
            </w:pPr>
            <w:r>
              <w:rPr>
                <w:rFonts w:ascii="Arial" w:cs="Arial" w:eastAsia="Arial" w:hAnsi="Arial"/>
                <w:sz w:val="10"/>
                <w:szCs w:val="10"/>
                <w:b w:val="1"/>
                <w:bCs w:val="1"/>
                <w:i w:val="1"/>
                <w:iCs w:val="1"/>
                <w:color w:val="auto"/>
              </w:rPr>
              <w:t>Former Chief Financial</w:t>
            </w:r>
          </w:p>
        </w:tc>
        <w:tc>
          <w:tcPr>
            <w:tcW w:w="580" w:type="dxa"/>
            <w:vAlign w:val="bottom"/>
            <w:shd w:val="clear" w:color="auto" w:fill="DBE5F1"/>
          </w:tcPr>
          <w:p>
            <w:pPr>
              <w:spacing w:after="0"/>
              <w:rPr>
                <w:sz w:val="7"/>
                <w:szCs w:val="7"/>
                <w:color w:val="auto"/>
              </w:rPr>
            </w:pPr>
          </w:p>
        </w:tc>
        <w:tc>
          <w:tcPr>
            <w:tcW w:w="1160" w:type="dxa"/>
            <w:vAlign w:val="bottom"/>
            <w:shd w:val="clear" w:color="auto" w:fill="DBE5F1"/>
          </w:tcPr>
          <w:p>
            <w:pPr>
              <w:spacing w:after="0"/>
              <w:rPr>
                <w:sz w:val="7"/>
                <w:szCs w:val="7"/>
                <w:color w:val="auto"/>
              </w:rPr>
            </w:pPr>
          </w:p>
        </w:tc>
        <w:tc>
          <w:tcPr>
            <w:tcW w:w="1500" w:type="dxa"/>
            <w:vAlign w:val="bottom"/>
            <w:shd w:val="clear" w:color="auto" w:fill="DBE5F1"/>
          </w:tcPr>
          <w:p>
            <w:pPr>
              <w:spacing w:after="0"/>
              <w:rPr>
                <w:sz w:val="7"/>
                <w:szCs w:val="7"/>
                <w:color w:val="auto"/>
              </w:rPr>
            </w:pPr>
          </w:p>
        </w:tc>
        <w:tc>
          <w:tcPr>
            <w:tcW w:w="1280" w:type="dxa"/>
            <w:vAlign w:val="bottom"/>
            <w:shd w:val="clear" w:color="auto" w:fill="DBE5F1"/>
          </w:tcPr>
          <w:p>
            <w:pPr>
              <w:spacing w:after="0"/>
              <w:rPr>
                <w:sz w:val="7"/>
                <w:szCs w:val="7"/>
                <w:color w:val="auto"/>
              </w:rPr>
            </w:pPr>
          </w:p>
        </w:tc>
        <w:tc>
          <w:tcPr>
            <w:tcW w:w="1360" w:type="dxa"/>
            <w:vAlign w:val="bottom"/>
            <w:shd w:val="clear" w:color="auto" w:fill="DBE5F1"/>
          </w:tcPr>
          <w:p>
            <w:pPr>
              <w:spacing w:after="0"/>
              <w:rPr>
                <w:sz w:val="7"/>
                <w:szCs w:val="7"/>
                <w:color w:val="auto"/>
              </w:rPr>
            </w:pPr>
          </w:p>
        </w:tc>
        <w:tc>
          <w:tcPr>
            <w:tcW w:w="300" w:type="dxa"/>
            <w:vAlign w:val="bottom"/>
            <w:shd w:val="clear" w:color="auto" w:fill="DBE5F1"/>
          </w:tcPr>
          <w:p>
            <w:pPr>
              <w:spacing w:after="0"/>
              <w:rPr>
                <w:sz w:val="7"/>
                <w:szCs w:val="7"/>
                <w:color w:val="auto"/>
              </w:rPr>
            </w:pPr>
          </w:p>
        </w:tc>
        <w:tc>
          <w:tcPr>
            <w:tcW w:w="1580" w:type="dxa"/>
            <w:vAlign w:val="bottom"/>
            <w:shd w:val="clear" w:color="auto" w:fill="DBE5F1"/>
          </w:tcPr>
          <w:p>
            <w:pPr>
              <w:spacing w:after="0"/>
              <w:rPr>
                <w:sz w:val="7"/>
                <w:szCs w:val="7"/>
                <w:color w:val="auto"/>
              </w:rPr>
            </w:pPr>
          </w:p>
        </w:tc>
        <w:tc>
          <w:tcPr>
            <w:tcW w:w="1140" w:type="dxa"/>
            <w:vAlign w:val="bottom"/>
            <w:shd w:val="clear" w:color="auto" w:fill="DBE5F1"/>
          </w:tcPr>
          <w:p>
            <w:pPr>
              <w:spacing w:after="0"/>
              <w:rPr>
                <w:sz w:val="7"/>
                <w:szCs w:val="7"/>
                <w:color w:val="auto"/>
              </w:rPr>
            </w:pPr>
          </w:p>
        </w:tc>
        <w:tc>
          <w:tcPr>
            <w:tcW w:w="0" w:type="dxa"/>
            <w:vAlign w:val="bottom"/>
          </w:tcPr>
          <w:p>
            <w:pPr>
              <w:spacing w:after="0"/>
              <w:rPr>
                <w:sz w:val="1"/>
                <w:szCs w:val="1"/>
                <w:color w:val="auto"/>
              </w:rPr>
            </w:pPr>
          </w:p>
        </w:tc>
      </w:tr>
      <w:tr>
        <w:trPr>
          <w:trHeight w:val="182"/>
        </w:trPr>
        <w:tc>
          <w:tcPr>
            <w:tcW w:w="2520" w:type="dxa"/>
            <w:vAlign w:val="bottom"/>
            <w:shd w:val="clear" w:color="auto" w:fill="DBE5F1"/>
          </w:tcPr>
          <w:p>
            <w:pPr>
              <w:ind w:left="60"/>
              <w:spacing w:after="0"/>
              <w:rPr>
                <w:sz w:val="20"/>
                <w:szCs w:val="20"/>
                <w:color w:val="auto"/>
              </w:rPr>
            </w:pPr>
            <w:r>
              <w:rPr>
                <w:rFonts w:ascii="Arial" w:cs="Arial" w:eastAsia="Arial" w:hAnsi="Arial"/>
                <w:sz w:val="14"/>
                <w:szCs w:val="14"/>
                <w:b w:val="1"/>
                <w:bCs w:val="1"/>
                <w:i w:val="1"/>
                <w:iCs w:val="1"/>
                <w:color w:val="auto"/>
              </w:rPr>
              <w:t>Officer</w:t>
            </w:r>
            <w:r>
              <w:rPr>
                <w:rFonts w:ascii="Arial" w:cs="Arial" w:eastAsia="Arial" w:hAnsi="Arial"/>
                <w:sz w:val="8"/>
                <w:szCs w:val="8"/>
                <w:b w:val="1"/>
                <w:bCs w:val="1"/>
                <w:color w:val="auto"/>
              </w:rPr>
              <w:t>(4)</w:t>
            </w:r>
          </w:p>
        </w:tc>
        <w:tc>
          <w:tcPr>
            <w:tcW w:w="580" w:type="dxa"/>
            <w:vAlign w:val="bottom"/>
            <w:shd w:val="clear" w:color="auto" w:fill="DBE5F1"/>
          </w:tcPr>
          <w:p>
            <w:pPr>
              <w:spacing w:after="0"/>
              <w:rPr>
                <w:sz w:val="15"/>
                <w:szCs w:val="15"/>
                <w:color w:val="auto"/>
              </w:rPr>
            </w:pPr>
          </w:p>
        </w:tc>
        <w:tc>
          <w:tcPr>
            <w:tcW w:w="1160" w:type="dxa"/>
            <w:vAlign w:val="bottom"/>
            <w:shd w:val="clear" w:color="auto" w:fill="DBE5F1"/>
          </w:tcPr>
          <w:p>
            <w:pPr>
              <w:spacing w:after="0"/>
              <w:rPr>
                <w:sz w:val="15"/>
                <w:szCs w:val="15"/>
                <w:color w:val="auto"/>
              </w:rPr>
            </w:pPr>
          </w:p>
        </w:tc>
        <w:tc>
          <w:tcPr>
            <w:tcW w:w="1500" w:type="dxa"/>
            <w:vAlign w:val="bottom"/>
            <w:shd w:val="clear" w:color="auto" w:fill="DBE5F1"/>
          </w:tcPr>
          <w:p>
            <w:pPr>
              <w:spacing w:after="0"/>
              <w:rPr>
                <w:sz w:val="15"/>
                <w:szCs w:val="15"/>
                <w:color w:val="auto"/>
              </w:rPr>
            </w:pPr>
          </w:p>
        </w:tc>
        <w:tc>
          <w:tcPr>
            <w:tcW w:w="1280" w:type="dxa"/>
            <w:vAlign w:val="bottom"/>
            <w:shd w:val="clear" w:color="auto" w:fill="DBE5F1"/>
          </w:tcPr>
          <w:p>
            <w:pPr>
              <w:spacing w:after="0"/>
              <w:rPr>
                <w:sz w:val="15"/>
                <w:szCs w:val="15"/>
                <w:color w:val="auto"/>
              </w:rPr>
            </w:pPr>
          </w:p>
        </w:tc>
        <w:tc>
          <w:tcPr>
            <w:tcW w:w="1360" w:type="dxa"/>
            <w:vAlign w:val="bottom"/>
            <w:shd w:val="clear" w:color="auto" w:fill="DBE5F1"/>
          </w:tcPr>
          <w:p>
            <w:pPr>
              <w:spacing w:after="0"/>
              <w:rPr>
                <w:sz w:val="15"/>
                <w:szCs w:val="15"/>
                <w:color w:val="auto"/>
              </w:rPr>
            </w:pPr>
          </w:p>
        </w:tc>
        <w:tc>
          <w:tcPr>
            <w:tcW w:w="300" w:type="dxa"/>
            <w:vAlign w:val="bottom"/>
            <w:shd w:val="clear" w:color="auto" w:fill="DBE5F1"/>
          </w:tcPr>
          <w:p>
            <w:pPr>
              <w:spacing w:after="0"/>
              <w:rPr>
                <w:sz w:val="15"/>
                <w:szCs w:val="15"/>
                <w:color w:val="auto"/>
              </w:rPr>
            </w:pPr>
          </w:p>
        </w:tc>
        <w:tc>
          <w:tcPr>
            <w:tcW w:w="1580" w:type="dxa"/>
            <w:vAlign w:val="bottom"/>
            <w:shd w:val="clear" w:color="auto" w:fill="DBE5F1"/>
          </w:tcPr>
          <w:p>
            <w:pPr>
              <w:spacing w:after="0"/>
              <w:rPr>
                <w:sz w:val="15"/>
                <w:szCs w:val="15"/>
                <w:color w:val="auto"/>
              </w:rPr>
            </w:pPr>
          </w:p>
        </w:tc>
        <w:tc>
          <w:tcPr>
            <w:tcW w:w="1140" w:type="dxa"/>
            <w:vAlign w:val="bottom"/>
            <w:shd w:val="clear" w:color="auto" w:fill="DBE5F1"/>
          </w:tcPr>
          <w:p>
            <w:pPr>
              <w:spacing w:after="0"/>
              <w:rPr>
                <w:sz w:val="15"/>
                <w:szCs w:val="15"/>
                <w:color w:val="auto"/>
              </w:rPr>
            </w:pPr>
          </w:p>
        </w:tc>
        <w:tc>
          <w:tcPr>
            <w:tcW w:w="0" w:type="dxa"/>
            <w:vAlign w:val="bottom"/>
          </w:tcPr>
          <w:p>
            <w:pPr>
              <w:spacing w:after="0"/>
              <w:rPr>
                <w:sz w:val="1"/>
                <w:szCs w:val="1"/>
                <w:color w:val="auto"/>
              </w:rPr>
            </w:pPr>
          </w:p>
        </w:tc>
      </w:tr>
      <w:tr>
        <w:trPr>
          <w:trHeight w:val="284"/>
        </w:trPr>
        <w:tc>
          <w:tcPr>
            <w:tcW w:w="2520" w:type="dxa"/>
            <w:vAlign w:val="bottom"/>
            <w:shd w:val="clear" w:color="auto" w:fill="DBE5F1"/>
          </w:tcPr>
          <w:p>
            <w:pPr>
              <w:spacing w:after="0"/>
              <w:rPr>
                <w:sz w:val="24"/>
                <w:szCs w:val="24"/>
                <w:color w:val="auto"/>
              </w:rPr>
            </w:pPr>
          </w:p>
        </w:tc>
        <w:tc>
          <w:tcPr>
            <w:tcW w:w="580" w:type="dxa"/>
            <w:vAlign w:val="bottom"/>
            <w:shd w:val="clear" w:color="auto" w:fill="DBE5F1"/>
          </w:tcPr>
          <w:p>
            <w:pPr>
              <w:jc w:val="right"/>
              <w:spacing w:after="0"/>
              <w:rPr>
                <w:sz w:val="20"/>
                <w:szCs w:val="20"/>
                <w:color w:val="auto"/>
              </w:rPr>
            </w:pPr>
            <w:r>
              <w:rPr>
                <w:rFonts w:ascii="Arial" w:cs="Arial" w:eastAsia="Arial" w:hAnsi="Arial"/>
                <w:sz w:val="14"/>
                <w:szCs w:val="14"/>
                <w:color w:val="auto"/>
              </w:rPr>
              <w:t>2014</w:t>
            </w:r>
          </w:p>
        </w:tc>
        <w:tc>
          <w:tcPr>
            <w:tcW w:w="1160" w:type="dxa"/>
            <w:vAlign w:val="bottom"/>
            <w:shd w:val="clear" w:color="auto" w:fill="DBE5F1"/>
          </w:tcPr>
          <w:p>
            <w:pPr>
              <w:ind w:left="500"/>
              <w:spacing w:after="0"/>
              <w:rPr>
                <w:sz w:val="20"/>
                <w:szCs w:val="20"/>
                <w:color w:val="auto"/>
              </w:rPr>
            </w:pPr>
            <w:r>
              <w:rPr>
                <w:rFonts w:ascii="Arial" w:cs="Arial" w:eastAsia="Arial" w:hAnsi="Arial"/>
                <w:sz w:val="14"/>
                <w:szCs w:val="14"/>
                <w:color w:val="auto"/>
              </w:rPr>
              <w:t>$372,175</w:t>
            </w:r>
          </w:p>
        </w:tc>
        <w:tc>
          <w:tcPr>
            <w:tcW w:w="1500" w:type="dxa"/>
            <w:vAlign w:val="bottom"/>
            <w:shd w:val="clear" w:color="auto" w:fill="DBE5F1"/>
          </w:tcPr>
          <w:p>
            <w:pPr>
              <w:jc w:val="right"/>
              <w:ind w:right="148"/>
              <w:spacing w:after="0"/>
              <w:rPr>
                <w:sz w:val="20"/>
                <w:szCs w:val="20"/>
                <w:color w:val="auto"/>
              </w:rPr>
            </w:pPr>
            <w:r>
              <w:rPr>
                <w:rFonts w:ascii="Arial" w:cs="Arial" w:eastAsia="Arial" w:hAnsi="Arial"/>
                <w:sz w:val="14"/>
                <w:szCs w:val="14"/>
                <w:color w:val="auto"/>
              </w:rPr>
              <w:t>$1,699,848</w:t>
            </w:r>
          </w:p>
        </w:tc>
        <w:tc>
          <w:tcPr>
            <w:tcW w:w="1280" w:type="dxa"/>
            <w:vAlign w:val="bottom"/>
            <w:shd w:val="clear" w:color="auto" w:fill="DBE5F1"/>
          </w:tcPr>
          <w:p>
            <w:pPr>
              <w:jc w:val="right"/>
              <w:ind w:right="148"/>
              <w:spacing w:after="0"/>
              <w:rPr>
                <w:sz w:val="20"/>
                <w:szCs w:val="20"/>
                <w:color w:val="auto"/>
              </w:rPr>
            </w:pPr>
            <w:r>
              <w:rPr>
                <w:rFonts w:ascii="Arial" w:cs="Arial" w:eastAsia="Arial" w:hAnsi="Arial"/>
                <w:sz w:val="14"/>
                <w:szCs w:val="14"/>
                <w:color w:val="auto"/>
              </w:rPr>
              <w:t>$645,132</w:t>
            </w:r>
          </w:p>
        </w:tc>
        <w:tc>
          <w:tcPr>
            <w:tcW w:w="1660" w:type="dxa"/>
            <w:vAlign w:val="bottom"/>
            <w:gridSpan w:val="2"/>
            <w:shd w:val="clear" w:color="auto" w:fill="DBE5F1"/>
          </w:tcPr>
          <w:p>
            <w:pPr>
              <w:jc w:val="right"/>
              <w:ind w:right="155"/>
              <w:spacing w:after="0"/>
              <w:rPr>
                <w:sz w:val="20"/>
                <w:szCs w:val="20"/>
                <w:color w:val="auto"/>
              </w:rPr>
            </w:pPr>
            <w:r>
              <w:rPr>
                <w:rFonts w:ascii="Arial" w:cs="Arial" w:eastAsia="Arial" w:hAnsi="Arial"/>
                <w:sz w:val="14"/>
                <w:szCs w:val="14"/>
                <w:color w:val="auto"/>
              </w:rPr>
              <w:t>$487,500</w:t>
            </w:r>
          </w:p>
        </w:tc>
        <w:tc>
          <w:tcPr>
            <w:tcW w:w="1580" w:type="dxa"/>
            <w:vAlign w:val="bottom"/>
            <w:shd w:val="clear" w:color="auto" w:fill="DBE5F1"/>
          </w:tcPr>
          <w:p>
            <w:pPr>
              <w:jc w:val="right"/>
              <w:ind w:right="251"/>
              <w:spacing w:after="0"/>
              <w:rPr>
                <w:sz w:val="20"/>
                <w:szCs w:val="20"/>
                <w:color w:val="auto"/>
              </w:rPr>
            </w:pPr>
            <w:r>
              <w:rPr>
                <w:rFonts w:ascii="Arial" w:cs="Arial" w:eastAsia="Arial" w:hAnsi="Arial"/>
                <w:sz w:val="14"/>
                <w:szCs w:val="14"/>
                <w:color w:val="auto"/>
              </w:rPr>
              <w:t>$14,733</w:t>
            </w:r>
          </w:p>
        </w:tc>
        <w:tc>
          <w:tcPr>
            <w:tcW w:w="1140" w:type="dxa"/>
            <w:vAlign w:val="bottom"/>
            <w:shd w:val="clear" w:color="auto" w:fill="DBE5F1"/>
          </w:tcPr>
          <w:p>
            <w:pPr>
              <w:jc w:val="right"/>
              <w:ind w:right="28"/>
              <w:spacing w:after="0"/>
              <w:rPr>
                <w:sz w:val="20"/>
                <w:szCs w:val="20"/>
                <w:color w:val="auto"/>
              </w:rPr>
            </w:pPr>
            <w:r>
              <w:rPr>
                <w:rFonts w:ascii="Arial" w:cs="Arial" w:eastAsia="Arial" w:hAnsi="Arial"/>
                <w:sz w:val="14"/>
                <w:szCs w:val="14"/>
                <w:color w:val="auto"/>
              </w:rPr>
              <w:t>$3,219,388</w:t>
            </w:r>
          </w:p>
        </w:tc>
        <w:tc>
          <w:tcPr>
            <w:tcW w:w="0" w:type="dxa"/>
            <w:vAlign w:val="bottom"/>
          </w:tcPr>
          <w:p>
            <w:pPr>
              <w:spacing w:after="0"/>
              <w:rPr>
                <w:sz w:val="1"/>
                <w:szCs w:val="1"/>
                <w:color w:val="auto"/>
              </w:rPr>
            </w:pPr>
          </w:p>
        </w:tc>
      </w:tr>
      <w:tr>
        <w:trPr>
          <w:trHeight w:val="485"/>
        </w:trPr>
        <w:tc>
          <w:tcPr>
            <w:tcW w:w="2520" w:type="dxa"/>
            <w:vAlign w:val="bottom"/>
            <w:shd w:val="clear" w:color="auto" w:fill="DBE5F1"/>
          </w:tcPr>
          <w:p>
            <w:pPr>
              <w:spacing w:after="0"/>
              <w:rPr>
                <w:sz w:val="24"/>
                <w:szCs w:val="24"/>
                <w:color w:val="auto"/>
              </w:rPr>
            </w:pPr>
          </w:p>
        </w:tc>
        <w:tc>
          <w:tcPr>
            <w:tcW w:w="580" w:type="dxa"/>
            <w:vAlign w:val="bottom"/>
            <w:shd w:val="clear" w:color="auto" w:fill="DBE5F1"/>
          </w:tcPr>
          <w:p>
            <w:pPr>
              <w:jc w:val="right"/>
              <w:spacing w:after="0"/>
              <w:rPr>
                <w:sz w:val="20"/>
                <w:szCs w:val="20"/>
                <w:color w:val="auto"/>
              </w:rPr>
            </w:pPr>
            <w:r>
              <w:rPr>
                <w:rFonts w:ascii="Arial" w:cs="Arial" w:eastAsia="Arial" w:hAnsi="Arial"/>
                <w:sz w:val="14"/>
                <w:szCs w:val="14"/>
                <w:color w:val="auto"/>
              </w:rPr>
              <w:t>2013</w:t>
            </w:r>
          </w:p>
        </w:tc>
        <w:tc>
          <w:tcPr>
            <w:tcW w:w="1160" w:type="dxa"/>
            <w:vAlign w:val="bottom"/>
            <w:shd w:val="clear" w:color="auto" w:fill="DBE5F1"/>
          </w:tcPr>
          <w:p>
            <w:pPr>
              <w:ind w:left="500"/>
              <w:spacing w:after="0"/>
              <w:rPr>
                <w:sz w:val="20"/>
                <w:szCs w:val="20"/>
                <w:color w:val="auto"/>
              </w:rPr>
            </w:pPr>
            <w:r>
              <w:rPr>
                <w:rFonts w:ascii="Arial" w:cs="Arial" w:eastAsia="Arial" w:hAnsi="Arial"/>
                <w:sz w:val="14"/>
                <w:szCs w:val="14"/>
                <w:color w:val="auto"/>
              </w:rPr>
              <w:t>$357,031</w:t>
            </w:r>
          </w:p>
        </w:tc>
        <w:tc>
          <w:tcPr>
            <w:tcW w:w="1500" w:type="dxa"/>
            <w:vAlign w:val="bottom"/>
            <w:shd w:val="clear" w:color="auto" w:fill="DBE5F1"/>
          </w:tcPr>
          <w:p>
            <w:pPr>
              <w:jc w:val="right"/>
              <w:ind w:right="148"/>
              <w:spacing w:after="0"/>
              <w:rPr>
                <w:sz w:val="20"/>
                <w:szCs w:val="20"/>
                <w:color w:val="auto"/>
              </w:rPr>
            </w:pPr>
            <w:r>
              <w:rPr>
                <w:rFonts w:ascii="Arial" w:cs="Arial" w:eastAsia="Arial" w:hAnsi="Arial"/>
                <w:sz w:val="14"/>
                <w:szCs w:val="14"/>
                <w:color w:val="auto"/>
              </w:rPr>
              <w:t>$827,496</w:t>
            </w:r>
          </w:p>
        </w:tc>
        <w:tc>
          <w:tcPr>
            <w:tcW w:w="1280" w:type="dxa"/>
            <w:vAlign w:val="bottom"/>
            <w:shd w:val="clear" w:color="auto" w:fill="DBE5F1"/>
          </w:tcPr>
          <w:p>
            <w:pPr>
              <w:jc w:val="right"/>
              <w:ind w:right="148"/>
              <w:spacing w:after="0"/>
              <w:rPr>
                <w:sz w:val="20"/>
                <w:szCs w:val="20"/>
                <w:color w:val="auto"/>
              </w:rPr>
            </w:pPr>
            <w:r>
              <w:rPr>
                <w:rFonts w:ascii="Arial" w:cs="Arial" w:eastAsia="Arial" w:hAnsi="Arial"/>
                <w:sz w:val="14"/>
                <w:szCs w:val="14"/>
                <w:color w:val="auto"/>
              </w:rPr>
              <w:t>$460,350</w:t>
            </w:r>
          </w:p>
        </w:tc>
        <w:tc>
          <w:tcPr>
            <w:tcW w:w="1660" w:type="dxa"/>
            <w:vAlign w:val="bottom"/>
            <w:gridSpan w:val="2"/>
            <w:shd w:val="clear" w:color="auto" w:fill="DBE5F1"/>
          </w:tcPr>
          <w:p>
            <w:pPr>
              <w:jc w:val="right"/>
              <w:ind w:right="155"/>
              <w:spacing w:after="0"/>
              <w:rPr>
                <w:sz w:val="20"/>
                <w:szCs w:val="20"/>
                <w:color w:val="auto"/>
              </w:rPr>
            </w:pPr>
            <w:r>
              <w:rPr>
                <w:rFonts w:ascii="Arial" w:cs="Arial" w:eastAsia="Arial" w:hAnsi="Arial"/>
                <w:sz w:val="14"/>
                <w:szCs w:val="14"/>
                <w:color w:val="auto"/>
              </w:rPr>
              <w:t>$454,716</w:t>
            </w:r>
          </w:p>
        </w:tc>
        <w:tc>
          <w:tcPr>
            <w:tcW w:w="1580" w:type="dxa"/>
            <w:vAlign w:val="bottom"/>
            <w:shd w:val="clear" w:color="auto" w:fill="DBE5F1"/>
          </w:tcPr>
          <w:p>
            <w:pPr>
              <w:jc w:val="right"/>
              <w:ind w:right="251"/>
              <w:spacing w:after="0"/>
              <w:rPr>
                <w:sz w:val="20"/>
                <w:szCs w:val="20"/>
                <w:color w:val="auto"/>
              </w:rPr>
            </w:pPr>
            <w:r>
              <w:rPr>
                <w:rFonts w:ascii="Arial" w:cs="Arial" w:eastAsia="Arial" w:hAnsi="Arial"/>
                <w:sz w:val="14"/>
                <w:szCs w:val="14"/>
                <w:color w:val="auto"/>
              </w:rPr>
              <w:t>$13,720</w:t>
            </w:r>
          </w:p>
        </w:tc>
        <w:tc>
          <w:tcPr>
            <w:tcW w:w="1140" w:type="dxa"/>
            <w:vAlign w:val="bottom"/>
            <w:shd w:val="clear" w:color="auto" w:fill="DBE5F1"/>
          </w:tcPr>
          <w:p>
            <w:pPr>
              <w:jc w:val="right"/>
              <w:ind w:right="28"/>
              <w:spacing w:after="0"/>
              <w:rPr>
                <w:sz w:val="20"/>
                <w:szCs w:val="20"/>
                <w:color w:val="auto"/>
              </w:rPr>
            </w:pPr>
            <w:r>
              <w:rPr>
                <w:rFonts w:ascii="Arial" w:cs="Arial" w:eastAsia="Arial" w:hAnsi="Arial"/>
                <w:sz w:val="14"/>
                <w:szCs w:val="14"/>
                <w:color w:val="auto"/>
              </w:rPr>
              <w:t>$2,113,313</w:t>
            </w:r>
          </w:p>
        </w:tc>
        <w:tc>
          <w:tcPr>
            <w:tcW w:w="0" w:type="dxa"/>
            <w:vAlign w:val="bottom"/>
          </w:tcPr>
          <w:p>
            <w:pPr>
              <w:spacing w:after="0"/>
              <w:rPr>
                <w:sz w:val="1"/>
                <w:szCs w:val="1"/>
                <w:color w:val="auto"/>
              </w:rPr>
            </w:pPr>
          </w:p>
        </w:tc>
      </w:tr>
      <w:tr>
        <w:trPr>
          <w:trHeight w:val="257"/>
        </w:trPr>
        <w:tc>
          <w:tcPr>
            <w:tcW w:w="2520" w:type="dxa"/>
            <w:vAlign w:val="bottom"/>
            <w:shd w:val="clear" w:color="auto" w:fill="F2F2F2"/>
          </w:tcPr>
          <w:p>
            <w:pPr>
              <w:spacing w:after="0"/>
              <w:rPr>
                <w:sz w:val="22"/>
                <w:szCs w:val="22"/>
                <w:color w:val="auto"/>
              </w:rPr>
            </w:pPr>
          </w:p>
        </w:tc>
        <w:tc>
          <w:tcPr>
            <w:tcW w:w="580" w:type="dxa"/>
            <w:vAlign w:val="bottom"/>
            <w:shd w:val="clear" w:color="auto" w:fill="F2F2F2"/>
          </w:tcPr>
          <w:p>
            <w:pPr>
              <w:spacing w:after="0"/>
              <w:rPr>
                <w:sz w:val="22"/>
                <w:szCs w:val="22"/>
                <w:color w:val="auto"/>
              </w:rPr>
            </w:pPr>
          </w:p>
        </w:tc>
        <w:tc>
          <w:tcPr>
            <w:tcW w:w="1160" w:type="dxa"/>
            <w:vAlign w:val="bottom"/>
            <w:shd w:val="clear" w:color="auto" w:fill="F2F2F2"/>
          </w:tcPr>
          <w:p>
            <w:pPr>
              <w:spacing w:after="0"/>
              <w:rPr>
                <w:sz w:val="22"/>
                <w:szCs w:val="22"/>
                <w:color w:val="auto"/>
              </w:rPr>
            </w:pPr>
          </w:p>
        </w:tc>
        <w:tc>
          <w:tcPr>
            <w:tcW w:w="1500" w:type="dxa"/>
            <w:vAlign w:val="bottom"/>
            <w:shd w:val="clear" w:color="auto" w:fill="F2F2F2"/>
          </w:tcPr>
          <w:p>
            <w:pPr>
              <w:spacing w:after="0"/>
              <w:rPr>
                <w:sz w:val="22"/>
                <w:szCs w:val="22"/>
                <w:color w:val="auto"/>
              </w:rPr>
            </w:pPr>
          </w:p>
        </w:tc>
        <w:tc>
          <w:tcPr>
            <w:tcW w:w="1280" w:type="dxa"/>
            <w:vAlign w:val="bottom"/>
            <w:shd w:val="clear" w:color="auto" w:fill="F2F2F2"/>
          </w:tcPr>
          <w:p>
            <w:pPr>
              <w:spacing w:after="0"/>
              <w:rPr>
                <w:sz w:val="22"/>
                <w:szCs w:val="22"/>
                <w:color w:val="auto"/>
              </w:rPr>
            </w:pPr>
          </w:p>
        </w:tc>
        <w:tc>
          <w:tcPr>
            <w:tcW w:w="1360" w:type="dxa"/>
            <w:vAlign w:val="bottom"/>
            <w:shd w:val="clear" w:color="auto" w:fill="F2F2F2"/>
          </w:tcPr>
          <w:p>
            <w:pPr>
              <w:spacing w:after="0"/>
              <w:rPr>
                <w:sz w:val="22"/>
                <w:szCs w:val="22"/>
                <w:color w:val="auto"/>
              </w:rPr>
            </w:pPr>
          </w:p>
        </w:tc>
        <w:tc>
          <w:tcPr>
            <w:tcW w:w="300" w:type="dxa"/>
            <w:vAlign w:val="bottom"/>
            <w:shd w:val="clear" w:color="auto" w:fill="F2F2F2"/>
          </w:tcPr>
          <w:p>
            <w:pPr>
              <w:spacing w:after="0"/>
              <w:rPr>
                <w:sz w:val="22"/>
                <w:szCs w:val="22"/>
                <w:color w:val="auto"/>
              </w:rPr>
            </w:pPr>
          </w:p>
        </w:tc>
        <w:tc>
          <w:tcPr>
            <w:tcW w:w="1580" w:type="dxa"/>
            <w:vAlign w:val="bottom"/>
            <w:shd w:val="clear" w:color="auto" w:fill="F2F2F2"/>
          </w:tcPr>
          <w:p>
            <w:pPr>
              <w:spacing w:after="0"/>
              <w:rPr>
                <w:sz w:val="22"/>
                <w:szCs w:val="22"/>
                <w:color w:val="auto"/>
              </w:rPr>
            </w:pPr>
          </w:p>
        </w:tc>
        <w:tc>
          <w:tcPr>
            <w:tcW w:w="1140" w:type="dxa"/>
            <w:vAlign w:val="bottom"/>
            <w:shd w:val="clear" w:color="auto" w:fill="F2F2F2"/>
          </w:tcPr>
          <w:p>
            <w:pPr>
              <w:spacing w:after="0"/>
              <w:rPr>
                <w:sz w:val="22"/>
                <w:szCs w:val="22"/>
                <w:color w:val="auto"/>
              </w:rPr>
            </w:pPr>
          </w:p>
        </w:tc>
        <w:tc>
          <w:tcPr>
            <w:tcW w:w="0" w:type="dxa"/>
            <w:vAlign w:val="bottom"/>
          </w:tcPr>
          <w:p>
            <w:pPr>
              <w:spacing w:after="0"/>
              <w:rPr>
                <w:sz w:val="1"/>
                <w:szCs w:val="1"/>
                <w:color w:val="auto"/>
              </w:rPr>
            </w:pPr>
          </w:p>
        </w:tc>
      </w:tr>
      <w:tr>
        <w:trPr>
          <w:trHeight w:val="170"/>
        </w:trPr>
        <w:tc>
          <w:tcPr>
            <w:tcW w:w="2520" w:type="dxa"/>
            <w:vAlign w:val="bottom"/>
            <w:shd w:val="clear" w:color="auto" w:fill="DBE5F1"/>
          </w:tcPr>
          <w:p>
            <w:pPr>
              <w:ind w:left="20"/>
              <w:spacing w:after="0"/>
              <w:rPr>
                <w:sz w:val="20"/>
                <w:szCs w:val="20"/>
                <w:color w:val="auto"/>
              </w:rPr>
            </w:pPr>
            <w:r>
              <w:rPr>
                <w:rFonts w:ascii="Arial" w:cs="Arial" w:eastAsia="Arial" w:hAnsi="Arial"/>
                <w:sz w:val="14"/>
                <w:szCs w:val="14"/>
                <w:b w:val="1"/>
                <w:bCs w:val="1"/>
                <w:color w:val="auto"/>
              </w:rPr>
              <w:t>Scott L. Yinger</w:t>
            </w:r>
          </w:p>
        </w:tc>
        <w:tc>
          <w:tcPr>
            <w:tcW w:w="580" w:type="dxa"/>
            <w:vAlign w:val="bottom"/>
            <w:shd w:val="clear" w:color="auto" w:fill="DBE5F1"/>
          </w:tcPr>
          <w:p>
            <w:pPr>
              <w:spacing w:after="0"/>
              <w:rPr>
                <w:sz w:val="14"/>
                <w:szCs w:val="14"/>
                <w:color w:val="auto"/>
              </w:rPr>
            </w:pPr>
          </w:p>
        </w:tc>
        <w:tc>
          <w:tcPr>
            <w:tcW w:w="1160" w:type="dxa"/>
            <w:vAlign w:val="bottom"/>
            <w:shd w:val="clear" w:color="auto" w:fill="DBE5F1"/>
          </w:tcPr>
          <w:p>
            <w:pPr>
              <w:spacing w:after="0"/>
              <w:rPr>
                <w:sz w:val="14"/>
                <w:szCs w:val="14"/>
                <w:color w:val="auto"/>
              </w:rPr>
            </w:pPr>
          </w:p>
        </w:tc>
        <w:tc>
          <w:tcPr>
            <w:tcW w:w="1500" w:type="dxa"/>
            <w:vAlign w:val="bottom"/>
            <w:shd w:val="clear" w:color="auto" w:fill="DBE5F1"/>
          </w:tcPr>
          <w:p>
            <w:pPr>
              <w:spacing w:after="0"/>
              <w:rPr>
                <w:sz w:val="14"/>
                <w:szCs w:val="14"/>
                <w:color w:val="auto"/>
              </w:rPr>
            </w:pPr>
          </w:p>
        </w:tc>
        <w:tc>
          <w:tcPr>
            <w:tcW w:w="1280" w:type="dxa"/>
            <w:vAlign w:val="bottom"/>
            <w:shd w:val="clear" w:color="auto" w:fill="DBE5F1"/>
          </w:tcPr>
          <w:p>
            <w:pPr>
              <w:spacing w:after="0"/>
              <w:rPr>
                <w:sz w:val="14"/>
                <w:szCs w:val="14"/>
                <w:color w:val="auto"/>
              </w:rPr>
            </w:pPr>
          </w:p>
        </w:tc>
        <w:tc>
          <w:tcPr>
            <w:tcW w:w="1360" w:type="dxa"/>
            <w:vAlign w:val="bottom"/>
            <w:shd w:val="clear" w:color="auto" w:fill="DBE5F1"/>
          </w:tcPr>
          <w:p>
            <w:pPr>
              <w:spacing w:after="0"/>
              <w:rPr>
                <w:sz w:val="14"/>
                <w:szCs w:val="14"/>
                <w:color w:val="auto"/>
              </w:rPr>
            </w:pPr>
          </w:p>
        </w:tc>
        <w:tc>
          <w:tcPr>
            <w:tcW w:w="300" w:type="dxa"/>
            <w:vAlign w:val="bottom"/>
            <w:shd w:val="clear" w:color="auto" w:fill="DBE5F1"/>
          </w:tcPr>
          <w:p>
            <w:pPr>
              <w:spacing w:after="0"/>
              <w:rPr>
                <w:sz w:val="14"/>
                <w:szCs w:val="14"/>
                <w:color w:val="auto"/>
              </w:rPr>
            </w:pPr>
          </w:p>
        </w:tc>
        <w:tc>
          <w:tcPr>
            <w:tcW w:w="1580" w:type="dxa"/>
            <w:vAlign w:val="bottom"/>
            <w:shd w:val="clear" w:color="auto" w:fill="DBE5F1"/>
          </w:tcPr>
          <w:p>
            <w:pPr>
              <w:spacing w:after="0"/>
              <w:rPr>
                <w:sz w:val="14"/>
                <w:szCs w:val="14"/>
                <w:color w:val="auto"/>
              </w:rPr>
            </w:pPr>
          </w:p>
        </w:tc>
        <w:tc>
          <w:tcPr>
            <w:tcW w:w="1140" w:type="dxa"/>
            <w:vAlign w:val="bottom"/>
            <w:shd w:val="clear" w:color="auto" w:fill="DBE5F1"/>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520" w:type="dxa"/>
            <w:vAlign w:val="bottom"/>
            <w:shd w:val="clear" w:color="auto" w:fill="DBE5F1"/>
          </w:tcPr>
          <w:p>
            <w:pPr>
              <w:ind w:left="60"/>
              <w:spacing w:after="0" w:line="149" w:lineRule="exact"/>
              <w:rPr>
                <w:sz w:val="20"/>
                <w:szCs w:val="20"/>
                <w:color w:val="auto"/>
              </w:rPr>
            </w:pPr>
            <w:r>
              <w:rPr>
                <w:rFonts w:ascii="Arial" w:cs="Arial" w:eastAsia="Arial" w:hAnsi="Arial"/>
                <w:sz w:val="14"/>
                <w:szCs w:val="14"/>
                <w:b w:val="1"/>
                <w:bCs w:val="1"/>
                <w:i w:val="1"/>
                <w:iCs w:val="1"/>
                <w:color w:val="auto"/>
              </w:rPr>
              <w:t>Interim Chief Financial</w:t>
            </w:r>
          </w:p>
        </w:tc>
        <w:tc>
          <w:tcPr>
            <w:tcW w:w="580" w:type="dxa"/>
            <w:vAlign w:val="bottom"/>
            <w:shd w:val="clear" w:color="auto" w:fill="DBE5F1"/>
          </w:tcPr>
          <w:p>
            <w:pPr>
              <w:spacing w:after="0"/>
              <w:rPr>
                <w:sz w:val="12"/>
                <w:szCs w:val="12"/>
                <w:color w:val="auto"/>
              </w:rPr>
            </w:pPr>
          </w:p>
        </w:tc>
        <w:tc>
          <w:tcPr>
            <w:tcW w:w="1160" w:type="dxa"/>
            <w:vAlign w:val="bottom"/>
            <w:shd w:val="clear" w:color="auto" w:fill="DBE5F1"/>
          </w:tcPr>
          <w:p>
            <w:pPr>
              <w:spacing w:after="0"/>
              <w:rPr>
                <w:sz w:val="12"/>
                <w:szCs w:val="12"/>
                <w:color w:val="auto"/>
              </w:rPr>
            </w:pPr>
          </w:p>
        </w:tc>
        <w:tc>
          <w:tcPr>
            <w:tcW w:w="1500" w:type="dxa"/>
            <w:vAlign w:val="bottom"/>
            <w:shd w:val="clear" w:color="auto" w:fill="DBE5F1"/>
          </w:tcPr>
          <w:p>
            <w:pPr>
              <w:spacing w:after="0"/>
              <w:rPr>
                <w:sz w:val="12"/>
                <w:szCs w:val="12"/>
                <w:color w:val="auto"/>
              </w:rPr>
            </w:pPr>
          </w:p>
        </w:tc>
        <w:tc>
          <w:tcPr>
            <w:tcW w:w="1280" w:type="dxa"/>
            <w:vAlign w:val="bottom"/>
            <w:shd w:val="clear" w:color="auto" w:fill="DBE5F1"/>
          </w:tcPr>
          <w:p>
            <w:pPr>
              <w:spacing w:after="0"/>
              <w:rPr>
                <w:sz w:val="12"/>
                <w:szCs w:val="12"/>
                <w:color w:val="auto"/>
              </w:rPr>
            </w:pPr>
          </w:p>
        </w:tc>
        <w:tc>
          <w:tcPr>
            <w:tcW w:w="1360" w:type="dxa"/>
            <w:vAlign w:val="bottom"/>
            <w:shd w:val="clear" w:color="auto" w:fill="DBE5F1"/>
          </w:tcPr>
          <w:p>
            <w:pPr>
              <w:spacing w:after="0"/>
              <w:rPr>
                <w:sz w:val="12"/>
                <w:szCs w:val="12"/>
                <w:color w:val="auto"/>
              </w:rPr>
            </w:pPr>
          </w:p>
        </w:tc>
        <w:tc>
          <w:tcPr>
            <w:tcW w:w="300" w:type="dxa"/>
            <w:vAlign w:val="bottom"/>
            <w:shd w:val="clear" w:color="auto" w:fill="DBE5F1"/>
          </w:tcPr>
          <w:p>
            <w:pPr>
              <w:spacing w:after="0"/>
              <w:rPr>
                <w:sz w:val="12"/>
                <w:szCs w:val="12"/>
                <w:color w:val="auto"/>
              </w:rPr>
            </w:pPr>
          </w:p>
        </w:tc>
        <w:tc>
          <w:tcPr>
            <w:tcW w:w="1580" w:type="dxa"/>
            <w:vAlign w:val="bottom"/>
            <w:shd w:val="clear" w:color="auto" w:fill="DBE5F1"/>
          </w:tcPr>
          <w:p>
            <w:pPr>
              <w:spacing w:after="0"/>
              <w:rPr>
                <w:sz w:val="12"/>
                <w:szCs w:val="12"/>
                <w:color w:val="auto"/>
              </w:rPr>
            </w:pPr>
          </w:p>
        </w:tc>
        <w:tc>
          <w:tcPr>
            <w:tcW w:w="1140" w:type="dxa"/>
            <w:vAlign w:val="bottom"/>
            <w:shd w:val="clear" w:color="auto" w:fill="DBE5F1"/>
          </w:tcPr>
          <w:p>
            <w:pPr>
              <w:spacing w:after="0"/>
              <w:rPr>
                <w:sz w:val="12"/>
                <w:szCs w:val="12"/>
                <w:color w:val="auto"/>
              </w:rPr>
            </w:pPr>
          </w:p>
        </w:tc>
        <w:tc>
          <w:tcPr>
            <w:tcW w:w="0" w:type="dxa"/>
            <w:vAlign w:val="bottom"/>
          </w:tcPr>
          <w:p>
            <w:pPr>
              <w:spacing w:after="0"/>
              <w:rPr>
                <w:sz w:val="1"/>
                <w:szCs w:val="1"/>
                <w:color w:val="auto"/>
              </w:rPr>
            </w:pPr>
          </w:p>
        </w:tc>
      </w:tr>
      <w:tr>
        <w:trPr>
          <w:trHeight w:val="194"/>
        </w:trPr>
        <w:tc>
          <w:tcPr>
            <w:tcW w:w="2520" w:type="dxa"/>
            <w:vAlign w:val="bottom"/>
            <w:shd w:val="clear" w:color="auto" w:fill="DBE5F1"/>
          </w:tcPr>
          <w:p>
            <w:pPr>
              <w:ind w:left="60"/>
              <w:spacing w:after="0"/>
              <w:rPr>
                <w:sz w:val="20"/>
                <w:szCs w:val="20"/>
                <w:color w:val="auto"/>
              </w:rPr>
            </w:pPr>
            <w:r>
              <w:rPr>
                <w:rFonts w:ascii="Arial" w:cs="Arial" w:eastAsia="Arial" w:hAnsi="Arial"/>
                <w:sz w:val="14"/>
                <w:szCs w:val="14"/>
                <w:b w:val="1"/>
                <w:bCs w:val="1"/>
                <w:i w:val="1"/>
                <w:iCs w:val="1"/>
                <w:color w:val="auto"/>
              </w:rPr>
              <w:t>Officer</w:t>
            </w:r>
            <w:r>
              <w:rPr>
                <w:rFonts w:ascii="Arial" w:cs="Arial" w:eastAsia="Arial" w:hAnsi="Arial"/>
                <w:sz w:val="8"/>
                <w:szCs w:val="8"/>
                <w:b w:val="1"/>
                <w:bCs w:val="1"/>
                <w:color w:val="auto"/>
              </w:rPr>
              <w:t>(5)</w:t>
            </w:r>
          </w:p>
        </w:tc>
        <w:tc>
          <w:tcPr>
            <w:tcW w:w="580" w:type="dxa"/>
            <w:vAlign w:val="bottom"/>
            <w:shd w:val="clear" w:color="auto" w:fill="DBE5F1"/>
          </w:tcPr>
          <w:p>
            <w:pPr>
              <w:jc w:val="right"/>
              <w:spacing w:after="0"/>
              <w:rPr>
                <w:sz w:val="20"/>
                <w:szCs w:val="20"/>
                <w:color w:val="auto"/>
              </w:rPr>
            </w:pPr>
            <w:r>
              <w:rPr>
                <w:rFonts w:ascii="Arial" w:cs="Arial" w:eastAsia="Arial" w:hAnsi="Arial"/>
                <w:sz w:val="14"/>
                <w:szCs w:val="14"/>
                <w:color w:val="auto"/>
              </w:rPr>
              <w:t>2015</w:t>
            </w:r>
          </w:p>
        </w:tc>
        <w:tc>
          <w:tcPr>
            <w:tcW w:w="1160" w:type="dxa"/>
            <w:vAlign w:val="bottom"/>
            <w:shd w:val="clear" w:color="auto" w:fill="DBE5F1"/>
          </w:tcPr>
          <w:p>
            <w:pPr>
              <w:ind w:left="500"/>
              <w:spacing w:after="0"/>
              <w:rPr>
                <w:sz w:val="20"/>
                <w:szCs w:val="20"/>
                <w:color w:val="auto"/>
              </w:rPr>
            </w:pPr>
            <w:r>
              <w:rPr>
                <w:rFonts w:ascii="Arial" w:cs="Arial" w:eastAsia="Arial" w:hAnsi="Arial"/>
                <w:sz w:val="14"/>
                <w:szCs w:val="14"/>
                <w:color w:val="auto"/>
              </w:rPr>
              <w:t>$298,610</w:t>
            </w:r>
          </w:p>
        </w:tc>
        <w:tc>
          <w:tcPr>
            <w:tcW w:w="1500" w:type="dxa"/>
            <w:vAlign w:val="bottom"/>
            <w:shd w:val="clear" w:color="auto" w:fill="DBE5F1"/>
          </w:tcPr>
          <w:p>
            <w:pPr>
              <w:jc w:val="right"/>
              <w:ind w:right="148"/>
              <w:spacing w:after="0"/>
              <w:rPr>
                <w:sz w:val="20"/>
                <w:szCs w:val="20"/>
                <w:color w:val="auto"/>
              </w:rPr>
            </w:pPr>
            <w:r>
              <w:rPr>
                <w:rFonts w:ascii="Arial" w:cs="Arial" w:eastAsia="Arial" w:hAnsi="Arial"/>
                <w:sz w:val="14"/>
                <w:szCs w:val="14"/>
                <w:color w:val="auto"/>
              </w:rPr>
              <w:t>$200,740</w:t>
            </w:r>
          </w:p>
        </w:tc>
        <w:tc>
          <w:tcPr>
            <w:tcW w:w="1280" w:type="dxa"/>
            <w:vAlign w:val="bottom"/>
            <w:shd w:val="clear" w:color="auto" w:fill="DBE5F1"/>
          </w:tcPr>
          <w:p>
            <w:pPr>
              <w:jc w:val="right"/>
              <w:ind w:right="148"/>
              <w:spacing w:after="0"/>
              <w:rPr>
                <w:sz w:val="20"/>
                <w:szCs w:val="20"/>
                <w:color w:val="auto"/>
              </w:rPr>
            </w:pPr>
            <w:r>
              <w:rPr>
                <w:rFonts w:ascii="Arial" w:cs="Arial" w:eastAsia="Arial" w:hAnsi="Arial"/>
                <w:sz w:val="14"/>
                <w:szCs w:val="14"/>
                <w:color w:val="auto"/>
              </w:rPr>
              <w:t>—</w:t>
            </w:r>
          </w:p>
        </w:tc>
        <w:tc>
          <w:tcPr>
            <w:tcW w:w="1660" w:type="dxa"/>
            <w:vAlign w:val="bottom"/>
            <w:gridSpan w:val="2"/>
            <w:shd w:val="clear" w:color="auto" w:fill="DBE5F1"/>
          </w:tcPr>
          <w:p>
            <w:pPr>
              <w:jc w:val="right"/>
              <w:ind w:right="155"/>
              <w:spacing w:after="0"/>
              <w:rPr>
                <w:sz w:val="20"/>
                <w:szCs w:val="20"/>
                <w:color w:val="auto"/>
              </w:rPr>
            </w:pPr>
            <w:r>
              <w:rPr>
                <w:rFonts w:ascii="Arial" w:cs="Arial" w:eastAsia="Arial" w:hAnsi="Arial"/>
                <w:sz w:val="14"/>
                <w:szCs w:val="14"/>
                <w:color w:val="auto"/>
              </w:rPr>
              <w:t>$116,355</w:t>
            </w:r>
          </w:p>
        </w:tc>
        <w:tc>
          <w:tcPr>
            <w:tcW w:w="1580" w:type="dxa"/>
            <w:vAlign w:val="bottom"/>
            <w:shd w:val="clear" w:color="auto" w:fill="DBE5F1"/>
          </w:tcPr>
          <w:p>
            <w:pPr>
              <w:jc w:val="right"/>
              <w:ind w:right="251"/>
              <w:spacing w:after="0"/>
              <w:rPr>
                <w:sz w:val="20"/>
                <w:szCs w:val="20"/>
                <w:color w:val="auto"/>
              </w:rPr>
            </w:pPr>
            <w:r>
              <w:rPr>
                <w:rFonts w:ascii="Arial" w:cs="Arial" w:eastAsia="Arial" w:hAnsi="Arial"/>
                <w:sz w:val="14"/>
                <w:szCs w:val="14"/>
                <w:color w:val="auto"/>
              </w:rPr>
              <w:t>$12,578</w:t>
            </w:r>
            <w:r>
              <w:rPr>
                <w:rFonts w:ascii="Arial" w:cs="Arial" w:eastAsia="Arial" w:hAnsi="Arial"/>
                <w:sz w:val="8"/>
                <w:szCs w:val="8"/>
                <w:color w:val="auto"/>
              </w:rPr>
              <w:t>(3c)</w:t>
            </w:r>
          </w:p>
        </w:tc>
        <w:tc>
          <w:tcPr>
            <w:tcW w:w="1140" w:type="dxa"/>
            <w:vAlign w:val="bottom"/>
            <w:shd w:val="clear" w:color="auto" w:fill="DBE5F1"/>
          </w:tcPr>
          <w:p>
            <w:pPr>
              <w:jc w:val="right"/>
              <w:ind w:right="28"/>
              <w:spacing w:after="0"/>
              <w:rPr>
                <w:sz w:val="20"/>
                <w:szCs w:val="20"/>
                <w:color w:val="auto"/>
              </w:rPr>
            </w:pPr>
            <w:r>
              <w:rPr>
                <w:rFonts w:ascii="Arial" w:cs="Arial" w:eastAsia="Arial" w:hAnsi="Arial"/>
                <w:sz w:val="14"/>
                <w:szCs w:val="14"/>
                <w:color w:val="auto"/>
              </w:rPr>
              <w:t>$628,283</w:t>
            </w:r>
          </w:p>
        </w:tc>
        <w:tc>
          <w:tcPr>
            <w:tcW w:w="0" w:type="dxa"/>
            <w:vAlign w:val="bottom"/>
          </w:tcPr>
          <w:p>
            <w:pPr>
              <w:spacing w:after="0"/>
              <w:rPr>
                <w:sz w:val="1"/>
                <w:szCs w:val="1"/>
                <w:color w:val="auto"/>
              </w:rPr>
            </w:pPr>
          </w:p>
        </w:tc>
      </w:tr>
      <w:tr>
        <w:trPr>
          <w:trHeight w:val="257"/>
        </w:trPr>
        <w:tc>
          <w:tcPr>
            <w:tcW w:w="2520" w:type="dxa"/>
            <w:vAlign w:val="bottom"/>
            <w:shd w:val="clear" w:color="auto" w:fill="F2F2F2"/>
          </w:tcPr>
          <w:p>
            <w:pPr>
              <w:spacing w:after="0"/>
              <w:rPr>
                <w:sz w:val="22"/>
                <w:szCs w:val="22"/>
                <w:color w:val="auto"/>
              </w:rPr>
            </w:pPr>
          </w:p>
        </w:tc>
        <w:tc>
          <w:tcPr>
            <w:tcW w:w="580" w:type="dxa"/>
            <w:vAlign w:val="bottom"/>
            <w:shd w:val="clear" w:color="auto" w:fill="F2F2F2"/>
          </w:tcPr>
          <w:p>
            <w:pPr>
              <w:spacing w:after="0"/>
              <w:rPr>
                <w:sz w:val="22"/>
                <w:szCs w:val="22"/>
                <w:color w:val="auto"/>
              </w:rPr>
            </w:pPr>
          </w:p>
        </w:tc>
        <w:tc>
          <w:tcPr>
            <w:tcW w:w="1160" w:type="dxa"/>
            <w:vAlign w:val="bottom"/>
            <w:shd w:val="clear" w:color="auto" w:fill="F2F2F2"/>
          </w:tcPr>
          <w:p>
            <w:pPr>
              <w:spacing w:after="0"/>
              <w:rPr>
                <w:sz w:val="22"/>
                <w:szCs w:val="22"/>
                <w:color w:val="auto"/>
              </w:rPr>
            </w:pPr>
          </w:p>
        </w:tc>
        <w:tc>
          <w:tcPr>
            <w:tcW w:w="1500" w:type="dxa"/>
            <w:vAlign w:val="bottom"/>
            <w:shd w:val="clear" w:color="auto" w:fill="F2F2F2"/>
          </w:tcPr>
          <w:p>
            <w:pPr>
              <w:spacing w:after="0"/>
              <w:rPr>
                <w:sz w:val="22"/>
                <w:szCs w:val="22"/>
                <w:color w:val="auto"/>
              </w:rPr>
            </w:pPr>
          </w:p>
        </w:tc>
        <w:tc>
          <w:tcPr>
            <w:tcW w:w="1280" w:type="dxa"/>
            <w:vAlign w:val="bottom"/>
            <w:shd w:val="clear" w:color="auto" w:fill="F2F2F2"/>
          </w:tcPr>
          <w:p>
            <w:pPr>
              <w:spacing w:after="0"/>
              <w:rPr>
                <w:sz w:val="22"/>
                <w:szCs w:val="22"/>
                <w:color w:val="auto"/>
              </w:rPr>
            </w:pPr>
          </w:p>
        </w:tc>
        <w:tc>
          <w:tcPr>
            <w:tcW w:w="1660" w:type="dxa"/>
            <w:vAlign w:val="bottom"/>
            <w:gridSpan w:val="2"/>
            <w:shd w:val="clear" w:color="auto" w:fill="F2F2F2"/>
          </w:tcPr>
          <w:p>
            <w:pPr>
              <w:spacing w:after="0"/>
              <w:rPr>
                <w:sz w:val="22"/>
                <w:szCs w:val="22"/>
                <w:color w:val="auto"/>
              </w:rPr>
            </w:pPr>
          </w:p>
        </w:tc>
        <w:tc>
          <w:tcPr>
            <w:tcW w:w="1580" w:type="dxa"/>
            <w:vAlign w:val="bottom"/>
            <w:shd w:val="clear" w:color="auto" w:fill="F2F2F2"/>
          </w:tcPr>
          <w:p>
            <w:pPr>
              <w:spacing w:after="0"/>
              <w:rPr>
                <w:sz w:val="22"/>
                <w:szCs w:val="22"/>
                <w:color w:val="auto"/>
              </w:rPr>
            </w:pPr>
          </w:p>
        </w:tc>
        <w:tc>
          <w:tcPr>
            <w:tcW w:w="1140" w:type="dxa"/>
            <w:vAlign w:val="bottom"/>
            <w:shd w:val="clear" w:color="auto" w:fill="F2F2F2"/>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2520" w:type="dxa"/>
            <w:vAlign w:val="bottom"/>
            <w:shd w:val="clear" w:color="auto" w:fill="DBE5F1"/>
          </w:tcPr>
          <w:p>
            <w:pPr>
              <w:ind w:left="20"/>
              <w:spacing w:after="0"/>
              <w:rPr>
                <w:sz w:val="20"/>
                <w:szCs w:val="20"/>
                <w:color w:val="auto"/>
              </w:rPr>
            </w:pPr>
            <w:r>
              <w:rPr>
                <w:rFonts w:ascii="Arial" w:cs="Arial" w:eastAsia="Arial" w:hAnsi="Arial"/>
                <w:sz w:val="14"/>
                <w:szCs w:val="14"/>
                <w:b w:val="1"/>
                <w:bCs w:val="1"/>
                <w:color w:val="auto"/>
              </w:rPr>
              <w:t>Francis A. Carchedi</w:t>
            </w:r>
          </w:p>
        </w:tc>
        <w:tc>
          <w:tcPr>
            <w:tcW w:w="580" w:type="dxa"/>
            <w:vAlign w:val="bottom"/>
            <w:shd w:val="clear" w:color="auto" w:fill="DBE5F1"/>
          </w:tcPr>
          <w:p>
            <w:pPr>
              <w:jc w:val="right"/>
              <w:spacing w:after="0"/>
              <w:rPr>
                <w:sz w:val="20"/>
                <w:szCs w:val="20"/>
                <w:color w:val="auto"/>
              </w:rPr>
            </w:pPr>
            <w:r>
              <w:rPr>
                <w:rFonts w:ascii="Arial" w:cs="Arial" w:eastAsia="Arial" w:hAnsi="Arial"/>
                <w:sz w:val="14"/>
                <w:szCs w:val="14"/>
                <w:color w:val="auto"/>
              </w:rPr>
              <w:t>2015</w:t>
            </w:r>
          </w:p>
        </w:tc>
        <w:tc>
          <w:tcPr>
            <w:tcW w:w="1160" w:type="dxa"/>
            <w:vAlign w:val="bottom"/>
            <w:shd w:val="clear" w:color="auto" w:fill="DBE5F1"/>
          </w:tcPr>
          <w:p>
            <w:pPr>
              <w:ind w:left="500"/>
              <w:spacing w:after="0"/>
              <w:rPr>
                <w:sz w:val="20"/>
                <w:szCs w:val="20"/>
                <w:color w:val="auto"/>
              </w:rPr>
            </w:pPr>
            <w:r>
              <w:rPr>
                <w:rFonts w:ascii="Arial" w:cs="Arial" w:eastAsia="Arial" w:hAnsi="Arial"/>
                <w:sz w:val="14"/>
                <w:szCs w:val="14"/>
                <w:color w:val="auto"/>
              </w:rPr>
              <w:t>$388,802</w:t>
            </w:r>
          </w:p>
        </w:tc>
        <w:tc>
          <w:tcPr>
            <w:tcW w:w="1500" w:type="dxa"/>
            <w:vAlign w:val="bottom"/>
            <w:shd w:val="clear" w:color="auto" w:fill="DBE5F1"/>
          </w:tcPr>
          <w:p>
            <w:pPr>
              <w:jc w:val="right"/>
              <w:ind w:right="148"/>
              <w:spacing w:after="0"/>
              <w:rPr>
                <w:sz w:val="20"/>
                <w:szCs w:val="20"/>
                <w:color w:val="auto"/>
              </w:rPr>
            </w:pPr>
            <w:r>
              <w:rPr>
                <w:rFonts w:ascii="Arial" w:cs="Arial" w:eastAsia="Arial" w:hAnsi="Arial"/>
                <w:sz w:val="14"/>
                <w:szCs w:val="14"/>
                <w:color w:val="auto"/>
              </w:rPr>
              <w:t>$1,617,660</w:t>
            </w:r>
          </w:p>
        </w:tc>
        <w:tc>
          <w:tcPr>
            <w:tcW w:w="1280" w:type="dxa"/>
            <w:vAlign w:val="bottom"/>
            <w:shd w:val="clear" w:color="auto" w:fill="DBE5F1"/>
          </w:tcPr>
          <w:p>
            <w:pPr>
              <w:jc w:val="right"/>
              <w:ind w:right="148"/>
              <w:spacing w:after="0"/>
              <w:rPr>
                <w:sz w:val="20"/>
                <w:szCs w:val="20"/>
                <w:color w:val="auto"/>
              </w:rPr>
            </w:pPr>
            <w:r>
              <w:rPr>
                <w:rFonts w:ascii="Arial" w:cs="Arial" w:eastAsia="Arial" w:hAnsi="Arial"/>
                <w:sz w:val="14"/>
                <w:szCs w:val="14"/>
                <w:color w:val="auto"/>
              </w:rPr>
              <w:t>$480,505</w:t>
            </w:r>
          </w:p>
        </w:tc>
        <w:tc>
          <w:tcPr>
            <w:tcW w:w="1660" w:type="dxa"/>
            <w:vAlign w:val="bottom"/>
            <w:gridSpan w:val="2"/>
            <w:shd w:val="clear" w:color="auto" w:fill="DBE5F1"/>
          </w:tcPr>
          <w:p>
            <w:pPr>
              <w:jc w:val="right"/>
              <w:ind w:right="155"/>
              <w:spacing w:after="0"/>
              <w:rPr>
                <w:sz w:val="20"/>
                <w:szCs w:val="20"/>
                <w:color w:val="auto"/>
              </w:rPr>
            </w:pPr>
            <w:r>
              <w:rPr>
                <w:rFonts w:ascii="Arial" w:cs="Arial" w:eastAsia="Arial" w:hAnsi="Arial"/>
                <w:sz w:val="14"/>
                <w:szCs w:val="14"/>
                <w:color w:val="auto"/>
              </w:rPr>
              <w:t>$357,750</w:t>
            </w:r>
          </w:p>
        </w:tc>
        <w:tc>
          <w:tcPr>
            <w:tcW w:w="1580" w:type="dxa"/>
            <w:vAlign w:val="bottom"/>
            <w:shd w:val="clear" w:color="auto" w:fill="DBE5F1"/>
          </w:tcPr>
          <w:p>
            <w:pPr>
              <w:jc w:val="right"/>
              <w:ind w:right="251"/>
              <w:spacing w:after="0"/>
              <w:rPr>
                <w:sz w:val="20"/>
                <w:szCs w:val="20"/>
                <w:color w:val="auto"/>
              </w:rPr>
            </w:pPr>
            <w:r>
              <w:rPr>
                <w:rFonts w:ascii="Arial" w:cs="Arial" w:eastAsia="Arial" w:hAnsi="Arial"/>
                <w:sz w:val="14"/>
                <w:szCs w:val="14"/>
                <w:color w:val="auto"/>
              </w:rPr>
              <w:t>$13,545</w:t>
            </w:r>
            <w:r>
              <w:rPr>
                <w:rFonts w:ascii="Arial" w:cs="Arial" w:eastAsia="Arial" w:hAnsi="Arial"/>
                <w:sz w:val="8"/>
                <w:szCs w:val="8"/>
                <w:color w:val="auto"/>
              </w:rPr>
              <w:t>(3d)</w:t>
            </w:r>
          </w:p>
        </w:tc>
        <w:tc>
          <w:tcPr>
            <w:tcW w:w="1140" w:type="dxa"/>
            <w:vAlign w:val="bottom"/>
            <w:shd w:val="clear" w:color="auto" w:fill="DBE5F1"/>
          </w:tcPr>
          <w:p>
            <w:pPr>
              <w:jc w:val="right"/>
              <w:ind w:right="28"/>
              <w:spacing w:after="0"/>
              <w:rPr>
                <w:sz w:val="20"/>
                <w:szCs w:val="20"/>
                <w:color w:val="auto"/>
              </w:rPr>
            </w:pPr>
            <w:r>
              <w:rPr>
                <w:rFonts w:ascii="Arial" w:cs="Arial" w:eastAsia="Arial" w:hAnsi="Arial"/>
                <w:sz w:val="14"/>
                <w:szCs w:val="14"/>
                <w:color w:val="auto"/>
              </w:rPr>
              <w:t>$2,858,262</w:t>
            </w:r>
          </w:p>
        </w:tc>
        <w:tc>
          <w:tcPr>
            <w:tcW w:w="0" w:type="dxa"/>
            <w:vAlign w:val="bottom"/>
          </w:tcPr>
          <w:p>
            <w:pPr>
              <w:spacing w:after="0"/>
              <w:rPr>
                <w:sz w:val="1"/>
                <w:szCs w:val="1"/>
                <w:color w:val="auto"/>
              </w:rPr>
            </w:pPr>
          </w:p>
        </w:tc>
      </w:tr>
      <w:tr>
        <w:trPr>
          <w:trHeight w:val="89"/>
        </w:trPr>
        <w:tc>
          <w:tcPr>
            <w:tcW w:w="2520" w:type="dxa"/>
            <w:vAlign w:val="bottom"/>
            <w:shd w:val="clear" w:color="auto" w:fill="DBE5F1"/>
          </w:tcPr>
          <w:p>
            <w:pPr>
              <w:ind w:left="60"/>
              <w:spacing w:after="0" w:line="90" w:lineRule="exact"/>
              <w:rPr>
                <w:sz w:val="20"/>
                <w:szCs w:val="20"/>
                <w:color w:val="auto"/>
              </w:rPr>
            </w:pPr>
            <w:r>
              <w:rPr>
                <w:rFonts w:ascii="Arial" w:cs="Arial" w:eastAsia="Arial" w:hAnsi="Arial"/>
                <w:sz w:val="10"/>
                <w:szCs w:val="10"/>
                <w:b w:val="1"/>
                <w:bCs w:val="1"/>
                <w:i w:val="1"/>
                <w:iCs w:val="1"/>
                <w:color w:val="auto"/>
              </w:rPr>
              <w:t>Executive Vice President,</w:t>
            </w:r>
          </w:p>
        </w:tc>
        <w:tc>
          <w:tcPr>
            <w:tcW w:w="580" w:type="dxa"/>
            <w:vAlign w:val="bottom"/>
            <w:shd w:val="clear" w:color="auto" w:fill="DBE5F1"/>
          </w:tcPr>
          <w:p>
            <w:pPr>
              <w:spacing w:after="0"/>
              <w:rPr>
                <w:sz w:val="7"/>
                <w:szCs w:val="7"/>
                <w:color w:val="auto"/>
              </w:rPr>
            </w:pPr>
          </w:p>
        </w:tc>
        <w:tc>
          <w:tcPr>
            <w:tcW w:w="1160" w:type="dxa"/>
            <w:vAlign w:val="bottom"/>
            <w:shd w:val="clear" w:color="auto" w:fill="DBE5F1"/>
          </w:tcPr>
          <w:p>
            <w:pPr>
              <w:spacing w:after="0"/>
              <w:rPr>
                <w:sz w:val="7"/>
                <w:szCs w:val="7"/>
                <w:color w:val="auto"/>
              </w:rPr>
            </w:pPr>
          </w:p>
        </w:tc>
        <w:tc>
          <w:tcPr>
            <w:tcW w:w="1500" w:type="dxa"/>
            <w:vAlign w:val="bottom"/>
            <w:shd w:val="clear" w:color="auto" w:fill="DBE5F1"/>
          </w:tcPr>
          <w:p>
            <w:pPr>
              <w:spacing w:after="0"/>
              <w:rPr>
                <w:sz w:val="7"/>
                <w:szCs w:val="7"/>
                <w:color w:val="auto"/>
              </w:rPr>
            </w:pPr>
          </w:p>
        </w:tc>
        <w:tc>
          <w:tcPr>
            <w:tcW w:w="1280" w:type="dxa"/>
            <w:vAlign w:val="bottom"/>
            <w:shd w:val="clear" w:color="auto" w:fill="DBE5F1"/>
          </w:tcPr>
          <w:p>
            <w:pPr>
              <w:spacing w:after="0"/>
              <w:rPr>
                <w:sz w:val="7"/>
                <w:szCs w:val="7"/>
                <w:color w:val="auto"/>
              </w:rPr>
            </w:pPr>
          </w:p>
        </w:tc>
        <w:tc>
          <w:tcPr>
            <w:tcW w:w="1360" w:type="dxa"/>
            <w:vAlign w:val="bottom"/>
            <w:shd w:val="clear" w:color="auto" w:fill="DBE5F1"/>
          </w:tcPr>
          <w:p>
            <w:pPr>
              <w:spacing w:after="0"/>
              <w:rPr>
                <w:sz w:val="7"/>
                <w:szCs w:val="7"/>
                <w:color w:val="auto"/>
              </w:rPr>
            </w:pPr>
          </w:p>
        </w:tc>
        <w:tc>
          <w:tcPr>
            <w:tcW w:w="300" w:type="dxa"/>
            <w:vAlign w:val="bottom"/>
            <w:shd w:val="clear" w:color="auto" w:fill="DBE5F1"/>
          </w:tcPr>
          <w:p>
            <w:pPr>
              <w:spacing w:after="0"/>
              <w:rPr>
                <w:sz w:val="7"/>
                <w:szCs w:val="7"/>
                <w:color w:val="auto"/>
              </w:rPr>
            </w:pPr>
          </w:p>
        </w:tc>
        <w:tc>
          <w:tcPr>
            <w:tcW w:w="1580" w:type="dxa"/>
            <w:vAlign w:val="bottom"/>
            <w:shd w:val="clear" w:color="auto" w:fill="DBE5F1"/>
          </w:tcPr>
          <w:p>
            <w:pPr>
              <w:spacing w:after="0"/>
              <w:rPr>
                <w:sz w:val="7"/>
                <w:szCs w:val="7"/>
                <w:color w:val="auto"/>
              </w:rPr>
            </w:pPr>
          </w:p>
        </w:tc>
        <w:tc>
          <w:tcPr>
            <w:tcW w:w="1140" w:type="dxa"/>
            <w:vAlign w:val="bottom"/>
            <w:shd w:val="clear" w:color="auto" w:fill="DBE5F1"/>
          </w:tcPr>
          <w:p>
            <w:pPr>
              <w:spacing w:after="0"/>
              <w:rPr>
                <w:sz w:val="7"/>
                <w:szCs w:val="7"/>
                <w:color w:val="auto"/>
              </w:rPr>
            </w:pPr>
          </w:p>
        </w:tc>
        <w:tc>
          <w:tcPr>
            <w:tcW w:w="0" w:type="dxa"/>
            <w:vAlign w:val="bottom"/>
          </w:tcPr>
          <w:p>
            <w:pPr>
              <w:spacing w:after="0"/>
              <w:rPr>
                <w:sz w:val="1"/>
                <w:szCs w:val="1"/>
                <w:color w:val="auto"/>
              </w:rPr>
            </w:pPr>
          </w:p>
        </w:tc>
      </w:tr>
      <w:tr>
        <w:trPr>
          <w:trHeight w:val="182"/>
        </w:trPr>
        <w:tc>
          <w:tcPr>
            <w:tcW w:w="2520" w:type="dxa"/>
            <w:vAlign w:val="bottom"/>
            <w:shd w:val="clear" w:color="auto" w:fill="DBE5F1"/>
          </w:tcPr>
          <w:p>
            <w:pPr>
              <w:ind w:left="60"/>
              <w:spacing w:after="0"/>
              <w:rPr>
                <w:sz w:val="20"/>
                <w:szCs w:val="20"/>
                <w:color w:val="auto"/>
              </w:rPr>
            </w:pPr>
            <w:r>
              <w:rPr>
                <w:rFonts w:ascii="Arial" w:cs="Arial" w:eastAsia="Arial" w:hAnsi="Arial"/>
                <w:sz w:val="14"/>
                <w:szCs w:val="14"/>
                <w:b w:val="1"/>
                <w:bCs w:val="1"/>
                <w:i w:val="1"/>
                <w:iCs w:val="1"/>
                <w:color w:val="auto"/>
              </w:rPr>
              <w:t>Corporate Development</w:t>
            </w:r>
          </w:p>
        </w:tc>
        <w:tc>
          <w:tcPr>
            <w:tcW w:w="580" w:type="dxa"/>
            <w:vAlign w:val="bottom"/>
            <w:shd w:val="clear" w:color="auto" w:fill="DBE5F1"/>
          </w:tcPr>
          <w:p>
            <w:pPr>
              <w:spacing w:after="0"/>
              <w:rPr>
                <w:sz w:val="15"/>
                <w:szCs w:val="15"/>
                <w:color w:val="auto"/>
              </w:rPr>
            </w:pPr>
          </w:p>
        </w:tc>
        <w:tc>
          <w:tcPr>
            <w:tcW w:w="1160" w:type="dxa"/>
            <w:vAlign w:val="bottom"/>
            <w:shd w:val="clear" w:color="auto" w:fill="DBE5F1"/>
          </w:tcPr>
          <w:p>
            <w:pPr>
              <w:spacing w:after="0"/>
              <w:rPr>
                <w:sz w:val="15"/>
                <w:szCs w:val="15"/>
                <w:color w:val="auto"/>
              </w:rPr>
            </w:pPr>
          </w:p>
        </w:tc>
        <w:tc>
          <w:tcPr>
            <w:tcW w:w="1500" w:type="dxa"/>
            <w:vAlign w:val="bottom"/>
            <w:shd w:val="clear" w:color="auto" w:fill="DBE5F1"/>
          </w:tcPr>
          <w:p>
            <w:pPr>
              <w:spacing w:after="0"/>
              <w:rPr>
                <w:sz w:val="15"/>
                <w:szCs w:val="15"/>
                <w:color w:val="auto"/>
              </w:rPr>
            </w:pPr>
          </w:p>
        </w:tc>
        <w:tc>
          <w:tcPr>
            <w:tcW w:w="1280" w:type="dxa"/>
            <w:vAlign w:val="bottom"/>
            <w:shd w:val="clear" w:color="auto" w:fill="DBE5F1"/>
          </w:tcPr>
          <w:p>
            <w:pPr>
              <w:spacing w:after="0"/>
              <w:rPr>
                <w:sz w:val="15"/>
                <w:szCs w:val="15"/>
                <w:color w:val="auto"/>
              </w:rPr>
            </w:pPr>
          </w:p>
        </w:tc>
        <w:tc>
          <w:tcPr>
            <w:tcW w:w="1360" w:type="dxa"/>
            <w:vAlign w:val="bottom"/>
            <w:shd w:val="clear" w:color="auto" w:fill="DBE5F1"/>
          </w:tcPr>
          <w:p>
            <w:pPr>
              <w:spacing w:after="0"/>
              <w:rPr>
                <w:sz w:val="15"/>
                <w:szCs w:val="15"/>
                <w:color w:val="auto"/>
              </w:rPr>
            </w:pPr>
          </w:p>
        </w:tc>
        <w:tc>
          <w:tcPr>
            <w:tcW w:w="300" w:type="dxa"/>
            <w:vAlign w:val="bottom"/>
            <w:shd w:val="clear" w:color="auto" w:fill="DBE5F1"/>
          </w:tcPr>
          <w:p>
            <w:pPr>
              <w:spacing w:after="0"/>
              <w:rPr>
                <w:sz w:val="15"/>
                <w:szCs w:val="15"/>
                <w:color w:val="auto"/>
              </w:rPr>
            </w:pPr>
          </w:p>
        </w:tc>
        <w:tc>
          <w:tcPr>
            <w:tcW w:w="1580" w:type="dxa"/>
            <w:vAlign w:val="bottom"/>
            <w:shd w:val="clear" w:color="auto" w:fill="DBE5F1"/>
          </w:tcPr>
          <w:p>
            <w:pPr>
              <w:spacing w:after="0"/>
              <w:rPr>
                <w:sz w:val="15"/>
                <w:szCs w:val="15"/>
                <w:color w:val="auto"/>
              </w:rPr>
            </w:pPr>
          </w:p>
        </w:tc>
        <w:tc>
          <w:tcPr>
            <w:tcW w:w="1140" w:type="dxa"/>
            <w:vAlign w:val="bottom"/>
            <w:shd w:val="clear" w:color="auto" w:fill="DBE5F1"/>
          </w:tcPr>
          <w:p>
            <w:pPr>
              <w:spacing w:after="0"/>
              <w:rPr>
                <w:sz w:val="15"/>
                <w:szCs w:val="15"/>
                <w:color w:val="auto"/>
              </w:rPr>
            </w:pPr>
          </w:p>
        </w:tc>
        <w:tc>
          <w:tcPr>
            <w:tcW w:w="0" w:type="dxa"/>
            <w:vAlign w:val="bottom"/>
          </w:tcPr>
          <w:p>
            <w:pPr>
              <w:spacing w:after="0"/>
              <w:rPr>
                <w:sz w:val="1"/>
                <w:szCs w:val="1"/>
                <w:color w:val="auto"/>
              </w:rPr>
            </w:pPr>
          </w:p>
        </w:tc>
      </w:tr>
      <w:tr>
        <w:trPr>
          <w:trHeight w:val="284"/>
        </w:trPr>
        <w:tc>
          <w:tcPr>
            <w:tcW w:w="2520" w:type="dxa"/>
            <w:vAlign w:val="bottom"/>
            <w:shd w:val="clear" w:color="auto" w:fill="DBE5F1"/>
          </w:tcPr>
          <w:p>
            <w:pPr>
              <w:spacing w:after="0"/>
              <w:rPr>
                <w:sz w:val="24"/>
                <w:szCs w:val="24"/>
                <w:color w:val="auto"/>
              </w:rPr>
            </w:pPr>
          </w:p>
        </w:tc>
        <w:tc>
          <w:tcPr>
            <w:tcW w:w="580" w:type="dxa"/>
            <w:vAlign w:val="bottom"/>
            <w:shd w:val="clear" w:color="auto" w:fill="DBE5F1"/>
          </w:tcPr>
          <w:p>
            <w:pPr>
              <w:jc w:val="right"/>
              <w:spacing w:after="0"/>
              <w:rPr>
                <w:sz w:val="20"/>
                <w:szCs w:val="20"/>
                <w:color w:val="auto"/>
              </w:rPr>
            </w:pPr>
            <w:r>
              <w:rPr>
                <w:rFonts w:ascii="Arial" w:cs="Arial" w:eastAsia="Arial" w:hAnsi="Arial"/>
                <w:sz w:val="14"/>
                <w:szCs w:val="14"/>
                <w:color w:val="auto"/>
              </w:rPr>
              <w:t>2014</w:t>
            </w:r>
          </w:p>
        </w:tc>
        <w:tc>
          <w:tcPr>
            <w:tcW w:w="1160" w:type="dxa"/>
            <w:vAlign w:val="bottom"/>
            <w:shd w:val="clear" w:color="auto" w:fill="DBE5F1"/>
          </w:tcPr>
          <w:p>
            <w:pPr>
              <w:ind w:left="500"/>
              <w:spacing w:after="0"/>
              <w:rPr>
                <w:sz w:val="20"/>
                <w:szCs w:val="20"/>
                <w:color w:val="auto"/>
              </w:rPr>
            </w:pPr>
            <w:r>
              <w:rPr>
                <w:rFonts w:ascii="Arial" w:cs="Arial" w:eastAsia="Arial" w:hAnsi="Arial"/>
                <w:sz w:val="14"/>
                <w:szCs w:val="14"/>
                <w:color w:val="auto"/>
              </w:rPr>
              <w:t>$349,752</w:t>
            </w:r>
          </w:p>
        </w:tc>
        <w:tc>
          <w:tcPr>
            <w:tcW w:w="1500" w:type="dxa"/>
            <w:vAlign w:val="bottom"/>
            <w:shd w:val="clear" w:color="auto" w:fill="DBE5F1"/>
          </w:tcPr>
          <w:p>
            <w:pPr>
              <w:jc w:val="right"/>
              <w:ind w:right="148"/>
              <w:spacing w:after="0"/>
              <w:rPr>
                <w:sz w:val="20"/>
                <w:szCs w:val="20"/>
                <w:color w:val="auto"/>
              </w:rPr>
            </w:pPr>
            <w:r>
              <w:rPr>
                <w:rFonts w:ascii="Arial" w:cs="Arial" w:eastAsia="Arial" w:hAnsi="Arial"/>
                <w:sz w:val="14"/>
                <w:szCs w:val="14"/>
                <w:color w:val="auto"/>
              </w:rPr>
              <w:t>$1,700,474</w:t>
            </w:r>
          </w:p>
        </w:tc>
        <w:tc>
          <w:tcPr>
            <w:tcW w:w="1280" w:type="dxa"/>
            <w:vAlign w:val="bottom"/>
            <w:shd w:val="clear" w:color="auto" w:fill="DBE5F1"/>
          </w:tcPr>
          <w:p>
            <w:pPr>
              <w:jc w:val="right"/>
              <w:ind w:right="148"/>
              <w:spacing w:after="0"/>
              <w:rPr>
                <w:sz w:val="20"/>
                <w:szCs w:val="20"/>
                <w:color w:val="auto"/>
              </w:rPr>
            </w:pPr>
            <w:r>
              <w:rPr>
                <w:rFonts w:ascii="Arial" w:cs="Arial" w:eastAsia="Arial" w:hAnsi="Arial"/>
                <w:sz w:val="14"/>
                <w:szCs w:val="14"/>
                <w:color w:val="auto"/>
              </w:rPr>
              <w:t>$645,132</w:t>
            </w:r>
          </w:p>
        </w:tc>
        <w:tc>
          <w:tcPr>
            <w:tcW w:w="1660" w:type="dxa"/>
            <w:vAlign w:val="bottom"/>
            <w:gridSpan w:val="2"/>
            <w:shd w:val="clear" w:color="auto" w:fill="DBE5F1"/>
          </w:tcPr>
          <w:p>
            <w:pPr>
              <w:jc w:val="right"/>
              <w:ind w:right="155"/>
              <w:spacing w:after="0"/>
              <w:rPr>
                <w:sz w:val="20"/>
                <w:szCs w:val="20"/>
                <w:color w:val="auto"/>
              </w:rPr>
            </w:pPr>
            <w:r>
              <w:rPr>
                <w:rFonts w:ascii="Arial" w:cs="Arial" w:eastAsia="Arial" w:hAnsi="Arial"/>
                <w:sz w:val="14"/>
                <w:szCs w:val="14"/>
                <w:color w:val="auto"/>
              </w:rPr>
              <w:t>$432,000</w:t>
            </w:r>
          </w:p>
        </w:tc>
        <w:tc>
          <w:tcPr>
            <w:tcW w:w="1580" w:type="dxa"/>
            <w:vAlign w:val="bottom"/>
            <w:shd w:val="clear" w:color="auto" w:fill="DBE5F1"/>
          </w:tcPr>
          <w:p>
            <w:pPr>
              <w:jc w:val="right"/>
              <w:ind w:right="251"/>
              <w:spacing w:after="0"/>
              <w:rPr>
                <w:sz w:val="20"/>
                <w:szCs w:val="20"/>
                <w:color w:val="auto"/>
              </w:rPr>
            </w:pPr>
            <w:r>
              <w:rPr>
                <w:rFonts w:ascii="Arial" w:cs="Arial" w:eastAsia="Arial" w:hAnsi="Arial"/>
                <w:sz w:val="14"/>
                <w:szCs w:val="14"/>
                <w:color w:val="auto"/>
              </w:rPr>
              <w:t>$15,382</w:t>
            </w:r>
          </w:p>
        </w:tc>
        <w:tc>
          <w:tcPr>
            <w:tcW w:w="1140" w:type="dxa"/>
            <w:vAlign w:val="bottom"/>
            <w:shd w:val="clear" w:color="auto" w:fill="DBE5F1"/>
          </w:tcPr>
          <w:p>
            <w:pPr>
              <w:jc w:val="right"/>
              <w:ind w:right="28"/>
              <w:spacing w:after="0"/>
              <w:rPr>
                <w:sz w:val="20"/>
                <w:szCs w:val="20"/>
                <w:color w:val="auto"/>
              </w:rPr>
            </w:pPr>
            <w:r>
              <w:rPr>
                <w:rFonts w:ascii="Arial" w:cs="Arial" w:eastAsia="Arial" w:hAnsi="Arial"/>
                <w:sz w:val="14"/>
                <w:szCs w:val="14"/>
                <w:color w:val="auto"/>
              </w:rPr>
              <w:t>$3,142,740</w:t>
            </w:r>
          </w:p>
        </w:tc>
        <w:tc>
          <w:tcPr>
            <w:tcW w:w="0" w:type="dxa"/>
            <w:vAlign w:val="bottom"/>
          </w:tcPr>
          <w:p>
            <w:pPr>
              <w:spacing w:after="0"/>
              <w:rPr>
                <w:sz w:val="1"/>
                <w:szCs w:val="1"/>
                <w:color w:val="auto"/>
              </w:rPr>
            </w:pPr>
          </w:p>
        </w:tc>
      </w:tr>
      <w:tr>
        <w:trPr>
          <w:trHeight w:val="498"/>
        </w:trPr>
        <w:tc>
          <w:tcPr>
            <w:tcW w:w="2520" w:type="dxa"/>
            <w:vAlign w:val="bottom"/>
            <w:shd w:val="clear" w:color="auto" w:fill="DBE5F1"/>
          </w:tcPr>
          <w:p>
            <w:pPr>
              <w:spacing w:after="0"/>
              <w:rPr>
                <w:sz w:val="24"/>
                <w:szCs w:val="24"/>
                <w:color w:val="auto"/>
              </w:rPr>
            </w:pPr>
          </w:p>
        </w:tc>
        <w:tc>
          <w:tcPr>
            <w:tcW w:w="580" w:type="dxa"/>
            <w:vAlign w:val="bottom"/>
            <w:shd w:val="clear" w:color="auto" w:fill="DBE5F1"/>
          </w:tcPr>
          <w:p>
            <w:pPr>
              <w:jc w:val="right"/>
              <w:spacing w:after="0"/>
              <w:rPr>
                <w:sz w:val="20"/>
                <w:szCs w:val="20"/>
                <w:color w:val="auto"/>
              </w:rPr>
            </w:pPr>
            <w:r>
              <w:rPr>
                <w:rFonts w:ascii="Arial" w:cs="Arial" w:eastAsia="Arial" w:hAnsi="Arial"/>
                <w:sz w:val="14"/>
                <w:szCs w:val="14"/>
                <w:color w:val="auto"/>
              </w:rPr>
              <w:t>2013</w:t>
            </w:r>
          </w:p>
        </w:tc>
        <w:tc>
          <w:tcPr>
            <w:tcW w:w="1160" w:type="dxa"/>
            <w:vAlign w:val="bottom"/>
            <w:shd w:val="clear" w:color="auto" w:fill="DBE5F1"/>
          </w:tcPr>
          <w:p>
            <w:pPr>
              <w:ind w:left="500"/>
              <w:spacing w:after="0"/>
              <w:rPr>
                <w:sz w:val="20"/>
                <w:szCs w:val="20"/>
                <w:color w:val="auto"/>
              </w:rPr>
            </w:pPr>
            <w:r>
              <w:rPr>
                <w:rFonts w:ascii="Arial" w:cs="Arial" w:eastAsia="Arial" w:hAnsi="Arial"/>
                <w:sz w:val="14"/>
                <w:szCs w:val="14"/>
                <w:color w:val="auto"/>
              </w:rPr>
              <w:t>$287,273</w:t>
            </w:r>
          </w:p>
        </w:tc>
        <w:tc>
          <w:tcPr>
            <w:tcW w:w="1500" w:type="dxa"/>
            <w:vAlign w:val="bottom"/>
            <w:shd w:val="clear" w:color="auto" w:fill="DBE5F1"/>
          </w:tcPr>
          <w:p>
            <w:pPr>
              <w:jc w:val="right"/>
              <w:ind w:right="148"/>
              <w:spacing w:after="0"/>
              <w:rPr>
                <w:sz w:val="20"/>
                <w:szCs w:val="20"/>
                <w:color w:val="auto"/>
              </w:rPr>
            </w:pPr>
            <w:r>
              <w:rPr>
                <w:rFonts w:ascii="Arial" w:cs="Arial" w:eastAsia="Arial" w:hAnsi="Arial"/>
                <w:sz w:val="14"/>
                <w:szCs w:val="14"/>
                <w:color w:val="auto"/>
              </w:rPr>
              <w:t>$735,552</w:t>
            </w:r>
          </w:p>
        </w:tc>
        <w:tc>
          <w:tcPr>
            <w:tcW w:w="1280" w:type="dxa"/>
            <w:vAlign w:val="bottom"/>
            <w:shd w:val="clear" w:color="auto" w:fill="DBE5F1"/>
          </w:tcPr>
          <w:p>
            <w:pPr>
              <w:jc w:val="right"/>
              <w:ind w:right="148"/>
              <w:spacing w:after="0"/>
              <w:rPr>
                <w:sz w:val="20"/>
                <w:szCs w:val="20"/>
                <w:color w:val="auto"/>
              </w:rPr>
            </w:pPr>
            <w:r>
              <w:rPr>
                <w:rFonts w:ascii="Arial" w:cs="Arial" w:eastAsia="Arial" w:hAnsi="Arial"/>
                <w:sz w:val="14"/>
                <w:szCs w:val="14"/>
                <w:color w:val="auto"/>
              </w:rPr>
              <w:t>$412,610</w:t>
            </w:r>
          </w:p>
        </w:tc>
        <w:tc>
          <w:tcPr>
            <w:tcW w:w="1660" w:type="dxa"/>
            <w:vAlign w:val="bottom"/>
            <w:gridSpan w:val="2"/>
            <w:shd w:val="clear" w:color="auto" w:fill="DBE5F1"/>
          </w:tcPr>
          <w:p>
            <w:pPr>
              <w:jc w:val="right"/>
              <w:ind w:right="155"/>
              <w:spacing w:after="0"/>
              <w:rPr>
                <w:sz w:val="20"/>
                <w:szCs w:val="20"/>
                <w:color w:val="auto"/>
              </w:rPr>
            </w:pPr>
            <w:r>
              <w:rPr>
                <w:rFonts w:ascii="Arial" w:cs="Arial" w:eastAsia="Arial" w:hAnsi="Arial"/>
                <w:sz w:val="14"/>
                <w:szCs w:val="14"/>
                <w:color w:val="auto"/>
              </w:rPr>
              <w:t>$390,000</w:t>
            </w:r>
          </w:p>
        </w:tc>
        <w:tc>
          <w:tcPr>
            <w:tcW w:w="1580" w:type="dxa"/>
            <w:vAlign w:val="bottom"/>
            <w:shd w:val="clear" w:color="auto" w:fill="DBE5F1"/>
          </w:tcPr>
          <w:p>
            <w:pPr>
              <w:jc w:val="right"/>
              <w:ind w:right="251"/>
              <w:spacing w:after="0"/>
              <w:rPr>
                <w:sz w:val="20"/>
                <w:szCs w:val="20"/>
                <w:color w:val="auto"/>
              </w:rPr>
            </w:pPr>
            <w:r>
              <w:rPr>
                <w:rFonts w:ascii="Arial" w:cs="Arial" w:eastAsia="Arial" w:hAnsi="Arial"/>
                <w:sz w:val="14"/>
                <w:szCs w:val="14"/>
                <w:color w:val="auto"/>
              </w:rPr>
              <w:t>$12,567</w:t>
            </w:r>
          </w:p>
        </w:tc>
        <w:tc>
          <w:tcPr>
            <w:tcW w:w="1140" w:type="dxa"/>
            <w:vAlign w:val="bottom"/>
            <w:shd w:val="clear" w:color="auto" w:fill="DBE5F1"/>
          </w:tcPr>
          <w:p>
            <w:pPr>
              <w:jc w:val="right"/>
              <w:ind w:right="28"/>
              <w:spacing w:after="0"/>
              <w:rPr>
                <w:sz w:val="20"/>
                <w:szCs w:val="20"/>
                <w:color w:val="auto"/>
              </w:rPr>
            </w:pPr>
            <w:r>
              <w:rPr>
                <w:rFonts w:ascii="Arial" w:cs="Arial" w:eastAsia="Arial" w:hAnsi="Arial"/>
                <w:sz w:val="14"/>
                <w:szCs w:val="14"/>
                <w:color w:val="auto"/>
              </w:rPr>
              <w:t>$1,838,002</w:t>
            </w:r>
          </w:p>
        </w:tc>
        <w:tc>
          <w:tcPr>
            <w:tcW w:w="0" w:type="dxa"/>
            <w:vAlign w:val="bottom"/>
          </w:tcPr>
          <w:p>
            <w:pPr>
              <w:spacing w:after="0"/>
              <w:rPr>
                <w:sz w:val="1"/>
                <w:szCs w:val="1"/>
                <w:color w:val="auto"/>
              </w:rPr>
            </w:pPr>
          </w:p>
        </w:tc>
      </w:tr>
      <w:tr>
        <w:trPr>
          <w:trHeight w:val="257"/>
        </w:trPr>
        <w:tc>
          <w:tcPr>
            <w:tcW w:w="2520" w:type="dxa"/>
            <w:vAlign w:val="bottom"/>
            <w:shd w:val="clear" w:color="auto" w:fill="F2F2F2"/>
          </w:tcPr>
          <w:p>
            <w:pPr>
              <w:spacing w:after="0"/>
              <w:rPr>
                <w:sz w:val="22"/>
                <w:szCs w:val="22"/>
                <w:color w:val="auto"/>
              </w:rPr>
            </w:pPr>
          </w:p>
        </w:tc>
        <w:tc>
          <w:tcPr>
            <w:tcW w:w="580" w:type="dxa"/>
            <w:vAlign w:val="bottom"/>
            <w:shd w:val="clear" w:color="auto" w:fill="F2F2F2"/>
          </w:tcPr>
          <w:p>
            <w:pPr>
              <w:spacing w:after="0"/>
              <w:rPr>
                <w:sz w:val="22"/>
                <w:szCs w:val="22"/>
                <w:color w:val="auto"/>
              </w:rPr>
            </w:pPr>
          </w:p>
        </w:tc>
        <w:tc>
          <w:tcPr>
            <w:tcW w:w="1160" w:type="dxa"/>
            <w:vAlign w:val="bottom"/>
            <w:shd w:val="clear" w:color="auto" w:fill="F2F2F2"/>
          </w:tcPr>
          <w:p>
            <w:pPr>
              <w:spacing w:after="0"/>
              <w:rPr>
                <w:sz w:val="22"/>
                <w:szCs w:val="22"/>
                <w:color w:val="auto"/>
              </w:rPr>
            </w:pPr>
          </w:p>
        </w:tc>
        <w:tc>
          <w:tcPr>
            <w:tcW w:w="1500" w:type="dxa"/>
            <w:vAlign w:val="bottom"/>
            <w:shd w:val="clear" w:color="auto" w:fill="F2F2F2"/>
          </w:tcPr>
          <w:p>
            <w:pPr>
              <w:spacing w:after="0"/>
              <w:rPr>
                <w:sz w:val="22"/>
                <w:szCs w:val="22"/>
                <w:color w:val="auto"/>
              </w:rPr>
            </w:pPr>
          </w:p>
        </w:tc>
        <w:tc>
          <w:tcPr>
            <w:tcW w:w="1280" w:type="dxa"/>
            <w:vAlign w:val="bottom"/>
            <w:shd w:val="clear" w:color="auto" w:fill="F2F2F2"/>
          </w:tcPr>
          <w:p>
            <w:pPr>
              <w:spacing w:after="0"/>
              <w:rPr>
                <w:sz w:val="22"/>
                <w:szCs w:val="22"/>
                <w:color w:val="auto"/>
              </w:rPr>
            </w:pPr>
          </w:p>
        </w:tc>
        <w:tc>
          <w:tcPr>
            <w:tcW w:w="1360" w:type="dxa"/>
            <w:vAlign w:val="bottom"/>
            <w:shd w:val="clear" w:color="auto" w:fill="F2F2F2"/>
          </w:tcPr>
          <w:p>
            <w:pPr>
              <w:spacing w:after="0"/>
              <w:rPr>
                <w:sz w:val="22"/>
                <w:szCs w:val="22"/>
                <w:color w:val="auto"/>
              </w:rPr>
            </w:pPr>
          </w:p>
        </w:tc>
        <w:tc>
          <w:tcPr>
            <w:tcW w:w="300" w:type="dxa"/>
            <w:vAlign w:val="bottom"/>
            <w:shd w:val="clear" w:color="auto" w:fill="F2F2F2"/>
          </w:tcPr>
          <w:p>
            <w:pPr>
              <w:spacing w:after="0"/>
              <w:rPr>
                <w:sz w:val="22"/>
                <w:szCs w:val="22"/>
                <w:color w:val="auto"/>
              </w:rPr>
            </w:pPr>
          </w:p>
        </w:tc>
        <w:tc>
          <w:tcPr>
            <w:tcW w:w="1580" w:type="dxa"/>
            <w:vAlign w:val="bottom"/>
            <w:shd w:val="clear" w:color="auto" w:fill="F2F2F2"/>
          </w:tcPr>
          <w:p>
            <w:pPr>
              <w:spacing w:after="0"/>
              <w:rPr>
                <w:sz w:val="22"/>
                <w:szCs w:val="22"/>
                <w:color w:val="auto"/>
              </w:rPr>
            </w:pPr>
          </w:p>
        </w:tc>
        <w:tc>
          <w:tcPr>
            <w:tcW w:w="1140" w:type="dxa"/>
            <w:vAlign w:val="bottom"/>
            <w:shd w:val="clear" w:color="auto" w:fill="F2F2F2"/>
          </w:tcPr>
          <w:p>
            <w:pPr>
              <w:spacing w:after="0"/>
              <w:rPr>
                <w:sz w:val="22"/>
                <w:szCs w:val="22"/>
                <w:color w:val="auto"/>
              </w:rPr>
            </w:pPr>
          </w:p>
        </w:tc>
        <w:tc>
          <w:tcPr>
            <w:tcW w:w="0" w:type="dxa"/>
            <w:vAlign w:val="bottom"/>
          </w:tcPr>
          <w:p>
            <w:pPr>
              <w:spacing w:after="0"/>
              <w:rPr>
                <w:sz w:val="1"/>
                <w:szCs w:val="1"/>
                <w:color w:val="auto"/>
              </w:rPr>
            </w:pPr>
          </w:p>
        </w:tc>
      </w:tr>
      <w:tr>
        <w:trPr>
          <w:trHeight w:val="189"/>
        </w:trPr>
        <w:tc>
          <w:tcPr>
            <w:tcW w:w="2520" w:type="dxa"/>
            <w:vAlign w:val="bottom"/>
            <w:shd w:val="clear" w:color="auto" w:fill="DBE5F1"/>
          </w:tcPr>
          <w:p>
            <w:pPr>
              <w:ind w:left="20"/>
              <w:spacing w:after="0"/>
              <w:rPr>
                <w:sz w:val="20"/>
                <w:szCs w:val="20"/>
                <w:color w:val="auto"/>
              </w:rPr>
            </w:pPr>
            <w:r>
              <w:rPr>
                <w:rFonts w:ascii="Arial" w:cs="Arial" w:eastAsia="Arial" w:hAnsi="Arial"/>
                <w:sz w:val="14"/>
                <w:szCs w:val="14"/>
                <w:b w:val="1"/>
                <w:bCs w:val="1"/>
                <w:color w:val="auto"/>
              </w:rPr>
              <w:t>Matthew F. W. Linnington</w:t>
            </w:r>
            <w:r>
              <w:rPr>
                <w:rFonts w:ascii="Arial" w:cs="Arial" w:eastAsia="Arial" w:hAnsi="Arial"/>
                <w:sz w:val="8"/>
                <w:szCs w:val="8"/>
                <w:b w:val="1"/>
                <w:bCs w:val="1"/>
                <w:color w:val="auto"/>
              </w:rPr>
              <w:t>(6)</w:t>
            </w:r>
          </w:p>
        </w:tc>
        <w:tc>
          <w:tcPr>
            <w:tcW w:w="580" w:type="dxa"/>
            <w:vAlign w:val="bottom"/>
            <w:vMerge w:val="restart"/>
            <w:shd w:val="clear" w:color="auto" w:fill="DBE5F1"/>
          </w:tcPr>
          <w:p>
            <w:pPr>
              <w:jc w:val="right"/>
              <w:spacing w:after="0"/>
              <w:rPr>
                <w:sz w:val="20"/>
                <w:szCs w:val="20"/>
                <w:color w:val="auto"/>
              </w:rPr>
            </w:pPr>
            <w:r>
              <w:rPr>
                <w:rFonts w:ascii="Arial" w:cs="Arial" w:eastAsia="Arial" w:hAnsi="Arial"/>
                <w:sz w:val="14"/>
                <w:szCs w:val="14"/>
                <w:color w:val="auto"/>
              </w:rPr>
              <w:t>2015</w:t>
            </w:r>
          </w:p>
        </w:tc>
        <w:tc>
          <w:tcPr>
            <w:tcW w:w="1160" w:type="dxa"/>
            <w:vAlign w:val="bottom"/>
            <w:vMerge w:val="restart"/>
            <w:shd w:val="clear" w:color="auto" w:fill="DBE5F1"/>
          </w:tcPr>
          <w:p>
            <w:pPr>
              <w:ind w:left="500"/>
              <w:spacing w:after="0"/>
              <w:rPr>
                <w:sz w:val="20"/>
                <w:szCs w:val="20"/>
                <w:color w:val="auto"/>
              </w:rPr>
            </w:pPr>
            <w:r>
              <w:rPr>
                <w:rFonts w:ascii="Arial" w:cs="Arial" w:eastAsia="Arial" w:hAnsi="Arial"/>
                <w:sz w:val="14"/>
                <w:szCs w:val="14"/>
                <w:color w:val="auto"/>
              </w:rPr>
              <w:t>$350,935</w:t>
            </w:r>
          </w:p>
        </w:tc>
        <w:tc>
          <w:tcPr>
            <w:tcW w:w="1500" w:type="dxa"/>
            <w:vAlign w:val="bottom"/>
            <w:vMerge w:val="restart"/>
            <w:shd w:val="clear" w:color="auto" w:fill="DBE5F1"/>
          </w:tcPr>
          <w:p>
            <w:pPr>
              <w:jc w:val="right"/>
              <w:ind w:right="148"/>
              <w:spacing w:after="0"/>
              <w:rPr>
                <w:sz w:val="20"/>
                <w:szCs w:val="20"/>
                <w:color w:val="auto"/>
              </w:rPr>
            </w:pPr>
            <w:r>
              <w:rPr>
                <w:rFonts w:ascii="Arial" w:cs="Arial" w:eastAsia="Arial" w:hAnsi="Arial"/>
                <w:sz w:val="14"/>
                <w:szCs w:val="14"/>
                <w:color w:val="auto"/>
              </w:rPr>
              <w:t>$1,382,198</w:t>
            </w:r>
          </w:p>
        </w:tc>
        <w:tc>
          <w:tcPr>
            <w:tcW w:w="1280" w:type="dxa"/>
            <w:vAlign w:val="bottom"/>
            <w:vMerge w:val="restart"/>
            <w:shd w:val="clear" w:color="auto" w:fill="DBE5F1"/>
          </w:tcPr>
          <w:p>
            <w:pPr>
              <w:jc w:val="right"/>
              <w:ind w:right="148"/>
              <w:spacing w:after="0"/>
              <w:rPr>
                <w:sz w:val="20"/>
                <w:szCs w:val="20"/>
                <w:color w:val="auto"/>
              </w:rPr>
            </w:pPr>
            <w:r>
              <w:rPr>
                <w:rFonts w:ascii="Arial" w:cs="Arial" w:eastAsia="Arial" w:hAnsi="Arial"/>
                <w:sz w:val="14"/>
                <w:szCs w:val="14"/>
                <w:color w:val="auto"/>
              </w:rPr>
              <w:t>$407,016</w:t>
            </w:r>
          </w:p>
        </w:tc>
        <w:tc>
          <w:tcPr>
            <w:tcW w:w="1360" w:type="dxa"/>
            <w:vAlign w:val="bottom"/>
            <w:vMerge w:val="restart"/>
            <w:shd w:val="clear" w:color="auto" w:fill="DBE5F1"/>
          </w:tcPr>
          <w:p>
            <w:pPr>
              <w:jc w:val="right"/>
              <w:spacing w:after="0"/>
              <w:rPr>
                <w:sz w:val="20"/>
                <w:szCs w:val="20"/>
                <w:color w:val="auto"/>
              </w:rPr>
            </w:pPr>
            <w:r>
              <w:rPr>
                <w:rFonts w:ascii="Arial" w:cs="Arial" w:eastAsia="Arial" w:hAnsi="Arial"/>
                <w:sz w:val="14"/>
                <w:szCs w:val="14"/>
                <w:color w:val="auto"/>
              </w:rPr>
              <w:t>$610,609</w:t>
            </w:r>
          </w:p>
        </w:tc>
        <w:tc>
          <w:tcPr>
            <w:tcW w:w="300" w:type="dxa"/>
            <w:vAlign w:val="bottom"/>
            <w:shd w:val="clear" w:color="auto" w:fill="DBE5F1"/>
          </w:tcPr>
          <w:p>
            <w:pPr>
              <w:jc w:val="right"/>
              <w:ind w:right="155"/>
              <w:spacing w:after="0"/>
              <w:rPr>
                <w:sz w:val="20"/>
                <w:szCs w:val="20"/>
                <w:color w:val="auto"/>
              </w:rPr>
            </w:pPr>
            <w:r>
              <w:rPr>
                <w:rFonts w:ascii="Arial" w:cs="Arial" w:eastAsia="Arial" w:hAnsi="Arial"/>
                <w:sz w:val="9"/>
                <w:szCs w:val="9"/>
                <w:color w:val="auto"/>
                <w:w w:val="72"/>
              </w:rPr>
              <w:t>(7)</w:t>
            </w:r>
          </w:p>
        </w:tc>
        <w:tc>
          <w:tcPr>
            <w:tcW w:w="1580" w:type="dxa"/>
            <w:vAlign w:val="bottom"/>
            <w:shd w:val="clear" w:color="auto" w:fill="DBE5F1"/>
          </w:tcPr>
          <w:p>
            <w:pPr>
              <w:jc w:val="right"/>
              <w:ind w:right="251"/>
              <w:spacing w:after="0"/>
              <w:rPr>
                <w:sz w:val="20"/>
                <w:szCs w:val="20"/>
                <w:color w:val="auto"/>
              </w:rPr>
            </w:pPr>
            <w:r>
              <w:rPr>
                <w:rFonts w:ascii="Arial" w:cs="Arial" w:eastAsia="Arial" w:hAnsi="Arial"/>
                <w:sz w:val="9"/>
                <w:szCs w:val="9"/>
                <w:color w:val="auto"/>
              </w:rPr>
              <w:t>(3e)</w:t>
            </w:r>
          </w:p>
        </w:tc>
        <w:tc>
          <w:tcPr>
            <w:tcW w:w="1140" w:type="dxa"/>
            <w:vAlign w:val="bottom"/>
            <w:vMerge w:val="restart"/>
            <w:shd w:val="clear" w:color="auto" w:fill="DBE5F1"/>
          </w:tcPr>
          <w:p>
            <w:pPr>
              <w:jc w:val="right"/>
              <w:ind w:right="28"/>
              <w:spacing w:after="0"/>
              <w:rPr>
                <w:sz w:val="20"/>
                <w:szCs w:val="20"/>
                <w:color w:val="auto"/>
              </w:rPr>
            </w:pPr>
            <w:r>
              <w:rPr>
                <w:rFonts w:ascii="Arial" w:cs="Arial" w:eastAsia="Arial" w:hAnsi="Arial"/>
                <w:sz w:val="14"/>
                <w:szCs w:val="14"/>
                <w:color w:val="auto"/>
              </w:rPr>
              <w:t>$2,795,504</w:t>
            </w:r>
          </w:p>
        </w:tc>
        <w:tc>
          <w:tcPr>
            <w:tcW w:w="0" w:type="dxa"/>
            <w:vAlign w:val="bottom"/>
          </w:tcPr>
          <w:p>
            <w:pPr>
              <w:spacing w:after="0"/>
              <w:rPr>
                <w:sz w:val="1"/>
                <w:szCs w:val="1"/>
                <w:color w:val="auto"/>
              </w:rPr>
            </w:pPr>
          </w:p>
        </w:tc>
      </w:tr>
      <w:tr>
        <w:trPr>
          <w:trHeight w:val="95"/>
        </w:trPr>
        <w:tc>
          <w:tcPr>
            <w:tcW w:w="2520" w:type="dxa"/>
            <w:vAlign w:val="bottom"/>
            <w:vMerge w:val="restart"/>
            <w:shd w:val="clear" w:color="auto" w:fill="DBE5F1"/>
          </w:tcPr>
          <w:p>
            <w:pPr>
              <w:ind w:left="60"/>
              <w:spacing w:after="0" w:line="130" w:lineRule="exact"/>
              <w:rPr>
                <w:sz w:val="20"/>
                <w:szCs w:val="20"/>
                <w:color w:val="auto"/>
              </w:rPr>
            </w:pPr>
            <w:r>
              <w:rPr>
                <w:rFonts w:ascii="Arial" w:cs="Arial" w:eastAsia="Arial" w:hAnsi="Arial"/>
                <w:sz w:val="14"/>
                <w:szCs w:val="14"/>
                <w:b w:val="1"/>
                <w:bCs w:val="1"/>
                <w:i w:val="1"/>
                <w:iCs w:val="1"/>
                <w:color w:val="auto"/>
              </w:rPr>
              <w:t>Executive Vice President,</w:t>
            </w:r>
          </w:p>
        </w:tc>
        <w:tc>
          <w:tcPr>
            <w:tcW w:w="580" w:type="dxa"/>
            <w:vAlign w:val="bottom"/>
            <w:vMerge w:val="continue"/>
            <w:shd w:val="clear" w:color="auto" w:fill="DBE5F1"/>
          </w:tcPr>
          <w:p>
            <w:pPr>
              <w:spacing w:after="0"/>
              <w:rPr>
                <w:sz w:val="8"/>
                <w:szCs w:val="8"/>
                <w:color w:val="auto"/>
              </w:rPr>
            </w:pPr>
          </w:p>
        </w:tc>
        <w:tc>
          <w:tcPr>
            <w:tcW w:w="1160" w:type="dxa"/>
            <w:vAlign w:val="bottom"/>
            <w:vMerge w:val="continue"/>
            <w:shd w:val="clear" w:color="auto" w:fill="DBE5F1"/>
          </w:tcPr>
          <w:p>
            <w:pPr>
              <w:spacing w:after="0"/>
              <w:rPr>
                <w:sz w:val="8"/>
                <w:szCs w:val="8"/>
                <w:color w:val="auto"/>
              </w:rPr>
            </w:pPr>
          </w:p>
        </w:tc>
        <w:tc>
          <w:tcPr>
            <w:tcW w:w="1500" w:type="dxa"/>
            <w:vAlign w:val="bottom"/>
            <w:vMerge w:val="continue"/>
            <w:shd w:val="clear" w:color="auto" w:fill="DBE5F1"/>
          </w:tcPr>
          <w:p>
            <w:pPr>
              <w:spacing w:after="0"/>
              <w:rPr>
                <w:sz w:val="8"/>
                <w:szCs w:val="8"/>
                <w:color w:val="auto"/>
              </w:rPr>
            </w:pPr>
          </w:p>
        </w:tc>
        <w:tc>
          <w:tcPr>
            <w:tcW w:w="1280" w:type="dxa"/>
            <w:vAlign w:val="bottom"/>
            <w:vMerge w:val="continue"/>
            <w:shd w:val="clear" w:color="auto" w:fill="DBE5F1"/>
          </w:tcPr>
          <w:p>
            <w:pPr>
              <w:spacing w:after="0"/>
              <w:rPr>
                <w:sz w:val="8"/>
                <w:szCs w:val="8"/>
                <w:color w:val="auto"/>
              </w:rPr>
            </w:pPr>
          </w:p>
        </w:tc>
        <w:tc>
          <w:tcPr>
            <w:tcW w:w="1360" w:type="dxa"/>
            <w:vAlign w:val="bottom"/>
            <w:vMerge w:val="continue"/>
            <w:shd w:val="clear" w:color="auto" w:fill="DBE5F1"/>
          </w:tcPr>
          <w:p>
            <w:pPr>
              <w:spacing w:after="0"/>
              <w:rPr>
                <w:sz w:val="8"/>
                <w:szCs w:val="8"/>
                <w:color w:val="auto"/>
              </w:rPr>
            </w:pPr>
          </w:p>
        </w:tc>
        <w:tc>
          <w:tcPr>
            <w:tcW w:w="300" w:type="dxa"/>
            <w:vAlign w:val="bottom"/>
            <w:shd w:val="clear" w:color="auto" w:fill="DBE5F1"/>
          </w:tcPr>
          <w:p>
            <w:pPr>
              <w:spacing w:after="0"/>
              <w:rPr>
                <w:sz w:val="8"/>
                <w:szCs w:val="8"/>
                <w:color w:val="auto"/>
              </w:rPr>
            </w:pPr>
          </w:p>
        </w:tc>
        <w:tc>
          <w:tcPr>
            <w:tcW w:w="1580" w:type="dxa"/>
            <w:vAlign w:val="bottom"/>
            <w:shd w:val="clear" w:color="auto" w:fill="DBE5F1"/>
          </w:tcPr>
          <w:p>
            <w:pPr>
              <w:jc w:val="right"/>
              <w:ind w:right="391"/>
              <w:spacing w:after="0" w:line="95" w:lineRule="exact"/>
              <w:rPr>
                <w:sz w:val="20"/>
                <w:szCs w:val="20"/>
                <w:color w:val="auto"/>
              </w:rPr>
            </w:pPr>
            <w:r>
              <w:rPr>
                <w:rFonts w:ascii="Arial" w:cs="Arial" w:eastAsia="Arial" w:hAnsi="Arial"/>
                <w:sz w:val="10"/>
                <w:szCs w:val="10"/>
                <w:color w:val="auto"/>
              </w:rPr>
              <w:t>$44,746</w:t>
            </w:r>
          </w:p>
        </w:tc>
        <w:tc>
          <w:tcPr>
            <w:tcW w:w="1140" w:type="dxa"/>
            <w:vAlign w:val="bottom"/>
            <w:vMerge w:val="continue"/>
            <w:shd w:val="clear" w:color="auto" w:fill="DBE5F1"/>
          </w:tcPr>
          <w:p>
            <w:pPr>
              <w:spacing w:after="0"/>
              <w:rPr>
                <w:sz w:val="8"/>
                <w:szCs w:val="8"/>
                <w:color w:val="auto"/>
              </w:rPr>
            </w:pPr>
          </w:p>
        </w:tc>
        <w:tc>
          <w:tcPr>
            <w:tcW w:w="0" w:type="dxa"/>
            <w:vAlign w:val="bottom"/>
          </w:tcPr>
          <w:p>
            <w:pPr>
              <w:spacing w:after="0"/>
              <w:rPr>
                <w:sz w:val="1"/>
                <w:szCs w:val="1"/>
                <w:color w:val="auto"/>
              </w:rPr>
            </w:pPr>
          </w:p>
        </w:tc>
      </w:tr>
      <w:tr>
        <w:trPr>
          <w:trHeight w:val="35"/>
        </w:trPr>
        <w:tc>
          <w:tcPr>
            <w:tcW w:w="2520" w:type="dxa"/>
            <w:vAlign w:val="bottom"/>
            <w:vMerge w:val="continue"/>
            <w:shd w:val="clear" w:color="auto" w:fill="DBE5F1"/>
          </w:tcPr>
          <w:p>
            <w:pPr>
              <w:spacing w:after="0"/>
              <w:rPr>
                <w:sz w:val="3"/>
                <w:szCs w:val="3"/>
                <w:color w:val="auto"/>
              </w:rPr>
            </w:pPr>
          </w:p>
        </w:tc>
        <w:tc>
          <w:tcPr>
            <w:tcW w:w="580" w:type="dxa"/>
            <w:vAlign w:val="bottom"/>
            <w:shd w:val="clear" w:color="auto" w:fill="DBE5F1"/>
          </w:tcPr>
          <w:p>
            <w:pPr>
              <w:spacing w:after="0"/>
              <w:rPr>
                <w:sz w:val="3"/>
                <w:szCs w:val="3"/>
                <w:color w:val="auto"/>
              </w:rPr>
            </w:pPr>
          </w:p>
        </w:tc>
        <w:tc>
          <w:tcPr>
            <w:tcW w:w="1160" w:type="dxa"/>
            <w:vAlign w:val="bottom"/>
            <w:shd w:val="clear" w:color="auto" w:fill="DBE5F1"/>
          </w:tcPr>
          <w:p>
            <w:pPr>
              <w:spacing w:after="0"/>
              <w:rPr>
                <w:sz w:val="3"/>
                <w:szCs w:val="3"/>
                <w:color w:val="auto"/>
              </w:rPr>
            </w:pPr>
          </w:p>
        </w:tc>
        <w:tc>
          <w:tcPr>
            <w:tcW w:w="1500" w:type="dxa"/>
            <w:vAlign w:val="bottom"/>
            <w:shd w:val="clear" w:color="auto" w:fill="DBE5F1"/>
          </w:tcPr>
          <w:p>
            <w:pPr>
              <w:spacing w:after="0"/>
              <w:rPr>
                <w:sz w:val="3"/>
                <w:szCs w:val="3"/>
                <w:color w:val="auto"/>
              </w:rPr>
            </w:pPr>
          </w:p>
        </w:tc>
        <w:tc>
          <w:tcPr>
            <w:tcW w:w="1280" w:type="dxa"/>
            <w:vAlign w:val="bottom"/>
            <w:shd w:val="clear" w:color="auto" w:fill="DBE5F1"/>
          </w:tcPr>
          <w:p>
            <w:pPr>
              <w:spacing w:after="0"/>
              <w:rPr>
                <w:sz w:val="3"/>
                <w:szCs w:val="3"/>
                <w:color w:val="auto"/>
              </w:rPr>
            </w:pPr>
          </w:p>
        </w:tc>
        <w:tc>
          <w:tcPr>
            <w:tcW w:w="1360" w:type="dxa"/>
            <w:vAlign w:val="bottom"/>
            <w:shd w:val="clear" w:color="auto" w:fill="DBE5F1"/>
          </w:tcPr>
          <w:p>
            <w:pPr>
              <w:spacing w:after="0"/>
              <w:rPr>
                <w:sz w:val="3"/>
                <w:szCs w:val="3"/>
                <w:color w:val="auto"/>
              </w:rPr>
            </w:pPr>
          </w:p>
        </w:tc>
        <w:tc>
          <w:tcPr>
            <w:tcW w:w="300" w:type="dxa"/>
            <w:vAlign w:val="bottom"/>
            <w:shd w:val="clear" w:color="auto" w:fill="DBE5F1"/>
          </w:tcPr>
          <w:p>
            <w:pPr>
              <w:spacing w:after="0"/>
              <w:rPr>
                <w:sz w:val="3"/>
                <w:szCs w:val="3"/>
                <w:color w:val="auto"/>
              </w:rPr>
            </w:pPr>
          </w:p>
        </w:tc>
        <w:tc>
          <w:tcPr>
            <w:tcW w:w="1580" w:type="dxa"/>
            <w:vAlign w:val="bottom"/>
            <w:shd w:val="clear" w:color="auto" w:fill="DBE5F1"/>
          </w:tcPr>
          <w:p>
            <w:pPr>
              <w:spacing w:after="0"/>
              <w:rPr>
                <w:sz w:val="3"/>
                <w:szCs w:val="3"/>
                <w:color w:val="auto"/>
              </w:rPr>
            </w:pPr>
          </w:p>
        </w:tc>
        <w:tc>
          <w:tcPr>
            <w:tcW w:w="1140" w:type="dxa"/>
            <w:vAlign w:val="bottom"/>
            <w:shd w:val="clear" w:color="auto" w:fill="DBE5F1"/>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2"/>
        </w:trPr>
        <w:tc>
          <w:tcPr>
            <w:tcW w:w="2520" w:type="dxa"/>
            <w:vAlign w:val="bottom"/>
            <w:shd w:val="clear" w:color="auto" w:fill="DBE5F1"/>
          </w:tcPr>
          <w:p>
            <w:pPr>
              <w:ind w:left="60"/>
              <w:spacing w:after="0"/>
              <w:rPr>
                <w:sz w:val="20"/>
                <w:szCs w:val="20"/>
                <w:color w:val="auto"/>
              </w:rPr>
            </w:pPr>
            <w:r>
              <w:rPr>
                <w:rFonts w:ascii="Arial" w:cs="Arial" w:eastAsia="Arial" w:hAnsi="Arial"/>
                <w:sz w:val="14"/>
                <w:szCs w:val="14"/>
                <w:b w:val="1"/>
                <w:bCs w:val="1"/>
                <w:i w:val="1"/>
                <w:iCs w:val="1"/>
                <w:color w:val="auto"/>
              </w:rPr>
              <w:t>Sales</w:t>
            </w:r>
          </w:p>
        </w:tc>
        <w:tc>
          <w:tcPr>
            <w:tcW w:w="580" w:type="dxa"/>
            <w:vAlign w:val="bottom"/>
            <w:shd w:val="clear" w:color="auto" w:fill="DBE5F1"/>
          </w:tcPr>
          <w:p>
            <w:pPr>
              <w:spacing w:after="0"/>
              <w:rPr>
                <w:sz w:val="15"/>
                <w:szCs w:val="15"/>
                <w:color w:val="auto"/>
              </w:rPr>
            </w:pPr>
          </w:p>
        </w:tc>
        <w:tc>
          <w:tcPr>
            <w:tcW w:w="1160" w:type="dxa"/>
            <w:vAlign w:val="bottom"/>
            <w:shd w:val="clear" w:color="auto" w:fill="DBE5F1"/>
          </w:tcPr>
          <w:p>
            <w:pPr>
              <w:spacing w:after="0"/>
              <w:rPr>
                <w:sz w:val="15"/>
                <w:szCs w:val="15"/>
                <w:color w:val="auto"/>
              </w:rPr>
            </w:pPr>
          </w:p>
        </w:tc>
        <w:tc>
          <w:tcPr>
            <w:tcW w:w="1500" w:type="dxa"/>
            <w:vAlign w:val="bottom"/>
            <w:shd w:val="clear" w:color="auto" w:fill="DBE5F1"/>
          </w:tcPr>
          <w:p>
            <w:pPr>
              <w:spacing w:after="0"/>
              <w:rPr>
                <w:sz w:val="15"/>
                <w:szCs w:val="15"/>
                <w:color w:val="auto"/>
              </w:rPr>
            </w:pPr>
          </w:p>
        </w:tc>
        <w:tc>
          <w:tcPr>
            <w:tcW w:w="1280" w:type="dxa"/>
            <w:vAlign w:val="bottom"/>
            <w:shd w:val="clear" w:color="auto" w:fill="DBE5F1"/>
          </w:tcPr>
          <w:p>
            <w:pPr>
              <w:spacing w:after="0"/>
              <w:rPr>
                <w:sz w:val="15"/>
                <w:szCs w:val="15"/>
                <w:color w:val="auto"/>
              </w:rPr>
            </w:pPr>
          </w:p>
        </w:tc>
        <w:tc>
          <w:tcPr>
            <w:tcW w:w="1360" w:type="dxa"/>
            <w:vAlign w:val="bottom"/>
            <w:shd w:val="clear" w:color="auto" w:fill="DBE5F1"/>
          </w:tcPr>
          <w:p>
            <w:pPr>
              <w:spacing w:after="0"/>
              <w:rPr>
                <w:sz w:val="15"/>
                <w:szCs w:val="15"/>
                <w:color w:val="auto"/>
              </w:rPr>
            </w:pPr>
          </w:p>
        </w:tc>
        <w:tc>
          <w:tcPr>
            <w:tcW w:w="300" w:type="dxa"/>
            <w:vAlign w:val="bottom"/>
            <w:shd w:val="clear" w:color="auto" w:fill="DBE5F1"/>
          </w:tcPr>
          <w:p>
            <w:pPr>
              <w:spacing w:after="0"/>
              <w:rPr>
                <w:sz w:val="15"/>
                <w:szCs w:val="15"/>
                <w:color w:val="auto"/>
              </w:rPr>
            </w:pPr>
          </w:p>
        </w:tc>
        <w:tc>
          <w:tcPr>
            <w:tcW w:w="1580" w:type="dxa"/>
            <w:vAlign w:val="bottom"/>
            <w:shd w:val="clear" w:color="auto" w:fill="DBE5F1"/>
          </w:tcPr>
          <w:p>
            <w:pPr>
              <w:spacing w:after="0"/>
              <w:rPr>
                <w:sz w:val="15"/>
                <w:szCs w:val="15"/>
                <w:color w:val="auto"/>
              </w:rPr>
            </w:pPr>
          </w:p>
        </w:tc>
        <w:tc>
          <w:tcPr>
            <w:tcW w:w="1140" w:type="dxa"/>
            <w:vAlign w:val="bottom"/>
            <w:shd w:val="clear" w:color="auto" w:fill="DBE5F1"/>
          </w:tcPr>
          <w:p>
            <w:pPr>
              <w:spacing w:after="0"/>
              <w:rPr>
                <w:sz w:val="15"/>
                <w:szCs w:val="15"/>
                <w:color w:val="auto"/>
              </w:rPr>
            </w:pPr>
          </w:p>
        </w:tc>
        <w:tc>
          <w:tcPr>
            <w:tcW w:w="0" w:type="dxa"/>
            <w:vAlign w:val="bottom"/>
          </w:tcPr>
          <w:p>
            <w:pPr>
              <w:spacing w:after="0"/>
              <w:rPr>
                <w:sz w:val="1"/>
                <w:szCs w:val="1"/>
                <w:color w:val="auto"/>
              </w:rPr>
            </w:pPr>
          </w:p>
        </w:tc>
      </w:tr>
      <w:tr>
        <w:trPr>
          <w:trHeight w:val="269"/>
        </w:trPr>
        <w:tc>
          <w:tcPr>
            <w:tcW w:w="2520" w:type="dxa"/>
            <w:vAlign w:val="bottom"/>
            <w:shd w:val="clear" w:color="auto" w:fill="DBE5F1"/>
          </w:tcPr>
          <w:p>
            <w:pPr>
              <w:spacing w:after="0"/>
              <w:rPr>
                <w:sz w:val="23"/>
                <w:szCs w:val="23"/>
                <w:color w:val="auto"/>
              </w:rPr>
            </w:pPr>
          </w:p>
        </w:tc>
        <w:tc>
          <w:tcPr>
            <w:tcW w:w="580" w:type="dxa"/>
            <w:vAlign w:val="bottom"/>
            <w:shd w:val="clear" w:color="auto" w:fill="DBE5F1"/>
          </w:tcPr>
          <w:p>
            <w:pPr>
              <w:jc w:val="right"/>
              <w:spacing w:after="0"/>
              <w:rPr>
                <w:sz w:val="20"/>
                <w:szCs w:val="20"/>
                <w:color w:val="auto"/>
              </w:rPr>
            </w:pPr>
            <w:r>
              <w:rPr>
                <w:rFonts w:ascii="Arial" w:cs="Arial" w:eastAsia="Arial" w:hAnsi="Arial"/>
                <w:sz w:val="14"/>
                <w:szCs w:val="14"/>
                <w:color w:val="auto"/>
              </w:rPr>
              <w:t>2014</w:t>
            </w:r>
          </w:p>
        </w:tc>
        <w:tc>
          <w:tcPr>
            <w:tcW w:w="1160" w:type="dxa"/>
            <w:vAlign w:val="bottom"/>
            <w:shd w:val="clear" w:color="auto" w:fill="DBE5F1"/>
          </w:tcPr>
          <w:p>
            <w:pPr>
              <w:ind w:left="500"/>
              <w:spacing w:after="0"/>
              <w:rPr>
                <w:sz w:val="20"/>
                <w:szCs w:val="20"/>
                <w:color w:val="auto"/>
              </w:rPr>
            </w:pPr>
            <w:r>
              <w:rPr>
                <w:rFonts w:ascii="Arial" w:cs="Arial" w:eastAsia="Arial" w:hAnsi="Arial"/>
                <w:sz w:val="14"/>
                <w:szCs w:val="14"/>
                <w:color w:val="auto"/>
              </w:rPr>
              <w:t>$222,669</w:t>
            </w:r>
          </w:p>
        </w:tc>
        <w:tc>
          <w:tcPr>
            <w:tcW w:w="1500" w:type="dxa"/>
            <w:vAlign w:val="bottom"/>
            <w:shd w:val="clear" w:color="auto" w:fill="DBE5F1"/>
          </w:tcPr>
          <w:p>
            <w:pPr>
              <w:jc w:val="right"/>
              <w:ind w:right="148"/>
              <w:spacing w:after="0"/>
              <w:rPr>
                <w:sz w:val="20"/>
                <w:szCs w:val="20"/>
                <w:color w:val="auto"/>
              </w:rPr>
            </w:pPr>
            <w:r>
              <w:rPr>
                <w:rFonts w:ascii="Arial" w:cs="Arial" w:eastAsia="Arial" w:hAnsi="Arial"/>
                <w:sz w:val="14"/>
                <w:szCs w:val="14"/>
                <w:color w:val="auto"/>
              </w:rPr>
              <w:t>$1,500,146</w:t>
            </w:r>
          </w:p>
        </w:tc>
        <w:tc>
          <w:tcPr>
            <w:tcW w:w="1280" w:type="dxa"/>
            <w:vAlign w:val="bottom"/>
            <w:shd w:val="clear" w:color="auto" w:fill="DBE5F1"/>
          </w:tcPr>
          <w:p>
            <w:pPr>
              <w:jc w:val="right"/>
              <w:ind w:right="148"/>
              <w:spacing w:after="0"/>
              <w:rPr>
                <w:sz w:val="20"/>
                <w:szCs w:val="20"/>
                <w:color w:val="auto"/>
              </w:rPr>
            </w:pPr>
            <w:r>
              <w:rPr>
                <w:rFonts w:ascii="Arial" w:cs="Arial" w:eastAsia="Arial" w:hAnsi="Arial"/>
                <w:sz w:val="14"/>
                <w:szCs w:val="14"/>
                <w:color w:val="auto"/>
              </w:rPr>
              <w:t>—</w:t>
            </w:r>
          </w:p>
        </w:tc>
        <w:tc>
          <w:tcPr>
            <w:tcW w:w="1660" w:type="dxa"/>
            <w:vAlign w:val="bottom"/>
            <w:gridSpan w:val="2"/>
            <w:shd w:val="clear" w:color="auto" w:fill="DBE5F1"/>
          </w:tcPr>
          <w:p>
            <w:pPr>
              <w:jc w:val="right"/>
              <w:ind w:right="155"/>
              <w:spacing w:after="0"/>
              <w:rPr>
                <w:sz w:val="20"/>
                <w:szCs w:val="20"/>
                <w:color w:val="auto"/>
              </w:rPr>
            </w:pPr>
            <w:r>
              <w:rPr>
                <w:rFonts w:ascii="Arial" w:cs="Arial" w:eastAsia="Arial" w:hAnsi="Arial"/>
                <w:sz w:val="14"/>
                <w:szCs w:val="14"/>
                <w:color w:val="auto"/>
              </w:rPr>
              <w:t>$254,500</w:t>
            </w:r>
          </w:p>
        </w:tc>
        <w:tc>
          <w:tcPr>
            <w:tcW w:w="1580" w:type="dxa"/>
            <w:vAlign w:val="bottom"/>
            <w:shd w:val="clear" w:color="auto" w:fill="DBE5F1"/>
          </w:tcPr>
          <w:p>
            <w:pPr>
              <w:jc w:val="right"/>
              <w:ind w:right="251"/>
              <w:spacing w:after="0"/>
              <w:rPr>
                <w:sz w:val="20"/>
                <w:szCs w:val="20"/>
                <w:color w:val="auto"/>
              </w:rPr>
            </w:pPr>
            <w:r>
              <w:rPr>
                <w:rFonts w:ascii="Arial" w:cs="Arial" w:eastAsia="Arial" w:hAnsi="Arial"/>
                <w:sz w:val="14"/>
                <w:szCs w:val="14"/>
                <w:color w:val="auto"/>
              </w:rPr>
              <w:t>$12,539</w:t>
            </w:r>
          </w:p>
        </w:tc>
        <w:tc>
          <w:tcPr>
            <w:tcW w:w="1140" w:type="dxa"/>
            <w:vAlign w:val="bottom"/>
            <w:shd w:val="clear" w:color="auto" w:fill="DBE5F1"/>
          </w:tcPr>
          <w:p>
            <w:pPr>
              <w:jc w:val="right"/>
              <w:ind w:right="28"/>
              <w:spacing w:after="0"/>
              <w:rPr>
                <w:sz w:val="20"/>
                <w:szCs w:val="20"/>
                <w:color w:val="auto"/>
              </w:rPr>
            </w:pPr>
            <w:r>
              <w:rPr>
                <w:rFonts w:ascii="Arial" w:cs="Arial" w:eastAsia="Arial" w:hAnsi="Arial"/>
                <w:sz w:val="14"/>
                <w:szCs w:val="14"/>
                <w:color w:val="auto"/>
              </w:rPr>
              <w:t>$1,989,854</w:t>
            </w:r>
          </w:p>
        </w:tc>
        <w:tc>
          <w:tcPr>
            <w:tcW w:w="0" w:type="dxa"/>
            <w:vAlign w:val="bottom"/>
          </w:tcPr>
          <w:p>
            <w:pPr>
              <w:spacing w:after="0"/>
              <w:rPr>
                <w:sz w:val="1"/>
                <w:szCs w:val="1"/>
                <w:color w:val="auto"/>
              </w:rPr>
            </w:pPr>
          </w:p>
        </w:tc>
      </w:tr>
      <w:tr>
        <w:trPr>
          <w:trHeight w:val="230"/>
        </w:trPr>
        <w:tc>
          <w:tcPr>
            <w:tcW w:w="2520" w:type="dxa"/>
            <w:vAlign w:val="bottom"/>
          </w:tcPr>
          <w:p>
            <w:pPr>
              <w:spacing w:after="0"/>
              <w:rPr>
                <w:sz w:val="20"/>
                <w:szCs w:val="20"/>
                <w:color w:val="auto"/>
              </w:rPr>
            </w:pPr>
            <w:r>
              <w:rPr>
                <w:rFonts w:ascii="Arial" w:cs="Arial" w:eastAsia="Arial" w:hAnsi="Arial"/>
                <w:sz w:val="18"/>
                <w:szCs w:val="18"/>
                <w:color w:val="auto"/>
              </w:rPr>
              <w:t>__________</w:t>
            </w:r>
          </w:p>
        </w:tc>
        <w:tc>
          <w:tcPr>
            <w:tcW w:w="5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43" w:lineRule="exact"/>
        <w:rPr>
          <w:sz w:val="20"/>
          <w:szCs w:val="20"/>
          <w:color w:val="auto"/>
        </w:rPr>
      </w:pPr>
    </w:p>
    <w:p>
      <w:pPr>
        <w:jc w:val="both"/>
        <w:ind w:left="340" w:hanging="318"/>
        <w:spacing w:after="0" w:line="265" w:lineRule="auto"/>
        <w:tabs>
          <w:tab w:leader="none" w:pos="340" w:val="left"/>
        </w:tabs>
        <w:numPr>
          <w:ilvl w:val="0"/>
          <w:numId w:val="51"/>
        </w:numPr>
        <w:rPr>
          <w:rFonts w:ascii="Arial" w:cs="Arial" w:eastAsia="Arial" w:hAnsi="Arial"/>
          <w:sz w:val="15"/>
          <w:szCs w:val="15"/>
          <w:color w:val="auto"/>
        </w:rPr>
      </w:pPr>
      <w:r>
        <w:rPr>
          <w:rFonts w:ascii="Arial" w:cs="Arial" w:eastAsia="Arial" w:hAnsi="Arial"/>
          <w:sz w:val="15"/>
          <w:szCs w:val="15"/>
          <w:color w:val="auto"/>
        </w:rPr>
        <w:t>This column shows the aggregate grant date fair value of the awards granted in the years shown, computed in accordance with FASB ASC Topic 718 pursuant to SEC rules, including the grant date fair value of the maximum number of shares that could be issued pursuant to the three-year performance-based restricted stock awards granted in 2014 and 2015, which vest based on achievement of a three-year cumulative revenue goal for the three-year period commencing January 1 of the year of grant and running through December 31 of the third year following the date of grant (i.e. January 1, 2014 – December 31, 2016 for the 2014 grants and January 1, 2015 – December 31, 2017 for the 2015 grants) and are subject to adjustment based on the Company’s TSR over the respective three-year performance period. These amounts reflect the Company’s accounting expense and do not correspond to the actual value that will be realized by the named executive officers. Additional information regarding the size of the awards is set forth in the notes to the “Grants of Plan Based Awards” and “Outstanding Equity Awards” tables. Assumptions used in calculating the fair value for awards granted in 2015 are described in Note 15 to the audited financial statements in the Company’s Annual Report on Form 10-K for the period ended December 31, 2015. For additional information on the stock awards, see the “Equity Incentive Plan” discussion within the section titled “Compensation Discussion and Analysis” of this Proxy Statement.</w:t>
      </w:r>
    </w:p>
    <w:p>
      <w:pPr>
        <w:jc w:val="both"/>
        <w:ind w:left="340" w:hanging="318"/>
        <w:spacing w:after="0" w:line="281" w:lineRule="auto"/>
        <w:tabs>
          <w:tab w:leader="none" w:pos="340" w:val="left"/>
        </w:tabs>
        <w:numPr>
          <w:ilvl w:val="0"/>
          <w:numId w:val="51"/>
        </w:numPr>
        <w:rPr>
          <w:rFonts w:ascii="Arial" w:cs="Arial" w:eastAsia="Arial" w:hAnsi="Arial"/>
          <w:sz w:val="14"/>
          <w:szCs w:val="14"/>
          <w:color w:val="auto"/>
        </w:rPr>
      </w:pPr>
      <w:r>
        <w:rPr>
          <w:rFonts w:ascii="Arial" w:cs="Arial" w:eastAsia="Arial" w:hAnsi="Arial"/>
          <w:sz w:val="14"/>
          <w:szCs w:val="14"/>
          <w:color w:val="auto"/>
        </w:rPr>
        <w:t>Except as specifically noted otherwise in footnote 7 with respect to Mr. Linnington, this amount represents the annual cash incentive earned under the Company’s annual incentive bonus plan based on the executive’s achievement of individual and Company financial goals. These bonuses are awarded and paid in the following year after actual financial results are determined for the year for which performance was measured. For additional information regarding the annual cash incentives paid for 2015</w:t>
      </w:r>
    </w:p>
    <w:p>
      <w:pPr>
        <w:spacing w:after="0" w:line="2" w:lineRule="exact"/>
        <w:rPr>
          <w:sz w:val="20"/>
          <w:szCs w:val="20"/>
          <w:color w:val="auto"/>
        </w:rPr>
      </w:pPr>
    </w:p>
    <w:p>
      <w:pPr>
        <w:ind w:left="340"/>
        <w:spacing w:after="0"/>
        <w:rPr>
          <w:sz w:val="20"/>
          <w:szCs w:val="20"/>
          <w:color w:val="auto"/>
        </w:rPr>
      </w:pPr>
      <w:r>
        <w:rPr>
          <w:rFonts w:ascii="Arial" w:cs="Arial" w:eastAsia="Arial" w:hAnsi="Arial"/>
          <w:sz w:val="15"/>
          <w:szCs w:val="15"/>
          <w:color w:val="auto"/>
        </w:rPr>
        <w:t>performance, see the “2015 Annual Cash Incentive Program” discussion within the section titled “Compensation Discussion and Analysis” of this Proxy Statement.</w:t>
      </w:r>
    </w:p>
    <w:p>
      <w:pPr>
        <w:spacing w:after="0" w:line="17" w:lineRule="exact"/>
        <w:rPr>
          <w:sz w:val="20"/>
          <w:szCs w:val="20"/>
          <w:color w:val="auto"/>
        </w:rPr>
      </w:pPr>
    </w:p>
    <w:p>
      <w:pPr>
        <w:ind w:left="20"/>
        <w:spacing w:after="0"/>
        <w:rPr>
          <w:sz w:val="20"/>
          <w:szCs w:val="20"/>
          <w:color w:val="auto"/>
        </w:rPr>
      </w:pPr>
      <w:r>
        <w:rPr>
          <w:rFonts w:ascii="Arial" w:cs="Arial" w:eastAsia="Arial" w:hAnsi="Arial"/>
          <w:sz w:val="15"/>
          <w:szCs w:val="15"/>
          <w:color w:val="auto"/>
        </w:rPr>
        <w:t>(3a) Pursuant to the CoStar Realty Information, Inc. 401(k) Plan (a defined contribution plan available generally to employees of the Company) (the “401(k) Plan”), for the</w:t>
      </w:r>
    </w:p>
    <w:p>
      <w:pPr>
        <w:spacing w:after="0" w:line="17" w:lineRule="exact"/>
        <w:rPr>
          <w:sz w:val="20"/>
          <w:szCs w:val="20"/>
          <w:color w:val="auto"/>
        </w:rPr>
      </w:pPr>
    </w:p>
    <w:p>
      <w:pPr>
        <w:ind w:left="340"/>
        <w:spacing w:after="0"/>
        <w:rPr>
          <w:sz w:val="20"/>
          <w:szCs w:val="20"/>
          <w:color w:val="auto"/>
        </w:rPr>
      </w:pPr>
      <w:r>
        <w:rPr>
          <w:rFonts w:ascii="Arial" w:cs="Arial" w:eastAsia="Arial" w:hAnsi="Arial"/>
          <w:sz w:val="16"/>
          <w:szCs w:val="16"/>
          <w:color w:val="auto"/>
        </w:rPr>
        <w:t>2015 plan year, Mr. Florance contributed a portion of his annual compensation and</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420"/>
          </w:cols>
          <w:pgMar w:left="240" w:top="778" w:right="239" w:bottom="1440" w:gutter="0" w:footer="0" w:header="0"/>
        </w:sectPr>
      </w:pPr>
    </w:p>
    <w:bookmarkStart w:id="76" w:name="page77"/>
    <w:bookmarkEnd w:id="76"/>
    <w:p>
      <w:pPr>
        <w:ind w:left="320"/>
        <w:spacing w:after="0" w:line="362" w:lineRule="auto"/>
        <w:rPr>
          <w:sz w:val="20"/>
          <w:szCs w:val="20"/>
          <w:color w:val="auto"/>
        </w:rPr>
      </w:pPr>
      <w:r>
        <w:rPr>
          <w:rFonts w:ascii="Arial" w:cs="Arial" w:eastAsia="Arial" w:hAnsi="Arial"/>
          <w:sz w:val="14"/>
          <w:szCs w:val="14"/>
          <w:color w:val="auto"/>
        </w:rPr>
        <w:t>CoStar made a matching contribution in the amount of $10,600. In 2015, the employer contribution was capped at the executive’s contribution amount up to a maximum of four percent of the executive’s gross pay. The Company paid $1,112 in annual premiums to maintain a $1 million life insurance policy for the benefit of Mr. Florance.</w:t>
      </w:r>
    </w:p>
    <w:p>
      <w:pPr>
        <w:spacing w:after="0" w:line="1" w:lineRule="exact"/>
        <w:rPr>
          <w:sz w:val="20"/>
          <w:szCs w:val="20"/>
          <w:color w:val="auto"/>
        </w:rPr>
      </w:pPr>
    </w:p>
    <w:p>
      <w:pPr>
        <w:jc w:val="both"/>
        <w:ind w:left="320" w:hanging="310"/>
        <w:spacing w:after="0" w:line="269" w:lineRule="auto"/>
        <w:rPr>
          <w:sz w:val="20"/>
          <w:szCs w:val="20"/>
          <w:color w:val="auto"/>
        </w:rPr>
      </w:pPr>
      <w:r>
        <w:rPr>
          <w:rFonts w:ascii="Arial" w:cs="Arial" w:eastAsia="Arial" w:hAnsi="Arial"/>
          <w:sz w:val="15"/>
          <w:szCs w:val="15"/>
          <w:color w:val="auto"/>
        </w:rPr>
        <w:t>(3b) Pursuant to the 401(k) Plan, for the 2015 plan year, Mr. Radecki contributed a portion of his annual compensation and CoStar made a matching contribution in the amount of $10,600. In 2015, the employer contribution was capped at the executive’s contribution amount up to a maximum of four percent of the executive’s gross pay. Mr. Radecki received a retirement gift valued at $19,556 and a tax gross up of $20,273 on the retirement gift, which was reported as income for tax purposes.</w:t>
      </w:r>
    </w:p>
    <w:p>
      <w:pPr>
        <w:spacing w:after="0" w:line="1" w:lineRule="exact"/>
        <w:rPr>
          <w:sz w:val="20"/>
          <w:szCs w:val="20"/>
          <w:color w:val="auto"/>
        </w:rPr>
      </w:pPr>
    </w:p>
    <w:p>
      <w:pPr>
        <w:jc w:val="both"/>
        <w:ind w:left="320" w:hanging="310"/>
        <w:spacing w:after="0" w:line="246" w:lineRule="auto"/>
        <w:rPr>
          <w:sz w:val="20"/>
          <w:szCs w:val="20"/>
          <w:color w:val="auto"/>
        </w:rPr>
      </w:pPr>
      <w:r>
        <w:rPr>
          <w:rFonts w:ascii="Arial" w:cs="Arial" w:eastAsia="Arial" w:hAnsi="Arial"/>
          <w:sz w:val="16"/>
          <w:szCs w:val="16"/>
          <w:color w:val="auto"/>
        </w:rPr>
        <w:t>(3c) Pursuant to the 401(k) Plan, for the 2015 plan year, Mr. Yinger contributed a portion of his annual compensation and CoStar made a matching contribution in the amount of $10,600. In 2015, the employer contribution was capped at the executive’s contribution amount up to a maximum of four percent of the executive’s gross pay. Mr. Yinger received a tax gross up of $1,619 on certain employee incentives or gifts and of $359 on his employment service award, each of which was reported as income for tax purposes.</w:t>
      </w:r>
    </w:p>
    <w:p>
      <w:pPr>
        <w:spacing w:after="0" w:line="2" w:lineRule="exact"/>
        <w:rPr>
          <w:sz w:val="20"/>
          <w:szCs w:val="20"/>
          <w:color w:val="auto"/>
        </w:rPr>
      </w:pPr>
    </w:p>
    <w:p>
      <w:pPr>
        <w:jc w:val="both"/>
        <w:ind w:left="320" w:hanging="310"/>
        <w:spacing w:after="0" w:line="263" w:lineRule="auto"/>
        <w:rPr>
          <w:sz w:val="20"/>
          <w:szCs w:val="20"/>
          <w:color w:val="auto"/>
        </w:rPr>
      </w:pPr>
      <w:r>
        <w:rPr>
          <w:rFonts w:ascii="Arial" w:cs="Arial" w:eastAsia="Arial" w:hAnsi="Arial"/>
          <w:sz w:val="15"/>
          <w:szCs w:val="15"/>
          <w:color w:val="auto"/>
        </w:rPr>
        <w:t>(3d) Pursuant to the 401(k) Plan, for the 2015 plan year, Mr. Carchedi contributed a portion of his annual compensation and CoStar made a matching contribution in the amount of $10,600. In 2015, the employer contribution was capped at the executive’s contribution amount up to a maximum of four percent of the executive’s gross pay. Mr. Carchedi received a tax gross up of $2,945 on certain employee incentives or gifts, which was reported as income for tax purposes.</w:t>
      </w:r>
    </w:p>
    <w:p>
      <w:pPr>
        <w:jc w:val="both"/>
        <w:ind w:left="320" w:hanging="310"/>
        <w:spacing w:after="0" w:line="246" w:lineRule="auto"/>
        <w:rPr>
          <w:sz w:val="20"/>
          <w:szCs w:val="20"/>
          <w:color w:val="auto"/>
        </w:rPr>
      </w:pPr>
      <w:r>
        <w:rPr>
          <w:rFonts w:ascii="Arial" w:cs="Arial" w:eastAsia="Arial" w:hAnsi="Arial"/>
          <w:sz w:val="16"/>
          <w:szCs w:val="16"/>
          <w:color w:val="auto"/>
        </w:rPr>
        <w:t>(3e) Pursuant to the 401(k) Plan, for the 2015 plan year, Mr. Linnington contributed a portion of his annual compensation and CoStar made a matching contribution in the amount of $10,600. In 2015, the employer contribution was capped at the executive’s contribution amount up to a maximum of four percent of the executive’s gross pay. Mr. Linnington received an aggregate of $21,017 of perquisites or personal benefits in 2015, including employee incentives and gifts incidental to business meetings, trips, transactions and events, and family accompaniment while on business travel. Mr. Linnington also received a tax gross up of $5,229 on certain business travel reported as income for tax purposes, a tax gross up of $5,229 in connection with family travel expenses, and a tax gross up of $2,670 in connection with certain employee incentives or gifts reported as income for tax purposes.</w:t>
      </w:r>
    </w:p>
    <w:p>
      <w:pPr>
        <w:spacing w:after="0" w:line="3" w:lineRule="exact"/>
        <w:rPr>
          <w:sz w:val="20"/>
          <w:szCs w:val="20"/>
          <w:color w:val="auto"/>
        </w:rPr>
      </w:pPr>
    </w:p>
    <w:p>
      <w:pPr>
        <w:jc w:val="both"/>
        <w:ind w:left="320" w:hanging="318"/>
        <w:spacing w:after="0" w:line="246" w:lineRule="auto"/>
        <w:tabs>
          <w:tab w:leader="none" w:pos="320" w:val="left"/>
        </w:tabs>
        <w:numPr>
          <w:ilvl w:val="0"/>
          <w:numId w:val="52"/>
        </w:numPr>
        <w:rPr>
          <w:rFonts w:ascii="Arial" w:cs="Arial" w:eastAsia="Arial" w:hAnsi="Arial"/>
          <w:sz w:val="16"/>
          <w:szCs w:val="16"/>
          <w:color w:val="auto"/>
        </w:rPr>
      </w:pPr>
      <w:r>
        <w:rPr>
          <w:rFonts w:ascii="Arial" w:cs="Arial" w:eastAsia="Arial" w:hAnsi="Arial"/>
          <w:sz w:val="16"/>
          <w:szCs w:val="16"/>
          <w:color w:val="auto"/>
        </w:rPr>
        <w:t>Mr. Radecki resigned as the Company’s Chief Financial Officer effective August 3, 2015, at which time he remained an employee of the Company and was compensated at a level commensurate with his position as Executive Vice President. Mr. Radecki did not receive a cash incentive payment for 2015 performance as he no longer served as an executive officer at the end of the fiscal year.</w:t>
      </w:r>
    </w:p>
    <w:p>
      <w:pPr>
        <w:spacing w:after="0" w:line="1" w:lineRule="exact"/>
        <w:rPr>
          <w:rFonts w:ascii="Arial" w:cs="Arial" w:eastAsia="Arial" w:hAnsi="Arial"/>
          <w:sz w:val="16"/>
          <w:szCs w:val="16"/>
          <w:color w:val="auto"/>
        </w:rPr>
      </w:pPr>
    </w:p>
    <w:p>
      <w:pPr>
        <w:jc w:val="both"/>
        <w:ind w:left="320" w:hanging="318"/>
        <w:spacing w:after="0" w:line="246" w:lineRule="auto"/>
        <w:tabs>
          <w:tab w:leader="none" w:pos="320" w:val="left"/>
        </w:tabs>
        <w:numPr>
          <w:ilvl w:val="0"/>
          <w:numId w:val="52"/>
        </w:numPr>
        <w:rPr>
          <w:rFonts w:ascii="Arial" w:cs="Arial" w:eastAsia="Arial" w:hAnsi="Arial"/>
          <w:sz w:val="16"/>
          <w:szCs w:val="16"/>
          <w:color w:val="auto"/>
        </w:rPr>
      </w:pPr>
      <w:r>
        <w:rPr>
          <w:rFonts w:ascii="Arial" w:cs="Arial" w:eastAsia="Arial" w:hAnsi="Arial"/>
          <w:sz w:val="16"/>
          <w:szCs w:val="16"/>
          <w:color w:val="auto"/>
        </w:rPr>
        <w:t>Mr. Yinger served as Interim Chief Financial Officer commencing August 3, 2015. Prior to that appointment, Mr. Yinger served as Vice President, Finance at a compensation level commensurate with that position. Mr. Yinger was not an executive officer when the executive long-term equity incentive awards were granted in 2015 and the 2015 executive cash incentive plan was approved by the Committee and did not participate in the executive cash incentive plan in 2015. Mr. Yinger remained subject to the cash incentive plan approved by his manager prior to his appointment as Interim Chief Financial Officer.</w:t>
      </w:r>
    </w:p>
    <w:p>
      <w:pPr>
        <w:spacing w:after="0" w:line="1" w:lineRule="exact"/>
        <w:rPr>
          <w:rFonts w:ascii="Arial" w:cs="Arial" w:eastAsia="Arial" w:hAnsi="Arial"/>
          <w:sz w:val="16"/>
          <w:szCs w:val="16"/>
          <w:color w:val="auto"/>
        </w:rPr>
      </w:pPr>
    </w:p>
    <w:p>
      <w:pPr>
        <w:ind w:left="320" w:hanging="318"/>
        <w:spacing w:after="0"/>
        <w:tabs>
          <w:tab w:leader="none" w:pos="320" w:val="left"/>
        </w:tabs>
        <w:numPr>
          <w:ilvl w:val="0"/>
          <w:numId w:val="52"/>
        </w:numPr>
        <w:rPr>
          <w:rFonts w:ascii="Arial" w:cs="Arial" w:eastAsia="Arial" w:hAnsi="Arial"/>
          <w:sz w:val="16"/>
          <w:szCs w:val="16"/>
          <w:color w:val="auto"/>
        </w:rPr>
      </w:pPr>
      <w:r>
        <w:rPr>
          <w:rFonts w:ascii="Arial" w:cs="Arial" w:eastAsia="Arial" w:hAnsi="Arial"/>
          <w:sz w:val="16"/>
          <w:szCs w:val="16"/>
          <w:color w:val="auto"/>
        </w:rPr>
        <w:t>Mr. Linnington was appointed as an executive officer of the Company in June 2014.</w:t>
      </w:r>
    </w:p>
    <w:p>
      <w:pPr>
        <w:spacing w:after="0" w:line="5" w:lineRule="exact"/>
        <w:rPr>
          <w:rFonts w:ascii="Arial" w:cs="Arial" w:eastAsia="Arial" w:hAnsi="Arial"/>
          <w:sz w:val="16"/>
          <w:szCs w:val="16"/>
          <w:color w:val="auto"/>
        </w:rPr>
      </w:pPr>
    </w:p>
    <w:p>
      <w:pPr>
        <w:ind w:left="320" w:hanging="318"/>
        <w:spacing w:after="0" w:line="257" w:lineRule="auto"/>
        <w:tabs>
          <w:tab w:leader="none" w:pos="320" w:val="left"/>
        </w:tabs>
        <w:numPr>
          <w:ilvl w:val="0"/>
          <w:numId w:val="52"/>
        </w:numPr>
        <w:rPr>
          <w:rFonts w:ascii="Arial" w:cs="Arial" w:eastAsia="Arial" w:hAnsi="Arial"/>
          <w:sz w:val="16"/>
          <w:szCs w:val="16"/>
          <w:color w:val="auto"/>
        </w:rPr>
      </w:pPr>
      <w:r>
        <w:rPr>
          <w:rFonts w:ascii="Arial" w:cs="Arial" w:eastAsia="Arial" w:hAnsi="Arial"/>
          <w:sz w:val="16"/>
          <w:szCs w:val="16"/>
          <w:color w:val="auto"/>
        </w:rPr>
        <w:t>This amount represents the quarterly commission payments paid to Mr. Linnington for performance in 2015, which are based on the Company’s monthly net new subscription contract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400"/>
          </w:cols>
          <w:pgMar w:left="260" w:top="400" w:right="239" w:bottom="1440" w:gutter="0" w:footer="0" w:header="0"/>
        </w:sectPr>
      </w:pPr>
    </w:p>
    <w:bookmarkStart w:id="77" w:name="page78"/>
    <w:bookmarkEnd w:id="77"/>
    <w:p>
      <w:pPr>
        <w:spacing w:after="0"/>
        <w:rPr>
          <w:sz w:val="20"/>
          <w:szCs w:val="20"/>
          <w:color w:val="auto"/>
        </w:rPr>
      </w:pPr>
      <w:r>
        <w:rPr>
          <w:rFonts w:ascii="Arial" w:cs="Arial" w:eastAsia="Arial" w:hAnsi="Arial"/>
          <w:sz w:val="20"/>
          <w:szCs w:val="20"/>
          <w:b w:val="1"/>
          <w:bCs w:val="1"/>
          <w:color w:val="auto"/>
        </w:rPr>
        <w:t>GRANTS OF PLAN-BASED AWARDS FOR FISCAL YEAR 2015</w:t>
      </w:r>
    </w:p>
    <w:p>
      <w:pPr>
        <w:spacing w:after="0" w:line="13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following Grants of Plan-Based Awards table provides additional information about stock and option awards and non-equity incentive plan awards granted to our named executive officers during the year ended December 31,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203200</wp:posOffset>
            </wp:positionV>
            <wp:extent cx="7246620" cy="475107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46620" cy="4751070"/>
                    </a:xfrm>
                    <a:prstGeom prst="rect">
                      <a:avLst/>
                    </a:prstGeom>
                    <a:noFill/>
                  </pic:spPr>
                </pic:pic>
              </a:graphicData>
            </a:graphic>
          </wp:anchor>
        </w:drawing>
      </w:r>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020" w:type="dxa"/>
            <w:vAlign w:val="bottom"/>
            <w:shd w:val="clear" w:color="auto" w:fill="B8CCE4"/>
          </w:tcPr>
          <w:p>
            <w:pPr>
              <w:spacing w:after="0"/>
              <w:rPr>
                <w:sz w:val="14"/>
                <w:szCs w:val="14"/>
                <w:color w:val="auto"/>
              </w:rPr>
            </w:pPr>
          </w:p>
        </w:tc>
        <w:tc>
          <w:tcPr>
            <w:tcW w:w="700" w:type="dxa"/>
            <w:vAlign w:val="bottom"/>
            <w:shd w:val="clear" w:color="auto" w:fill="B8CCE4"/>
          </w:tcPr>
          <w:p>
            <w:pPr>
              <w:spacing w:after="0"/>
              <w:rPr>
                <w:sz w:val="14"/>
                <w:szCs w:val="14"/>
                <w:color w:val="auto"/>
              </w:rPr>
            </w:pPr>
          </w:p>
        </w:tc>
        <w:tc>
          <w:tcPr>
            <w:tcW w:w="860" w:type="dxa"/>
            <w:vAlign w:val="bottom"/>
            <w:shd w:val="clear" w:color="auto" w:fill="B8CCE4"/>
          </w:tcPr>
          <w:p>
            <w:pPr>
              <w:spacing w:after="0"/>
              <w:rPr>
                <w:sz w:val="14"/>
                <w:szCs w:val="14"/>
                <w:color w:val="auto"/>
              </w:rPr>
            </w:pPr>
          </w:p>
        </w:tc>
        <w:tc>
          <w:tcPr>
            <w:tcW w:w="60" w:type="dxa"/>
            <w:vAlign w:val="bottom"/>
            <w:shd w:val="clear" w:color="auto" w:fill="B8CCE4"/>
          </w:tcPr>
          <w:p>
            <w:pPr>
              <w:spacing w:after="0"/>
              <w:rPr>
                <w:sz w:val="14"/>
                <w:szCs w:val="14"/>
                <w:color w:val="auto"/>
              </w:rPr>
            </w:pPr>
          </w:p>
        </w:tc>
        <w:tc>
          <w:tcPr>
            <w:tcW w:w="1160" w:type="dxa"/>
            <w:vAlign w:val="bottom"/>
            <w:vMerge w:val="restart"/>
            <w:shd w:val="clear" w:color="auto" w:fill="B8CCE4"/>
          </w:tcPr>
          <w:p>
            <w:pPr>
              <w:jc w:val="center"/>
              <w:spacing w:after="0"/>
              <w:rPr>
                <w:sz w:val="20"/>
                <w:szCs w:val="20"/>
                <w:color w:val="auto"/>
              </w:rPr>
            </w:pPr>
            <w:r>
              <w:rPr>
                <w:rFonts w:ascii="Arial" w:cs="Arial" w:eastAsia="Arial" w:hAnsi="Arial"/>
                <w:sz w:val="14"/>
                <w:szCs w:val="14"/>
                <w:b w:val="1"/>
                <w:bCs w:val="1"/>
                <w:color w:val="auto"/>
                <w:w w:val="94"/>
              </w:rPr>
              <w:t>Estimated Future</w:t>
            </w:r>
          </w:p>
        </w:tc>
        <w:tc>
          <w:tcPr>
            <w:tcW w:w="860" w:type="dxa"/>
            <w:vAlign w:val="bottom"/>
            <w:shd w:val="clear" w:color="auto" w:fill="B8CCE4"/>
          </w:tcPr>
          <w:p>
            <w:pPr>
              <w:spacing w:after="0"/>
              <w:rPr>
                <w:sz w:val="14"/>
                <w:szCs w:val="14"/>
                <w:color w:val="auto"/>
              </w:rPr>
            </w:pPr>
          </w:p>
        </w:tc>
        <w:tc>
          <w:tcPr>
            <w:tcW w:w="940" w:type="dxa"/>
            <w:vAlign w:val="bottom"/>
            <w:shd w:val="clear" w:color="auto" w:fill="B8CCE4"/>
          </w:tcPr>
          <w:p>
            <w:pPr>
              <w:spacing w:after="0"/>
              <w:rPr>
                <w:sz w:val="14"/>
                <w:szCs w:val="14"/>
                <w:color w:val="auto"/>
              </w:rPr>
            </w:pPr>
          </w:p>
        </w:tc>
        <w:tc>
          <w:tcPr>
            <w:tcW w:w="700" w:type="dxa"/>
            <w:vAlign w:val="bottom"/>
            <w:shd w:val="clear" w:color="auto" w:fill="B8CCE4"/>
          </w:tcPr>
          <w:p>
            <w:pPr>
              <w:spacing w:after="0"/>
              <w:rPr>
                <w:sz w:val="14"/>
                <w:szCs w:val="14"/>
                <w:color w:val="auto"/>
              </w:rPr>
            </w:pPr>
          </w:p>
        </w:tc>
        <w:tc>
          <w:tcPr>
            <w:tcW w:w="860" w:type="dxa"/>
            <w:vAlign w:val="bottom"/>
            <w:shd w:val="clear" w:color="auto" w:fill="B8CCE4"/>
          </w:tcPr>
          <w:p>
            <w:pPr>
              <w:spacing w:after="0"/>
              <w:rPr>
                <w:sz w:val="14"/>
                <w:szCs w:val="14"/>
                <w:color w:val="auto"/>
              </w:rPr>
            </w:pPr>
          </w:p>
        </w:tc>
        <w:tc>
          <w:tcPr>
            <w:tcW w:w="900" w:type="dxa"/>
            <w:vAlign w:val="bottom"/>
            <w:shd w:val="clear" w:color="auto" w:fill="B8CCE4"/>
          </w:tcPr>
          <w:p>
            <w:pPr>
              <w:jc w:val="center"/>
              <w:spacing w:after="0"/>
              <w:rPr>
                <w:sz w:val="20"/>
                <w:szCs w:val="20"/>
                <w:color w:val="auto"/>
              </w:rPr>
            </w:pPr>
            <w:r>
              <w:rPr>
                <w:rFonts w:ascii="Arial" w:cs="Arial" w:eastAsia="Arial" w:hAnsi="Arial"/>
                <w:sz w:val="14"/>
                <w:szCs w:val="14"/>
                <w:b w:val="1"/>
                <w:bCs w:val="1"/>
                <w:color w:val="auto"/>
              </w:rPr>
              <w:t>All Other</w:t>
            </w:r>
          </w:p>
        </w:tc>
        <w:tc>
          <w:tcPr>
            <w:tcW w:w="1200" w:type="dxa"/>
            <w:vAlign w:val="bottom"/>
            <w:shd w:val="clear" w:color="auto" w:fill="B8CCE4"/>
          </w:tcPr>
          <w:p>
            <w:pPr>
              <w:spacing w:after="0"/>
              <w:rPr>
                <w:sz w:val="14"/>
                <w:szCs w:val="14"/>
                <w:color w:val="auto"/>
              </w:rPr>
            </w:pPr>
          </w:p>
        </w:tc>
        <w:tc>
          <w:tcPr>
            <w:tcW w:w="980" w:type="dxa"/>
            <w:vAlign w:val="bottom"/>
            <w:shd w:val="clear" w:color="auto" w:fill="B8CCE4"/>
          </w:tcPr>
          <w:p>
            <w:pPr>
              <w:spacing w:after="0"/>
              <w:rPr>
                <w:sz w:val="14"/>
                <w:szCs w:val="14"/>
                <w:color w:val="auto"/>
              </w:rPr>
            </w:pPr>
          </w:p>
        </w:tc>
        <w:tc>
          <w:tcPr>
            <w:tcW w:w="180" w:type="dxa"/>
            <w:vAlign w:val="bottom"/>
            <w:shd w:val="clear" w:color="auto" w:fill="B8CCE4"/>
          </w:tcPr>
          <w:p>
            <w:pPr>
              <w:spacing w:after="0"/>
              <w:rPr>
                <w:sz w:val="14"/>
                <w:szCs w:val="14"/>
                <w:color w:val="auto"/>
              </w:rPr>
            </w:pPr>
          </w:p>
        </w:tc>
        <w:tc>
          <w:tcPr>
            <w:tcW w:w="980" w:type="dxa"/>
            <w:vAlign w:val="bottom"/>
            <w:shd w:val="clear" w:color="auto" w:fill="B8CCE4"/>
          </w:tcPr>
          <w:p>
            <w:pPr>
              <w:spacing w:after="0"/>
              <w:rPr>
                <w:sz w:val="14"/>
                <w:szCs w:val="14"/>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20" w:type="dxa"/>
            <w:vAlign w:val="bottom"/>
            <w:shd w:val="clear" w:color="auto" w:fill="B8CCE4"/>
          </w:tcPr>
          <w:p>
            <w:pPr>
              <w:spacing w:after="0"/>
              <w:rPr>
                <w:sz w:val="5"/>
                <w:szCs w:val="5"/>
                <w:color w:val="auto"/>
              </w:rPr>
            </w:pPr>
          </w:p>
        </w:tc>
        <w:tc>
          <w:tcPr>
            <w:tcW w:w="700" w:type="dxa"/>
            <w:vAlign w:val="bottom"/>
            <w:shd w:val="clear" w:color="auto" w:fill="B8CCE4"/>
          </w:tcPr>
          <w:p>
            <w:pPr>
              <w:spacing w:after="0"/>
              <w:rPr>
                <w:sz w:val="5"/>
                <w:szCs w:val="5"/>
                <w:color w:val="auto"/>
              </w:rPr>
            </w:pPr>
          </w:p>
        </w:tc>
        <w:tc>
          <w:tcPr>
            <w:tcW w:w="860" w:type="dxa"/>
            <w:vAlign w:val="bottom"/>
            <w:shd w:val="clear" w:color="auto" w:fill="B8CCE4"/>
          </w:tcPr>
          <w:p>
            <w:pPr>
              <w:spacing w:after="0"/>
              <w:rPr>
                <w:sz w:val="5"/>
                <w:szCs w:val="5"/>
                <w:color w:val="auto"/>
              </w:rPr>
            </w:pPr>
          </w:p>
        </w:tc>
        <w:tc>
          <w:tcPr>
            <w:tcW w:w="60" w:type="dxa"/>
            <w:vAlign w:val="bottom"/>
            <w:shd w:val="clear" w:color="auto" w:fill="B8CCE4"/>
          </w:tcPr>
          <w:p>
            <w:pPr>
              <w:spacing w:after="0"/>
              <w:rPr>
                <w:sz w:val="5"/>
                <w:szCs w:val="5"/>
                <w:color w:val="auto"/>
              </w:rPr>
            </w:pPr>
          </w:p>
        </w:tc>
        <w:tc>
          <w:tcPr>
            <w:tcW w:w="1160" w:type="dxa"/>
            <w:vAlign w:val="bottom"/>
            <w:vMerge w:val="continue"/>
            <w:shd w:val="clear" w:color="auto" w:fill="B8CCE4"/>
          </w:tcPr>
          <w:p>
            <w:pPr>
              <w:spacing w:after="0"/>
              <w:rPr>
                <w:sz w:val="5"/>
                <w:szCs w:val="5"/>
                <w:color w:val="auto"/>
              </w:rPr>
            </w:pPr>
          </w:p>
        </w:tc>
        <w:tc>
          <w:tcPr>
            <w:tcW w:w="860" w:type="dxa"/>
            <w:vAlign w:val="bottom"/>
            <w:shd w:val="clear" w:color="auto" w:fill="B8CCE4"/>
          </w:tcPr>
          <w:p>
            <w:pPr>
              <w:spacing w:after="0"/>
              <w:rPr>
                <w:sz w:val="5"/>
                <w:szCs w:val="5"/>
                <w:color w:val="auto"/>
              </w:rPr>
            </w:pPr>
          </w:p>
        </w:tc>
        <w:tc>
          <w:tcPr>
            <w:tcW w:w="940" w:type="dxa"/>
            <w:vAlign w:val="bottom"/>
            <w:shd w:val="clear" w:color="auto" w:fill="B8CCE4"/>
          </w:tcPr>
          <w:p>
            <w:pPr>
              <w:spacing w:after="0"/>
              <w:rPr>
                <w:sz w:val="5"/>
                <w:szCs w:val="5"/>
                <w:color w:val="auto"/>
              </w:rPr>
            </w:pPr>
          </w:p>
        </w:tc>
        <w:tc>
          <w:tcPr>
            <w:tcW w:w="700" w:type="dxa"/>
            <w:vAlign w:val="bottom"/>
            <w:shd w:val="clear" w:color="auto" w:fill="B8CCE4"/>
          </w:tcPr>
          <w:p>
            <w:pPr>
              <w:spacing w:after="0"/>
              <w:rPr>
                <w:sz w:val="5"/>
                <w:szCs w:val="5"/>
                <w:color w:val="auto"/>
              </w:rPr>
            </w:pPr>
          </w:p>
        </w:tc>
        <w:tc>
          <w:tcPr>
            <w:tcW w:w="860" w:type="dxa"/>
            <w:vAlign w:val="bottom"/>
            <w:shd w:val="clear" w:color="auto" w:fill="B8CCE4"/>
          </w:tcPr>
          <w:p>
            <w:pPr>
              <w:spacing w:after="0"/>
              <w:rPr>
                <w:sz w:val="5"/>
                <w:szCs w:val="5"/>
                <w:color w:val="auto"/>
              </w:rPr>
            </w:pPr>
          </w:p>
        </w:tc>
        <w:tc>
          <w:tcPr>
            <w:tcW w:w="900" w:type="dxa"/>
            <w:vAlign w:val="bottom"/>
            <w:vMerge w:val="restart"/>
            <w:shd w:val="clear" w:color="auto" w:fill="B8CCE4"/>
          </w:tcPr>
          <w:p>
            <w:pPr>
              <w:jc w:val="center"/>
              <w:ind w:right="14"/>
              <w:spacing w:after="0" w:line="149" w:lineRule="exact"/>
              <w:rPr>
                <w:sz w:val="20"/>
                <w:szCs w:val="20"/>
                <w:color w:val="auto"/>
              </w:rPr>
            </w:pPr>
            <w:r>
              <w:rPr>
                <w:rFonts w:ascii="Arial" w:cs="Arial" w:eastAsia="Arial" w:hAnsi="Arial"/>
                <w:sz w:val="14"/>
                <w:szCs w:val="14"/>
                <w:b w:val="1"/>
                <w:bCs w:val="1"/>
                <w:color w:val="auto"/>
                <w:w w:val="89"/>
              </w:rPr>
              <w:t>Stock</w:t>
            </w:r>
          </w:p>
        </w:tc>
        <w:tc>
          <w:tcPr>
            <w:tcW w:w="1200" w:type="dxa"/>
            <w:vAlign w:val="bottom"/>
            <w:vMerge w:val="restart"/>
            <w:shd w:val="clear" w:color="auto" w:fill="B8CCE4"/>
          </w:tcPr>
          <w:p>
            <w:pPr>
              <w:jc w:val="center"/>
              <w:ind w:right="54"/>
              <w:spacing w:after="0" w:line="149" w:lineRule="exact"/>
              <w:rPr>
                <w:sz w:val="20"/>
                <w:szCs w:val="20"/>
                <w:color w:val="auto"/>
              </w:rPr>
            </w:pPr>
            <w:r>
              <w:rPr>
                <w:rFonts w:ascii="Arial" w:cs="Arial" w:eastAsia="Arial" w:hAnsi="Arial"/>
                <w:sz w:val="14"/>
                <w:szCs w:val="14"/>
                <w:b w:val="1"/>
                <w:bCs w:val="1"/>
                <w:color w:val="auto"/>
              </w:rPr>
              <w:t>All Other</w:t>
            </w:r>
          </w:p>
        </w:tc>
        <w:tc>
          <w:tcPr>
            <w:tcW w:w="980" w:type="dxa"/>
            <w:vAlign w:val="bottom"/>
            <w:shd w:val="clear" w:color="auto" w:fill="B8CCE4"/>
          </w:tcPr>
          <w:p>
            <w:pPr>
              <w:spacing w:after="0"/>
              <w:rPr>
                <w:sz w:val="5"/>
                <w:szCs w:val="5"/>
                <w:color w:val="auto"/>
              </w:rPr>
            </w:pPr>
          </w:p>
        </w:tc>
        <w:tc>
          <w:tcPr>
            <w:tcW w:w="180" w:type="dxa"/>
            <w:vAlign w:val="bottom"/>
            <w:shd w:val="clear" w:color="auto" w:fill="B8CCE4"/>
          </w:tcPr>
          <w:p>
            <w:pPr>
              <w:spacing w:after="0"/>
              <w:rPr>
                <w:sz w:val="5"/>
                <w:szCs w:val="5"/>
                <w:color w:val="auto"/>
              </w:rPr>
            </w:pPr>
          </w:p>
        </w:tc>
        <w:tc>
          <w:tcPr>
            <w:tcW w:w="980" w:type="dxa"/>
            <w:vAlign w:val="bottom"/>
            <w:shd w:val="clear" w:color="auto" w:fill="B8CCE4"/>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20" w:type="dxa"/>
            <w:vAlign w:val="bottom"/>
            <w:shd w:val="clear" w:color="auto" w:fill="B8CCE4"/>
          </w:tcPr>
          <w:p>
            <w:pPr>
              <w:spacing w:after="0"/>
              <w:rPr>
                <w:sz w:val="7"/>
                <w:szCs w:val="7"/>
                <w:color w:val="auto"/>
              </w:rPr>
            </w:pPr>
          </w:p>
        </w:tc>
        <w:tc>
          <w:tcPr>
            <w:tcW w:w="700" w:type="dxa"/>
            <w:vAlign w:val="bottom"/>
            <w:shd w:val="clear" w:color="auto" w:fill="B8CCE4"/>
          </w:tcPr>
          <w:p>
            <w:pPr>
              <w:spacing w:after="0"/>
              <w:rPr>
                <w:sz w:val="7"/>
                <w:szCs w:val="7"/>
                <w:color w:val="auto"/>
              </w:rPr>
            </w:pPr>
          </w:p>
        </w:tc>
        <w:tc>
          <w:tcPr>
            <w:tcW w:w="860" w:type="dxa"/>
            <w:vAlign w:val="bottom"/>
            <w:shd w:val="clear" w:color="auto" w:fill="B8CCE4"/>
          </w:tcPr>
          <w:p>
            <w:pPr>
              <w:spacing w:after="0"/>
              <w:rPr>
                <w:sz w:val="7"/>
                <w:szCs w:val="7"/>
                <w:color w:val="auto"/>
              </w:rPr>
            </w:pPr>
          </w:p>
        </w:tc>
        <w:tc>
          <w:tcPr>
            <w:tcW w:w="60" w:type="dxa"/>
            <w:vAlign w:val="bottom"/>
            <w:shd w:val="clear" w:color="auto" w:fill="B8CCE4"/>
          </w:tcPr>
          <w:p>
            <w:pPr>
              <w:spacing w:after="0"/>
              <w:rPr>
                <w:sz w:val="7"/>
                <w:szCs w:val="7"/>
                <w:color w:val="auto"/>
              </w:rPr>
            </w:pPr>
          </w:p>
        </w:tc>
        <w:tc>
          <w:tcPr>
            <w:tcW w:w="1160" w:type="dxa"/>
            <w:vAlign w:val="bottom"/>
            <w:vMerge w:val="restart"/>
            <w:shd w:val="clear" w:color="auto" w:fill="B8CCE4"/>
          </w:tcPr>
          <w:p>
            <w:pPr>
              <w:jc w:val="center"/>
              <w:spacing w:after="0" w:line="149" w:lineRule="exact"/>
              <w:rPr>
                <w:sz w:val="20"/>
                <w:szCs w:val="20"/>
                <w:color w:val="auto"/>
              </w:rPr>
            </w:pPr>
            <w:r>
              <w:rPr>
                <w:rFonts w:ascii="Arial" w:cs="Arial" w:eastAsia="Arial" w:hAnsi="Arial"/>
                <w:sz w:val="14"/>
                <w:szCs w:val="14"/>
                <w:b w:val="1"/>
                <w:bCs w:val="1"/>
                <w:color w:val="auto"/>
                <w:w w:val="88"/>
              </w:rPr>
              <w:t>Payouts</w:t>
            </w:r>
          </w:p>
        </w:tc>
        <w:tc>
          <w:tcPr>
            <w:tcW w:w="860" w:type="dxa"/>
            <w:vAlign w:val="bottom"/>
            <w:shd w:val="clear" w:color="auto" w:fill="B8CCE4"/>
          </w:tcPr>
          <w:p>
            <w:pPr>
              <w:spacing w:after="0"/>
              <w:rPr>
                <w:sz w:val="7"/>
                <w:szCs w:val="7"/>
                <w:color w:val="auto"/>
              </w:rPr>
            </w:pPr>
          </w:p>
        </w:tc>
        <w:tc>
          <w:tcPr>
            <w:tcW w:w="940" w:type="dxa"/>
            <w:vAlign w:val="bottom"/>
            <w:shd w:val="clear" w:color="auto" w:fill="B8CCE4"/>
          </w:tcPr>
          <w:p>
            <w:pPr>
              <w:spacing w:after="0"/>
              <w:rPr>
                <w:sz w:val="7"/>
                <w:szCs w:val="7"/>
                <w:color w:val="auto"/>
              </w:rPr>
            </w:pPr>
          </w:p>
        </w:tc>
        <w:tc>
          <w:tcPr>
            <w:tcW w:w="700" w:type="dxa"/>
            <w:vAlign w:val="bottom"/>
            <w:shd w:val="clear" w:color="auto" w:fill="B8CCE4"/>
          </w:tcPr>
          <w:p>
            <w:pPr>
              <w:spacing w:after="0"/>
              <w:rPr>
                <w:sz w:val="7"/>
                <w:szCs w:val="7"/>
                <w:color w:val="auto"/>
              </w:rPr>
            </w:pPr>
          </w:p>
        </w:tc>
        <w:tc>
          <w:tcPr>
            <w:tcW w:w="860" w:type="dxa"/>
            <w:vAlign w:val="bottom"/>
            <w:shd w:val="clear" w:color="auto" w:fill="B8CCE4"/>
          </w:tcPr>
          <w:p>
            <w:pPr>
              <w:spacing w:after="0"/>
              <w:rPr>
                <w:sz w:val="7"/>
                <w:szCs w:val="7"/>
                <w:color w:val="auto"/>
              </w:rPr>
            </w:pPr>
          </w:p>
        </w:tc>
        <w:tc>
          <w:tcPr>
            <w:tcW w:w="900" w:type="dxa"/>
            <w:vAlign w:val="bottom"/>
            <w:vMerge w:val="continue"/>
            <w:shd w:val="clear" w:color="auto" w:fill="B8CCE4"/>
          </w:tcPr>
          <w:p>
            <w:pPr>
              <w:spacing w:after="0"/>
              <w:rPr>
                <w:sz w:val="7"/>
                <w:szCs w:val="7"/>
                <w:color w:val="auto"/>
              </w:rPr>
            </w:pPr>
          </w:p>
        </w:tc>
        <w:tc>
          <w:tcPr>
            <w:tcW w:w="1200" w:type="dxa"/>
            <w:vAlign w:val="bottom"/>
            <w:vMerge w:val="continue"/>
            <w:shd w:val="clear" w:color="auto" w:fill="B8CCE4"/>
          </w:tcPr>
          <w:p>
            <w:pPr>
              <w:spacing w:after="0"/>
              <w:rPr>
                <w:sz w:val="7"/>
                <w:szCs w:val="7"/>
                <w:color w:val="auto"/>
              </w:rPr>
            </w:pPr>
          </w:p>
        </w:tc>
        <w:tc>
          <w:tcPr>
            <w:tcW w:w="980" w:type="dxa"/>
            <w:vAlign w:val="bottom"/>
            <w:shd w:val="clear" w:color="auto" w:fill="B8CCE4"/>
          </w:tcPr>
          <w:p>
            <w:pPr>
              <w:spacing w:after="0"/>
              <w:rPr>
                <w:sz w:val="7"/>
                <w:szCs w:val="7"/>
                <w:color w:val="auto"/>
              </w:rPr>
            </w:pPr>
          </w:p>
        </w:tc>
        <w:tc>
          <w:tcPr>
            <w:tcW w:w="180" w:type="dxa"/>
            <w:vAlign w:val="bottom"/>
            <w:shd w:val="clear" w:color="auto" w:fill="B8CCE4"/>
          </w:tcPr>
          <w:p>
            <w:pPr>
              <w:spacing w:after="0"/>
              <w:rPr>
                <w:sz w:val="7"/>
                <w:szCs w:val="7"/>
                <w:color w:val="auto"/>
              </w:rPr>
            </w:pPr>
          </w:p>
        </w:tc>
        <w:tc>
          <w:tcPr>
            <w:tcW w:w="980" w:type="dxa"/>
            <w:vAlign w:val="bottom"/>
            <w:shd w:val="clear" w:color="auto" w:fill="B8CCE4"/>
          </w:tcPr>
          <w:p>
            <w:pPr>
              <w:spacing w:after="0"/>
              <w:rPr>
                <w:sz w:val="7"/>
                <w:szCs w:val="7"/>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20" w:type="dxa"/>
            <w:vAlign w:val="bottom"/>
            <w:shd w:val="clear" w:color="auto" w:fill="B8CCE4"/>
          </w:tcPr>
          <w:p>
            <w:pPr>
              <w:spacing w:after="0"/>
              <w:rPr>
                <w:sz w:val="5"/>
                <w:szCs w:val="5"/>
                <w:color w:val="auto"/>
              </w:rPr>
            </w:pPr>
          </w:p>
        </w:tc>
        <w:tc>
          <w:tcPr>
            <w:tcW w:w="700" w:type="dxa"/>
            <w:vAlign w:val="bottom"/>
            <w:shd w:val="clear" w:color="auto" w:fill="B8CCE4"/>
          </w:tcPr>
          <w:p>
            <w:pPr>
              <w:spacing w:after="0"/>
              <w:rPr>
                <w:sz w:val="5"/>
                <w:szCs w:val="5"/>
                <w:color w:val="auto"/>
              </w:rPr>
            </w:pPr>
          </w:p>
        </w:tc>
        <w:tc>
          <w:tcPr>
            <w:tcW w:w="860" w:type="dxa"/>
            <w:vAlign w:val="bottom"/>
            <w:shd w:val="clear" w:color="auto" w:fill="B8CCE4"/>
          </w:tcPr>
          <w:p>
            <w:pPr>
              <w:spacing w:after="0"/>
              <w:rPr>
                <w:sz w:val="5"/>
                <w:szCs w:val="5"/>
                <w:color w:val="auto"/>
              </w:rPr>
            </w:pPr>
          </w:p>
        </w:tc>
        <w:tc>
          <w:tcPr>
            <w:tcW w:w="60" w:type="dxa"/>
            <w:vAlign w:val="bottom"/>
            <w:shd w:val="clear" w:color="auto" w:fill="B8CCE4"/>
          </w:tcPr>
          <w:p>
            <w:pPr>
              <w:spacing w:after="0"/>
              <w:rPr>
                <w:sz w:val="5"/>
                <w:szCs w:val="5"/>
                <w:color w:val="auto"/>
              </w:rPr>
            </w:pPr>
          </w:p>
        </w:tc>
        <w:tc>
          <w:tcPr>
            <w:tcW w:w="1160" w:type="dxa"/>
            <w:vAlign w:val="bottom"/>
            <w:vMerge w:val="continue"/>
            <w:shd w:val="clear" w:color="auto" w:fill="B8CCE4"/>
          </w:tcPr>
          <w:p>
            <w:pPr>
              <w:spacing w:after="0"/>
              <w:rPr>
                <w:sz w:val="5"/>
                <w:szCs w:val="5"/>
                <w:color w:val="auto"/>
              </w:rPr>
            </w:pPr>
          </w:p>
        </w:tc>
        <w:tc>
          <w:tcPr>
            <w:tcW w:w="860" w:type="dxa"/>
            <w:vAlign w:val="bottom"/>
            <w:shd w:val="clear" w:color="auto" w:fill="B8CCE4"/>
          </w:tcPr>
          <w:p>
            <w:pPr>
              <w:spacing w:after="0"/>
              <w:rPr>
                <w:sz w:val="5"/>
                <w:szCs w:val="5"/>
                <w:color w:val="auto"/>
              </w:rPr>
            </w:pPr>
          </w:p>
        </w:tc>
        <w:tc>
          <w:tcPr>
            <w:tcW w:w="2500" w:type="dxa"/>
            <w:vAlign w:val="bottom"/>
            <w:gridSpan w:val="3"/>
            <w:vMerge w:val="restart"/>
            <w:shd w:val="clear" w:color="auto" w:fill="B8CCE4"/>
          </w:tcPr>
          <w:p>
            <w:pPr>
              <w:jc w:val="center"/>
              <w:spacing w:after="0" w:line="149" w:lineRule="exact"/>
              <w:rPr>
                <w:sz w:val="20"/>
                <w:szCs w:val="20"/>
                <w:color w:val="auto"/>
              </w:rPr>
            </w:pPr>
            <w:r>
              <w:rPr>
                <w:rFonts w:ascii="Arial" w:cs="Arial" w:eastAsia="Arial" w:hAnsi="Arial"/>
                <w:sz w:val="14"/>
                <w:szCs w:val="14"/>
                <w:b w:val="1"/>
                <w:bCs w:val="1"/>
                <w:color w:val="auto"/>
                <w:w w:val="93"/>
              </w:rPr>
              <w:t>Estimated Future Payouts Under</w:t>
            </w:r>
          </w:p>
        </w:tc>
        <w:tc>
          <w:tcPr>
            <w:tcW w:w="900" w:type="dxa"/>
            <w:vAlign w:val="bottom"/>
            <w:vMerge w:val="restart"/>
            <w:shd w:val="clear" w:color="auto" w:fill="B8CCE4"/>
          </w:tcPr>
          <w:p>
            <w:pPr>
              <w:jc w:val="center"/>
              <w:spacing w:after="0" w:line="149" w:lineRule="exact"/>
              <w:rPr>
                <w:sz w:val="20"/>
                <w:szCs w:val="20"/>
                <w:color w:val="auto"/>
              </w:rPr>
            </w:pPr>
            <w:r>
              <w:rPr>
                <w:rFonts w:ascii="Arial" w:cs="Arial" w:eastAsia="Arial" w:hAnsi="Arial"/>
                <w:sz w:val="14"/>
                <w:szCs w:val="14"/>
                <w:b w:val="1"/>
                <w:bCs w:val="1"/>
                <w:color w:val="auto"/>
                <w:w w:val="94"/>
              </w:rPr>
              <w:t>Awards:</w:t>
            </w:r>
          </w:p>
        </w:tc>
        <w:tc>
          <w:tcPr>
            <w:tcW w:w="1200" w:type="dxa"/>
            <w:vAlign w:val="bottom"/>
            <w:vMerge w:val="restart"/>
            <w:shd w:val="clear" w:color="auto" w:fill="B8CCE4"/>
          </w:tcPr>
          <w:p>
            <w:pPr>
              <w:jc w:val="center"/>
              <w:ind w:right="54"/>
              <w:spacing w:after="0" w:line="149" w:lineRule="exact"/>
              <w:rPr>
                <w:sz w:val="20"/>
                <w:szCs w:val="20"/>
                <w:color w:val="auto"/>
              </w:rPr>
            </w:pPr>
            <w:r>
              <w:rPr>
                <w:rFonts w:ascii="Arial" w:cs="Arial" w:eastAsia="Arial" w:hAnsi="Arial"/>
                <w:sz w:val="14"/>
                <w:szCs w:val="14"/>
                <w:b w:val="1"/>
                <w:bCs w:val="1"/>
                <w:color w:val="auto"/>
                <w:w w:val="95"/>
              </w:rPr>
              <w:t>Option Awards:</w:t>
            </w:r>
          </w:p>
        </w:tc>
        <w:tc>
          <w:tcPr>
            <w:tcW w:w="980" w:type="dxa"/>
            <w:vAlign w:val="bottom"/>
            <w:shd w:val="clear" w:color="auto" w:fill="B8CCE4"/>
          </w:tcPr>
          <w:p>
            <w:pPr>
              <w:spacing w:after="0"/>
              <w:rPr>
                <w:sz w:val="5"/>
                <w:szCs w:val="5"/>
                <w:color w:val="auto"/>
              </w:rPr>
            </w:pPr>
          </w:p>
        </w:tc>
        <w:tc>
          <w:tcPr>
            <w:tcW w:w="180" w:type="dxa"/>
            <w:vAlign w:val="bottom"/>
            <w:shd w:val="clear" w:color="auto" w:fill="B8CCE4"/>
          </w:tcPr>
          <w:p>
            <w:pPr>
              <w:spacing w:after="0"/>
              <w:rPr>
                <w:sz w:val="5"/>
                <w:szCs w:val="5"/>
                <w:color w:val="auto"/>
              </w:rPr>
            </w:pPr>
          </w:p>
        </w:tc>
        <w:tc>
          <w:tcPr>
            <w:tcW w:w="980" w:type="dxa"/>
            <w:vAlign w:val="bottom"/>
            <w:shd w:val="clear" w:color="auto" w:fill="B8CCE4"/>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20" w:type="dxa"/>
            <w:vAlign w:val="bottom"/>
            <w:shd w:val="clear" w:color="auto" w:fill="B8CCE4"/>
          </w:tcPr>
          <w:p>
            <w:pPr>
              <w:spacing w:after="0"/>
              <w:rPr>
                <w:sz w:val="7"/>
                <w:szCs w:val="7"/>
                <w:color w:val="auto"/>
              </w:rPr>
            </w:pPr>
          </w:p>
        </w:tc>
        <w:tc>
          <w:tcPr>
            <w:tcW w:w="700" w:type="dxa"/>
            <w:vAlign w:val="bottom"/>
            <w:shd w:val="clear" w:color="auto" w:fill="B8CCE4"/>
          </w:tcPr>
          <w:p>
            <w:pPr>
              <w:spacing w:after="0"/>
              <w:rPr>
                <w:sz w:val="7"/>
                <w:szCs w:val="7"/>
                <w:color w:val="auto"/>
              </w:rPr>
            </w:pPr>
          </w:p>
        </w:tc>
        <w:tc>
          <w:tcPr>
            <w:tcW w:w="860" w:type="dxa"/>
            <w:vAlign w:val="bottom"/>
            <w:shd w:val="clear" w:color="auto" w:fill="B8CCE4"/>
          </w:tcPr>
          <w:p>
            <w:pPr>
              <w:spacing w:after="0"/>
              <w:rPr>
                <w:sz w:val="7"/>
                <w:szCs w:val="7"/>
                <w:color w:val="auto"/>
              </w:rPr>
            </w:pPr>
          </w:p>
        </w:tc>
        <w:tc>
          <w:tcPr>
            <w:tcW w:w="1220" w:type="dxa"/>
            <w:vAlign w:val="bottom"/>
            <w:gridSpan w:val="2"/>
            <w:vMerge w:val="restart"/>
            <w:shd w:val="clear" w:color="auto" w:fill="B8CCE4"/>
          </w:tcPr>
          <w:p>
            <w:pPr>
              <w:jc w:val="center"/>
              <w:spacing w:after="0" w:line="149" w:lineRule="exact"/>
              <w:rPr>
                <w:sz w:val="20"/>
                <w:szCs w:val="20"/>
                <w:color w:val="auto"/>
              </w:rPr>
            </w:pPr>
            <w:r>
              <w:rPr>
                <w:rFonts w:ascii="Arial" w:cs="Arial" w:eastAsia="Arial" w:hAnsi="Arial"/>
                <w:sz w:val="14"/>
                <w:szCs w:val="14"/>
                <w:b w:val="1"/>
                <w:bCs w:val="1"/>
                <w:color w:val="auto"/>
                <w:w w:val="95"/>
              </w:rPr>
              <w:t>Under Non-Equity</w:t>
            </w:r>
          </w:p>
        </w:tc>
        <w:tc>
          <w:tcPr>
            <w:tcW w:w="860" w:type="dxa"/>
            <w:vAlign w:val="bottom"/>
            <w:shd w:val="clear" w:color="auto" w:fill="B8CCE4"/>
          </w:tcPr>
          <w:p>
            <w:pPr>
              <w:spacing w:after="0"/>
              <w:rPr>
                <w:sz w:val="7"/>
                <w:szCs w:val="7"/>
                <w:color w:val="auto"/>
              </w:rPr>
            </w:pPr>
          </w:p>
        </w:tc>
        <w:tc>
          <w:tcPr>
            <w:tcW w:w="2500" w:type="dxa"/>
            <w:vAlign w:val="bottom"/>
            <w:gridSpan w:val="3"/>
            <w:vMerge w:val="continue"/>
            <w:shd w:val="clear" w:color="auto" w:fill="B8CCE4"/>
          </w:tcPr>
          <w:p>
            <w:pPr>
              <w:spacing w:after="0"/>
              <w:rPr>
                <w:sz w:val="7"/>
                <w:szCs w:val="7"/>
                <w:color w:val="auto"/>
              </w:rPr>
            </w:pPr>
          </w:p>
        </w:tc>
        <w:tc>
          <w:tcPr>
            <w:tcW w:w="900" w:type="dxa"/>
            <w:vAlign w:val="bottom"/>
            <w:vMerge w:val="continue"/>
            <w:shd w:val="clear" w:color="auto" w:fill="B8CCE4"/>
          </w:tcPr>
          <w:p>
            <w:pPr>
              <w:spacing w:after="0"/>
              <w:rPr>
                <w:sz w:val="7"/>
                <w:szCs w:val="7"/>
                <w:color w:val="auto"/>
              </w:rPr>
            </w:pPr>
          </w:p>
        </w:tc>
        <w:tc>
          <w:tcPr>
            <w:tcW w:w="1200" w:type="dxa"/>
            <w:vAlign w:val="bottom"/>
            <w:vMerge w:val="continue"/>
            <w:shd w:val="clear" w:color="auto" w:fill="B8CCE4"/>
          </w:tcPr>
          <w:p>
            <w:pPr>
              <w:spacing w:after="0"/>
              <w:rPr>
                <w:sz w:val="7"/>
                <w:szCs w:val="7"/>
                <w:color w:val="auto"/>
              </w:rPr>
            </w:pPr>
          </w:p>
        </w:tc>
        <w:tc>
          <w:tcPr>
            <w:tcW w:w="980" w:type="dxa"/>
            <w:vAlign w:val="bottom"/>
            <w:shd w:val="clear" w:color="auto" w:fill="B8CCE4"/>
          </w:tcPr>
          <w:p>
            <w:pPr>
              <w:spacing w:after="0"/>
              <w:rPr>
                <w:sz w:val="7"/>
                <w:szCs w:val="7"/>
                <w:color w:val="auto"/>
              </w:rPr>
            </w:pPr>
          </w:p>
        </w:tc>
        <w:tc>
          <w:tcPr>
            <w:tcW w:w="180" w:type="dxa"/>
            <w:vAlign w:val="bottom"/>
            <w:shd w:val="clear" w:color="auto" w:fill="B8CCE4"/>
          </w:tcPr>
          <w:p>
            <w:pPr>
              <w:spacing w:after="0"/>
              <w:rPr>
                <w:sz w:val="7"/>
                <w:szCs w:val="7"/>
                <w:color w:val="auto"/>
              </w:rPr>
            </w:pPr>
          </w:p>
        </w:tc>
        <w:tc>
          <w:tcPr>
            <w:tcW w:w="980" w:type="dxa"/>
            <w:vAlign w:val="bottom"/>
            <w:shd w:val="clear" w:color="auto" w:fill="B8CCE4"/>
          </w:tcPr>
          <w:p>
            <w:pPr>
              <w:spacing w:after="0"/>
              <w:rPr>
                <w:sz w:val="7"/>
                <w:szCs w:val="7"/>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20" w:type="dxa"/>
            <w:vAlign w:val="bottom"/>
            <w:shd w:val="clear" w:color="auto" w:fill="B8CCE4"/>
          </w:tcPr>
          <w:p>
            <w:pPr>
              <w:spacing w:after="0"/>
              <w:rPr>
                <w:sz w:val="5"/>
                <w:szCs w:val="5"/>
                <w:color w:val="auto"/>
              </w:rPr>
            </w:pPr>
          </w:p>
        </w:tc>
        <w:tc>
          <w:tcPr>
            <w:tcW w:w="700" w:type="dxa"/>
            <w:vAlign w:val="bottom"/>
            <w:shd w:val="clear" w:color="auto" w:fill="B8CCE4"/>
          </w:tcPr>
          <w:p>
            <w:pPr>
              <w:spacing w:after="0"/>
              <w:rPr>
                <w:sz w:val="5"/>
                <w:szCs w:val="5"/>
                <w:color w:val="auto"/>
              </w:rPr>
            </w:pPr>
          </w:p>
        </w:tc>
        <w:tc>
          <w:tcPr>
            <w:tcW w:w="860" w:type="dxa"/>
            <w:vAlign w:val="bottom"/>
            <w:shd w:val="clear" w:color="auto" w:fill="B8CCE4"/>
          </w:tcPr>
          <w:p>
            <w:pPr>
              <w:spacing w:after="0"/>
              <w:rPr>
                <w:sz w:val="5"/>
                <w:szCs w:val="5"/>
                <w:color w:val="auto"/>
              </w:rPr>
            </w:pPr>
          </w:p>
        </w:tc>
        <w:tc>
          <w:tcPr>
            <w:tcW w:w="1220" w:type="dxa"/>
            <w:vAlign w:val="bottom"/>
            <w:gridSpan w:val="2"/>
            <w:vMerge w:val="continue"/>
            <w:shd w:val="clear" w:color="auto" w:fill="B8CCE4"/>
          </w:tcPr>
          <w:p>
            <w:pPr>
              <w:spacing w:after="0"/>
              <w:rPr>
                <w:sz w:val="5"/>
                <w:szCs w:val="5"/>
                <w:color w:val="auto"/>
              </w:rPr>
            </w:pPr>
          </w:p>
        </w:tc>
        <w:tc>
          <w:tcPr>
            <w:tcW w:w="860" w:type="dxa"/>
            <w:vAlign w:val="bottom"/>
            <w:shd w:val="clear" w:color="auto" w:fill="B8CCE4"/>
          </w:tcPr>
          <w:p>
            <w:pPr>
              <w:spacing w:after="0"/>
              <w:rPr>
                <w:sz w:val="5"/>
                <w:szCs w:val="5"/>
                <w:color w:val="auto"/>
              </w:rPr>
            </w:pPr>
          </w:p>
        </w:tc>
        <w:tc>
          <w:tcPr>
            <w:tcW w:w="2500" w:type="dxa"/>
            <w:vAlign w:val="bottom"/>
            <w:gridSpan w:val="3"/>
            <w:vMerge w:val="restart"/>
            <w:shd w:val="clear" w:color="auto" w:fill="B8CCE4"/>
          </w:tcPr>
          <w:p>
            <w:pPr>
              <w:jc w:val="center"/>
              <w:spacing w:after="0" w:line="149" w:lineRule="exact"/>
              <w:rPr>
                <w:sz w:val="20"/>
                <w:szCs w:val="20"/>
                <w:color w:val="auto"/>
              </w:rPr>
            </w:pPr>
            <w:r>
              <w:rPr>
                <w:rFonts w:ascii="Arial" w:cs="Arial" w:eastAsia="Arial" w:hAnsi="Arial"/>
                <w:sz w:val="14"/>
                <w:szCs w:val="14"/>
                <w:b w:val="1"/>
                <w:bCs w:val="1"/>
                <w:color w:val="auto"/>
                <w:w w:val="94"/>
              </w:rPr>
              <w:t>Equity Incentive Plan Awards</w:t>
            </w:r>
            <w:r>
              <w:rPr>
                <w:rFonts w:ascii="Arial" w:cs="Arial" w:eastAsia="Arial" w:hAnsi="Arial"/>
                <w:sz w:val="8"/>
                <w:szCs w:val="8"/>
                <w:b w:val="1"/>
                <w:bCs w:val="1"/>
                <w:color w:val="auto"/>
                <w:w w:val="94"/>
              </w:rPr>
              <w:t>(2)</w:t>
            </w:r>
          </w:p>
        </w:tc>
        <w:tc>
          <w:tcPr>
            <w:tcW w:w="900" w:type="dxa"/>
            <w:vAlign w:val="bottom"/>
            <w:vMerge w:val="restart"/>
            <w:shd w:val="clear" w:color="auto" w:fill="B8CCE4"/>
          </w:tcPr>
          <w:p>
            <w:pPr>
              <w:jc w:val="center"/>
              <w:spacing w:after="0" w:line="149" w:lineRule="exact"/>
              <w:rPr>
                <w:sz w:val="20"/>
                <w:szCs w:val="20"/>
                <w:color w:val="auto"/>
              </w:rPr>
            </w:pPr>
            <w:r>
              <w:rPr>
                <w:rFonts w:ascii="Arial" w:cs="Arial" w:eastAsia="Arial" w:hAnsi="Arial"/>
                <w:sz w:val="14"/>
                <w:szCs w:val="14"/>
                <w:b w:val="1"/>
                <w:bCs w:val="1"/>
                <w:color w:val="auto"/>
                <w:w w:val="97"/>
              </w:rPr>
              <w:t>Number of</w:t>
            </w:r>
          </w:p>
        </w:tc>
        <w:tc>
          <w:tcPr>
            <w:tcW w:w="1200" w:type="dxa"/>
            <w:vAlign w:val="bottom"/>
            <w:vMerge w:val="restart"/>
            <w:shd w:val="clear" w:color="auto" w:fill="B8CCE4"/>
          </w:tcPr>
          <w:p>
            <w:pPr>
              <w:jc w:val="center"/>
              <w:ind w:right="54"/>
              <w:spacing w:after="0" w:line="149" w:lineRule="exact"/>
              <w:rPr>
                <w:sz w:val="20"/>
                <w:szCs w:val="20"/>
                <w:color w:val="auto"/>
              </w:rPr>
            </w:pPr>
            <w:r>
              <w:rPr>
                <w:rFonts w:ascii="Arial" w:cs="Arial" w:eastAsia="Arial" w:hAnsi="Arial"/>
                <w:sz w:val="14"/>
                <w:szCs w:val="14"/>
                <w:b w:val="1"/>
                <w:bCs w:val="1"/>
                <w:color w:val="auto"/>
                <w:w w:val="97"/>
              </w:rPr>
              <w:t>Number of</w:t>
            </w:r>
          </w:p>
        </w:tc>
        <w:tc>
          <w:tcPr>
            <w:tcW w:w="980" w:type="dxa"/>
            <w:vAlign w:val="bottom"/>
            <w:vMerge w:val="restart"/>
            <w:shd w:val="clear" w:color="auto" w:fill="B8CCE4"/>
          </w:tcPr>
          <w:p>
            <w:pPr>
              <w:jc w:val="center"/>
              <w:spacing w:after="0" w:line="149" w:lineRule="exact"/>
              <w:rPr>
                <w:sz w:val="20"/>
                <w:szCs w:val="20"/>
                <w:color w:val="auto"/>
              </w:rPr>
            </w:pPr>
            <w:r>
              <w:rPr>
                <w:rFonts w:ascii="Arial" w:cs="Arial" w:eastAsia="Arial" w:hAnsi="Arial"/>
                <w:sz w:val="14"/>
                <w:szCs w:val="14"/>
                <w:b w:val="1"/>
                <w:bCs w:val="1"/>
                <w:color w:val="auto"/>
                <w:w w:val="90"/>
              </w:rPr>
              <w:t>Exercise or</w:t>
            </w:r>
          </w:p>
        </w:tc>
        <w:tc>
          <w:tcPr>
            <w:tcW w:w="180" w:type="dxa"/>
            <w:vAlign w:val="bottom"/>
            <w:shd w:val="clear" w:color="auto" w:fill="B8CCE4"/>
          </w:tcPr>
          <w:p>
            <w:pPr>
              <w:spacing w:after="0"/>
              <w:rPr>
                <w:sz w:val="5"/>
                <w:szCs w:val="5"/>
                <w:color w:val="auto"/>
              </w:rPr>
            </w:pPr>
          </w:p>
        </w:tc>
        <w:tc>
          <w:tcPr>
            <w:tcW w:w="980" w:type="dxa"/>
            <w:vAlign w:val="bottom"/>
            <w:vMerge w:val="restart"/>
            <w:shd w:val="clear" w:color="auto" w:fill="B8CCE4"/>
          </w:tcPr>
          <w:p>
            <w:pPr>
              <w:jc w:val="center"/>
              <w:ind w:right="56"/>
              <w:spacing w:after="0" w:line="149" w:lineRule="exact"/>
              <w:rPr>
                <w:sz w:val="20"/>
                <w:szCs w:val="20"/>
                <w:color w:val="auto"/>
              </w:rPr>
            </w:pPr>
            <w:r>
              <w:rPr>
                <w:rFonts w:ascii="Arial" w:cs="Arial" w:eastAsia="Arial" w:hAnsi="Arial"/>
                <w:sz w:val="14"/>
                <w:szCs w:val="14"/>
                <w:b w:val="1"/>
                <w:bCs w:val="1"/>
                <w:color w:val="auto"/>
                <w:w w:val="97"/>
              </w:rPr>
              <w:t>Grant Date</w:t>
            </w: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20" w:type="dxa"/>
            <w:vAlign w:val="bottom"/>
            <w:shd w:val="clear" w:color="auto" w:fill="B8CCE4"/>
          </w:tcPr>
          <w:p>
            <w:pPr>
              <w:spacing w:after="0"/>
              <w:rPr>
                <w:sz w:val="7"/>
                <w:szCs w:val="7"/>
                <w:color w:val="auto"/>
              </w:rPr>
            </w:pPr>
          </w:p>
        </w:tc>
        <w:tc>
          <w:tcPr>
            <w:tcW w:w="700" w:type="dxa"/>
            <w:vAlign w:val="bottom"/>
            <w:shd w:val="clear" w:color="auto" w:fill="B8CCE4"/>
          </w:tcPr>
          <w:p>
            <w:pPr>
              <w:spacing w:after="0"/>
              <w:rPr>
                <w:sz w:val="7"/>
                <w:szCs w:val="7"/>
                <w:color w:val="auto"/>
              </w:rPr>
            </w:pPr>
          </w:p>
        </w:tc>
        <w:tc>
          <w:tcPr>
            <w:tcW w:w="860" w:type="dxa"/>
            <w:vAlign w:val="bottom"/>
            <w:shd w:val="clear" w:color="auto" w:fill="B8CCE4"/>
          </w:tcPr>
          <w:p>
            <w:pPr>
              <w:spacing w:after="0"/>
              <w:rPr>
                <w:sz w:val="7"/>
                <w:szCs w:val="7"/>
                <w:color w:val="auto"/>
              </w:rPr>
            </w:pPr>
          </w:p>
        </w:tc>
        <w:tc>
          <w:tcPr>
            <w:tcW w:w="60" w:type="dxa"/>
            <w:vAlign w:val="bottom"/>
            <w:shd w:val="clear" w:color="auto" w:fill="B8CCE4"/>
          </w:tcPr>
          <w:p>
            <w:pPr>
              <w:spacing w:after="0"/>
              <w:rPr>
                <w:sz w:val="7"/>
                <w:szCs w:val="7"/>
                <w:color w:val="auto"/>
              </w:rPr>
            </w:pPr>
          </w:p>
        </w:tc>
        <w:tc>
          <w:tcPr>
            <w:tcW w:w="1160" w:type="dxa"/>
            <w:vAlign w:val="bottom"/>
            <w:vMerge w:val="restart"/>
            <w:shd w:val="clear" w:color="auto" w:fill="B8CCE4"/>
          </w:tcPr>
          <w:p>
            <w:pPr>
              <w:jc w:val="center"/>
              <w:spacing w:after="0" w:line="149" w:lineRule="exact"/>
              <w:rPr>
                <w:sz w:val="20"/>
                <w:szCs w:val="20"/>
                <w:color w:val="auto"/>
              </w:rPr>
            </w:pPr>
            <w:r>
              <w:rPr>
                <w:rFonts w:ascii="Arial" w:cs="Arial" w:eastAsia="Arial" w:hAnsi="Arial"/>
                <w:sz w:val="14"/>
                <w:szCs w:val="14"/>
                <w:b w:val="1"/>
                <w:bCs w:val="1"/>
                <w:color w:val="auto"/>
                <w:w w:val="93"/>
              </w:rPr>
              <w:t>Incentive Plan</w:t>
            </w:r>
          </w:p>
        </w:tc>
        <w:tc>
          <w:tcPr>
            <w:tcW w:w="860" w:type="dxa"/>
            <w:vAlign w:val="bottom"/>
            <w:shd w:val="clear" w:color="auto" w:fill="B8CCE4"/>
          </w:tcPr>
          <w:p>
            <w:pPr>
              <w:spacing w:after="0"/>
              <w:rPr>
                <w:sz w:val="7"/>
                <w:szCs w:val="7"/>
                <w:color w:val="auto"/>
              </w:rPr>
            </w:pPr>
          </w:p>
        </w:tc>
        <w:tc>
          <w:tcPr>
            <w:tcW w:w="2500" w:type="dxa"/>
            <w:vAlign w:val="bottom"/>
            <w:gridSpan w:val="3"/>
            <w:vMerge w:val="continue"/>
            <w:shd w:val="clear" w:color="auto" w:fill="B8CCE4"/>
          </w:tcPr>
          <w:p>
            <w:pPr>
              <w:spacing w:after="0"/>
              <w:rPr>
                <w:sz w:val="7"/>
                <w:szCs w:val="7"/>
                <w:color w:val="auto"/>
              </w:rPr>
            </w:pPr>
          </w:p>
        </w:tc>
        <w:tc>
          <w:tcPr>
            <w:tcW w:w="900" w:type="dxa"/>
            <w:vAlign w:val="bottom"/>
            <w:vMerge w:val="continue"/>
            <w:shd w:val="clear" w:color="auto" w:fill="B8CCE4"/>
          </w:tcPr>
          <w:p>
            <w:pPr>
              <w:spacing w:after="0"/>
              <w:rPr>
                <w:sz w:val="7"/>
                <w:szCs w:val="7"/>
                <w:color w:val="auto"/>
              </w:rPr>
            </w:pPr>
          </w:p>
        </w:tc>
        <w:tc>
          <w:tcPr>
            <w:tcW w:w="1200" w:type="dxa"/>
            <w:vAlign w:val="bottom"/>
            <w:vMerge w:val="continue"/>
            <w:shd w:val="clear" w:color="auto" w:fill="B8CCE4"/>
          </w:tcPr>
          <w:p>
            <w:pPr>
              <w:spacing w:after="0"/>
              <w:rPr>
                <w:sz w:val="7"/>
                <w:szCs w:val="7"/>
                <w:color w:val="auto"/>
              </w:rPr>
            </w:pPr>
          </w:p>
        </w:tc>
        <w:tc>
          <w:tcPr>
            <w:tcW w:w="980" w:type="dxa"/>
            <w:vAlign w:val="bottom"/>
            <w:vMerge w:val="continue"/>
            <w:shd w:val="clear" w:color="auto" w:fill="B8CCE4"/>
          </w:tcPr>
          <w:p>
            <w:pPr>
              <w:spacing w:after="0"/>
              <w:rPr>
                <w:sz w:val="7"/>
                <w:szCs w:val="7"/>
                <w:color w:val="auto"/>
              </w:rPr>
            </w:pPr>
          </w:p>
        </w:tc>
        <w:tc>
          <w:tcPr>
            <w:tcW w:w="180" w:type="dxa"/>
            <w:vAlign w:val="bottom"/>
            <w:shd w:val="clear" w:color="auto" w:fill="B8CCE4"/>
          </w:tcPr>
          <w:p>
            <w:pPr>
              <w:spacing w:after="0"/>
              <w:rPr>
                <w:sz w:val="7"/>
                <w:szCs w:val="7"/>
                <w:color w:val="auto"/>
              </w:rPr>
            </w:pPr>
          </w:p>
        </w:tc>
        <w:tc>
          <w:tcPr>
            <w:tcW w:w="980" w:type="dxa"/>
            <w:vAlign w:val="bottom"/>
            <w:vMerge w:val="continue"/>
            <w:shd w:val="clear" w:color="auto" w:fill="B8CCE4"/>
          </w:tcPr>
          <w:p>
            <w:pPr>
              <w:spacing w:after="0"/>
              <w:rPr>
                <w:sz w:val="7"/>
                <w:szCs w:val="7"/>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20" w:type="dxa"/>
            <w:vAlign w:val="bottom"/>
            <w:shd w:val="clear" w:color="auto" w:fill="B8CCE4"/>
          </w:tcPr>
          <w:p>
            <w:pPr>
              <w:spacing w:after="0"/>
              <w:rPr>
                <w:sz w:val="5"/>
                <w:szCs w:val="5"/>
                <w:color w:val="auto"/>
              </w:rPr>
            </w:pPr>
          </w:p>
        </w:tc>
        <w:tc>
          <w:tcPr>
            <w:tcW w:w="700" w:type="dxa"/>
            <w:vAlign w:val="bottom"/>
            <w:shd w:val="clear" w:color="auto" w:fill="B8CCE4"/>
          </w:tcPr>
          <w:p>
            <w:pPr>
              <w:spacing w:after="0"/>
              <w:rPr>
                <w:sz w:val="5"/>
                <w:szCs w:val="5"/>
                <w:color w:val="auto"/>
              </w:rPr>
            </w:pPr>
          </w:p>
        </w:tc>
        <w:tc>
          <w:tcPr>
            <w:tcW w:w="860" w:type="dxa"/>
            <w:vAlign w:val="bottom"/>
            <w:shd w:val="clear" w:color="auto" w:fill="B8CCE4"/>
          </w:tcPr>
          <w:p>
            <w:pPr>
              <w:spacing w:after="0"/>
              <w:rPr>
                <w:sz w:val="5"/>
                <w:szCs w:val="5"/>
                <w:color w:val="auto"/>
              </w:rPr>
            </w:pPr>
          </w:p>
        </w:tc>
        <w:tc>
          <w:tcPr>
            <w:tcW w:w="60" w:type="dxa"/>
            <w:vAlign w:val="bottom"/>
            <w:shd w:val="clear" w:color="auto" w:fill="B8CCE4"/>
          </w:tcPr>
          <w:p>
            <w:pPr>
              <w:spacing w:after="0"/>
              <w:rPr>
                <w:sz w:val="5"/>
                <w:szCs w:val="5"/>
                <w:color w:val="auto"/>
              </w:rPr>
            </w:pPr>
          </w:p>
        </w:tc>
        <w:tc>
          <w:tcPr>
            <w:tcW w:w="1160" w:type="dxa"/>
            <w:vAlign w:val="bottom"/>
            <w:vMerge w:val="continue"/>
            <w:shd w:val="clear" w:color="auto" w:fill="B8CCE4"/>
          </w:tcPr>
          <w:p>
            <w:pPr>
              <w:spacing w:after="0"/>
              <w:rPr>
                <w:sz w:val="5"/>
                <w:szCs w:val="5"/>
                <w:color w:val="auto"/>
              </w:rPr>
            </w:pPr>
          </w:p>
        </w:tc>
        <w:tc>
          <w:tcPr>
            <w:tcW w:w="860" w:type="dxa"/>
            <w:vAlign w:val="bottom"/>
            <w:shd w:val="clear" w:color="auto" w:fill="B8CCE4"/>
          </w:tcPr>
          <w:p>
            <w:pPr>
              <w:spacing w:after="0"/>
              <w:rPr>
                <w:sz w:val="5"/>
                <w:szCs w:val="5"/>
                <w:color w:val="auto"/>
              </w:rPr>
            </w:pPr>
          </w:p>
        </w:tc>
        <w:tc>
          <w:tcPr>
            <w:tcW w:w="940" w:type="dxa"/>
            <w:vAlign w:val="bottom"/>
            <w:shd w:val="clear" w:color="auto" w:fill="B8CCE4"/>
          </w:tcPr>
          <w:p>
            <w:pPr>
              <w:spacing w:after="0"/>
              <w:rPr>
                <w:sz w:val="5"/>
                <w:szCs w:val="5"/>
                <w:color w:val="auto"/>
              </w:rPr>
            </w:pPr>
          </w:p>
        </w:tc>
        <w:tc>
          <w:tcPr>
            <w:tcW w:w="700" w:type="dxa"/>
            <w:vAlign w:val="bottom"/>
            <w:shd w:val="clear" w:color="auto" w:fill="B8CCE4"/>
          </w:tcPr>
          <w:p>
            <w:pPr>
              <w:spacing w:after="0"/>
              <w:rPr>
                <w:sz w:val="5"/>
                <w:szCs w:val="5"/>
                <w:color w:val="auto"/>
              </w:rPr>
            </w:pPr>
          </w:p>
        </w:tc>
        <w:tc>
          <w:tcPr>
            <w:tcW w:w="860" w:type="dxa"/>
            <w:vAlign w:val="bottom"/>
            <w:shd w:val="clear" w:color="auto" w:fill="B8CCE4"/>
          </w:tcPr>
          <w:p>
            <w:pPr>
              <w:spacing w:after="0"/>
              <w:rPr>
                <w:sz w:val="5"/>
                <w:szCs w:val="5"/>
                <w:color w:val="auto"/>
              </w:rPr>
            </w:pPr>
          </w:p>
        </w:tc>
        <w:tc>
          <w:tcPr>
            <w:tcW w:w="900" w:type="dxa"/>
            <w:vAlign w:val="bottom"/>
            <w:vMerge w:val="restart"/>
            <w:shd w:val="clear" w:color="auto" w:fill="B8CCE4"/>
          </w:tcPr>
          <w:p>
            <w:pPr>
              <w:jc w:val="center"/>
              <w:spacing w:after="0"/>
              <w:rPr>
                <w:sz w:val="20"/>
                <w:szCs w:val="20"/>
                <w:color w:val="auto"/>
              </w:rPr>
            </w:pPr>
            <w:r>
              <w:rPr>
                <w:rFonts w:ascii="Arial" w:cs="Arial" w:eastAsia="Arial" w:hAnsi="Arial"/>
                <w:sz w:val="14"/>
                <w:szCs w:val="14"/>
                <w:b w:val="1"/>
                <w:bCs w:val="1"/>
                <w:color w:val="auto"/>
                <w:w w:val="87"/>
              </w:rPr>
              <w:t>Shares of</w:t>
            </w:r>
          </w:p>
        </w:tc>
        <w:tc>
          <w:tcPr>
            <w:tcW w:w="1200" w:type="dxa"/>
            <w:vAlign w:val="bottom"/>
            <w:vMerge w:val="restart"/>
            <w:shd w:val="clear" w:color="auto" w:fill="B8CCE4"/>
          </w:tcPr>
          <w:p>
            <w:pPr>
              <w:jc w:val="center"/>
              <w:ind w:right="54"/>
              <w:spacing w:after="0"/>
              <w:rPr>
                <w:sz w:val="20"/>
                <w:szCs w:val="20"/>
                <w:color w:val="auto"/>
              </w:rPr>
            </w:pPr>
            <w:r>
              <w:rPr>
                <w:rFonts w:ascii="Arial" w:cs="Arial" w:eastAsia="Arial" w:hAnsi="Arial"/>
                <w:sz w:val="14"/>
                <w:szCs w:val="14"/>
                <w:b w:val="1"/>
                <w:bCs w:val="1"/>
                <w:color w:val="auto"/>
                <w:w w:val="89"/>
              </w:rPr>
              <w:t>Securities</w:t>
            </w:r>
          </w:p>
        </w:tc>
        <w:tc>
          <w:tcPr>
            <w:tcW w:w="980" w:type="dxa"/>
            <w:vAlign w:val="bottom"/>
            <w:vMerge w:val="restart"/>
            <w:shd w:val="clear" w:color="auto" w:fill="B8CCE4"/>
          </w:tcPr>
          <w:p>
            <w:pPr>
              <w:jc w:val="center"/>
              <w:spacing w:after="0"/>
              <w:rPr>
                <w:sz w:val="20"/>
                <w:szCs w:val="20"/>
                <w:color w:val="auto"/>
              </w:rPr>
            </w:pPr>
            <w:r>
              <w:rPr>
                <w:rFonts w:ascii="Arial" w:cs="Arial" w:eastAsia="Arial" w:hAnsi="Arial"/>
                <w:sz w:val="14"/>
                <w:szCs w:val="14"/>
                <w:b w:val="1"/>
                <w:bCs w:val="1"/>
                <w:color w:val="auto"/>
                <w:w w:val="89"/>
              </w:rPr>
              <w:t>Base Price</w:t>
            </w:r>
          </w:p>
        </w:tc>
        <w:tc>
          <w:tcPr>
            <w:tcW w:w="180" w:type="dxa"/>
            <w:vAlign w:val="bottom"/>
            <w:shd w:val="clear" w:color="auto" w:fill="B8CCE4"/>
          </w:tcPr>
          <w:p>
            <w:pPr>
              <w:spacing w:after="0"/>
              <w:rPr>
                <w:sz w:val="5"/>
                <w:szCs w:val="5"/>
                <w:color w:val="auto"/>
              </w:rPr>
            </w:pPr>
          </w:p>
        </w:tc>
        <w:tc>
          <w:tcPr>
            <w:tcW w:w="980" w:type="dxa"/>
            <w:vAlign w:val="bottom"/>
            <w:vMerge w:val="restart"/>
            <w:shd w:val="clear" w:color="auto" w:fill="B8CCE4"/>
          </w:tcPr>
          <w:p>
            <w:pPr>
              <w:jc w:val="center"/>
              <w:ind w:right="76"/>
              <w:spacing w:after="0"/>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020" w:type="dxa"/>
            <w:vAlign w:val="bottom"/>
            <w:shd w:val="clear" w:color="auto" w:fill="B8CCE4"/>
          </w:tcPr>
          <w:p>
            <w:pPr>
              <w:spacing w:after="0"/>
              <w:rPr>
                <w:sz w:val="12"/>
                <w:szCs w:val="12"/>
                <w:color w:val="auto"/>
              </w:rPr>
            </w:pPr>
          </w:p>
        </w:tc>
        <w:tc>
          <w:tcPr>
            <w:tcW w:w="700" w:type="dxa"/>
            <w:vAlign w:val="bottom"/>
            <w:shd w:val="clear" w:color="auto" w:fill="B8CCE4"/>
          </w:tcPr>
          <w:p>
            <w:pPr>
              <w:spacing w:after="0"/>
              <w:rPr>
                <w:sz w:val="12"/>
                <w:szCs w:val="12"/>
                <w:color w:val="auto"/>
              </w:rPr>
            </w:pPr>
          </w:p>
        </w:tc>
        <w:tc>
          <w:tcPr>
            <w:tcW w:w="860" w:type="dxa"/>
            <w:vAlign w:val="bottom"/>
            <w:shd w:val="clear" w:color="auto" w:fill="B8CCE4"/>
          </w:tcPr>
          <w:p>
            <w:pPr>
              <w:spacing w:after="0"/>
              <w:rPr>
                <w:sz w:val="12"/>
                <w:szCs w:val="12"/>
                <w:color w:val="auto"/>
              </w:rPr>
            </w:pPr>
          </w:p>
        </w:tc>
        <w:tc>
          <w:tcPr>
            <w:tcW w:w="60" w:type="dxa"/>
            <w:vAlign w:val="bottom"/>
            <w:shd w:val="clear" w:color="auto" w:fill="B8CCE4"/>
          </w:tcPr>
          <w:p>
            <w:pPr>
              <w:spacing w:after="0"/>
              <w:rPr>
                <w:sz w:val="12"/>
                <w:szCs w:val="12"/>
                <w:color w:val="auto"/>
              </w:rPr>
            </w:pPr>
          </w:p>
        </w:tc>
        <w:tc>
          <w:tcPr>
            <w:tcW w:w="1160" w:type="dxa"/>
            <w:vAlign w:val="bottom"/>
            <w:shd w:val="clear" w:color="auto" w:fill="B8CCE4"/>
          </w:tcPr>
          <w:p>
            <w:pPr>
              <w:jc w:val="center"/>
              <w:spacing w:after="0" w:line="145" w:lineRule="exact"/>
              <w:rPr>
                <w:sz w:val="20"/>
                <w:szCs w:val="20"/>
                <w:color w:val="auto"/>
              </w:rPr>
            </w:pPr>
            <w:r>
              <w:rPr>
                <w:rFonts w:ascii="Arial" w:cs="Arial" w:eastAsia="Arial" w:hAnsi="Arial"/>
                <w:sz w:val="14"/>
                <w:szCs w:val="14"/>
                <w:b w:val="1"/>
                <w:bCs w:val="1"/>
                <w:color w:val="auto"/>
                <w:w w:val="96"/>
              </w:rPr>
              <w:t>Awards</w:t>
            </w:r>
            <w:r>
              <w:rPr>
                <w:rFonts w:ascii="Arial" w:cs="Arial" w:eastAsia="Arial" w:hAnsi="Arial"/>
                <w:sz w:val="8"/>
                <w:szCs w:val="8"/>
                <w:b w:val="1"/>
                <w:bCs w:val="1"/>
                <w:color w:val="auto"/>
                <w:w w:val="96"/>
              </w:rPr>
              <w:t>(1)</w:t>
            </w:r>
          </w:p>
        </w:tc>
        <w:tc>
          <w:tcPr>
            <w:tcW w:w="860" w:type="dxa"/>
            <w:vAlign w:val="bottom"/>
            <w:shd w:val="clear" w:color="auto" w:fill="B8CCE4"/>
          </w:tcPr>
          <w:p>
            <w:pPr>
              <w:spacing w:after="0"/>
              <w:rPr>
                <w:sz w:val="12"/>
                <w:szCs w:val="12"/>
                <w:color w:val="auto"/>
              </w:rPr>
            </w:pPr>
          </w:p>
        </w:tc>
        <w:tc>
          <w:tcPr>
            <w:tcW w:w="940" w:type="dxa"/>
            <w:vAlign w:val="bottom"/>
            <w:shd w:val="clear" w:color="auto" w:fill="B8CCE4"/>
          </w:tcPr>
          <w:p>
            <w:pPr>
              <w:spacing w:after="0"/>
              <w:rPr>
                <w:sz w:val="12"/>
                <w:szCs w:val="12"/>
                <w:color w:val="auto"/>
              </w:rPr>
            </w:pPr>
          </w:p>
        </w:tc>
        <w:tc>
          <w:tcPr>
            <w:tcW w:w="700" w:type="dxa"/>
            <w:vAlign w:val="bottom"/>
            <w:shd w:val="clear" w:color="auto" w:fill="B8CCE4"/>
          </w:tcPr>
          <w:p>
            <w:pPr>
              <w:spacing w:after="0"/>
              <w:rPr>
                <w:sz w:val="12"/>
                <w:szCs w:val="12"/>
                <w:color w:val="auto"/>
              </w:rPr>
            </w:pPr>
          </w:p>
        </w:tc>
        <w:tc>
          <w:tcPr>
            <w:tcW w:w="860" w:type="dxa"/>
            <w:vAlign w:val="bottom"/>
            <w:shd w:val="clear" w:color="auto" w:fill="B8CCE4"/>
          </w:tcPr>
          <w:p>
            <w:pPr>
              <w:spacing w:after="0"/>
              <w:rPr>
                <w:sz w:val="12"/>
                <w:szCs w:val="12"/>
                <w:color w:val="auto"/>
              </w:rPr>
            </w:pPr>
          </w:p>
        </w:tc>
        <w:tc>
          <w:tcPr>
            <w:tcW w:w="900" w:type="dxa"/>
            <w:vAlign w:val="bottom"/>
            <w:vMerge w:val="continue"/>
            <w:shd w:val="clear" w:color="auto" w:fill="B8CCE4"/>
          </w:tcPr>
          <w:p>
            <w:pPr>
              <w:spacing w:after="0"/>
              <w:rPr>
                <w:sz w:val="12"/>
                <w:szCs w:val="12"/>
                <w:color w:val="auto"/>
              </w:rPr>
            </w:pPr>
          </w:p>
        </w:tc>
        <w:tc>
          <w:tcPr>
            <w:tcW w:w="1200" w:type="dxa"/>
            <w:vAlign w:val="bottom"/>
            <w:vMerge w:val="continue"/>
            <w:shd w:val="clear" w:color="auto" w:fill="B8CCE4"/>
          </w:tcPr>
          <w:p>
            <w:pPr>
              <w:spacing w:after="0"/>
              <w:rPr>
                <w:sz w:val="12"/>
                <w:szCs w:val="12"/>
                <w:color w:val="auto"/>
              </w:rPr>
            </w:pPr>
          </w:p>
        </w:tc>
        <w:tc>
          <w:tcPr>
            <w:tcW w:w="980" w:type="dxa"/>
            <w:vAlign w:val="bottom"/>
            <w:vMerge w:val="continue"/>
            <w:shd w:val="clear" w:color="auto" w:fill="B8CCE4"/>
          </w:tcPr>
          <w:p>
            <w:pPr>
              <w:spacing w:after="0"/>
              <w:rPr>
                <w:sz w:val="12"/>
                <w:szCs w:val="12"/>
                <w:color w:val="auto"/>
              </w:rPr>
            </w:pPr>
          </w:p>
        </w:tc>
        <w:tc>
          <w:tcPr>
            <w:tcW w:w="180" w:type="dxa"/>
            <w:vAlign w:val="bottom"/>
            <w:shd w:val="clear" w:color="auto" w:fill="B8CCE4"/>
          </w:tcPr>
          <w:p>
            <w:pPr>
              <w:spacing w:after="0"/>
              <w:rPr>
                <w:sz w:val="12"/>
                <w:szCs w:val="12"/>
                <w:color w:val="auto"/>
              </w:rPr>
            </w:pPr>
          </w:p>
        </w:tc>
        <w:tc>
          <w:tcPr>
            <w:tcW w:w="980" w:type="dxa"/>
            <w:vAlign w:val="bottom"/>
            <w:vMerge w:val="continue"/>
            <w:shd w:val="clear" w:color="auto" w:fill="B8CCE4"/>
          </w:tcPr>
          <w:p>
            <w:pPr>
              <w:spacing w:after="0"/>
              <w:rPr>
                <w:sz w:val="12"/>
                <w:szCs w:val="12"/>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1020" w:type="dxa"/>
            <w:vAlign w:val="bottom"/>
            <w:shd w:val="clear" w:color="auto" w:fill="B8CCE4"/>
          </w:tcPr>
          <w:p>
            <w:pPr>
              <w:spacing w:after="0"/>
              <w:rPr>
                <w:sz w:val="7"/>
                <w:szCs w:val="7"/>
                <w:color w:val="auto"/>
              </w:rPr>
            </w:pPr>
          </w:p>
        </w:tc>
        <w:tc>
          <w:tcPr>
            <w:tcW w:w="700" w:type="dxa"/>
            <w:vAlign w:val="bottom"/>
            <w:shd w:val="clear" w:color="auto" w:fill="B8CCE4"/>
          </w:tcPr>
          <w:p>
            <w:pPr>
              <w:spacing w:after="0"/>
              <w:rPr>
                <w:sz w:val="7"/>
                <w:szCs w:val="7"/>
                <w:color w:val="auto"/>
              </w:rPr>
            </w:pPr>
          </w:p>
        </w:tc>
        <w:tc>
          <w:tcPr>
            <w:tcW w:w="860" w:type="dxa"/>
            <w:vAlign w:val="bottom"/>
            <w:shd w:val="clear" w:color="auto" w:fill="B8CCE4"/>
          </w:tcPr>
          <w:p>
            <w:pPr>
              <w:spacing w:after="0"/>
              <w:rPr>
                <w:sz w:val="7"/>
                <w:szCs w:val="7"/>
                <w:color w:val="auto"/>
              </w:rPr>
            </w:pPr>
          </w:p>
        </w:tc>
        <w:tc>
          <w:tcPr>
            <w:tcW w:w="60" w:type="dxa"/>
            <w:vAlign w:val="bottom"/>
            <w:shd w:val="clear" w:color="auto" w:fill="B8CCE4"/>
          </w:tcPr>
          <w:p>
            <w:pPr>
              <w:spacing w:after="0"/>
              <w:rPr>
                <w:sz w:val="7"/>
                <w:szCs w:val="7"/>
                <w:color w:val="auto"/>
              </w:rPr>
            </w:pPr>
          </w:p>
        </w:tc>
        <w:tc>
          <w:tcPr>
            <w:tcW w:w="1160" w:type="dxa"/>
            <w:vAlign w:val="bottom"/>
            <w:shd w:val="clear" w:color="auto" w:fill="B8CCE4"/>
          </w:tcPr>
          <w:p>
            <w:pPr>
              <w:spacing w:after="0"/>
              <w:rPr>
                <w:sz w:val="7"/>
                <w:szCs w:val="7"/>
                <w:color w:val="auto"/>
              </w:rPr>
            </w:pPr>
          </w:p>
        </w:tc>
        <w:tc>
          <w:tcPr>
            <w:tcW w:w="860" w:type="dxa"/>
            <w:vAlign w:val="bottom"/>
            <w:shd w:val="clear" w:color="auto" w:fill="B8CCE4"/>
          </w:tcPr>
          <w:p>
            <w:pPr>
              <w:spacing w:after="0"/>
              <w:rPr>
                <w:sz w:val="7"/>
                <w:szCs w:val="7"/>
                <w:color w:val="auto"/>
              </w:rPr>
            </w:pPr>
          </w:p>
        </w:tc>
        <w:tc>
          <w:tcPr>
            <w:tcW w:w="940" w:type="dxa"/>
            <w:vAlign w:val="bottom"/>
            <w:shd w:val="clear" w:color="auto" w:fill="B8CCE4"/>
          </w:tcPr>
          <w:p>
            <w:pPr>
              <w:spacing w:after="0"/>
              <w:rPr>
                <w:sz w:val="7"/>
                <w:szCs w:val="7"/>
                <w:color w:val="auto"/>
              </w:rPr>
            </w:pPr>
          </w:p>
        </w:tc>
        <w:tc>
          <w:tcPr>
            <w:tcW w:w="700" w:type="dxa"/>
            <w:vAlign w:val="bottom"/>
            <w:shd w:val="clear" w:color="auto" w:fill="B8CCE4"/>
          </w:tcPr>
          <w:p>
            <w:pPr>
              <w:spacing w:after="0"/>
              <w:rPr>
                <w:sz w:val="7"/>
                <w:szCs w:val="7"/>
                <w:color w:val="auto"/>
              </w:rPr>
            </w:pPr>
          </w:p>
        </w:tc>
        <w:tc>
          <w:tcPr>
            <w:tcW w:w="860" w:type="dxa"/>
            <w:vAlign w:val="bottom"/>
            <w:shd w:val="clear" w:color="auto" w:fill="B8CCE4"/>
          </w:tcPr>
          <w:p>
            <w:pPr>
              <w:spacing w:after="0"/>
              <w:rPr>
                <w:sz w:val="7"/>
                <w:szCs w:val="7"/>
                <w:color w:val="auto"/>
              </w:rPr>
            </w:pPr>
          </w:p>
        </w:tc>
        <w:tc>
          <w:tcPr>
            <w:tcW w:w="900" w:type="dxa"/>
            <w:vAlign w:val="bottom"/>
            <w:shd w:val="clear" w:color="auto" w:fill="B8CCE4"/>
          </w:tcPr>
          <w:p>
            <w:pPr>
              <w:jc w:val="center"/>
              <w:spacing w:after="0" w:line="85" w:lineRule="exact"/>
              <w:rPr>
                <w:sz w:val="20"/>
                <w:szCs w:val="20"/>
                <w:color w:val="auto"/>
              </w:rPr>
            </w:pPr>
            <w:r>
              <w:rPr>
                <w:rFonts w:ascii="Arial" w:cs="Arial" w:eastAsia="Arial" w:hAnsi="Arial"/>
                <w:sz w:val="9"/>
                <w:szCs w:val="9"/>
                <w:b w:val="1"/>
                <w:bCs w:val="1"/>
                <w:color w:val="auto"/>
              </w:rPr>
              <w:t>Stock or</w:t>
            </w:r>
          </w:p>
        </w:tc>
        <w:tc>
          <w:tcPr>
            <w:tcW w:w="1200" w:type="dxa"/>
            <w:vAlign w:val="bottom"/>
            <w:shd w:val="clear" w:color="auto" w:fill="B8CCE4"/>
          </w:tcPr>
          <w:p>
            <w:pPr>
              <w:jc w:val="center"/>
              <w:ind w:right="74"/>
              <w:spacing w:after="0" w:line="85" w:lineRule="exact"/>
              <w:rPr>
                <w:sz w:val="20"/>
                <w:szCs w:val="20"/>
                <w:color w:val="auto"/>
              </w:rPr>
            </w:pPr>
            <w:r>
              <w:rPr>
                <w:rFonts w:ascii="Arial" w:cs="Arial" w:eastAsia="Arial" w:hAnsi="Arial"/>
                <w:sz w:val="9"/>
                <w:szCs w:val="9"/>
                <w:b w:val="1"/>
                <w:bCs w:val="1"/>
                <w:color w:val="auto"/>
              </w:rPr>
              <w:t>Underlying</w:t>
            </w:r>
          </w:p>
        </w:tc>
        <w:tc>
          <w:tcPr>
            <w:tcW w:w="980" w:type="dxa"/>
            <w:vAlign w:val="bottom"/>
            <w:shd w:val="clear" w:color="auto" w:fill="B8CCE4"/>
          </w:tcPr>
          <w:p>
            <w:pPr>
              <w:jc w:val="center"/>
              <w:spacing w:after="0" w:line="85" w:lineRule="exact"/>
              <w:rPr>
                <w:sz w:val="20"/>
                <w:szCs w:val="20"/>
                <w:color w:val="auto"/>
              </w:rPr>
            </w:pPr>
            <w:r>
              <w:rPr>
                <w:rFonts w:ascii="Arial" w:cs="Arial" w:eastAsia="Arial" w:hAnsi="Arial"/>
                <w:sz w:val="9"/>
                <w:szCs w:val="9"/>
                <w:b w:val="1"/>
                <w:bCs w:val="1"/>
                <w:color w:val="auto"/>
              </w:rPr>
              <w:t>of Option</w:t>
            </w:r>
          </w:p>
        </w:tc>
        <w:tc>
          <w:tcPr>
            <w:tcW w:w="180" w:type="dxa"/>
            <w:vAlign w:val="bottom"/>
            <w:shd w:val="clear" w:color="auto" w:fill="B8CCE4"/>
          </w:tcPr>
          <w:p>
            <w:pPr>
              <w:spacing w:after="0"/>
              <w:rPr>
                <w:sz w:val="7"/>
                <w:szCs w:val="7"/>
                <w:color w:val="auto"/>
              </w:rPr>
            </w:pPr>
          </w:p>
        </w:tc>
        <w:tc>
          <w:tcPr>
            <w:tcW w:w="980" w:type="dxa"/>
            <w:vAlign w:val="bottom"/>
            <w:shd w:val="clear" w:color="auto" w:fill="B8CCE4"/>
          </w:tcPr>
          <w:p>
            <w:pPr>
              <w:jc w:val="center"/>
              <w:ind w:right="56"/>
              <w:spacing w:after="0" w:line="85" w:lineRule="exact"/>
              <w:rPr>
                <w:sz w:val="20"/>
                <w:szCs w:val="20"/>
                <w:color w:val="auto"/>
              </w:rPr>
            </w:pPr>
            <w:r>
              <w:rPr>
                <w:rFonts w:ascii="Arial" w:cs="Arial" w:eastAsia="Arial" w:hAnsi="Arial"/>
                <w:sz w:val="9"/>
                <w:szCs w:val="9"/>
                <w:b w:val="1"/>
                <w:bCs w:val="1"/>
                <w:color w:val="auto"/>
              </w:rPr>
              <w:t>of Stock and</w:t>
            </w: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20" w:type="dxa"/>
            <w:vAlign w:val="bottom"/>
            <w:vMerge w:val="restart"/>
            <w:shd w:val="clear" w:color="auto" w:fill="B8CCE4"/>
          </w:tcPr>
          <w:p>
            <w:pPr>
              <w:ind w:left="320"/>
              <w:spacing w:after="0"/>
              <w:rPr>
                <w:sz w:val="20"/>
                <w:szCs w:val="20"/>
                <w:color w:val="auto"/>
              </w:rPr>
            </w:pPr>
            <w:r>
              <w:rPr>
                <w:rFonts w:ascii="Arial" w:cs="Arial" w:eastAsia="Arial" w:hAnsi="Arial"/>
                <w:sz w:val="14"/>
                <w:szCs w:val="14"/>
                <w:b w:val="1"/>
                <w:bCs w:val="1"/>
                <w:color w:val="auto"/>
              </w:rPr>
              <w:t>Name</w:t>
            </w:r>
          </w:p>
        </w:tc>
        <w:tc>
          <w:tcPr>
            <w:tcW w:w="700" w:type="dxa"/>
            <w:vAlign w:val="bottom"/>
            <w:shd w:val="clear" w:color="auto" w:fill="B8CCE4"/>
          </w:tcPr>
          <w:p>
            <w:pPr>
              <w:jc w:val="center"/>
              <w:spacing w:after="0" w:line="158" w:lineRule="exact"/>
              <w:rPr>
                <w:sz w:val="20"/>
                <w:szCs w:val="20"/>
                <w:color w:val="auto"/>
              </w:rPr>
            </w:pPr>
            <w:r>
              <w:rPr>
                <w:rFonts w:ascii="Arial" w:cs="Arial" w:eastAsia="Arial" w:hAnsi="Arial"/>
                <w:sz w:val="14"/>
                <w:szCs w:val="14"/>
                <w:b w:val="1"/>
                <w:bCs w:val="1"/>
                <w:color w:val="auto"/>
                <w:w w:val="96"/>
              </w:rPr>
              <w:t>Grant</w:t>
            </w:r>
          </w:p>
        </w:tc>
        <w:tc>
          <w:tcPr>
            <w:tcW w:w="860" w:type="dxa"/>
            <w:vAlign w:val="bottom"/>
            <w:shd w:val="clear" w:color="auto" w:fill="B8CCE4"/>
          </w:tcPr>
          <w:p>
            <w:pPr>
              <w:jc w:val="right"/>
              <w:ind w:right="57"/>
              <w:spacing w:after="0"/>
              <w:rPr>
                <w:sz w:val="20"/>
                <w:szCs w:val="20"/>
                <w:color w:val="auto"/>
              </w:rPr>
            </w:pPr>
            <w:r>
              <w:rPr>
                <w:rFonts w:ascii="Arial" w:cs="Arial" w:eastAsia="Arial" w:hAnsi="Arial"/>
                <w:sz w:val="13"/>
                <w:szCs w:val="13"/>
                <w:b w:val="1"/>
                <w:bCs w:val="1"/>
                <w:color w:val="auto"/>
              </w:rPr>
              <w:t>Threshold</w:t>
            </w:r>
          </w:p>
        </w:tc>
        <w:tc>
          <w:tcPr>
            <w:tcW w:w="60" w:type="dxa"/>
            <w:vAlign w:val="bottom"/>
            <w:shd w:val="clear" w:color="auto" w:fill="B8CCE4"/>
          </w:tcPr>
          <w:p>
            <w:pPr>
              <w:spacing w:after="0"/>
              <w:rPr>
                <w:sz w:val="13"/>
                <w:szCs w:val="13"/>
                <w:color w:val="auto"/>
              </w:rPr>
            </w:pPr>
          </w:p>
        </w:tc>
        <w:tc>
          <w:tcPr>
            <w:tcW w:w="1160" w:type="dxa"/>
            <w:vAlign w:val="bottom"/>
            <w:shd w:val="clear" w:color="auto" w:fill="B8CCE4"/>
          </w:tcPr>
          <w:p>
            <w:pPr>
              <w:jc w:val="right"/>
              <w:ind w:right="430"/>
              <w:spacing w:after="0"/>
              <w:rPr>
                <w:sz w:val="20"/>
                <w:szCs w:val="20"/>
                <w:color w:val="auto"/>
              </w:rPr>
            </w:pPr>
            <w:r>
              <w:rPr>
                <w:rFonts w:ascii="Arial" w:cs="Arial" w:eastAsia="Arial" w:hAnsi="Arial"/>
                <w:sz w:val="13"/>
                <w:szCs w:val="13"/>
                <w:b w:val="1"/>
                <w:bCs w:val="1"/>
                <w:color w:val="auto"/>
              </w:rPr>
              <w:t>Target</w:t>
            </w:r>
          </w:p>
        </w:tc>
        <w:tc>
          <w:tcPr>
            <w:tcW w:w="860" w:type="dxa"/>
            <w:vAlign w:val="bottom"/>
            <w:shd w:val="clear" w:color="auto" w:fill="B8CCE4"/>
          </w:tcPr>
          <w:p>
            <w:pPr>
              <w:jc w:val="right"/>
              <w:ind w:right="197"/>
              <w:spacing w:after="0"/>
              <w:rPr>
                <w:sz w:val="20"/>
                <w:szCs w:val="20"/>
                <w:color w:val="auto"/>
              </w:rPr>
            </w:pPr>
            <w:r>
              <w:rPr>
                <w:rFonts w:ascii="Arial" w:cs="Arial" w:eastAsia="Arial" w:hAnsi="Arial"/>
                <w:sz w:val="13"/>
                <w:szCs w:val="13"/>
                <w:b w:val="1"/>
                <w:bCs w:val="1"/>
                <w:color w:val="auto"/>
                <w:w w:val="96"/>
              </w:rPr>
              <w:t>Maximum</w:t>
            </w:r>
          </w:p>
        </w:tc>
        <w:tc>
          <w:tcPr>
            <w:tcW w:w="940" w:type="dxa"/>
            <w:vAlign w:val="bottom"/>
            <w:shd w:val="clear" w:color="auto" w:fill="B8CCE4"/>
          </w:tcPr>
          <w:p>
            <w:pPr>
              <w:jc w:val="right"/>
              <w:ind w:right="175"/>
              <w:spacing w:after="0"/>
              <w:rPr>
                <w:sz w:val="20"/>
                <w:szCs w:val="20"/>
                <w:color w:val="auto"/>
              </w:rPr>
            </w:pPr>
            <w:r>
              <w:rPr>
                <w:rFonts w:ascii="Arial" w:cs="Arial" w:eastAsia="Arial" w:hAnsi="Arial"/>
                <w:sz w:val="13"/>
                <w:szCs w:val="13"/>
                <w:b w:val="1"/>
                <w:bCs w:val="1"/>
                <w:color w:val="auto"/>
              </w:rPr>
              <w:t>Threshold</w:t>
            </w:r>
          </w:p>
        </w:tc>
        <w:tc>
          <w:tcPr>
            <w:tcW w:w="700" w:type="dxa"/>
            <w:vAlign w:val="bottom"/>
            <w:shd w:val="clear" w:color="auto" w:fill="B8CCE4"/>
          </w:tcPr>
          <w:p>
            <w:pPr>
              <w:jc w:val="center"/>
              <w:ind w:right="77"/>
              <w:spacing w:after="0"/>
              <w:rPr>
                <w:sz w:val="20"/>
                <w:szCs w:val="20"/>
                <w:color w:val="auto"/>
              </w:rPr>
            </w:pPr>
            <w:r>
              <w:rPr>
                <w:rFonts w:ascii="Arial" w:cs="Arial" w:eastAsia="Arial" w:hAnsi="Arial"/>
                <w:sz w:val="13"/>
                <w:szCs w:val="13"/>
                <w:b w:val="1"/>
                <w:bCs w:val="1"/>
                <w:color w:val="auto"/>
                <w:w w:val="90"/>
              </w:rPr>
              <w:t>Target</w:t>
            </w:r>
          </w:p>
        </w:tc>
        <w:tc>
          <w:tcPr>
            <w:tcW w:w="860" w:type="dxa"/>
            <w:vAlign w:val="bottom"/>
            <w:shd w:val="clear" w:color="auto" w:fill="B8CCE4"/>
          </w:tcPr>
          <w:p>
            <w:pPr>
              <w:jc w:val="right"/>
              <w:ind w:right="137"/>
              <w:spacing w:after="0"/>
              <w:rPr>
                <w:sz w:val="20"/>
                <w:szCs w:val="20"/>
                <w:color w:val="auto"/>
              </w:rPr>
            </w:pPr>
            <w:r>
              <w:rPr>
                <w:rFonts w:ascii="Arial" w:cs="Arial" w:eastAsia="Arial" w:hAnsi="Arial"/>
                <w:sz w:val="13"/>
                <w:szCs w:val="13"/>
                <w:b w:val="1"/>
                <w:bCs w:val="1"/>
                <w:color w:val="auto"/>
              </w:rPr>
              <w:t>Maximum</w:t>
            </w:r>
          </w:p>
        </w:tc>
        <w:tc>
          <w:tcPr>
            <w:tcW w:w="900" w:type="dxa"/>
            <w:vAlign w:val="bottom"/>
            <w:shd w:val="clear" w:color="auto" w:fill="B8CCE4"/>
          </w:tcPr>
          <w:p>
            <w:pPr>
              <w:jc w:val="center"/>
              <w:spacing w:after="0" w:line="158" w:lineRule="exact"/>
              <w:rPr>
                <w:sz w:val="20"/>
                <w:szCs w:val="20"/>
                <w:color w:val="auto"/>
              </w:rPr>
            </w:pPr>
            <w:r>
              <w:rPr>
                <w:rFonts w:ascii="Arial" w:cs="Arial" w:eastAsia="Arial" w:hAnsi="Arial"/>
                <w:sz w:val="14"/>
                <w:szCs w:val="14"/>
                <w:b w:val="1"/>
                <w:bCs w:val="1"/>
                <w:color w:val="auto"/>
                <w:w w:val="98"/>
              </w:rPr>
              <w:t>Units</w:t>
            </w:r>
            <w:r>
              <w:rPr>
                <w:rFonts w:ascii="Arial" w:cs="Arial" w:eastAsia="Arial" w:hAnsi="Arial"/>
                <w:sz w:val="8"/>
                <w:szCs w:val="8"/>
                <w:b w:val="1"/>
                <w:bCs w:val="1"/>
                <w:color w:val="auto"/>
                <w:w w:val="98"/>
              </w:rPr>
              <w:t>(3)</w:t>
            </w:r>
          </w:p>
        </w:tc>
        <w:tc>
          <w:tcPr>
            <w:tcW w:w="1200" w:type="dxa"/>
            <w:vAlign w:val="bottom"/>
            <w:shd w:val="clear" w:color="auto" w:fill="B8CCE4"/>
          </w:tcPr>
          <w:p>
            <w:pPr>
              <w:jc w:val="center"/>
              <w:ind w:right="54"/>
              <w:spacing w:after="0" w:line="158" w:lineRule="exact"/>
              <w:rPr>
                <w:sz w:val="20"/>
                <w:szCs w:val="20"/>
                <w:color w:val="auto"/>
              </w:rPr>
            </w:pPr>
            <w:r>
              <w:rPr>
                <w:rFonts w:ascii="Arial" w:cs="Arial" w:eastAsia="Arial" w:hAnsi="Arial"/>
                <w:sz w:val="14"/>
                <w:szCs w:val="14"/>
                <w:b w:val="1"/>
                <w:bCs w:val="1"/>
                <w:color w:val="auto"/>
                <w:w w:val="95"/>
              </w:rPr>
              <w:t>Options</w:t>
            </w:r>
            <w:r>
              <w:rPr>
                <w:rFonts w:ascii="Arial" w:cs="Arial" w:eastAsia="Arial" w:hAnsi="Arial"/>
                <w:sz w:val="8"/>
                <w:szCs w:val="8"/>
                <w:b w:val="1"/>
                <w:bCs w:val="1"/>
                <w:color w:val="auto"/>
                <w:w w:val="95"/>
              </w:rPr>
              <w:t>(4)</w:t>
            </w:r>
          </w:p>
        </w:tc>
        <w:tc>
          <w:tcPr>
            <w:tcW w:w="980" w:type="dxa"/>
            <w:vAlign w:val="bottom"/>
            <w:shd w:val="clear" w:color="auto" w:fill="B8CCE4"/>
          </w:tcPr>
          <w:p>
            <w:pPr>
              <w:jc w:val="center"/>
              <w:spacing w:after="0" w:line="158" w:lineRule="exact"/>
              <w:rPr>
                <w:sz w:val="20"/>
                <w:szCs w:val="20"/>
                <w:color w:val="auto"/>
              </w:rPr>
            </w:pPr>
            <w:r>
              <w:rPr>
                <w:rFonts w:ascii="Arial" w:cs="Arial" w:eastAsia="Arial" w:hAnsi="Arial"/>
                <w:sz w:val="14"/>
                <w:szCs w:val="14"/>
                <w:b w:val="1"/>
                <w:bCs w:val="1"/>
                <w:color w:val="auto"/>
                <w:w w:val="96"/>
              </w:rPr>
              <w:t>Awards</w:t>
            </w:r>
            <w:r>
              <w:rPr>
                <w:rFonts w:ascii="Arial" w:cs="Arial" w:eastAsia="Arial" w:hAnsi="Arial"/>
                <w:sz w:val="8"/>
                <w:szCs w:val="8"/>
                <w:b w:val="1"/>
                <w:bCs w:val="1"/>
                <w:color w:val="auto"/>
                <w:w w:val="96"/>
              </w:rPr>
              <w:t>(5)</w:t>
            </w:r>
          </w:p>
        </w:tc>
        <w:tc>
          <w:tcPr>
            <w:tcW w:w="180" w:type="dxa"/>
            <w:vAlign w:val="bottom"/>
            <w:shd w:val="clear" w:color="auto" w:fill="B8CCE4"/>
          </w:tcPr>
          <w:p>
            <w:pPr>
              <w:spacing w:after="0"/>
              <w:rPr>
                <w:sz w:val="13"/>
                <w:szCs w:val="13"/>
                <w:color w:val="auto"/>
              </w:rPr>
            </w:pPr>
          </w:p>
        </w:tc>
        <w:tc>
          <w:tcPr>
            <w:tcW w:w="980" w:type="dxa"/>
            <w:vAlign w:val="bottom"/>
            <w:shd w:val="clear" w:color="auto" w:fill="B8CCE4"/>
          </w:tcPr>
          <w:p>
            <w:pPr>
              <w:jc w:val="center"/>
              <w:ind w:right="56"/>
              <w:spacing w:after="0" w:line="158" w:lineRule="exact"/>
              <w:rPr>
                <w:sz w:val="20"/>
                <w:szCs w:val="20"/>
                <w:color w:val="auto"/>
              </w:rPr>
            </w:pPr>
            <w:r>
              <w:rPr>
                <w:rFonts w:ascii="Arial" w:cs="Arial" w:eastAsia="Arial" w:hAnsi="Arial"/>
                <w:sz w:val="14"/>
                <w:szCs w:val="14"/>
                <w:b w:val="1"/>
                <w:bCs w:val="1"/>
                <w:color w:val="auto"/>
                <w:w w:val="93"/>
              </w:rPr>
              <w:t>Option</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020" w:type="dxa"/>
            <w:vAlign w:val="bottom"/>
            <w:vMerge w:val="continue"/>
            <w:shd w:val="clear" w:color="auto" w:fill="B8CCE4"/>
          </w:tcPr>
          <w:p>
            <w:pPr>
              <w:spacing w:after="0"/>
              <w:rPr>
                <w:sz w:val="16"/>
                <w:szCs w:val="16"/>
                <w:color w:val="auto"/>
              </w:rPr>
            </w:pPr>
          </w:p>
        </w:tc>
        <w:tc>
          <w:tcPr>
            <w:tcW w:w="700" w:type="dxa"/>
            <w:vAlign w:val="bottom"/>
            <w:shd w:val="clear" w:color="auto" w:fill="B8CCE4"/>
          </w:tcPr>
          <w:p>
            <w:pPr>
              <w:jc w:val="center"/>
              <w:spacing w:after="0"/>
              <w:rPr>
                <w:sz w:val="20"/>
                <w:szCs w:val="20"/>
                <w:color w:val="auto"/>
              </w:rPr>
            </w:pPr>
            <w:r>
              <w:rPr>
                <w:rFonts w:ascii="Arial" w:cs="Arial" w:eastAsia="Arial" w:hAnsi="Arial"/>
                <w:sz w:val="14"/>
                <w:szCs w:val="14"/>
                <w:b w:val="1"/>
                <w:bCs w:val="1"/>
                <w:color w:val="auto"/>
                <w:w w:val="92"/>
              </w:rPr>
              <w:t>Date</w:t>
            </w:r>
          </w:p>
        </w:tc>
        <w:tc>
          <w:tcPr>
            <w:tcW w:w="860" w:type="dxa"/>
            <w:vAlign w:val="bottom"/>
            <w:shd w:val="clear" w:color="auto" w:fill="B8CCE4"/>
          </w:tcPr>
          <w:p>
            <w:pPr>
              <w:jc w:val="right"/>
              <w:ind w:right="257"/>
              <w:spacing w:after="0"/>
              <w:rPr>
                <w:sz w:val="20"/>
                <w:szCs w:val="20"/>
                <w:color w:val="auto"/>
              </w:rPr>
            </w:pPr>
            <w:r>
              <w:rPr>
                <w:rFonts w:ascii="Arial" w:cs="Arial" w:eastAsia="Arial" w:hAnsi="Arial"/>
                <w:sz w:val="13"/>
                <w:szCs w:val="13"/>
                <w:b w:val="1"/>
                <w:bCs w:val="1"/>
                <w:color w:val="auto"/>
              </w:rPr>
              <w:t>($)</w:t>
            </w:r>
          </w:p>
        </w:tc>
        <w:tc>
          <w:tcPr>
            <w:tcW w:w="1220" w:type="dxa"/>
            <w:vAlign w:val="bottom"/>
            <w:gridSpan w:val="2"/>
            <w:shd w:val="clear" w:color="auto" w:fill="B8CCE4"/>
          </w:tcPr>
          <w:p>
            <w:pPr>
              <w:jc w:val="right"/>
              <w:ind w:right="530"/>
              <w:spacing w:after="0"/>
              <w:rPr>
                <w:sz w:val="20"/>
                <w:szCs w:val="20"/>
                <w:color w:val="auto"/>
              </w:rPr>
            </w:pPr>
            <w:r>
              <w:rPr>
                <w:rFonts w:ascii="Arial" w:cs="Arial" w:eastAsia="Arial" w:hAnsi="Arial"/>
                <w:sz w:val="13"/>
                <w:szCs w:val="13"/>
                <w:b w:val="1"/>
                <w:bCs w:val="1"/>
                <w:color w:val="auto"/>
              </w:rPr>
              <w:t>($)</w:t>
            </w:r>
          </w:p>
        </w:tc>
        <w:tc>
          <w:tcPr>
            <w:tcW w:w="860" w:type="dxa"/>
            <w:vAlign w:val="bottom"/>
            <w:shd w:val="clear" w:color="auto" w:fill="B8CCE4"/>
          </w:tcPr>
          <w:p>
            <w:pPr>
              <w:jc w:val="right"/>
              <w:ind w:right="417"/>
              <w:spacing w:after="0"/>
              <w:rPr>
                <w:sz w:val="20"/>
                <w:szCs w:val="20"/>
                <w:color w:val="auto"/>
              </w:rPr>
            </w:pPr>
            <w:r>
              <w:rPr>
                <w:rFonts w:ascii="Arial" w:cs="Arial" w:eastAsia="Arial" w:hAnsi="Arial"/>
                <w:sz w:val="13"/>
                <w:szCs w:val="13"/>
                <w:b w:val="1"/>
                <w:bCs w:val="1"/>
                <w:color w:val="auto"/>
              </w:rPr>
              <w:t>($)</w:t>
            </w:r>
          </w:p>
        </w:tc>
        <w:tc>
          <w:tcPr>
            <w:tcW w:w="940" w:type="dxa"/>
            <w:vAlign w:val="bottom"/>
            <w:shd w:val="clear" w:color="auto" w:fill="B8CCE4"/>
          </w:tcPr>
          <w:p>
            <w:pPr>
              <w:jc w:val="right"/>
              <w:ind w:right="375"/>
              <w:spacing w:after="0"/>
              <w:rPr>
                <w:sz w:val="20"/>
                <w:szCs w:val="20"/>
                <w:color w:val="auto"/>
              </w:rPr>
            </w:pPr>
            <w:r>
              <w:rPr>
                <w:rFonts w:ascii="Arial" w:cs="Arial" w:eastAsia="Arial" w:hAnsi="Arial"/>
                <w:sz w:val="13"/>
                <w:szCs w:val="13"/>
                <w:b w:val="1"/>
                <w:bCs w:val="1"/>
                <w:color w:val="auto"/>
              </w:rPr>
              <w:t>(#)</w:t>
            </w:r>
          </w:p>
        </w:tc>
        <w:tc>
          <w:tcPr>
            <w:tcW w:w="700" w:type="dxa"/>
            <w:vAlign w:val="bottom"/>
            <w:shd w:val="clear" w:color="auto" w:fill="B8CCE4"/>
          </w:tcPr>
          <w:p>
            <w:pPr>
              <w:jc w:val="center"/>
              <w:ind w:right="77"/>
              <w:spacing w:after="0"/>
              <w:rPr>
                <w:sz w:val="20"/>
                <w:szCs w:val="20"/>
                <w:color w:val="auto"/>
              </w:rPr>
            </w:pPr>
            <w:r>
              <w:rPr>
                <w:rFonts w:ascii="Arial" w:cs="Arial" w:eastAsia="Arial" w:hAnsi="Arial"/>
                <w:sz w:val="13"/>
                <w:szCs w:val="13"/>
                <w:b w:val="1"/>
                <w:bCs w:val="1"/>
                <w:color w:val="auto"/>
              </w:rPr>
              <w:t>(#)</w:t>
            </w:r>
          </w:p>
        </w:tc>
        <w:tc>
          <w:tcPr>
            <w:tcW w:w="860" w:type="dxa"/>
            <w:vAlign w:val="bottom"/>
            <w:shd w:val="clear" w:color="auto" w:fill="B8CCE4"/>
          </w:tcPr>
          <w:p>
            <w:pPr>
              <w:jc w:val="right"/>
              <w:ind w:right="357"/>
              <w:spacing w:after="0"/>
              <w:rPr>
                <w:sz w:val="20"/>
                <w:szCs w:val="20"/>
                <w:color w:val="auto"/>
              </w:rPr>
            </w:pPr>
            <w:r>
              <w:rPr>
                <w:rFonts w:ascii="Arial" w:cs="Arial" w:eastAsia="Arial" w:hAnsi="Arial"/>
                <w:sz w:val="13"/>
                <w:szCs w:val="13"/>
                <w:b w:val="1"/>
                <w:bCs w:val="1"/>
                <w:color w:val="auto"/>
              </w:rPr>
              <w:t>(#)</w:t>
            </w:r>
          </w:p>
        </w:tc>
        <w:tc>
          <w:tcPr>
            <w:tcW w:w="900" w:type="dxa"/>
            <w:vAlign w:val="bottom"/>
            <w:shd w:val="clear" w:color="auto" w:fill="B8CCE4"/>
          </w:tcPr>
          <w:p>
            <w:pPr>
              <w:jc w:val="center"/>
              <w:spacing w:after="0"/>
              <w:rPr>
                <w:sz w:val="20"/>
                <w:szCs w:val="20"/>
                <w:color w:val="auto"/>
              </w:rPr>
            </w:pPr>
            <w:r>
              <w:rPr>
                <w:rFonts w:ascii="Arial" w:cs="Arial" w:eastAsia="Arial" w:hAnsi="Arial"/>
                <w:sz w:val="14"/>
                <w:szCs w:val="14"/>
                <w:b w:val="1"/>
                <w:bCs w:val="1"/>
                <w:color w:val="auto"/>
                <w:w w:val="93"/>
              </w:rPr>
              <w:t>(#)</w:t>
            </w:r>
          </w:p>
        </w:tc>
        <w:tc>
          <w:tcPr>
            <w:tcW w:w="1200" w:type="dxa"/>
            <w:vAlign w:val="bottom"/>
            <w:shd w:val="clear" w:color="auto" w:fill="B8CCE4"/>
          </w:tcPr>
          <w:p>
            <w:pPr>
              <w:jc w:val="center"/>
              <w:ind w:right="54"/>
              <w:spacing w:after="0"/>
              <w:rPr>
                <w:sz w:val="20"/>
                <w:szCs w:val="20"/>
                <w:color w:val="auto"/>
              </w:rPr>
            </w:pPr>
            <w:r>
              <w:rPr>
                <w:rFonts w:ascii="Arial" w:cs="Arial" w:eastAsia="Arial" w:hAnsi="Arial"/>
                <w:sz w:val="14"/>
                <w:szCs w:val="14"/>
                <w:b w:val="1"/>
                <w:bCs w:val="1"/>
                <w:color w:val="auto"/>
                <w:w w:val="93"/>
              </w:rPr>
              <w:t>(#)</w:t>
            </w:r>
          </w:p>
        </w:tc>
        <w:tc>
          <w:tcPr>
            <w:tcW w:w="980" w:type="dxa"/>
            <w:vAlign w:val="bottom"/>
            <w:shd w:val="clear" w:color="auto" w:fill="B8CCE4"/>
          </w:tcPr>
          <w:p>
            <w:pPr>
              <w:jc w:val="center"/>
              <w:spacing w:after="0"/>
              <w:rPr>
                <w:sz w:val="20"/>
                <w:szCs w:val="20"/>
                <w:color w:val="auto"/>
              </w:rPr>
            </w:pPr>
            <w:r>
              <w:rPr>
                <w:rFonts w:ascii="Arial" w:cs="Arial" w:eastAsia="Arial" w:hAnsi="Arial"/>
                <w:sz w:val="14"/>
                <w:szCs w:val="14"/>
                <w:b w:val="1"/>
                <w:bCs w:val="1"/>
                <w:color w:val="auto"/>
                <w:w w:val="92"/>
              </w:rPr>
              <w:t>($/Sh)</w:t>
            </w:r>
          </w:p>
        </w:tc>
        <w:tc>
          <w:tcPr>
            <w:tcW w:w="180" w:type="dxa"/>
            <w:vAlign w:val="bottom"/>
            <w:shd w:val="clear" w:color="auto" w:fill="B8CCE4"/>
          </w:tcPr>
          <w:p>
            <w:pPr>
              <w:spacing w:after="0"/>
              <w:rPr>
                <w:sz w:val="16"/>
                <w:szCs w:val="16"/>
                <w:color w:val="auto"/>
              </w:rPr>
            </w:pPr>
          </w:p>
        </w:tc>
        <w:tc>
          <w:tcPr>
            <w:tcW w:w="980" w:type="dxa"/>
            <w:vAlign w:val="bottom"/>
            <w:shd w:val="clear" w:color="auto" w:fill="B8CCE4"/>
          </w:tcPr>
          <w:p>
            <w:pPr>
              <w:jc w:val="center"/>
              <w:ind w:right="56"/>
              <w:spacing w:after="0"/>
              <w:rPr>
                <w:sz w:val="20"/>
                <w:szCs w:val="20"/>
                <w:color w:val="auto"/>
              </w:rPr>
            </w:pPr>
            <w:r>
              <w:rPr>
                <w:rFonts w:ascii="Arial" w:cs="Arial" w:eastAsia="Arial" w:hAnsi="Arial"/>
                <w:sz w:val="14"/>
                <w:szCs w:val="14"/>
                <w:b w:val="1"/>
                <w:bCs w:val="1"/>
                <w:color w:val="auto"/>
                <w:w w:val="96"/>
              </w:rPr>
              <w:t>Awards</w:t>
            </w:r>
            <w:r>
              <w:rPr>
                <w:rFonts w:ascii="Arial" w:cs="Arial" w:eastAsia="Arial" w:hAnsi="Arial"/>
                <w:sz w:val="8"/>
                <w:szCs w:val="8"/>
                <w:b w:val="1"/>
                <w:bCs w:val="1"/>
                <w:color w:val="auto"/>
                <w:w w:val="96"/>
              </w:rPr>
              <w:t>(6)</w:t>
            </w: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20" w:type="dxa"/>
            <w:vAlign w:val="bottom"/>
            <w:shd w:val="clear" w:color="auto" w:fill="DBE5F1"/>
          </w:tcPr>
          <w:p>
            <w:pPr>
              <w:spacing w:after="0"/>
              <w:rPr>
                <w:sz w:val="19"/>
                <w:szCs w:val="19"/>
                <w:color w:val="auto"/>
              </w:rPr>
            </w:pPr>
          </w:p>
        </w:tc>
        <w:tc>
          <w:tcPr>
            <w:tcW w:w="700" w:type="dxa"/>
            <w:vAlign w:val="bottom"/>
            <w:shd w:val="clear" w:color="auto" w:fill="DBE5F1"/>
          </w:tcPr>
          <w:p>
            <w:pPr>
              <w:spacing w:after="0"/>
              <w:rPr>
                <w:sz w:val="19"/>
                <w:szCs w:val="19"/>
                <w:color w:val="auto"/>
              </w:rPr>
            </w:pPr>
          </w:p>
        </w:tc>
        <w:tc>
          <w:tcPr>
            <w:tcW w:w="860" w:type="dxa"/>
            <w:vAlign w:val="bottom"/>
            <w:shd w:val="clear" w:color="auto" w:fill="DBE5F1"/>
          </w:tcPr>
          <w:p>
            <w:pPr>
              <w:jc w:val="right"/>
              <w:spacing w:after="0"/>
              <w:rPr>
                <w:sz w:val="20"/>
                <w:szCs w:val="20"/>
                <w:color w:val="auto"/>
              </w:rPr>
            </w:pPr>
            <w:r>
              <w:rPr>
                <w:rFonts w:ascii="Arial" w:cs="Arial" w:eastAsia="Arial" w:hAnsi="Arial"/>
                <w:sz w:val="13"/>
                <w:szCs w:val="13"/>
                <w:color w:val="auto"/>
              </w:rPr>
              <w:t>$347,500</w:t>
            </w:r>
          </w:p>
        </w:tc>
        <w:tc>
          <w:tcPr>
            <w:tcW w:w="1220" w:type="dxa"/>
            <w:vAlign w:val="bottom"/>
            <w:gridSpan w:val="2"/>
            <w:shd w:val="clear" w:color="auto" w:fill="DBE5F1"/>
          </w:tcPr>
          <w:p>
            <w:pPr>
              <w:jc w:val="right"/>
              <w:ind w:right="270"/>
              <w:spacing w:after="0"/>
              <w:rPr>
                <w:sz w:val="20"/>
                <w:szCs w:val="20"/>
                <w:color w:val="auto"/>
              </w:rPr>
            </w:pPr>
            <w:r>
              <w:rPr>
                <w:rFonts w:ascii="Arial" w:cs="Arial" w:eastAsia="Arial" w:hAnsi="Arial"/>
                <w:sz w:val="13"/>
                <w:szCs w:val="13"/>
                <w:color w:val="auto"/>
              </w:rPr>
              <w:t>$695,000</w:t>
            </w:r>
          </w:p>
        </w:tc>
        <w:tc>
          <w:tcPr>
            <w:tcW w:w="860" w:type="dxa"/>
            <w:vAlign w:val="bottom"/>
            <w:shd w:val="clear" w:color="auto" w:fill="DBE5F1"/>
          </w:tcPr>
          <w:p>
            <w:pPr>
              <w:jc w:val="right"/>
              <w:ind w:right="77"/>
              <w:spacing w:after="0"/>
              <w:rPr>
                <w:sz w:val="20"/>
                <w:szCs w:val="20"/>
                <w:color w:val="auto"/>
              </w:rPr>
            </w:pPr>
            <w:r>
              <w:rPr>
                <w:rFonts w:ascii="Arial" w:cs="Arial" w:eastAsia="Arial" w:hAnsi="Arial"/>
                <w:sz w:val="13"/>
                <w:szCs w:val="13"/>
                <w:color w:val="auto"/>
              </w:rPr>
              <w:t>$1,390,000</w:t>
            </w:r>
          </w:p>
        </w:tc>
        <w:tc>
          <w:tcPr>
            <w:tcW w:w="940" w:type="dxa"/>
            <w:vAlign w:val="bottom"/>
            <w:shd w:val="clear" w:color="auto" w:fill="DBE5F1"/>
          </w:tcPr>
          <w:p>
            <w:pPr>
              <w:spacing w:after="0"/>
              <w:rPr>
                <w:sz w:val="19"/>
                <w:szCs w:val="19"/>
                <w:color w:val="auto"/>
              </w:rPr>
            </w:pPr>
          </w:p>
        </w:tc>
        <w:tc>
          <w:tcPr>
            <w:tcW w:w="700" w:type="dxa"/>
            <w:vAlign w:val="bottom"/>
            <w:shd w:val="clear" w:color="auto" w:fill="DBE5F1"/>
          </w:tcPr>
          <w:p>
            <w:pPr>
              <w:spacing w:after="0"/>
              <w:rPr>
                <w:sz w:val="19"/>
                <w:szCs w:val="19"/>
                <w:color w:val="auto"/>
              </w:rPr>
            </w:pPr>
          </w:p>
        </w:tc>
        <w:tc>
          <w:tcPr>
            <w:tcW w:w="860" w:type="dxa"/>
            <w:vAlign w:val="bottom"/>
            <w:shd w:val="clear" w:color="auto" w:fill="DBE5F1"/>
          </w:tcPr>
          <w:p>
            <w:pPr>
              <w:spacing w:after="0"/>
              <w:rPr>
                <w:sz w:val="19"/>
                <w:szCs w:val="19"/>
                <w:color w:val="auto"/>
              </w:rPr>
            </w:pPr>
          </w:p>
        </w:tc>
        <w:tc>
          <w:tcPr>
            <w:tcW w:w="900" w:type="dxa"/>
            <w:vAlign w:val="bottom"/>
            <w:shd w:val="clear" w:color="auto" w:fill="DBE5F1"/>
          </w:tcPr>
          <w:p>
            <w:pPr>
              <w:spacing w:after="0"/>
              <w:rPr>
                <w:sz w:val="19"/>
                <w:szCs w:val="19"/>
                <w:color w:val="auto"/>
              </w:rPr>
            </w:pPr>
          </w:p>
        </w:tc>
        <w:tc>
          <w:tcPr>
            <w:tcW w:w="1200" w:type="dxa"/>
            <w:vAlign w:val="bottom"/>
            <w:shd w:val="clear" w:color="auto" w:fill="DBE5F1"/>
          </w:tcPr>
          <w:p>
            <w:pPr>
              <w:spacing w:after="0"/>
              <w:rPr>
                <w:sz w:val="19"/>
                <w:szCs w:val="19"/>
                <w:color w:val="auto"/>
              </w:rPr>
            </w:pPr>
          </w:p>
        </w:tc>
        <w:tc>
          <w:tcPr>
            <w:tcW w:w="980" w:type="dxa"/>
            <w:vAlign w:val="bottom"/>
            <w:shd w:val="clear" w:color="auto" w:fill="DBE5F1"/>
          </w:tcPr>
          <w:p>
            <w:pPr>
              <w:spacing w:after="0"/>
              <w:rPr>
                <w:sz w:val="19"/>
                <w:szCs w:val="19"/>
                <w:color w:val="auto"/>
              </w:rPr>
            </w:pPr>
          </w:p>
        </w:tc>
        <w:tc>
          <w:tcPr>
            <w:tcW w:w="180" w:type="dxa"/>
            <w:vAlign w:val="bottom"/>
            <w:shd w:val="clear" w:color="auto" w:fill="DBE5F1"/>
          </w:tcPr>
          <w:p>
            <w:pPr>
              <w:spacing w:after="0"/>
              <w:rPr>
                <w:sz w:val="19"/>
                <w:szCs w:val="19"/>
                <w:color w:val="auto"/>
              </w:rPr>
            </w:pPr>
          </w:p>
        </w:tc>
        <w:tc>
          <w:tcPr>
            <w:tcW w:w="980" w:type="dxa"/>
            <w:vAlign w:val="bottom"/>
            <w:shd w:val="clear" w:color="auto" w:fill="DBE5F1"/>
          </w:tcPr>
          <w:p>
            <w:pPr>
              <w:spacing w:after="0"/>
              <w:rPr>
                <w:sz w:val="19"/>
                <w:szCs w:val="19"/>
                <w:color w:val="auto"/>
              </w:rPr>
            </w:pP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1020" w:type="dxa"/>
            <w:vAlign w:val="bottom"/>
            <w:vMerge w:val="restart"/>
            <w:shd w:val="clear" w:color="auto" w:fill="DBE5F1"/>
          </w:tcPr>
          <w:p>
            <w:pPr>
              <w:ind w:left="20"/>
              <w:spacing w:after="0"/>
              <w:rPr>
                <w:sz w:val="20"/>
                <w:szCs w:val="20"/>
                <w:color w:val="auto"/>
              </w:rPr>
            </w:pPr>
            <w:r>
              <w:rPr>
                <w:rFonts w:ascii="Arial" w:cs="Arial" w:eastAsia="Arial" w:hAnsi="Arial"/>
                <w:sz w:val="13"/>
                <w:szCs w:val="13"/>
                <w:b w:val="1"/>
                <w:bCs w:val="1"/>
                <w:color w:val="auto"/>
              </w:rPr>
              <w:t>Andrew C.</w:t>
            </w:r>
          </w:p>
        </w:tc>
        <w:tc>
          <w:tcPr>
            <w:tcW w:w="700" w:type="dxa"/>
            <w:vAlign w:val="bottom"/>
            <w:shd w:val="clear" w:color="auto" w:fill="DBE5F1"/>
          </w:tcPr>
          <w:p>
            <w:pPr>
              <w:jc w:val="center"/>
              <w:spacing w:after="0"/>
              <w:rPr>
                <w:sz w:val="20"/>
                <w:szCs w:val="20"/>
                <w:color w:val="auto"/>
              </w:rPr>
            </w:pPr>
            <w:r>
              <w:rPr>
                <w:rFonts w:ascii="Arial" w:cs="Arial" w:eastAsia="Arial" w:hAnsi="Arial"/>
                <w:sz w:val="13"/>
                <w:szCs w:val="13"/>
                <w:color w:val="auto"/>
                <w:w w:val="88"/>
              </w:rPr>
              <w:t>3/5/15</w:t>
            </w:r>
          </w:p>
        </w:tc>
        <w:tc>
          <w:tcPr>
            <w:tcW w:w="860" w:type="dxa"/>
            <w:vAlign w:val="bottom"/>
            <w:shd w:val="clear" w:color="auto" w:fill="DBE5F1"/>
          </w:tcPr>
          <w:p>
            <w:pPr>
              <w:spacing w:after="0"/>
              <w:rPr>
                <w:sz w:val="24"/>
                <w:szCs w:val="24"/>
                <w:color w:val="auto"/>
              </w:rPr>
            </w:pPr>
          </w:p>
        </w:tc>
        <w:tc>
          <w:tcPr>
            <w:tcW w:w="60" w:type="dxa"/>
            <w:vAlign w:val="bottom"/>
            <w:shd w:val="clear" w:color="auto" w:fill="DBE5F1"/>
          </w:tcPr>
          <w:p>
            <w:pPr>
              <w:spacing w:after="0"/>
              <w:rPr>
                <w:sz w:val="24"/>
                <w:szCs w:val="24"/>
                <w:color w:val="auto"/>
              </w:rPr>
            </w:pPr>
          </w:p>
        </w:tc>
        <w:tc>
          <w:tcPr>
            <w:tcW w:w="1160" w:type="dxa"/>
            <w:vAlign w:val="bottom"/>
            <w:shd w:val="clear" w:color="auto" w:fill="DBE5F1"/>
          </w:tcPr>
          <w:p>
            <w:pPr>
              <w:spacing w:after="0"/>
              <w:rPr>
                <w:sz w:val="24"/>
                <w:szCs w:val="24"/>
                <w:color w:val="auto"/>
              </w:rPr>
            </w:pPr>
          </w:p>
        </w:tc>
        <w:tc>
          <w:tcPr>
            <w:tcW w:w="860" w:type="dxa"/>
            <w:vAlign w:val="bottom"/>
            <w:shd w:val="clear" w:color="auto" w:fill="DBE5F1"/>
          </w:tcPr>
          <w:p>
            <w:pPr>
              <w:spacing w:after="0"/>
              <w:rPr>
                <w:sz w:val="24"/>
                <w:szCs w:val="24"/>
                <w:color w:val="auto"/>
              </w:rPr>
            </w:pPr>
          </w:p>
        </w:tc>
        <w:tc>
          <w:tcPr>
            <w:tcW w:w="940" w:type="dxa"/>
            <w:vAlign w:val="bottom"/>
            <w:shd w:val="clear" w:color="auto" w:fill="DBE5F1"/>
          </w:tcPr>
          <w:p>
            <w:pPr>
              <w:jc w:val="right"/>
              <w:ind w:right="15"/>
              <w:spacing w:after="0"/>
              <w:rPr>
                <w:sz w:val="20"/>
                <w:szCs w:val="20"/>
                <w:color w:val="auto"/>
              </w:rPr>
            </w:pPr>
            <w:r>
              <w:rPr>
                <w:rFonts w:ascii="Arial" w:cs="Arial" w:eastAsia="Arial" w:hAnsi="Arial"/>
                <w:sz w:val="13"/>
                <w:szCs w:val="13"/>
                <w:color w:val="auto"/>
              </w:rPr>
              <w:t>1,920</w:t>
            </w:r>
          </w:p>
        </w:tc>
        <w:tc>
          <w:tcPr>
            <w:tcW w:w="700" w:type="dxa"/>
            <w:vAlign w:val="bottom"/>
            <w:shd w:val="clear" w:color="auto" w:fill="DBE5F1"/>
          </w:tcPr>
          <w:p>
            <w:pPr>
              <w:jc w:val="right"/>
              <w:ind w:right="57"/>
              <w:spacing w:after="0"/>
              <w:rPr>
                <w:sz w:val="20"/>
                <w:szCs w:val="20"/>
                <w:color w:val="auto"/>
              </w:rPr>
            </w:pPr>
            <w:r>
              <w:rPr>
                <w:rFonts w:ascii="Arial" w:cs="Arial" w:eastAsia="Arial" w:hAnsi="Arial"/>
                <w:sz w:val="13"/>
                <w:szCs w:val="13"/>
                <w:color w:val="auto"/>
              </w:rPr>
              <w:t>4,800</w:t>
            </w:r>
          </w:p>
        </w:tc>
        <w:tc>
          <w:tcPr>
            <w:tcW w:w="860" w:type="dxa"/>
            <w:vAlign w:val="bottom"/>
            <w:shd w:val="clear" w:color="auto" w:fill="DBE5F1"/>
          </w:tcPr>
          <w:p>
            <w:pPr>
              <w:jc w:val="right"/>
              <w:spacing w:after="0"/>
              <w:rPr>
                <w:sz w:val="20"/>
                <w:szCs w:val="20"/>
                <w:color w:val="auto"/>
              </w:rPr>
            </w:pPr>
            <w:r>
              <w:rPr>
                <w:rFonts w:ascii="Arial" w:cs="Arial" w:eastAsia="Arial" w:hAnsi="Arial"/>
                <w:sz w:val="13"/>
                <w:szCs w:val="13"/>
                <w:color w:val="auto"/>
              </w:rPr>
              <w:t>11,520</w:t>
            </w:r>
          </w:p>
        </w:tc>
        <w:tc>
          <w:tcPr>
            <w:tcW w:w="900" w:type="dxa"/>
            <w:vAlign w:val="bottom"/>
            <w:shd w:val="clear" w:color="auto" w:fill="DBE5F1"/>
          </w:tcPr>
          <w:p>
            <w:pPr>
              <w:spacing w:after="0"/>
              <w:rPr>
                <w:sz w:val="24"/>
                <w:szCs w:val="24"/>
                <w:color w:val="auto"/>
              </w:rPr>
            </w:pPr>
          </w:p>
        </w:tc>
        <w:tc>
          <w:tcPr>
            <w:tcW w:w="1200" w:type="dxa"/>
            <w:vAlign w:val="bottom"/>
            <w:shd w:val="clear" w:color="auto" w:fill="DBE5F1"/>
          </w:tcPr>
          <w:p>
            <w:pPr>
              <w:spacing w:after="0"/>
              <w:rPr>
                <w:sz w:val="24"/>
                <w:szCs w:val="24"/>
                <w:color w:val="auto"/>
              </w:rPr>
            </w:pPr>
          </w:p>
        </w:tc>
        <w:tc>
          <w:tcPr>
            <w:tcW w:w="980" w:type="dxa"/>
            <w:vAlign w:val="bottom"/>
            <w:shd w:val="clear" w:color="auto" w:fill="DBE5F1"/>
          </w:tcPr>
          <w:p>
            <w:pPr>
              <w:spacing w:after="0"/>
              <w:rPr>
                <w:sz w:val="24"/>
                <w:szCs w:val="24"/>
                <w:color w:val="auto"/>
              </w:rPr>
            </w:pPr>
          </w:p>
        </w:tc>
        <w:tc>
          <w:tcPr>
            <w:tcW w:w="1160" w:type="dxa"/>
            <w:vAlign w:val="bottom"/>
            <w:gridSpan w:val="2"/>
            <w:shd w:val="clear" w:color="auto" w:fill="DBE5F1"/>
          </w:tcPr>
          <w:p>
            <w:pPr>
              <w:ind w:left="80"/>
              <w:spacing w:after="0"/>
              <w:rPr>
                <w:sz w:val="20"/>
                <w:szCs w:val="20"/>
                <w:color w:val="auto"/>
              </w:rPr>
            </w:pPr>
            <w:r>
              <w:rPr>
                <w:rFonts w:ascii="Arial" w:cs="Arial" w:eastAsia="Arial" w:hAnsi="Arial"/>
                <w:sz w:val="13"/>
                <w:szCs w:val="13"/>
                <w:color w:val="auto"/>
              </w:rPr>
              <w:t>$ 2,397,082</w:t>
            </w:r>
            <w:r>
              <w:rPr>
                <w:rFonts w:ascii="Arial" w:cs="Arial" w:eastAsia="Arial" w:hAnsi="Arial"/>
                <w:sz w:val="8"/>
                <w:szCs w:val="8"/>
                <w:color w:val="auto"/>
              </w:rPr>
              <w:t>(7)</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20" w:type="dxa"/>
            <w:vAlign w:val="bottom"/>
            <w:vMerge w:val="continue"/>
            <w:shd w:val="clear" w:color="auto" w:fill="DBE5F1"/>
          </w:tcPr>
          <w:p>
            <w:pPr>
              <w:spacing w:after="0"/>
              <w:rPr>
                <w:sz w:val="3"/>
                <w:szCs w:val="3"/>
                <w:color w:val="auto"/>
              </w:rPr>
            </w:pPr>
          </w:p>
        </w:tc>
        <w:tc>
          <w:tcPr>
            <w:tcW w:w="700" w:type="dxa"/>
            <w:vAlign w:val="bottom"/>
            <w:shd w:val="clear" w:color="auto" w:fill="DBE5F1"/>
          </w:tcPr>
          <w:p>
            <w:pPr>
              <w:spacing w:after="0"/>
              <w:rPr>
                <w:sz w:val="3"/>
                <w:szCs w:val="3"/>
                <w:color w:val="auto"/>
              </w:rPr>
            </w:pPr>
          </w:p>
        </w:tc>
        <w:tc>
          <w:tcPr>
            <w:tcW w:w="860" w:type="dxa"/>
            <w:vAlign w:val="bottom"/>
            <w:shd w:val="clear" w:color="auto" w:fill="DBE5F1"/>
          </w:tcPr>
          <w:p>
            <w:pPr>
              <w:spacing w:after="0"/>
              <w:rPr>
                <w:sz w:val="3"/>
                <w:szCs w:val="3"/>
                <w:color w:val="auto"/>
              </w:rPr>
            </w:pPr>
          </w:p>
        </w:tc>
        <w:tc>
          <w:tcPr>
            <w:tcW w:w="60" w:type="dxa"/>
            <w:vAlign w:val="bottom"/>
            <w:shd w:val="clear" w:color="auto" w:fill="DBE5F1"/>
          </w:tcPr>
          <w:p>
            <w:pPr>
              <w:spacing w:after="0"/>
              <w:rPr>
                <w:sz w:val="3"/>
                <w:szCs w:val="3"/>
                <w:color w:val="auto"/>
              </w:rPr>
            </w:pPr>
          </w:p>
        </w:tc>
        <w:tc>
          <w:tcPr>
            <w:tcW w:w="1160" w:type="dxa"/>
            <w:vAlign w:val="bottom"/>
            <w:shd w:val="clear" w:color="auto" w:fill="DBE5F1"/>
          </w:tcPr>
          <w:p>
            <w:pPr>
              <w:spacing w:after="0"/>
              <w:rPr>
                <w:sz w:val="3"/>
                <w:szCs w:val="3"/>
                <w:color w:val="auto"/>
              </w:rPr>
            </w:pPr>
          </w:p>
        </w:tc>
        <w:tc>
          <w:tcPr>
            <w:tcW w:w="860" w:type="dxa"/>
            <w:vAlign w:val="bottom"/>
            <w:shd w:val="clear" w:color="auto" w:fill="DBE5F1"/>
          </w:tcPr>
          <w:p>
            <w:pPr>
              <w:spacing w:after="0"/>
              <w:rPr>
                <w:sz w:val="3"/>
                <w:szCs w:val="3"/>
                <w:color w:val="auto"/>
              </w:rPr>
            </w:pPr>
          </w:p>
        </w:tc>
        <w:tc>
          <w:tcPr>
            <w:tcW w:w="940" w:type="dxa"/>
            <w:vAlign w:val="bottom"/>
            <w:shd w:val="clear" w:color="auto" w:fill="DBE5F1"/>
          </w:tcPr>
          <w:p>
            <w:pPr>
              <w:spacing w:after="0"/>
              <w:rPr>
                <w:sz w:val="3"/>
                <w:szCs w:val="3"/>
                <w:color w:val="auto"/>
              </w:rPr>
            </w:pPr>
          </w:p>
        </w:tc>
        <w:tc>
          <w:tcPr>
            <w:tcW w:w="700" w:type="dxa"/>
            <w:vAlign w:val="bottom"/>
            <w:shd w:val="clear" w:color="auto" w:fill="DBE5F1"/>
          </w:tcPr>
          <w:p>
            <w:pPr>
              <w:spacing w:after="0"/>
              <w:rPr>
                <w:sz w:val="3"/>
                <w:szCs w:val="3"/>
                <w:color w:val="auto"/>
              </w:rPr>
            </w:pPr>
          </w:p>
        </w:tc>
        <w:tc>
          <w:tcPr>
            <w:tcW w:w="860" w:type="dxa"/>
            <w:vAlign w:val="bottom"/>
            <w:shd w:val="clear" w:color="auto" w:fill="DBE5F1"/>
          </w:tcPr>
          <w:p>
            <w:pPr>
              <w:spacing w:after="0"/>
              <w:rPr>
                <w:sz w:val="3"/>
                <w:szCs w:val="3"/>
                <w:color w:val="auto"/>
              </w:rPr>
            </w:pPr>
          </w:p>
        </w:tc>
        <w:tc>
          <w:tcPr>
            <w:tcW w:w="900" w:type="dxa"/>
            <w:vAlign w:val="bottom"/>
            <w:shd w:val="clear" w:color="auto" w:fill="DBE5F1"/>
          </w:tcPr>
          <w:p>
            <w:pPr>
              <w:spacing w:after="0"/>
              <w:rPr>
                <w:sz w:val="3"/>
                <w:szCs w:val="3"/>
                <w:color w:val="auto"/>
              </w:rPr>
            </w:pPr>
          </w:p>
        </w:tc>
        <w:tc>
          <w:tcPr>
            <w:tcW w:w="1200" w:type="dxa"/>
            <w:vAlign w:val="bottom"/>
            <w:shd w:val="clear" w:color="auto" w:fill="DBE5F1"/>
          </w:tcPr>
          <w:p>
            <w:pPr>
              <w:spacing w:after="0"/>
              <w:rPr>
                <w:sz w:val="3"/>
                <w:szCs w:val="3"/>
                <w:color w:val="auto"/>
              </w:rPr>
            </w:pPr>
          </w:p>
        </w:tc>
        <w:tc>
          <w:tcPr>
            <w:tcW w:w="980" w:type="dxa"/>
            <w:vAlign w:val="bottom"/>
            <w:shd w:val="clear" w:color="auto" w:fill="DBE5F1"/>
          </w:tcPr>
          <w:p>
            <w:pPr>
              <w:spacing w:after="0"/>
              <w:rPr>
                <w:sz w:val="3"/>
                <w:szCs w:val="3"/>
                <w:color w:val="auto"/>
              </w:rPr>
            </w:pPr>
          </w:p>
        </w:tc>
        <w:tc>
          <w:tcPr>
            <w:tcW w:w="180" w:type="dxa"/>
            <w:vAlign w:val="bottom"/>
            <w:shd w:val="clear" w:color="auto" w:fill="DBE5F1"/>
          </w:tcPr>
          <w:p>
            <w:pPr>
              <w:spacing w:after="0"/>
              <w:rPr>
                <w:sz w:val="3"/>
                <w:szCs w:val="3"/>
                <w:color w:val="auto"/>
              </w:rPr>
            </w:pPr>
          </w:p>
        </w:tc>
        <w:tc>
          <w:tcPr>
            <w:tcW w:w="980" w:type="dxa"/>
            <w:vAlign w:val="bottom"/>
            <w:shd w:val="clear" w:color="auto" w:fill="DBE5F1"/>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4"/>
        </w:trPr>
        <w:tc>
          <w:tcPr>
            <w:tcW w:w="20" w:type="dxa"/>
            <w:vAlign w:val="bottom"/>
          </w:tcPr>
          <w:p>
            <w:pPr>
              <w:spacing w:after="0"/>
              <w:rPr>
                <w:sz w:val="14"/>
                <w:szCs w:val="14"/>
                <w:color w:val="auto"/>
              </w:rPr>
            </w:pPr>
          </w:p>
        </w:tc>
        <w:tc>
          <w:tcPr>
            <w:tcW w:w="1020" w:type="dxa"/>
            <w:vAlign w:val="bottom"/>
            <w:shd w:val="clear" w:color="auto" w:fill="DBE5F1"/>
          </w:tcPr>
          <w:p>
            <w:pPr>
              <w:ind w:left="20"/>
              <w:spacing w:after="0"/>
              <w:rPr>
                <w:sz w:val="20"/>
                <w:szCs w:val="20"/>
                <w:color w:val="auto"/>
              </w:rPr>
            </w:pPr>
            <w:r>
              <w:rPr>
                <w:rFonts w:ascii="Arial" w:cs="Arial" w:eastAsia="Arial" w:hAnsi="Arial"/>
                <w:sz w:val="13"/>
                <w:szCs w:val="13"/>
                <w:b w:val="1"/>
                <w:bCs w:val="1"/>
                <w:color w:val="auto"/>
              </w:rPr>
              <w:t>Florance</w:t>
            </w:r>
          </w:p>
        </w:tc>
        <w:tc>
          <w:tcPr>
            <w:tcW w:w="700" w:type="dxa"/>
            <w:vAlign w:val="bottom"/>
            <w:vMerge w:val="restart"/>
            <w:shd w:val="clear" w:color="auto" w:fill="DBE5F1"/>
          </w:tcPr>
          <w:p>
            <w:pPr>
              <w:jc w:val="center"/>
              <w:spacing w:after="0"/>
              <w:rPr>
                <w:sz w:val="20"/>
                <w:szCs w:val="20"/>
                <w:color w:val="auto"/>
              </w:rPr>
            </w:pPr>
            <w:r>
              <w:rPr>
                <w:rFonts w:ascii="Arial" w:cs="Arial" w:eastAsia="Arial" w:hAnsi="Arial"/>
                <w:sz w:val="13"/>
                <w:szCs w:val="13"/>
                <w:color w:val="auto"/>
                <w:w w:val="88"/>
              </w:rPr>
              <w:t>3/5/15</w:t>
            </w:r>
          </w:p>
        </w:tc>
        <w:tc>
          <w:tcPr>
            <w:tcW w:w="860" w:type="dxa"/>
            <w:vAlign w:val="bottom"/>
            <w:shd w:val="clear" w:color="auto" w:fill="DBE5F1"/>
          </w:tcPr>
          <w:p>
            <w:pPr>
              <w:spacing w:after="0"/>
              <w:rPr>
                <w:sz w:val="14"/>
                <w:szCs w:val="14"/>
                <w:color w:val="auto"/>
              </w:rPr>
            </w:pPr>
          </w:p>
        </w:tc>
        <w:tc>
          <w:tcPr>
            <w:tcW w:w="60" w:type="dxa"/>
            <w:vAlign w:val="bottom"/>
            <w:shd w:val="clear" w:color="auto" w:fill="DBE5F1"/>
          </w:tcPr>
          <w:p>
            <w:pPr>
              <w:spacing w:after="0"/>
              <w:rPr>
                <w:sz w:val="14"/>
                <w:szCs w:val="14"/>
                <w:color w:val="auto"/>
              </w:rPr>
            </w:pPr>
          </w:p>
        </w:tc>
        <w:tc>
          <w:tcPr>
            <w:tcW w:w="1160" w:type="dxa"/>
            <w:vAlign w:val="bottom"/>
            <w:shd w:val="clear" w:color="auto" w:fill="DBE5F1"/>
          </w:tcPr>
          <w:p>
            <w:pPr>
              <w:spacing w:after="0"/>
              <w:rPr>
                <w:sz w:val="14"/>
                <w:szCs w:val="14"/>
                <w:color w:val="auto"/>
              </w:rPr>
            </w:pPr>
          </w:p>
        </w:tc>
        <w:tc>
          <w:tcPr>
            <w:tcW w:w="860" w:type="dxa"/>
            <w:vAlign w:val="bottom"/>
            <w:shd w:val="clear" w:color="auto" w:fill="DBE5F1"/>
          </w:tcPr>
          <w:p>
            <w:pPr>
              <w:spacing w:after="0"/>
              <w:rPr>
                <w:sz w:val="14"/>
                <w:szCs w:val="14"/>
                <w:color w:val="auto"/>
              </w:rPr>
            </w:pPr>
          </w:p>
        </w:tc>
        <w:tc>
          <w:tcPr>
            <w:tcW w:w="940" w:type="dxa"/>
            <w:vAlign w:val="bottom"/>
            <w:shd w:val="clear" w:color="auto" w:fill="DBE5F1"/>
          </w:tcPr>
          <w:p>
            <w:pPr>
              <w:spacing w:after="0"/>
              <w:rPr>
                <w:sz w:val="14"/>
                <w:szCs w:val="14"/>
                <w:color w:val="auto"/>
              </w:rPr>
            </w:pPr>
          </w:p>
        </w:tc>
        <w:tc>
          <w:tcPr>
            <w:tcW w:w="700" w:type="dxa"/>
            <w:vAlign w:val="bottom"/>
            <w:shd w:val="clear" w:color="auto" w:fill="DBE5F1"/>
          </w:tcPr>
          <w:p>
            <w:pPr>
              <w:spacing w:after="0"/>
              <w:rPr>
                <w:sz w:val="14"/>
                <w:szCs w:val="14"/>
                <w:color w:val="auto"/>
              </w:rPr>
            </w:pPr>
          </w:p>
        </w:tc>
        <w:tc>
          <w:tcPr>
            <w:tcW w:w="860" w:type="dxa"/>
            <w:vAlign w:val="bottom"/>
            <w:shd w:val="clear" w:color="auto" w:fill="DBE5F1"/>
          </w:tcPr>
          <w:p>
            <w:pPr>
              <w:spacing w:after="0"/>
              <w:rPr>
                <w:sz w:val="14"/>
                <w:szCs w:val="14"/>
                <w:color w:val="auto"/>
              </w:rPr>
            </w:pPr>
          </w:p>
        </w:tc>
        <w:tc>
          <w:tcPr>
            <w:tcW w:w="900" w:type="dxa"/>
            <w:vAlign w:val="bottom"/>
            <w:vMerge w:val="restart"/>
            <w:shd w:val="clear" w:color="auto" w:fill="DBE5F1"/>
          </w:tcPr>
          <w:p>
            <w:pPr>
              <w:jc w:val="right"/>
              <w:spacing w:after="0"/>
              <w:rPr>
                <w:sz w:val="20"/>
                <w:szCs w:val="20"/>
                <w:color w:val="auto"/>
              </w:rPr>
            </w:pPr>
            <w:r>
              <w:rPr>
                <w:rFonts w:ascii="Arial" w:cs="Arial" w:eastAsia="Arial" w:hAnsi="Arial"/>
                <w:sz w:val="13"/>
                <w:szCs w:val="13"/>
                <w:color w:val="auto"/>
              </w:rPr>
              <w:t>18,900</w:t>
            </w:r>
          </w:p>
        </w:tc>
        <w:tc>
          <w:tcPr>
            <w:tcW w:w="1200" w:type="dxa"/>
            <w:vAlign w:val="bottom"/>
            <w:shd w:val="clear" w:color="auto" w:fill="DBE5F1"/>
          </w:tcPr>
          <w:p>
            <w:pPr>
              <w:spacing w:after="0"/>
              <w:rPr>
                <w:sz w:val="14"/>
                <w:szCs w:val="14"/>
                <w:color w:val="auto"/>
              </w:rPr>
            </w:pPr>
          </w:p>
        </w:tc>
        <w:tc>
          <w:tcPr>
            <w:tcW w:w="980" w:type="dxa"/>
            <w:vAlign w:val="bottom"/>
            <w:shd w:val="clear" w:color="auto" w:fill="DBE5F1"/>
          </w:tcPr>
          <w:p>
            <w:pPr>
              <w:spacing w:after="0"/>
              <w:rPr>
                <w:sz w:val="14"/>
                <w:szCs w:val="14"/>
                <w:color w:val="auto"/>
              </w:rPr>
            </w:pPr>
          </w:p>
        </w:tc>
        <w:tc>
          <w:tcPr>
            <w:tcW w:w="180" w:type="dxa"/>
            <w:vAlign w:val="bottom"/>
            <w:vMerge w:val="restart"/>
            <w:shd w:val="clear" w:color="auto" w:fill="DBE5F1"/>
          </w:tcPr>
          <w:p>
            <w:pPr>
              <w:ind w:left="80"/>
              <w:spacing w:after="0"/>
              <w:rPr>
                <w:sz w:val="20"/>
                <w:szCs w:val="20"/>
                <w:color w:val="auto"/>
              </w:rPr>
            </w:pPr>
            <w:r>
              <w:rPr>
                <w:rFonts w:ascii="Arial" w:cs="Arial" w:eastAsia="Arial" w:hAnsi="Arial"/>
                <w:sz w:val="13"/>
                <w:szCs w:val="13"/>
                <w:color w:val="auto"/>
              </w:rPr>
              <w:t>$</w:t>
            </w:r>
          </w:p>
        </w:tc>
        <w:tc>
          <w:tcPr>
            <w:tcW w:w="980" w:type="dxa"/>
            <w:vAlign w:val="bottom"/>
            <w:vMerge w:val="restart"/>
            <w:shd w:val="clear" w:color="auto" w:fill="DBE5F1"/>
          </w:tcPr>
          <w:p>
            <w:pPr>
              <w:jc w:val="right"/>
              <w:ind w:right="36"/>
              <w:spacing w:after="0"/>
              <w:rPr>
                <w:sz w:val="20"/>
                <w:szCs w:val="20"/>
                <w:color w:val="auto"/>
              </w:rPr>
            </w:pPr>
            <w:r>
              <w:rPr>
                <w:rFonts w:ascii="Arial" w:cs="Arial" w:eastAsia="Arial" w:hAnsi="Arial"/>
                <w:sz w:val="13"/>
                <w:szCs w:val="13"/>
                <w:color w:val="auto"/>
              </w:rPr>
              <w:t>3,660,741</w:t>
            </w: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20" w:type="dxa"/>
            <w:vAlign w:val="bottom"/>
            <w:shd w:val="clear" w:color="auto" w:fill="DBE5F1"/>
          </w:tcPr>
          <w:p>
            <w:pPr>
              <w:spacing w:after="0"/>
              <w:rPr>
                <w:sz w:val="7"/>
                <w:szCs w:val="7"/>
                <w:color w:val="auto"/>
              </w:rPr>
            </w:pPr>
          </w:p>
        </w:tc>
        <w:tc>
          <w:tcPr>
            <w:tcW w:w="700" w:type="dxa"/>
            <w:vAlign w:val="bottom"/>
            <w:vMerge w:val="continue"/>
            <w:shd w:val="clear" w:color="auto" w:fill="DBE5F1"/>
          </w:tcPr>
          <w:p>
            <w:pPr>
              <w:spacing w:after="0"/>
              <w:rPr>
                <w:sz w:val="7"/>
                <w:szCs w:val="7"/>
                <w:color w:val="auto"/>
              </w:rPr>
            </w:pPr>
          </w:p>
        </w:tc>
        <w:tc>
          <w:tcPr>
            <w:tcW w:w="860" w:type="dxa"/>
            <w:vAlign w:val="bottom"/>
            <w:shd w:val="clear" w:color="auto" w:fill="DBE5F1"/>
          </w:tcPr>
          <w:p>
            <w:pPr>
              <w:spacing w:after="0"/>
              <w:rPr>
                <w:sz w:val="7"/>
                <w:szCs w:val="7"/>
                <w:color w:val="auto"/>
              </w:rPr>
            </w:pPr>
          </w:p>
        </w:tc>
        <w:tc>
          <w:tcPr>
            <w:tcW w:w="60" w:type="dxa"/>
            <w:vAlign w:val="bottom"/>
            <w:shd w:val="clear" w:color="auto" w:fill="DBE5F1"/>
          </w:tcPr>
          <w:p>
            <w:pPr>
              <w:spacing w:after="0"/>
              <w:rPr>
                <w:sz w:val="7"/>
                <w:szCs w:val="7"/>
                <w:color w:val="auto"/>
              </w:rPr>
            </w:pPr>
          </w:p>
        </w:tc>
        <w:tc>
          <w:tcPr>
            <w:tcW w:w="1160" w:type="dxa"/>
            <w:vAlign w:val="bottom"/>
            <w:shd w:val="clear" w:color="auto" w:fill="DBE5F1"/>
          </w:tcPr>
          <w:p>
            <w:pPr>
              <w:spacing w:after="0"/>
              <w:rPr>
                <w:sz w:val="7"/>
                <w:szCs w:val="7"/>
                <w:color w:val="auto"/>
              </w:rPr>
            </w:pPr>
          </w:p>
        </w:tc>
        <w:tc>
          <w:tcPr>
            <w:tcW w:w="860" w:type="dxa"/>
            <w:vAlign w:val="bottom"/>
            <w:shd w:val="clear" w:color="auto" w:fill="DBE5F1"/>
          </w:tcPr>
          <w:p>
            <w:pPr>
              <w:spacing w:after="0"/>
              <w:rPr>
                <w:sz w:val="7"/>
                <w:szCs w:val="7"/>
                <w:color w:val="auto"/>
              </w:rPr>
            </w:pPr>
          </w:p>
        </w:tc>
        <w:tc>
          <w:tcPr>
            <w:tcW w:w="940" w:type="dxa"/>
            <w:vAlign w:val="bottom"/>
            <w:shd w:val="clear" w:color="auto" w:fill="DBE5F1"/>
          </w:tcPr>
          <w:p>
            <w:pPr>
              <w:spacing w:after="0"/>
              <w:rPr>
                <w:sz w:val="7"/>
                <w:szCs w:val="7"/>
                <w:color w:val="auto"/>
              </w:rPr>
            </w:pPr>
          </w:p>
        </w:tc>
        <w:tc>
          <w:tcPr>
            <w:tcW w:w="700" w:type="dxa"/>
            <w:vAlign w:val="bottom"/>
            <w:shd w:val="clear" w:color="auto" w:fill="DBE5F1"/>
          </w:tcPr>
          <w:p>
            <w:pPr>
              <w:spacing w:after="0"/>
              <w:rPr>
                <w:sz w:val="7"/>
                <w:szCs w:val="7"/>
                <w:color w:val="auto"/>
              </w:rPr>
            </w:pPr>
          </w:p>
        </w:tc>
        <w:tc>
          <w:tcPr>
            <w:tcW w:w="860" w:type="dxa"/>
            <w:vAlign w:val="bottom"/>
            <w:shd w:val="clear" w:color="auto" w:fill="DBE5F1"/>
          </w:tcPr>
          <w:p>
            <w:pPr>
              <w:spacing w:after="0"/>
              <w:rPr>
                <w:sz w:val="7"/>
                <w:szCs w:val="7"/>
                <w:color w:val="auto"/>
              </w:rPr>
            </w:pPr>
          </w:p>
        </w:tc>
        <w:tc>
          <w:tcPr>
            <w:tcW w:w="900" w:type="dxa"/>
            <w:vAlign w:val="bottom"/>
            <w:vMerge w:val="continue"/>
            <w:shd w:val="clear" w:color="auto" w:fill="DBE5F1"/>
          </w:tcPr>
          <w:p>
            <w:pPr>
              <w:spacing w:after="0"/>
              <w:rPr>
                <w:sz w:val="7"/>
                <w:szCs w:val="7"/>
                <w:color w:val="auto"/>
              </w:rPr>
            </w:pPr>
          </w:p>
        </w:tc>
        <w:tc>
          <w:tcPr>
            <w:tcW w:w="1200" w:type="dxa"/>
            <w:vAlign w:val="bottom"/>
            <w:shd w:val="clear" w:color="auto" w:fill="DBE5F1"/>
          </w:tcPr>
          <w:p>
            <w:pPr>
              <w:spacing w:after="0"/>
              <w:rPr>
                <w:sz w:val="7"/>
                <w:szCs w:val="7"/>
                <w:color w:val="auto"/>
              </w:rPr>
            </w:pPr>
          </w:p>
        </w:tc>
        <w:tc>
          <w:tcPr>
            <w:tcW w:w="980" w:type="dxa"/>
            <w:vAlign w:val="bottom"/>
            <w:shd w:val="clear" w:color="auto" w:fill="DBE5F1"/>
          </w:tcPr>
          <w:p>
            <w:pPr>
              <w:spacing w:after="0"/>
              <w:rPr>
                <w:sz w:val="7"/>
                <w:szCs w:val="7"/>
                <w:color w:val="auto"/>
              </w:rPr>
            </w:pPr>
          </w:p>
        </w:tc>
        <w:tc>
          <w:tcPr>
            <w:tcW w:w="180" w:type="dxa"/>
            <w:vAlign w:val="bottom"/>
            <w:vMerge w:val="continue"/>
            <w:shd w:val="clear" w:color="auto" w:fill="DBE5F1"/>
          </w:tcPr>
          <w:p>
            <w:pPr>
              <w:spacing w:after="0"/>
              <w:rPr>
                <w:sz w:val="7"/>
                <w:szCs w:val="7"/>
                <w:color w:val="auto"/>
              </w:rPr>
            </w:pPr>
          </w:p>
        </w:tc>
        <w:tc>
          <w:tcPr>
            <w:tcW w:w="980" w:type="dxa"/>
            <w:vAlign w:val="bottom"/>
            <w:vMerge w:val="continue"/>
            <w:shd w:val="clear" w:color="auto" w:fill="DBE5F1"/>
          </w:tcPr>
          <w:p>
            <w:pPr>
              <w:spacing w:after="0"/>
              <w:rPr>
                <w:sz w:val="7"/>
                <w:szCs w:val="7"/>
                <w:color w:val="auto"/>
              </w:rPr>
            </w:pPr>
          </w:p>
        </w:tc>
        <w:tc>
          <w:tcPr>
            <w:tcW w:w="0" w:type="dxa"/>
            <w:vAlign w:val="bottom"/>
          </w:tcPr>
          <w:p>
            <w:pPr>
              <w:spacing w:after="0"/>
              <w:rPr>
                <w:sz w:val="1"/>
                <w:szCs w:val="1"/>
                <w:color w:val="auto"/>
              </w:rPr>
            </w:pPr>
          </w:p>
        </w:tc>
      </w:tr>
      <w:tr>
        <w:trPr>
          <w:trHeight w:val="320"/>
        </w:trPr>
        <w:tc>
          <w:tcPr>
            <w:tcW w:w="20" w:type="dxa"/>
            <w:vAlign w:val="bottom"/>
          </w:tcPr>
          <w:p>
            <w:pPr>
              <w:spacing w:after="0"/>
              <w:rPr>
                <w:sz w:val="24"/>
                <w:szCs w:val="24"/>
                <w:color w:val="auto"/>
              </w:rPr>
            </w:pPr>
          </w:p>
        </w:tc>
        <w:tc>
          <w:tcPr>
            <w:tcW w:w="1020" w:type="dxa"/>
            <w:vAlign w:val="bottom"/>
            <w:tcBorders>
              <w:bottom w:val="single" w:sz="8" w:color="DBE5F1"/>
            </w:tcBorders>
            <w:shd w:val="clear" w:color="auto" w:fill="DBE5F1"/>
          </w:tcPr>
          <w:p>
            <w:pPr>
              <w:spacing w:after="0"/>
              <w:rPr>
                <w:sz w:val="24"/>
                <w:szCs w:val="24"/>
                <w:color w:val="auto"/>
              </w:rPr>
            </w:pPr>
          </w:p>
        </w:tc>
        <w:tc>
          <w:tcPr>
            <w:tcW w:w="700" w:type="dxa"/>
            <w:vAlign w:val="bottom"/>
            <w:tcBorders>
              <w:bottom w:val="single" w:sz="8" w:color="DBE5F1"/>
            </w:tcBorders>
            <w:shd w:val="clear" w:color="auto" w:fill="DBE5F1"/>
          </w:tcPr>
          <w:p>
            <w:pPr>
              <w:jc w:val="center"/>
              <w:spacing w:after="0"/>
              <w:rPr>
                <w:sz w:val="20"/>
                <w:szCs w:val="20"/>
                <w:color w:val="auto"/>
              </w:rPr>
            </w:pPr>
            <w:r>
              <w:rPr>
                <w:rFonts w:ascii="Arial" w:cs="Arial" w:eastAsia="Arial" w:hAnsi="Arial"/>
                <w:sz w:val="13"/>
                <w:szCs w:val="13"/>
                <w:color w:val="auto"/>
                <w:w w:val="88"/>
              </w:rPr>
              <w:t>3/5/15</w:t>
            </w:r>
          </w:p>
        </w:tc>
        <w:tc>
          <w:tcPr>
            <w:tcW w:w="860" w:type="dxa"/>
            <w:vAlign w:val="bottom"/>
            <w:tcBorders>
              <w:bottom w:val="single" w:sz="8" w:color="DBE5F1"/>
            </w:tcBorders>
            <w:shd w:val="clear" w:color="auto" w:fill="DBE5F1"/>
          </w:tcPr>
          <w:p>
            <w:pPr>
              <w:spacing w:after="0"/>
              <w:rPr>
                <w:sz w:val="24"/>
                <w:szCs w:val="24"/>
                <w:color w:val="auto"/>
              </w:rPr>
            </w:pPr>
          </w:p>
        </w:tc>
        <w:tc>
          <w:tcPr>
            <w:tcW w:w="60" w:type="dxa"/>
            <w:vAlign w:val="bottom"/>
            <w:tcBorders>
              <w:bottom w:val="single" w:sz="8" w:color="DBE5F1"/>
            </w:tcBorders>
            <w:shd w:val="clear" w:color="auto" w:fill="DBE5F1"/>
          </w:tcPr>
          <w:p>
            <w:pPr>
              <w:spacing w:after="0"/>
              <w:rPr>
                <w:sz w:val="24"/>
                <w:szCs w:val="24"/>
                <w:color w:val="auto"/>
              </w:rPr>
            </w:pPr>
          </w:p>
        </w:tc>
        <w:tc>
          <w:tcPr>
            <w:tcW w:w="1160" w:type="dxa"/>
            <w:vAlign w:val="bottom"/>
            <w:tcBorders>
              <w:bottom w:val="single" w:sz="8" w:color="DBE5F1"/>
            </w:tcBorders>
            <w:shd w:val="clear" w:color="auto" w:fill="DBE5F1"/>
          </w:tcPr>
          <w:p>
            <w:pPr>
              <w:spacing w:after="0"/>
              <w:rPr>
                <w:sz w:val="24"/>
                <w:szCs w:val="24"/>
                <w:color w:val="auto"/>
              </w:rPr>
            </w:pPr>
          </w:p>
        </w:tc>
        <w:tc>
          <w:tcPr>
            <w:tcW w:w="860" w:type="dxa"/>
            <w:vAlign w:val="bottom"/>
            <w:tcBorders>
              <w:bottom w:val="single" w:sz="8" w:color="DBE5F1"/>
            </w:tcBorders>
            <w:shd w:val="clear" w:color="auto" w:fill="DBE5F1"/>
          </w:tcPr>
          <w:p>
            <w:pPr>
              <w:spacing w:after="0"/>
              <w:rPr>
                <w:sz w:val="24"/>
                <w:szCs w:val="24"/>
                <w:color w:val="auto"/>
              </w:rPr>
            </w:pPr>
          </w:p>
        </w:tc>
        <w:tc>
          <w:tcPr>
            <w:tcW w:w="940" w:type="dxa"/>
            <w:vAlign w:val="bottom"/>
            <w:tcBorders>
              <w:bottom w:val="single" w:sz="8" w:color="DBE5F1"/>
            </w:tcBorders>
            <w:shd w:val="clear" w:color="auto" w:fill="DBE5F1"/>
          </w:tcPr>
          <w:p>
            <w:pPr>
              <w:spacing w:after="0"/>
              <w:rPr>
                <w:sz w:val="24"/>
                <w:szCs w:val="24"/>
                <w:color w:val="auto"/>
              </w:rPr>
            </w:pPr>
          </w:p>
        </w:tc>
        <w:tc>
          <w:tcPr>
            <w:tcW w:w="700" w:type="dxa"/>
            <w:vAlign w:val="bottom"/>
            <w:tcBorders>
              <w:bottom w:val="single" w:sz="8" w:color="DBE5F1"/>
            </w:tcBorders>
            <w:shd w:val="clear" w:color="auto" w:fill="DBE5F1"/>
          </w:tcPr>
          <w:p>
            <w:pPr>
              <w:spacing w:after="0"/>
              <w:rPr>
                <w:sz w:val="24"/>
                <w:szCs w:val="24"/>
                <w:color w:val="auto"/>
              </w:rPr>
            </w:pPr>
          </w:p>
        </w:tc>
        <w:tc>
          <w:tcPr>
            <w:tcW w:w="860" w:type="dxa"/>
            <w:vAlign w:val="bottom"/>
            <w:tcBorders>
              <w:bottom w:val="single" w:sz="8" w:color="DBE5F1"/>
            </w:tcBorders>
            <w:shd w:val="clear" w:color="auto" w:fill="DBE5F1"/>
          </w:tcPr>
          <w:p>
            <w:pPr>
              <w:spacing w:after="0"/>
              <w:rPr>
                <w:sz w:val="24"/>
                <w:szCs w:val="24"/>
                <w:color w:val="auto"/>
              </w:rPr>
            </w:pPr>
          </w:p>
        </w:tc>
        <w:tc>
          <w:tcPr>
            <w:tcW w:w="900" w:type="dxa"/>
            <w:vAlign w:val="bottom"/>
            <w:tcBorders>
              <w:bottom w:val="single" w:sz="8" w:color="DBE5F1"/>
            </w:tcBorders>
            <w:shd w:val="clear" w:color="auto" w:fill="DBE5F1"/>
          </w:tcPr>
          <w:p>
            <w:pPr>
              <w:spacing w:after="0"/>
              <w:rPr>
                <w:sz w:val="24"/>
                <w:szCs w:val="24"/>
                <w:color w:val="auto"/>
              </w:rPr>
            </w:pPr>
          </w:p>
        </w:tc>
        <w:tc>
          <w:tcPr>
            <w:tcW w:w="1200" w:type="dxa"/>
            <w:vAlign w:val="bottom"/>
            <w:tcBorders>
              <w:bottom w:val="single" w:sz="8" w:color="DBE5F1"/>
            </w:tcBorders>
            <w:shd w:val="clear" w:color="auto" w:fill="DBE5F1"/>
          </w:tcPr>
          <w:p>
            <w:pPr>
              <w:jc w:val="right"/>
              <w:ind w:right="54"/>
              <w:spacing w:after="0"/>
              <w:rPr>
                <w:sz w:val="20"/>
                <w:szCs w:val="20"/>
                <w:color w:val="auto"/>
              </w:rPr>
            </w:pPr>
            <w:r>
              <w:rPr>
                <w:rFonts w:ascii="Arial" w:cs="Arial" w:eastAsia="Arial" w:hAnsi="Arial"/>
                <w:sz w:val="13"/>
                <w:szCs w:val="13"/>
                <w:color w:val="auto"/>
              </w:rPr>
              <w:t>32,200</w:t>
            </w:r>
          </w:p>
        </w:tc>
        <w:tc>
          <w:tcPr>
            <w:tcW w:w="980" w:type="dxa"/>
            <w:vAlign w:val="bottom"/>
            <w:tcBorders>
              <w:bottom w:val="single" w:sz="8" w:color="DBE5F1"/>
            </w:tcBorders>
            <w:shd w:val="clear" w:color="auto" w:fill="DBE5F1"/>
          </w:tcPr>
          <w:p>
            <w:pPr>
              <w:jc w:val="right"/>
              <w:spacing w:after="0"/>
              <w:rPr>
                <w:sz w:val="20"/>
                <w:szCs w:val="20"/>
                <w:color w:val="auto"/>
              </w:rPr>
            </w:pPr>
            <w:r>
              <w:rPr>
                <w:rFonts w:ascii="Arial" w:cs="Arial" w:eastAsia="Arial" w:hAnsi="Arial"/>
                <w:sz w:val="13"/>
                <w:szCs w:val="13"/>
                <w:color w:val="auto"/>
              </w:rPr>
              <w:t>$193.69</w:t>
            </w:r>
          </w:p>
        </w:tc>
        <w:tc>
          <w:tcPr>
            <w:tcW w:w="180" w:type="dxa"/>
            <w:vAlign w:val="bottom"/>
            <w:tcBorders>
              <w:bottom w:val="single" w:sz="8" w:color="DBE5F1"/>
            </w:tcBorders>
            <w:shd w:val="clear" w:color="auto" w:fill="DBE5F1"/>
          </w:tcPr>
          <w:p>
            <w:pPr>
              <w:ind w:left="80"/>
              <w:spacing w:after="0"/>
              <w:rPr>
                <w:sz w:val="20"/>
                <w:szCs w:val="20"/>
                <w:color w:val="auto"/>
              </w:rPr>
            </w:pPr>
            <w:r>
              <w:rPr>
                <w:rFonts w:ascii="Arial" w:cs="Arial" w:eastAsia="Arial" w:hAnsi="Arial"/>
                <w:sz w:val="13"/>
                <w:szCs w:val="13"/>
                <w:color w:val="auto"/>
              </w:rPr>
              <w:t>$</w:t>
            </w:r>
          </w:p>
        </w:tc>
        <w:tc>
          <w:tcPr>
            <w:tcW w:w="980" w:type="dxa"/>
            <w:vAlign w:val="bottom"/>
            <w:tcBorders>
              <w:bottom w:val="single" w:sz="8" w:color="DBE5F1"/>
            </w:tcBorders>
            <w:shd w:val="clear" w:color="auto" w:fill="DBE5F1"/>
          </w:tcPr>
          <w:p>
            <w:pPr>
              <w:jc w:val="right"/>
              <w:ind w:right="36"/>
              <w:spacing w:after="0"/>
              <w:rPr>
                <w:sz w:val="20"/>
                <w:szCs w:val="20"/>
                <w:color w:val="auto"/>
              </w:rPr>
            </w:pPr>
            <w:r>
              <w:rPr>
                <w:rFonts w:ascii="Arial" w:cs="Arial" w:eastAsia="Arial" w:hAnsi="Arial"/>
                <w:sz w:val="13"/>
                <w:szCs w:val="13"/>
                <w:color w:val="auto"/>
              </w:rPr>
              <w:t>1,820,266</w:t>
            </w: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1020" w:type="dxa"/>
            <w:vAlign w:val="bottom"/>
            <w:shd w:val="clear" w:color="auto" w:fill="F2F2F2"/>
          </w:tcPr>
          <w:p>
            <w:pPr>
              <w:spacing w:after="0"/>
              <w:rPr>
                <w:sz w:val="24"/>
                <w:szCs w:val="24"/>
                <w:color w:val="auto"/>
              </w:rPr>
            </w:pPr>
          </w:p>
        </w:tc>
        <w:tc>
          <w:tcPr>
            <w:tcW w:w="700" w:type="dxa"/>
            <w:vAlign w:val="bottom"/>
            <w:shd w:val="clear" w:color="auto" w:fill="F2F2F2"/>
          </w:tcPr>
          <w:p>
            <w:pPr>
              <w:spacing w:after="0"/>
              <w:rPr>
                <w:sz w:val="24"/>
                <w:szCs w:val="24"/>
                <w:color w:val="auto"/>
              </w:rPr>
            </w:pPr>
          </w:p>
        </w:tc>
        <w:tc>
          <w:tcPr>
            <w:tcW w:w="860" w:type="dxa"/>
            <w:vAlign w:val="bottom"/>
            <w:shd w:val="clear" w:color="auto" w:fill="F2F2F2"/>
          </w:tcPr>
          <w:p>
            <w:pPr>
              <w:spacing w:after="0"/>
              <w:rPr>
                <w:sz w:val="24"/>
                <w:szCs w:val="24"/>
                <w:color w:val="auto"/>
              </w:rPr>
            </w:pPr>
          </w:p>
        </w:tc>
        <w:tc>
          <w:tcPr>
            <w:tcW w:w="1220" w:type="dxa"/>
            <w:vAlign w:val="bottom"/>
            <w:gridSpan w:val="2"/>
            <w:shd w:val="clear" w:color="auto" w:fill="F2F2F2"/>
          </w:tcPr>
          <w:p>
            <w:pPr>
              <w:spacing w:after="0"/>
              <w:rPr>
                <w:sz w:val="24"/>
                <w:szCs w:val="24"/>
                <w:color w:val="auto"/>
              </w:rPr>
            </w:pPr>
          </w:p>
        </w:tc>
        <w:tc>
          <w:tcPr>
            <w:tcW w:w="860" w:type="dxa"/>
            <w:vAlign w:val="bottom"/>
            <w:shd w:val="clear" w:color="auto" w:fill="F2F2F2"/>
          </w:tcPr>
          <w:p>
            <w:pPr>
              <w:spacing w:after="0"/>
              <w:rPr>
                <w:sz w:val="24"/>
                <w:szCs w:val="24"/>
                <w:color w:val="auto"/>
              </w:rPr>
            </w:pPr>
          </w:p>
        </w:tc>
        <w:tc>
          <w:tcPr>
            <w:tcW w:w="940" w:type="dxa"/>
            <w:vAlign w:val="bottom"/>
            <w:shd w:val="clear" w:color="auto" w:fill="F2F2F2"/>
          </w:tcPr>
          <w:p>
            <w:pPr>
              <w:spacing w:after="0"/>
              <w:rPr>
                <w:sz w:val="24"/>
                <w:szCs w:val="24"/>
                <w:color w:val="auto"/>
              </w:rPr>
            </w:pPr>
          </w:p>
        </w:tc>
        <w:tc>
          <w:tcPr>
            <w:tcW w:w="700" w:type="dxa"/>
            <w:vAlign w:val="bottom"/>
            <w:shd w:val="clear" w:color="auto" w:fill="F2F2F2"/>
          </w:tcPr>
          <w:p>
            <w:pPr>
              <w:spacing w:after="0"/>
              <w:rPr>
                <w:sz w:val="24"/>
                <w:szCs w:val="24"/>
                <w:color w:val="auto"/>
              </w:rPr>
            </w:pPr>
          </w:p>
        </w:tc>
        <w:tc>
          <w:tcPr>
            <w:tcW w:w="860" w:type="dxa"/>
            <w:vAlign w:val="bottom"/>
            <w:shd w:val="clear" w:color="auto" w:fill="F2F2F2"/>
          </w:tcPr>
          <w:p>
            <w:pPr>
              <w:spacing w:after="0"/>
              <w:rPr>
                <w:sz w:val="24"/>
                <w:szCs w:val="24"/>
                <w:color w:val="auto"/>
              </w:rPr>
            </w:pPr>
          </w:p>
        </w:tc>
        <w:tc>
          <w:tcPr>
            <w:tcW w:w="900" w:type="dxa"/>
            <w:vAlign w:val="bottom"/>
            <w:shd w:val="clear" w:color="auto" w:fill="F2F2F2"/>
          </w:tcPr>
          <w:p>
            <w:pPr>
              <w:spacing w:after="0"/>
              <w:rPr>
                <w:sz w:val="24"/>
                <w:szCs w:val="24"/>
                <w:color w:val="auto"/>
              </w:rPr>
            </w:pPr>
          </w:p>
        </w:tc>
        <w:tc>
          <w:tcPr>
            <w:tcW w:w="1200" w:type="dxa"/>
            <w:vAlign w:val="bottom"/>
            <w:shd w:val="clear" w:color="auto" w:fill="F2F2F2"/>
          </w:tcPr>
          <w:p>
            <w:pPr>
              <w:spacing w:after="0"/>
              <w:rPr>
                <w:sz w:val="24"/>
                <w:szCs w:val="24"/>
                <w:color w:val="auto"/>
              </w:rPr>
            </w:pPr>
          </w:p>
        </w:tc>
        <w:tc>
          <w:tcPr>
            <w:tcW w:w="980" w:type="dxa"/>
            <w:vAlign w:val="bottom"/>
            <w:shd w:val="clear" w:color="auto" w:fill="F2F2F2"/>
          </w:tcPr>
          <w:p>
            <w:pPr>
              <w:spacing w:after="0"/>
              <w:rPr>
                <w:sz w:val="24"/>
                <w:szCs w:val="24"/>
                <w:color w:val="auto"/>
              </w:rPr>
            </w:pPr>
          </w:p>
        </w:tc>
        <w:tc>
          <w:tcPr>
            <w:tcW w:w="180" w:type="dxa"/>
            <w:vAlign w:val="bottom"/>
            <w:shd w:val="clear" w:color="auto" w:fill="F2F2F2"/>
          </w:tcPr>
          <w:p>
            <w:pPr>
              <w:spacing w:after="0"/>
              <w:rPr>
                <w:sz w:val="24"/>
                <w:szCs w:val="24"/>
                <w:color w:val="auto"/>
              </w:rPr>
            </w:pPr>
          </w:p>
        </w:tc>
        <w:tc>
          <w:tcPr>
            <w:tcW w:w="980" w:type="dxa"/>
            <w:vAlign w:val="bottom"/>
            <w:shd w:val="clear" w:color="auto" w:fill="F2F2F2"/>
          </w:tcPr>
          <w:p>
            <w:pPr>
              <w:spacing w:after="0"/>
              <w:rPr>
                <w:sz w:val="24"/>
                <w:szCs w:val="24"/>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20" w:type="dxa"/>
            <w:vAlign w:val="bottom"/>
            <w:shd w:val="clear" w:color="auto" w:fill="DBE5F1"/>
          </w:tcPr>
          <w:p>
            <w:pPr>
              <w:spacing w:after="0"/>
              <w:rPr>
                <w:sz w:val="19"/>
                <w:szCs w:val="19"/>
                <w:color w:val="auto"/>
              </w:rPr>
            </w:pPr>
          </w:p>
        </w:tc>
        <w:tc>
          <w:tcPr>
            <w:tcW w:w="700" w:type="dxa"/>
            <w:vAlign w:val="bottom"/>
            <w:shd w:val="clear" w:color="auto" w:fill="DBE5F1"/>
          </w:tcPr>
          <w:p>
            <w:pPr>
              <w:spacing w:after="0"/>
              <w:rPr>
                <w:sz w:val="19"/>
                <w:szCs w:val="19"/>
                <w:color w:val="auto"/>
              </w:rPr>
            </w:pPr>
          </w:p>
        </w:tc>
        <w:tc>
          <w:tcPr>
            <w:tcW w:w="860" w:type="dxa"/>
            <w:vAlign w:val="bottom"/>
            <w:shd w:val="clear" w:color="auto" w:fill="DBE5F1"/>
          </w:tcPr>
          <w:p>
            <w:pPr>
              <w:jc w:val="right"/>
              <w:spacing w:after="0"/>
              <w:rPr>
                <w:sz w:val="20"/>
                <w:szCs w:val="20"/>
                <w:color w:val="auto"/>
              </w:rPr>
            </w:pPr>
            <w:r>
              <w:rPr>
                <w:rFonts w:ascii="Arial" w:cs="Arial" w:eastAsia="Arial" w:hAnsi="Arial"/>
                <w:sz w:val="13"/>
                <w:szCs w:val="13"/>
                <w:color w:val="auto"/>
              </w:rPr>
              <w:t>$128,375</w:t>
            </w:r>
          </w:p>
        </w:tc>
        <w:tc>
          <w:tcPr>
            <w:tcW w:w="1220" w:type="dxa"/>
            <w:vAlign w:val="bottom"/>
            <w:gridSpan w:val="2"/>
            <w:shd w:val="clear" w:color="auto" w:fill="DBE5F1"/>
          </w:tcPr>
          <w:p>
            <w:pPr>
              <w:jc w:val="right"/>
              <w:ind w:right="270"/>
              <w:spacing w:after="0"/>
              <w:rPr>
                <w:sz w:val="20"/>
                <w:szCs w:val="20"/>
                <w:color w:val="auto"/>
              </w:rPr>
            </w:pPr>
            <w:r>
              <w:rPr>
                <w:rFonts w:ascii="Arial" w:cs="Arial" w:eastAsia="Arial" w:hAnsi="Arial"/>
                <w:sz w:val="13"/>
                <w:szCs w:val="13"/>
                <w:color w:val="auto"/>
              </w:rPr>
              <w:t>$256,750</w:t>
            </w:r>
          </w:p>
        </w:tc>
        <w:tc>
          <w:tcPr>
            <w:tcW w:w="860" w:type="dxa"/>
            <w:vAlign w:val="bottom"/>
            <w:shd w:val="clear" w:color="auto" w:fill="DBE5F1"/>
          </w:tcPr>
          <w:p>
            <w:pPr>
              <w:jc w:val="right"/>
              <w:ind w:right="77"/>
              <w:spacing w:after="0"/>
              <w:rPr>
                <w:sz w:val="20"/>
                <w:szCs w:val="20"/>
                <w:color w:val="auto"/>
              </w:rPr>
            </w:pPr>
            <w:r>
              <w:rPr>
                <w:rFonts w:ascii="Arial" w:cs="Arial" w:eastAsia="Arial" w:hAnsi="Arial"/>
                <w:sz w:val="13"/>
                <w:szCs w:val="13"/>
                <w:color w:val="auto"/>
              </w:rPr>
              <w:t>$513,500</w:t>
            </w:r>
          </w:p>
        </w:tc>
        <w:tc>
          <w:tcPr>
            <w:tcW w:w="940" w:type="dxa"/>
            <w:vAlign w:val="bottom"/>
            <w:shd w:val="clear" w:color="auto" w:fill="DBE5F1"/>
          </w:tcPr>
          <w:p>
            <w:pPr>
              <w:spacing w:after="0"/>
              <w:rPr>
                <w:sz w:val="19"/>
                <w:szCs w:val="19"/>
                <w:color w:val="auto"/>
              </w:rPr>
            </w:pPr>
          </w:p>
        </w:tc>
        <w:tc>
          <w:tcPr>
            <w:tcW w:w="700" w:type="dxa"/>
            <w:vAlign w:val="bottom"/>
            <w:shd w:val="clear" w:color="auto" w:fill="DBE5F1"/>
          </w:tcPr>
          <w:p>
            <w:pPr>
              <w:spacing w:after="0"/>
              <w:rPr>
                <w:sz w:val="19"/>
                <w:szCs w:val="19"/>
                <w:color w:val="auto"/>
              </w:rPr>
            </w:pPr>
          </w:p>
        </w:tc>
        <w:tc>
          <w:tcPr>
            <w:tcW w:w="860" w:type="dxa"/>
            <w:vAlign w:val="bottom"/>
            <w:shd w:val="clear" w:color="auto" w:fill="DBE5F1"/>
          </w:tcPr>
          <w:p>
            <w:pPr>
              <w:spacing w:after="0"/>
              <w:rPr>
                <w:sz w:val="19"/>
                <w:szCs w:val="19"/>
                <w:color w:val="auto"/>
              </w:rPr>
            </w:pPr>
          </w:p>
        </w:tc>
        <w:tc>
          <w:tcPr>
            <w:tcW w:w="900" w:type="dxa"/>
            <w:vAlign w:val="bottom"/>
            <w:shd w:val="clear" w:color="auto" w:fill="DBE5F1"/>
          </w:tcPr>
          <w:p>
            <w:pPr>
              <w:spacing w:after="0"/>
              <w:rPr>
                <w:sz w:val="19"/>
                <w:szCs w:val="19"/>
                <w:color w:val="auto"/>
              </w:rPr>
            </w:pPr>
          </w:p>
        </w:tc>
        <w:tc>
          <w:tcPr>
            <w:tcW w:w="1200" w:type="dxa"/>
            <w:vAlign w:val="bottom"/>
            <w:shd w:val="clear" w:color="auto" w:fill="DBE5F1"/>
          </w:tcPr>
          <w:p>
            <w:pPr>
              <w:spacing w:after="0"/>
              <w:rPr>
                <w:sz w:val="19"/>
                <w:szCs w:val="19"/>
                <w:color w:val="auto"/>
              </w:rPr>
            </w:pPr>
          </w:p>
        </w:tc>
        <w:tc>
          <w:tcPr>
            <w:tcW w:w="980" w:type="dxa"/>
            <w:vAlign w:val="bottom"/>
            <w:shd w:val="clear" w:color="auto" w:fill="DBE5F1"/>
          </w:tcPr>
          <w:p>
            <w:pPr>
              <w:spacing w:after="0"/>
              <w:rPr>
                <w:sz w:val="19"/>
                <w:szCs w:val="19"/>
                <w:color w:val="auto"/>
              </w:rPr>
            </w:pPr>
          </w:p>
        </w:tc>
        <w:tc>
          <w:tcPr>
            <w:tcW w:w="180" w:type="dxa"/>
            <w:vAlign w:val="bottom"/>
            <w:shd w:val="clear" w:color="auto" w:fill="DBE5F1"/>
          </w:tcPr>
          <w:p>
            <w:pPr>
              <w:spacing w:after="0"/>
              <w:rPr>
                <w:sz w:val="19"/>
                <w:szCs w:val="19"/>
                <w:color w:val="auto"/>
              </w:rPr>
            </w:pPr>
          </w:p>
        </w:tc>
        <w:tc>
          <w:tcPr>
            <w:tcW w:w="980" w:type="dxa"/>
            <w:vAlign w:val="bottom"/>
            <w:shd w:val="clear" w:color="auto" w:fill="DBE5F1"/>
          </w:tcPr>
          <w:p>
            <w:pPr>
              <w:spacing w:after="0"/>
              <w:rPr>
                <w:sz w:val="19"/>
                <w:szCs w:val="19"/>
                <w:color w:val="auto"/>
              </w:rPr>
            </w:pP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1020" w:type="dxa"/>
            <w:vAlign w:val="bottom"/>
            <w:vMerge w:val="restart"/>
            <w:shd w:val="clear" w:color="auto" w:fill="DBE5F1"/>
          </w:tcPr>
          <w:p>
            <w:pPr>
              <w:ind w:left="20"/>
              <w:spacing w:after="0"/>
              <w:rPr>
                <w:sz w:val="20"/>
                <w:szCs w:val="20"/>
                <w:color w:val="auto"/>
              </w:rPr>
            </w:pPr>
            <w:r>
              <w:rPr>
                <w:rFonts w:ascii="Arial" w:cs="Arial" w:eastAsia="Arial" w:hAnsi="Arial"/>
                <w:sz w:val="13"/>
                <w:szCs w:val="13"/>
                <w:b w:val="1"/>
                <w:bCs w:val="1"/>
                <w:color w:val="auto"/>
                <w:w w:val="96"/>
              </w:rPr>
              <w:t>Brian J. Radecki</w:t>
            </w:r>
          </w:p>
        </w:tc>
        <w:tc>
          <w:tcPr>
            <w:tcW w:w="700" w:type="dxa"/>
            <w:vAlign w:val="bottom"/>
            <w:shd w:val="clear" w:color="auto" w:fill="DBE5F1"/>
          </w:tcPr>
          <w:p>
            <w:pPr>
              <w:jc w:val="center"/>
              <w:spacing w:after="0"/>
              <w:rPr>
                <w:sz w:val="20"/>
                <w:szCs w:val="20"/>
                <w:color w:val="auto"/>
              </w:rPr>
            </w:pPr>
            <w:r>
              <w:rPr>
                <w:rFonts w:ascii="Arial" w:cs="Arial" w:eastAsia="Arial" w:hAnsi="Arial"/>
                <w:sz w:val="13"/>
                <w:szCs w:val="13"/>
                <w:color w:val="auto"/>
                <w:w w:val="88"/>
              </w:rPr>
              <w:t>3/5/15</w:t>
            </w:r>
          </w:p>
        </w:tc>
        <w:tc>
          <w:tcPr>
            <w:tcW w:w="860" w:type="dxa"/>
            <w:vAlign w:val="bottom"/>
            <w:shd w:val="clear" w:color="auto" w:fill="DBE5F1"/>
          </w:tcPr>
          <w:p>
            <w:pPr>
              <w:spacing w:after="0"/>
              <w:rPr>
                <w:sz w:val="24"/>
                <w:szCs w:val="24"/>
                <w:color w:val="auto"/>
              </w:rPr>
            </w:pPr>
          </w:p>
        </w:tc>
        <w:tc>
          <w:tcPr>
            <w:tcW w:w="60" w:type="dxa"/>
            <w:vAlign w:val="bottom"/>
            <w:shd w:val="clear" w:color="auto" w:fill="DBE5F1"/>
          </w:tcPr>
          <w:p>
            <w:pPr>
              <w:spacing w:after="0"/>
              <w:rPr>
                <w:sz w:val="24"/>
                <w:szCs w:val="24"/>
                <w:color w:val="auto"/>
              </w:rPr>
            </w:pPr>
          </w:p>
        </w:tc>
        <w:tc>
          <w:tcPr>
            <w:tcW w:w="1160" w:type="dxa"/>
            <w:vAlign w:val="bottom"/>
            <w:shd w:val="clear" w:color="auto" w:fill="DBE5F1"/>
          </w:tcPr>
          <w:p>
            <w:pPr>
              <w:spacing w:after="0"/>
              <w:rPr>
                <w:sz w:val="24"/>
                <w:szCs w:val="24"/>
                <w:color w:val="auto"/>
              </w:rPr>
            </w:pPr>
          </w:p>
        </w:tc>
        <w:tc>
          <w:tcPr>
            <w:tcW w:w="860" w:type="dxa"/>
            <w:vAlign w:val="bottom"/>
            <w:shd w:val="clear" w:color="auto" w:fill="DBE5F1"/>
          </w:tcPr>
          <w:p>
            <w:pPr>
              <w:spacing w:after="0"/>
              <w:rPr>
                <w:sz w:val="24"/>
                <w:szCs w:val="24"/>
                <w:color w:val="auto"/>
              </w:rPr>
            </w:pPr>
          </w:p>
        </w:tc>
        <w:tc>
          <w:tcPr>
            <w:tcW w:w="940" w:type="dxa"/>
            <w:vAlign w:val="bottom"/>
            <w:shd w:val="clear" w:color="auto" w:fill="DBE5F1"/>
          </w:tcPr>
          <w:p>
            <w:pPr>
              <w:jc w:val="right"/>
              <w:ind w:right="15"/>
              <w:spacing w:after="0"/>
              <w:rPr>
                <w:sz w:val="20"/>
                <w:szCs w:val="20"/>
                <w:color w:val="auto"/>
              </w:rPr>
            </w:pPr>
            <w:r>
              <w:rPr>
                <w:rFonts w:ascii="Arial" w:cs="Arial" w:eastAsia="Arial" w:hAnsi="Arial"/>
                <w:sz w:val="13"/>
                <w:szCs w:val="13"/>
                <w:color w:val="auto"/>
              </w:rPr>
              <w:t>840</w:t>
            </w:r>
          </w:p>
        </w:tc>
        <w:tc>
          <w:tcPr>
            <w:tcW w:w="700" w:type="dxa"/>
            <w:vAlign w:val="bottom"/>
            <w:shd w:val="clear" w:color="auto" w:fill="DBE5F1"/>
          </w:tcPr>
          <w:p>
            <w:pPr>
              <w:jc w:val="right"/>
              <w:ind w:right="57"/>
              <w:spacing w:after="0"/>
              <w:rPr>
                <w:sz w:val="20"/>
                <w:szCs w:val="20"/>
                <w:color w:val="auto"/>
              </w:rPr>
            </w:pPr>
            <w:r>
              <w:rPr>
                <w:rFonts w:ascii="Arial" w:cs="Arial" w:eastAsia="Arial" w:hAnsi="Arial"/>
                <w:sz w:val="13"/>
                <w:szCs w:val="13"/>
                <w:color w:val="auto"/>
              </w:rPr>
              <w:t>2,100</w:t>
            </w:r>
          </w:p>
        </w:tc>
        <w:tc>
          <w:tcPr>
            <w:tcW w:w="860" w:type="dxa"/>
            <w:vAlign w:val="bottom"/>
            <w:shd w:val="clear" w:color="auto" w:fill="DBE5F1"/>
          </w:tcPr>
          <w:p>
            <w:pPr>
              <w:jc w:val="right"/>
              <w:spacing w:after="0"/>
              <w:rPr>
                <w:sz w:val="20"/>
                <w:szCs w:val="20"/>
                <w:color w:val="auto"/>
              </w:rPr>
            </w:pPr>
            <w:r>
              <w:rPr>
                <w:rFonts w:ascii="Arial" w:cs="Arial" w:eastAsia="Arial" w:hAnsi="Arial"/>
                <w:sz w:val="13"/>
                <w:szCs w:val="13"/>
                <w:color w:val="auto"/>
              </w:rPr>
              <w:t>5,040</w:t>
            </w:r>
          </w:p>
        </w:tc>
        <w:tc>
          <w:tcPr>
            <w:tcW w:w="900" w:type="dxa"/>
            <w:vAlign w:val="bottom"/>
            <w:shd w:val="clear" w:color="auto" w:fill="DBE5F1"/>
          </w:tcPr>
          <w:p>
            <w:pPr>
              <w:spacing w:after="0"/>
              <w:rPr>
                <w:sz w:val="24"/>
                <w:szCs w:val="24"/>
                <w:color w:val="auto"/>
              </w:rPr>
            </w:pPr>
          </w:p>
        </w:tc>
        <w:tc>
          <w:tcPr>
            <w:tcW w:w="1200" w:type="dxa"/>
            <w:vAlign w:val="bottom"/>
            <w:shd w:val="clear" w:color="auto" w:fill="DBE5F1"/>
          </w:tcPr>
          <w:p>
            <w:pPr>
              <w:spacing w:after="0"/>
              <w:rPr>
                <w:sz w:val="24"/>
                <w:szCs w:val="24"/>
                <w:color w:val="auto"/>
              </w:rPr>
            </w:pPr>
          </w:p>
        </w:tc>
        <w:tc>
          <w:tcPr>
            <w:tcW w:w="980" w:type="dxa"/>
            <w:vAlign w:val="bottom"/>
            <w:shd w:val="clear" w:color="auto" w:fill="DBE5F1"/>
          </w:tcPr>
          <w:p>
            <w:pPr>
              <w:spacing w:after="0"/>
              <w:rPr>
                <w:sz w:val="24"/>
                <w:szCs w:val="24"/>
                <w:color w:val="auto"/>
              </w:rPr>
            </w:pPr>
          </w:p>
        </w:tc>
        <w:tc>
          <w:tcPr>
            <w:tcW w:w="1160" w:type="dxa"/>
            <w:vAlign w:val="bottom"/>
            <w:gridSpan w:val="2"/>
            <w:shd w:val="clear" w:color="auto" w:fill="DBE5F1"/>
          </w:tcPr>
          <w:p>
            <w:pPr>
              <w:ind w:left="80"/>
              <w:spacing w:after="0"/>
              <w:rPr>
                <w:sz w:val="20"/>
                <w:szCs w:val="20"/>
                <w:color w:val="auto"/>
              </w:rPr>
            </w:pPr>
            <w:r>
              <w:rPr>
                <w:rFonts w:ascii="Arial" w:cs="Arial" w:eastAsia="Arial" w:hAnsi="Arial"/>
                <w:sz w:val="13"/>
                <w:szCs w:val="13"/>
                <w:color w:val="auto"/>
              </w:rPr>
              <w:t>$ 1,048,723</w:t>
            </w:r>
            <w:r>
              <w:rPr>
                <w:rFonts w:ascii="Arial" w:cs="Arial" w:eastAsia="Arial" w:hAnsi="Arial"/>
                <w:sz w:val="8"/>
                <w:szCs w:val="8"/>
                <w:color w:val="auto"/>
              </w:rPr>
              <w:t>(7)</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20" w:type="dxa"/>
            <w:vAlign w:val="bottom"/>
            <w:vMerge w:val="continue"/>
            <w:shd w:val="clear" w:color="auto" w:fill="DBE5F1"/>
          </w:tcPr>
          <w:p>
            <w:pPr>
              <w:spacing w:after="0"/>
              <w:rPr>
                <w:sz w:val="11"/>
                <w:szCs w:val="11"/>
                <w:color w:val="auto"/>
              </w:rPr>
            </w:pPr>
          </w:p>
        </w:tc>
        <w:tc>
          <w:tcPr>
            <w:tcW w:w="700" w:type="dxa"/>
            <w:vAlign w:val="bottom"/>
            <w:vMerge w:val="restart"/>
            <w:shd w:val="clear" w:color="auto" w:fill="DBE5F1"/>
          </w:tcPr>
          <w:p>
            <w:pPr>
              <w:jc w:val="center"/>
              <w:spacing w:after="0"/>
              <w:rPr>
                <w:sz w:val="20"/>
                <w:szCs w:val="20"/>
                <w:color w:val="auto"/>
              </w:rPr>
            </w:pPr>
            <w:r>
              <w:rPr>
                <w:rFonts w:ascii="Arial" w:cs="Arial" w:eastAsia="Arial" w:hAnsi="Arial"/>
                <w:sz w:val="13"/>
                <w:szCs w:val="13"/>
                <w:color w:val="auto"/>
                <w:w w:val="88"/>
              </w:rPr>
              <w:t>3/5/15</w:t>
            </w:r>
          </w:p>
        </w:tc>
        <w:tc>
          <w:tcPr>
            <w:tcW w:w="860" w:type="dxa"/>
            <w:vAlign w:val="bottom"/>
            <w:shd w:val="clear" w:color="auto" w:fill="DBE5F1"/>
          </w:tcPr>
          <w:p>
            <w:pPr>
              <w:spacing w:after="0"/>
              <w:rPr>
                <w:sz w:val="11"/>
                <w:szCs w:val="11"/>
                <w:color w:val="auto"/>
              </w:rPr>
            </w:pPr>
          </w:p>
        </w:tc>
        <w:tc>
          <w:tcPr>
            <w:tcW w:w="60" w:type="dxa"/>
            <w:vAlign w:val="bottom"/>
            <w:shd w:val="clear" w:color="auto" w:fill="DBE5F1"/>
          </w:tcPr>
          <w:p>
            <w:pPr>
              <w:spacing w:after="0"/>
              <w:rPr>
                <w:sz w:val="11"/>
                <w:szCs w:val="11"/>
                <w:color w:val="auto"/>
              </w:rPr>
            </w:pPr>
          </w:p>
        </w:tc>
        <w:tc>
          <w:tcPr>
            <w:tcW w:w="1160" w:type="dxa"/>
            <w:vAlign w:val="bottom"/>
            <w:shd w:val="clear" w:color="auto" w:fill="DBE5F1"/>
          </w:tcPr>
          <w:p>
            <w:pPr>
              <w:spacing w:after="0"/>
              <w:rPr>
                <w:sz w:val="11"/>
                <w:szCs w:val="11"/>
                <w:color w:val="auto"/>
              </w:rPr>
            </w:pPr>
          </w:p>
        </w:tc>
        <w:tc>
          <w:tcPr>
            <w:tcW w:w="860" w:type="dxa"/>
            <w:vAlign w:val="bottom"/>
            <w:shd w:val="clear" w:color="auto" w:fill="DBE5F1"/>
          </w:tcPr>
          <w:p>
            <w:pPr>
              <w:spacing w:after="0"/>
              <w:rPr>
                <w:sz w:val="11"/>
                <w:szCs w:val="11"/>
                <w:color w:val="auto"/>
              </w:rPr>
            </w:pPr>
          </w:p>
        </w:tc>
        <w:tc>
          <w:tcPr>
            <w:tcW w:w="940" w:type="dxa"/>
            <w:vAlign w:val="bottom"/>
            <w:shd w:val="clear" w:color="auto" w:fill="DBE5F1"/>
          </w:tcPr>
          <w:p>
            <w:pPr>
              <w:spacing w:after="0"/>
              <w:rPr>
                <w:sz w:val="11"/>
                <w:szCs w:val="11"/>
                <w:color w:val="auto"/>
              </w:rPr>
            </w:pPr>
          </w:p>
        </w:tc>
        <w:tc>
          <w:tcPr>
            <w:tcW w:w="700" w:type="dxa"/>
            <w:vAlign w:val="bottom"/>
            <w:shd w:val="clear" w:color="auto" w:fill="DBE5F1"/>
          </w:tcPr>
          <w:p>
            <w:pPr>
              <w:spacing w:after="0"/>
              <w:rPr>
                <w:sz w:val="11"/>
                <w:szCs w:val="11"/>
                <w:color w:val="auto"/>
              </w:rPr>
            </w:pPr>
          </w:p>
        </w:tc>
        <w:tc>
          <w:tcPr>
            <w:tcW w:w="860" w:type="dxa"/>
            <w:vAlign w:val="bottom"/>
            <w:shd w:val="clear" w:color="auto" w:fill="DBE5F1"/>
          </w:tcPr>
          <w:p>
            <w:pPr>
              <w:spacing w:after="0"/>
              <w:rPr>
                <w:sz w:val="11"/>
                <w:szCs w:val="11"/>
                <w:color w:val="auto"/>
              </w:rPr>
            </w:pPr>
          </w:p>
        </w:tc>
        <w:tc>
          <w:tcPr>
            <w:tcW w:w="900" w:type="dxa"/>
            <w:vAlign w:val="bottom"/>
            <w:vMerge w:val="restart"/>
            <w:shd w:val="clear" w:color="auto" w:fill="DBE5F1"/>
          </w:tcPr>
          <w:p>
            <w:pPr>
              <w:jc w:val="right"/>
              <w:spacing w:after="0"/>
              <w:rPr>
                <w:sz w:val="20"/>
                <w:szCs w:val="20"/>
                <w:color w:val="auto"/>
              </w:rPr>
            </w:pPr>
            <w:r>
              <w:rPr>
                <w:rFonts w:ascii="Arial" w:cs="Arial" w:eastAsia="Arial" w:hAnsi="Arial"/>
                <w:sz w:val="13"/>
                <w:szCs w:val="13"/>
                <w:color w:val="auto"/>
              </w:rPr>
              <w:t>8,200</w:t>
            </w:r>
          </w:p>
        </w:tc>
        <w:tc>
          <w:tcPr>
            <w:tcW w:w="1200" w:type="dxa"/>
            <w:vAlign w:val="bottom"/>
            <w:shd w:val="clear" w:color="auto" w:fill="DBE5F1"/>
          </w:tcPr>
          <w:p>
            <w:pPr>
              <w:spacing w:after="0"/>
              <w:rPr>
                <w:sz w:val="11"/>
                <w:szCs w:val="11"/>
                <w:color w:val="auto"/>
              </w:rPr>
            </w:pPr>
          </w:p>
        </w:tc>
        <w:tc>
          <w:tcPr>
            <w:tcW w:w="980" w:type="dxa"/>
            <w:vAlign w:val="bottom"/>
            <w:shd w:val="clear" w:color="auto" w:fill="DBE5F1"/>
          </w:tcPr>
          <w:p>
            <w:pPr>
              <w:spacing w:after="0"/>
              <w:rPr>
                <w:sz w:val="11"/>
                <w:szCs w:val="11"/>
                <w:color w:val="auto"/>
              </w:rPr>
            </w:pPr>
          </w:p>
        </w:tc>
        <w:tc>
          <w:tcPr>
            <w:tcW w:w="180" w:type="dxa"/>
            <w:vAlign w:val="bottom"/>
            <w:vMerge w:val="restart"/>
            <w:shd w:val="clear" w:color="auto" w:fill="DBE5F1"/>
          </w:tcPr>
          <w:p>
            <w:pPr>
              <w:ind w:left="80"/>
              <w:spacing w:after="0"/>
              <w:rPr>
                <w:sz w:val="20"/>
                <w:szCs w:val="20"/>
                <w:color w:val="auto"/>
              </w:rPr>
            </w:pPr>
            <w:r>
              <w:rPr>
                <w:rFonts w:ascii="Arial" w:cs="Arial" w:eastAsia="Arial" w:hAnsi="Arial"/>
                <w:sz w:val="13"/>
                <w:szCs w:val="13"/>
                <w:color w:val="auto"/>
              </w:rPr>
              <w:t>$</w:t>
            </w:r>
          </w:p>
        </w:tc>
        <w:tc>
          <w:tcPr>
            <w:tcW w:w="980" w:type="dxa"/>
            <w:vAlign w:val="bottom"/>
            <w:vMerge w:val="restart"/>
            <w:shd w:val="clear" w:color="auto" w:fill="DBE5F1"/>
          </w:tcPr>
          <w:p>
            <w:pPr>
              <w:jc w:val="right"/>
              <w:ind w:right="36"/>
              <w:spacing w:after="0"/>
              <w:rPr>
                <w:sz w:val="20"/>
                <w:szCs w:val="20"/>
                <w:color w:val="auto"/>
              </w:rPr>
            </w:pPr>
            <w:r>
              <w:rPr>
                <w:rFonts w:ascii="Arial" w:cs="Arial" w:eastAsia="Arial" w:hAnsi="Arial"/>
                <w:sz w:val="13"/>
                <w:szCs w:val="13"/>
                <w:color w:val="auto"/>
              </w:rPr>
              <w:t>1,588,258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20" w:type="dxa"/>
            <w:vAlign w:val="bottom"/>
            <w:shd w:val="clear" w:color="auto" w:fill="DBE5F1"/>
          </w:tcPr>
          <w:p>
            <w:pPr>
              <w:spacing w:after="0"/>
              <w:rPr>
                <w:sz w:val="12"/>
                <w:szCs w:val="12"/>
                <w:color w:val="auto"/>
              </w:rPr>
            </w:pPr>
          </w:p>
        </w:tc>
        <w:tc>
          <w:tcPr>
            <w:tcW w:w="700" w:type="dxa"/>
            <w:vAlign w:val="bottom"/>
            <w:vMerge w:val="continue"/>
            <w:shd w:val="clear" w:color="auto" w:fill="DBE5F1"/>
          </w:tcPr>
          <w:p>
            <w:pPr>
              <w:spacing w:after="0"/>
              <w:rPr>
                <w:sz w:val="12"/>
                <w:szCs w:val="12"/>
                <w:color w:val="auto"/>
              </w:rPr>
            </w:pPr>
          </w:p>
        </w:tc>
        <w:tc>
          <w:tcPr>
            <w:tcW w:w="860" w:type="dxa"/>
            <w:vAlign w:val="bottom"/>
            <w:shd w:val="clear" w:color="auto" w:fill="DBE5F1"/>
          </w:tcPr>
          <w:p>
            <w:pPr>
              <w:spacing w:after="0"/>
              <w:rPr>
                <w:sz w:val="12"/>
                <w:szCs w:val="12"/>
                <w:color w:val="auto"/>
              </w:rPr>
            </w:pPr>
          </w:p>
        </w:tc>
        <w:tc>
          <w:tcPr>
            <w:tcW w:w="60" w:type="dxa"/>
            <w:vAlign w:val="bottom"/>
            <w:shd w:val="clear" w:color="auto" w:fill="DBE5F1"/>
          </w:tcPr>
          <w:p>
            <w:pPr>
              <w:spacing w:after="0"/>
              <w:rPr>
                <w:sz w:val="12"/>
                <w:szCs w:val="12"/>
                <w:color w:val="auto"/>
              </w:rPr>
            </w:pPr>
          </w:p>
        </w:tc>
        <w:tc>
          <w:tcPr>
            <w:tcW w:w="1160" w:type="dxa"/>
            <w:vAlign w:val="bottom"/>
            <w:shd w:val="clear" w:color="auto" w:fill="DBE5F1"/>
          </w:tcPr>
          <w:p>
            <w:pPr>
              <w:spacing w:after="0"/>
              <w:rPr>
                <w:sz w:val="12"/>
                <w:szCs w:val="12"/>
                <w:color w:val="auto"/>
              </w:rPr>
            </w:pPr>
          </w:p>
        </w:tc>
        <w:tc>
          <w:tcPr>
            <w:tcW w:w="860" w:type="dxa"/>
            <w:vAlign w:val="bottom"/>
            <w:shd w:val="clear" w:color="auto" w:fill="DBE5F1"/>
          </w:tcPr>
          <w:p>
            <w:pPr>
              <w:spacing w:after="0"/>
              <w:rPr>
                <w:sz w:val="12"/>
                <w:szCs w:val="12"/>
                <w:color w:val="auto"/>
              </w:rPr>
            </w:pPr>
          </w:p>
        </w:tc>
        <w:tc>
          <w:tcPr>
            <w:tcW w:w="940" w:type="dxa"/>
            <w:vAlign w:val="bottom"/>
            <w:shd w:val="clear" w:color="auto" w:fill="DBE5F1"/>
          </w:tcPr>
          <w:p>
            <w:pPr>
              <w:spacing w:after="0"/>
              <w:rPr>
                <w:sz w:val="12"/>
                <w:szCs w:val="12"/>
                <w:color w:val="auto"/>
              </w:rPr>
            </w:pPr>
          </w:p>
        </w:tc>
        <w:tc>
          <w:tcPr>
            <w:tcW w:w="700" w:type="dxa"/>
            <w:vAlign w:val="bottom"/>
            <w:shd w:val="clear" w:color="auto" w:fill="DBE5F1"/>
          </w:tcPr>
          <w:p>
            <w:pPr>
              <w:spacing w:after="0"/>
              <w:rPr>
                <w:sz w:val="12"/>
                <w:szCs w:val="12"/>
                <w:color w:val="auto"/>
              </w:rPr>
            </w:pPr>
          </w:p>
        </w:tc>
        <w:tc>
          <w:tcPr>
            <w:tcW w:w="860" w:type="dxa"/>
            <w:vAlign w:val="bottom"/>
            <w:shd w:val="clear" w:color="auto" w:fill="DBE5F1"/>
          </w:tcPr>
          <w:p>
            <w:pPr>
              <w:spacing w:after="0"/>
              <w:rPr>
                <w:sz w:val="12"/>
                <w:szCs w:val="12"/>
                <w:color w:val="auto"/>
              </w:rPr>
            </w:pPr>
          </w:p>
        </w:tc>
        <w:tc>
          <w:tcPr>
            <w:tcW w:w="900" w:type="dxa"/>
            <w:vAlign w:val="bottom"/>
            <w:vMerge w:val="continue"/>
            <w:shd w:val="clear" w:color="auto" w:fill="DBE5F1"/>
          </w:tcPr>
          <w:p>
            <w:pPr>
              <w:spacing w:after="0"/>
              <w:rPr>
                <w:sz w:val="12"/>
                <w:szCs w:val="12"/>
                <w:color w:val="auto"/>
              </w:rPr>
            </w:pPr>
          </w:p>
        </w:tc>
        <w:tc>
          <w:tcPr>
            <w:tcW w:w="1200" w:type="dxa"/>
            <w:vAlign w:val="bottom"/>
            <w:shd w:val="clear" w:color="auto" w:fill="DBE5F1"/>
          </w:tcPr>
          <w:p>
            <w:pPr>
              <w:spacing w:after="0"/>
              <w:rPr>
                <w:sz w:val="12"/>
                <w:szCs w:val="12"/>
                <w:color w:val="auto"/>
              </w:rPr>
            </w:pPr>
          </w:p>
        </w:tc>
        <w:tc>
          <w:tcPr>
            <w:tcW w:w="980" w:type="dxa"/>
            <w:vAlign w:val="bottom"/>
            <w:shd w:val="clear" w:color="auto" w:fill="DBE5F1"/>
          </w:tcPr>
          <w:p>
            <w:pPr>
              <w:spacing w:after="0"/>
              <w:rPr>
                <w:sz w:val="12"/>
                <w:szCs w:val="12"/>
                <w:color w:val="auto"/>
              </w:rPr>
            </w:pPr>
          </w:p>
        </w:tc>
        <w:tc>
          <w:tcPr>
            <w:tcW w:w="180" w:type="dxa"/>
            <w:vAlign w:val="bottom"/>
            <w:vMerge w:val="continue"/>
            <w:shd w:val="clear" w:color="auto" w:fill="DBE5F1"/>
          </w:tcPr>
          <w:p>
            <w:pPr>
              <w:spacing w:after="0"/>
              <w:rPr>
                <w:sz w:val="12"/>
                <w:szCs w:val="12"/>
                <w:color w:val="auto"/>
              </w:rPr>
            </w:pPr>
          </w:p>
        </w:tc>
        <w:tc>
          <w:tcPr>
            <w:tcW w:w="980" w:type="dxa"/>
            <w:vAlign w:val="bottom"/>
            <w:vMerge w:val="continue"/>
            <w:shd w:val="clear" w:color="auto" w:fill="DBE5F1"/>
          </w:tcPr>
          <w:p>
            <w:pPr>
              <w:spacing w:after="0"/>
              <w:rPr>
                <w:sz w:val="12"/>
                <w:szCs w:val="12"/>
                <w:color w:val="auto"/>
              </w:rPr>
            </w:pPr>
          </w:p>
        </w:tc>
        <w:tc>
          <w:tcPr>
            <w:tcW w:w="0" w:type="dxa"/>
            <w:vAlign w:val="bottom"/>
          </w:tcPr>
          <w:p>
            <w:pPr>
              <w:spacing w:after="0"/>
              <w:rPr>
                <w:sz w:val="1"/>
                <w:szCs w:val="1"/>
                <w:color w:val="auto"/>
              </w:rPr>
            </w:pPr>
          </w:p>
        </w:tc>
      </w:tr>
      <w:tr>
        <w:trPr>
          <w:trHeight w:val="320"/>
        </w:trPr>
        <w:tc>
          <w:tcPr>
            <w:tcW w:w="20" w:type="dxa"/>
            <w:vAlign w:val="bottom"/>
          </w:tcPr>
          <w:p>
            <w:pPr>
              <w:spacing w:after="0"/>
              <w:rPr>
                <w:sz w:val="24"/>
                <w:szCs w:val="24"/>
                <w:color w:val="auto"/>
              </w:rPr>
            </w:pPr>
          </w:p>
        </w:tc>
        <w:tc>
          <w:tcPr>
            <w:tcW w:w="1020" w:type="dxa"/>
            <w:vAlign w:val="bottom"/>
            <w:tcBorders>
              <w:bottom w:val="single" w:sz="8" w:color="DBE5F1"/>
            </w:tcBorders>
            <w:shd w:val="clear" w:color="auto" w:fill="DBE5F1"/>
          </w:tcPr>
          <w:p>
            <w:pPr>
              <w:spacing w:after="0"/>
              <w:rPr>
                <w:sz w:val="24"/>
                <w:szCs w:val="24"/>
                <w:color w:val="auto"/>
              </w:rPr>
            </w:pPr>
          </w:p>
        </w:tc>
        <w:tc>
          <w:tcPr>
            <w:tcW w:w="700" w:type="dxa"/>
            <w:vAlign w:val="bottom"/>
            <w:tcBorders>
              <w:bottom w:val="single" w:sz="8" w:color="DBE5F1"/>
            </w:tcBorders>
            <w:shd w:val="clear" w:color="auto" w:fill="DBE5F1"/>
          </w:tcPr>
          <w:p>
            <w:pPr>
              <w:jc w:val="center"/>
              <w:spacing w:after="0"/>
              <w:rPr>
                <w:sz w:val="20"/>
                <w:szCs w:val="20"/>
                <w:color w:val="auto"/>
              </w:rPr>
            </w:pPr>
            <w:r>
              <w:rPr>
                <w:rFonts w:ascii="Arial" w:cs="Arial" w:eastAsia="Arial" w:hAnsi="Arial"/>
                <w:sz w:val="13"/>
                <w:szCs w:val="13"/>
                <w:color w:val="auto"/>
                <w:w w:val="88"/>
              </w:rPr>
              <w:t>3/5/15</w:t>
            </w:r>
          </w:p>
        </w:tc>
        <w:tc>
          <w:tcPr>
            <w:tcW w:w="860" w:type="dxa"/>
            <w:vAlign w:val="bottom"/>
            <w:tcBorders>
              <w:bottom w:val="single" w:sz="8" w:color="DBE5F1"/>
            </w:tcBorders>
            <w:shd w:val="clear" w:color="auto" w:fill="DBE5F1"/>
          </w:tcPr>
          <w:p>
            <w:pPr>
              <w:spacing w:after="0"/>
              <w:rPr>
                <w:sz w:val="24"/>
                <w:szCs w:val="24"/>
                <w:color w:val="auto"/>
              </w:rPr>
            </w:pPr>
          </w:p>
        </w:tc>
        <w:tc>
          <w:tcPr>
            <w:tcW w:w="60" w:type="dxa"/>
            <w:vAlign w:val="bottom"/>
            <w:tcBorders>
              <w:bottom w:val="single" w:sz="8" w:color="DBE5F1"/>
            </w:tcBorders>
            <w:shd w:val="clear" w:color="auto" w:fill="DBE5F1"/>
          </w:tcPr>
          <w:p>
            <w:pPr>
              <w:spacing w:after="0"/>
              <w:rPr>
                <w:sz w:val="24"/>
                <w:szCs w:val="24"/>
                <w:color w:val="auto"/>
              </w:rPr>
            </w:pPr>
          </w:p>
        </w:tc>
        <w:tc>
          <w:tcPr>
            <w:tcW w:w="1160" w:type="dxa"/>
            <w:vAlign w:val="bottom"/>
            <w:tcBorders>
              <w:bottom w:val="single" w:sz="8" w:color="DBE5F1"/>
            </w:tcBorders>
            <w:shd w:val="clear" w:color="auto" w:fill="DBE5F1"/>
          </w:tcPr>
          <w:p>
            <w:pPr>
              <w:spacing w:after="0"/>
              <w:rPr>
                <w:sz w:val="24"/>
                <w:szCs w:val="24"/>
                <w:color w:val="auto"/>
              </w:rPr>
            </w:pPr>
          </w:p>
        </w:tc>
        <w:tc>
          <w:tcPr>
            <w:tcW w:w="860" w:type="dxa"/>
            <w:vAlign w:val="bottom"/>
            <w:tcBorders>
              <w:bottom w:val="single" w:sz="8" w:color="DBE5F1"/>
            </w:tcBorders>
            <w:shd w:val="clear" w:color="auto" w:fill="DBE5F1"/>
          </w:tcPr>
          <w:p>
            <w:pPr>
              <w:spacing w:after="0"/>
              <w:rPr>
                <w:sz w:val="24"/>
                <w:szCs w:val="24"/>
                <w:color w:val="auto"/>
              </w:rPr>
            </w:pPr>
          </w:p>
        </w:tc>
        <w:tc>
          <w:tcPr>
            <w:tcW w:w="940" w:type="dxa"/>
            <w:vAlign w:val="bottom"/>
            <w:tcBorders>
              <w:bottom w:val="single" w:sz="8" w:color="DBE5F1"/>
            </w:tcBorders>
            <w:shd w:val="clear" w:color="auto" w:fill="DBE5F1"/>
          </w:tcPr>
          <w:p>
            <w:pPr>
              <w:spacing w:after="0"/>
              <w:rPr>
                <w:sz w:val="24"/>
                <w:szCs w:val="24"/>
                <w:color w:val="auto"/>
              </w:rPr>
            </w:pPr>
          </w:p>
        </w:tc>
        <w:tc>
          <w:tcPr>
            <w:tcW w:w="700" w:type="dxa"/>
            <w:vAlign w:val="bottom"/>
            <w:tcBorders>
              <w:bottom w:val="single" w:sz="8" w:color="DBE5F1"/>
            </w:tcBorders>
            <w:shd w:val="clear" w:color="auto" w:fill="DBE5F1"/>
          </w:tcPr>
          <w:p>
            <w:pPr>
              <w:spacing w:after="0"/>
              <w:rPr>
                <w:sz w:val="24"/>
                <w:szCs w:val="24"/>
                <w:color w:val="auto"/>
              </w:rPr>
            </w:pPr>
          </w:p>
        </w:tc>
        <w:tc>
          <w:tcPr>
            <w:tcW w:w="860" w:type="dxa"/>
            <w:vAlign w:val="bottom"/>
            <w:tcBorders>
              <w:bottom w:val="single" w:sz="8" w:color="DBE5F1"/>
            </w:tcBorders>
            <w:shd w:val="clear" w:color="auto" w:fill="DBE5F1"/>
          </w:tcPr>
          <w:p>
            <w:pPr>
              <w:spacing w:after="0"/>
              <w:rPr>
                <w:sz w:val="24"/>
                <w:szCs w:val="24"/>
                <w:color w:val="auto"/>
              </w:rPr>
            </w:pPr>
          </w:p>
        </w:tc>
        <w:tc>
          <w:tcPr>
            <w:tcW w:w="900" w:type="dxa"/>
            <w:vAlign w:val="bottom"/>
            <w:tcBorders>
              <w:bottom w:val="single" w:sz="8" w:color="DBE5F1"/>
            </w:tcBorders>
            <w:shd w:val="clear" w:color="auto" w:fill="DBE5F1"/>
          </w:tcPr>
          <w:p>
            <w:pPr>
              <w:spacing w:after="0"/>
              <w:rPr>
                <w:sz w:val="24"/>
                <w:szCs w:val="24"/>
                <w:color w:val="auto"/>
              </w:rPr>
            </w:pPr>
          </w:p>
        </w:tc>
        <w:tc>
          <w:tcPr>
            <w:tcW w:w="1200" w:type="dxa"/>
            <w:vAlign w:val="bottom"/>
            <w:tcBorders>
              <w:bottom w:val="single" w:sz="8" w:color="DBE5F1"/>
            </w:tcBorders>
            <w:shd w:val="clear" w:color="auto" w:fill="DBE5F1"/>
          </w:tcPr>
          <w:p>
            <w:pPr>
              <w:jc w:val="right"/>
              <w:ind w:right="54"/>
              <w:spacing w:after="0"/>
              <w:rPr>
                <w:sz w:val="20"/>
                <w:szCs w:val="20"/>
                <w:color w:val="auto"/>
              </w:rPr>
            </w:pPr>
            <w:r>
              <w:rPr>
                <w:rFonts w:ascii="Arial" w:cs="Arial" w:eastAsia="Arial" w:hAnsi="Arial"/>
                <w:sz w:val="13"/>
                <w:szCs w:val="13"/>
                <w:color w:val="auto"/>
              </w:rPr>
              <w:t>14,000</w:t>
            </w:r>
          </w:p>
        </w:tc>
        <w:tc>
          <w:tcPr>
            <w:tcW w:w="980" w:type="dxa"/>
            <w:vAlign w:val="bottom"/>
            <w:tcBorders>
              <w:bottom w:val="single" w:sz="8" w:color="DBE5F1"/>
            </w:tcBorders>
            <w:shd w:val="clear" w:color="auto" w:fill="DBE5F1"/>
          </w:tcPr>
          <w:p>
            <w:pPr>
              <w:jc w:val="right"/>
              <w:spacing w:after="0"/>
              <w:rPr>
                <w:sz w:val="20"/>
                <w:szCs w:val="20"/>
                <w:color w:val="auto"/>
              </w:rPr>
            </w:pPr>
            <w:r>
              <w:rPr>
                <w:rFonts w:ascii="Arial" w:cs="Arial" w:eastAsia="Arial" w:hAnsi="Arial"/>
                <w:sz w:val="13"/>
                <w:szCs w:val="13"/>
                <w:color w:val="auto"/>
              </w:rPr>
              <w:t>$193.69</w:t>
            </w:r>
          </w:p>
        </w:tc>
        <w:tc>
          <w:tcPr>
            <w:tcW w:w="180" w:type="dxa"/>
            <w:vAlign w:val="bottom"/>
            <w:tcBorders>
              <w:bottom w:val="single" w:sz="8" w:color="DBE5F1"/>
            </w:tcBorders>
            <w:shd w:val="clear" w:color="auto" w:fill="DBE5F1"/>
          </w:tcPr>
          <w:p>
            <w:pPr>
              <w:ind w:left="80"/>
              <w:spacing w:after="0"/>
              <w:rPr>
                <w:sz w:val="20"/>
                <w:szCs w:val="20"/>
                <w:color w:val="auto"/>
              </w:rPr>
            </w:pPr>
            <w:r>
              <w:rPr>
                <w:rFonts w:ascii="Arial" w:cs="Arial" w:eastAsia="Arial" w:hAnsi="Arial"/>
                <w:sz w:val="13"/>
                <w:szCs w:val="13"/>
                <w:color w:val="auto"/>
              </w:rPr>
              <w:t>$</w:t>
            </w:r>
          </w:p>
        </w:tc>
        <w:tc>
          <w:tcPr>
            <w:tcW w:w="980" w:type="dxa"/>
            <w:vAlign w:val="bottom"/>
            <w:tcBorders>
              <w:bottom w:val="single" w:sz="8" w:color="DBE5F1"/>
            </w:tcBorders>
            <w:shd w:val="clear" w:color="auto" w:fill="DBE5F1"/>
          </w:tcPr>
          <w:p>
            <w:pPr>
              <w:jc w:val="right"/>
              <w:ind w:right="36"/>
              <w:spacing w:after="0"/>
              <w:rPr>
                <w:sz w:val="20"/>
                <w:szCs w:val="20"/>
                <w:color w:val="auto"/>
              </w:rPr>
            </w:pPr>
            <w:r>
              <w:rPr>
                <w:rFonts w:ascii="Arial" w:cs="Arial" w:eastAsia="Arial" w:hAnsi="Arial"/>
                <w:sz w:val="13"/>
                <w:szCs w:val="13"/>
                <w:color w:val="auto"/>
              </w:rPr>
              <w:t>791,420</w:t>
            </w: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1020" w:type="dxa"/>
            <w:vAlign w:val="bottom"/>
            <w:shd w:val="clear" w:color="auto" w:fill="F2F2F2"/>
          </w:tcPr>
          <w:p>
            <w:pPr>
              <w:spacing w:after="0"/>
              <w:rPr>
                <w:sz w:val="24"/>
                <w:szCs w:val="24"/>
                <w:color w:val="auto"/>
              </w:rPr>
            </w:pPr>
          </w:p>
        </w:tc>
        <w:tc>
          <w:tcPr>
            <w:tcW w:w="700" w:type="dxa"/>
            <w:vAlign w:val="bottom"/>
            <w:shd w:val="clear" w:color="auto" w:fill="F2F2F2"/>
          </w:tcPr>
          <w:p>
            <w:pPr>
              <w:spacing w:after="0"/>
              <w:rPr>
                <w:sz w:val="24"/>
                <w:szCs w:val="24"/>
                <w:color w:val="auto"/>
              </w:rPr>
            </w:pPr>
          </w:p>
        </w:tc>
        <w:tc>
          <w:tcPr>
            <w:tcW w:w="860" w:type="dxa"/>
            <w:vAlign w:val="bottom"/>
            <w:shd w:val="clear" w:color="auto" w:fill="F2F2F2"/>
          </w:tcPr>
          <w:p>
            <w:pPr>
              <w:spacing w:after="0"/>
              <w:rPr>
                <w:sz w:val="24"/>
                <w:szCs w:val="24"/>
                <w:color w:val="auto"/>
              </w:rPr>
            </w:pPr>
          </w:p>
        </w:tc>
        <w:tc>
          <w:tcPr>
            <w:tcW w:w="1220" w:type="dxa"/>
            <w:vAlign w:val="bottom"/>
            <w:gridSpan w:val="2"/>
            <w:shd w:val="clear" w:color="auto" w:fill="F2F2F2"/>
          </w:tcPr>
          <w:p>
            <w:pPr>
              <w:spacing w:after="0"/>
              <w:rPr>
                <w:sz w:val="24"/>
                <w:szCs w:val="24"/>
                <w:color w:val="auto"/>
              </w:rPr>
            </w:pPr>
          </w:p>
        </w:tc>
        <w:tc>
          <w:tcPr>
            <w:tcW w:w="860" w:type="dxa"/>
            <w:vAlign w:val="bottom"/>
            <w:shd w:val="clear" w:color="auto" w:fill="F2F2F2"/>
          </w:tcPr>
          <w:p>
            <w:pPr>
              <w:spacing w:after="0"/>
              <w:rPr>
                <w:sz w:val="24"/>
                <w:szCs w:val="24"/>
                <w:color w:val="auto"/>
              </w:rPr>
            </w:pPr>
          </w:p>
        </w:tc>
        <w:tc>
          <w:tcPr>
            <w:tcW w:w="940" w:type="dxa"/>
            <w:vAlign w:val="bottom"/>
            <w:shd w:val="clear" w:color="auto" w:fill="F2F2F2"/>
          </w:tcPr>
          <w:p>
            <w:pPr>
              <w:spacing w:after="0"/>
              <w:rPr>
                <w:sz w:val="24"/>
                <w:szCs w:val="24"/>
                <w:color w:val="auto"/>
              </w:rPr>
            </w:pPr>
          </w:p>
        </w:tc>
        <w:tc>
          <w:tcPr>
            <w:tcW w:w="700" w:type="dxa"/>
            <w:vAlign w:val="bottom"/>
            <w:shd w:val="clear" w:color="auto" w:fill="F2F2F2"/>
          </w:tcPr>
          <w:p>
            <w:pPr>
              <w:spacing w:after="0"/>
              <w:rPr>
                <w:sz w:val="24"/>
                <w:szCs w:val="24"/>
                <w:color w:val="auto"/>
              </w:rPr>
            </w:pPr>
          </w:p>
        </w:tc>
        <w:tc>
          <w:tcPr>
            <w:tcW w:w="860" w:type="dxa"/>
            <w:vAlign w:val="bottom"/>
            <w:shd w:val="clear" w:color="auto" w:fill="F2F2F2"/>
          </w:tcPr>
          <w:p>
            <w:pPr>
              <w:spacing w:after="0"/>
              <w:rPr>
                <w:sz w:val="24"/>
                <w:szCs w:val="24"/>
                <w:color w:val="auto"/>
              </w:rPr>
            </w:pPr>
          </w:p>
        </w:tc>
        <w:tc>
          <w:tcPr>
            <w:tcW w:w="900" w:type="dxa"/>
            <w:vAlign w:val="bottom"/>
            <w:shd w:val="clear" w:color="auto" w:fill="F2F2F2"/>
          </w:tcPr>
          <w:p>
            <w:pPr>
              <w:spacing w:after="0"/>
              <w:rPr>
                <w:sz w:val="24"/>
                <w:szCs w:val="24"/>
                <w:color w:val="auto"/>
              </w:rPr>
            </w:pPr>
          </w:p>
        </w:tc>
        <w:tc>
          <w:tcPr>
            <w:tcW w:w="1200" w:type="dxa"/>
            <w:vAlign w:val="bottom"/>
            <w:shd w:val="clear" w:color="auto" w:fill="F2F2F2"/>
          </w:tcPr>
          <w:p>
            <w:pPr>
              <w:spacing w:after="0"/>
              <w:rPr>
                <w:sz w:val="24"/>
                <w:szCs w:val="24"/>
                <w:color w:val="auto"/>
              </w:rPr>
            </w:pPr>
          </w:p>
        </w:tc>
        <w:tc>
          <w:tcPr>
            <w:tcW w:w="980" w:type="dxa"/>
            <w:vAlign w:val="bottom"/>
            <w:shd w:val="clear" w:color="auto" w:fill="F2F2F2"/>
          </w:tcPr>
          <w:p>
            <w:pPr>
              <w:spacing w:after="0"/>
              <w:rPr>
                <w:sz w:val="24"/>
                <w:szCs w:val="24"/>
                <w:color w:val="auto"/>
              </w:rPr>
            </w:pPr>
          </w:p>
        </w:tc>
        <w:tc>
          <w:tcPr>
            <w:tcW w:w="180" w:type="dxa"/>
            <w:vAlign w:val="bottom"/>
            <w:shd w:val="clear" w:color="auto" w:fill="F2F2F2"/>
          </w:tcPr>
          <w:p>
            <w:pPr>
              <w:spacing w:after="0"/>
              <w:rPr>
                <w:sz w:val="24"/>
                <w:szCs w:val="24"/>
                <w:color w:val="auto"/>
              </w:rPr>
            </w:pPr>
          </w:p>
        </w:tc>
        <w:tc>
          <w:tcPr>
            <w:tcW w:w="980" w:type="dxa"/>
            <w:vAlign w:val="bottom"/>
            <w:shd w:val="clear" w:color="auto" w:fill="F2F2F2"/>
          </w:tcPr>
          <w:p>
            <w:pPr>
              <w:spacing w:after="0"/>
              <w:rPr>
                <w:sz w:val="24"/>
                <w:szCs w:val="24"/>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20" w:type="dxa"/>
            <w:vAlign w:val="bottom"/>
            <w:shd w:val="clear" w:color="auto" w:fill="DBE5F1"/>
          </w:tcPr>
          <w:p>
            <w:pPr>
              <w:spacing w:after="0"/>
              <w:rPr>
                <w:sz w:val="19"/>
                <w:szCs w:val="19"/>
                <w:color w:val="auto"/>
              </w:rPr>
            </w:pPr>
          </w:p>
        </w:tc>
        <w:tc>
          <w:tcPr>
            <w:tcW w:w="700" w:type="dxa"/>
            <w:vAlign w:val="bottom"/>
            <w:shd w:val="clear" w:color="auto" w:fill="DBE5F1"/>
          </w:tcPr>
          <w:p>
            <w:pPr>
              <w:spacing w:after="0"/>
              <w:rPr>
                <w:sz w:val="19"/>
                <w:szCs w:val="19"/>
                <w:color w:val="auto"/>
              </w:rPr>
            </w:pPr>
          </w:p>
        </w:tc>
        <w:tc>
          <w:tcPr>
            <w:tcW w:w="860" w:type="dxa"/>
            <w:vAlign w:val="bottom"/>
            <w:shd w:val="clear" w:color="auto" w:fill="DBE5F1"/>
          </w:tcPr>
          <w:p>
            <w:pPr>
              <w:spacing w:after="0"/>
              <w:rPr>
                <w:sz w:val="19"/>
                <w:szCs w:val="19"/>
                <w:color w:val="auto"/>
              </w:rPr>
            </w:pPr>
          </w:p>
        </w:tc>
        <w:tc>
          <w:tcPr>
            <w:tcW w:w="1220" w:type="dxa"/>
            <w:vAlign w:val="bottom"/>
            <w:gridSpan w:val="2"/>
            <w:shd w:val="clear" w:color="auto" w:fill="DBE5F1"/>
          </w:tcPr>
          <w:p>
            <w:pPr>
              <w:jc w:val="right"/>
              <w:ind w:right="270"/>
              <w:spacing w:after="0"/>
              <w:rPr>
                <w:sz w:val="20"/>
                <w:szCs w:val="20"/>
                <w:color w:val="auto"/>
              </w:rPr>
            </w:pPr>
            <w:r>
              <w:rPr>
                <w:rFonts w:ascii="Arial" w:cs="Arial" w:eastAsia="Arial" w:hAnsi="Arial"/>
                <w:sz w:val="13"/>
                <w:szCs w:val="13"/>
                <w:color w:val="auto"/>
              </w:rPr>
              <w:t>$132,221</w:t>
            </w:r>
          </w:p>
        </w:tc>
        <w:tc>
          <w:tcPr>
            <w:tcW w:w="860" w:type="dxa"/>
            <w:vAlign w:val="bottom"/>
            <w:shd w:val="clear" w:color="auto" w:fill="DBE5F1"/>
          </w:tcPr>
          <w:p>
            <w:pPr>
              <w:spacing w:after="0"/>
              <w:rPr>
                <w:sz w:val="19"/>
                <w:szCs w:val="19"/>
                <w:color w:val="auto"/>
              </w:rPr>
            </w:pPr>
          </w:p>
        </w:tc>
        <w:tc>
          <w:tcPr>
            <w:tcW w:w="940" w:type="dxa"/>
            <w:vAlign w:val="bottom"/>
            <w:shd w:val="clear" w:color="auto" w:fill="DBE5F1"/>
          </w:tcPr>
          <w:p>
            <w:pPr>
              <w:spacing w:after="0"/>
              <w:rPr>
                <w:sz w:val="19"/>
                <w:szCs w:val="19"/>
                <w:color w:val="auto"/>
              </w:rPr>
            </w:pPr>
          </w:p>
        </w:tc>
        <w:tc>
          <w:tcPr>
            <w:tcW w:w="700" w:type="dxa"/>
            <w:vAlign w:val="bottom"/>
            <w:shd w:val="clear" w:color="auto" w:fill="DBE5F1"/>
          </w:tcPr>
          <w:p>
            <w:pPr>
              <w:spacing w:after="0"/>
              <w:rPr>
                <w:sz w:val="19"/>
                <w:szCs w:val="19"/>
                <w:color w:val="auto"/>
              </w:rPr>
            </w:pPr>
          </w:p>
        </w:tc>
        <w:tc>
          <w:tcPr>
            <w:tcW w:w="860" w:type="dxa"/>
            <w:vAlign w:val="bottom"/>
            <w:shd w:val="clear" w:color="auto" w:fill="DBE5F1"/>
          </w:tcPr>
          <w:p>
            <w:pPr>
              <w:spacing w:after="0"/>
              <w:rPr>
                <w:sz w:val="19"/>
                <w:szCs w:val="19"/>
                <w:color w:val="auto"/>
              </w:rPr>
            </w:pPr>
          </w:p>
        </w:tc>
        <w:tc>
          <w:tcPr>
            <w:tcW w:w="900" w:type="dxa"/>
            <w:vAlign w:val="bottom"/>
            <w:shd w:val="clear" w:color="auto" w:fill="DBE5F1"/>
          </w:tcPr>
          <w:p>
            <w:pPr>
              <w:spacing w:after="0"/>
              <w:rPr>
                <w:sz w:val="19"/>
                <w:szCs w:val="19"/>
                <w:color w:val="auto"/>
              </w:rPr>
            </w:pPr>
          </w:p>
        </w:tc>
        <w:tc>
          <w:tcPr>
            <w:tcW w:w="1200" w:type="dxa"/>
            <w:vAlign w:val="bottom"/>
            <w:shd w:val="clear" w:color="auto" w:fill="DBE5F1"/>
          </w:tcPr>
          <w:p>
            <w:pPr>
              <w:spacing w:after="0"/>
              <w:rPr>
                <w:sz w:val="19"/>
                <w:szCs w:val="19"/>
                <w:color w:val="auto"/>
              </w:rPr>
            </w:pPr>
          </w:p>
        </w:tc>
        <w:tc>
          <w:tcPr>
            <w:tcW w:w="980" w:type="dxa"/>
            <w:vAlign w:val="bottom"/>
            <w:shd w:val="clear" w:color="auto" w:fill="DBE5F1"/>
          </w:tcPr>
          <w:p>
            <w:pPr>
              <w:spacing w:after="0"/>
              <w:rPr>
                <w:sz w:val="19"/>
                <w:szCs w:val="19"/>
                <w:color w:val="auto"/>
              </w:rPr>
            </w:pPr>
          </w:p>
        </w:tc>
        <w:tc>
          <w:tcPr>
            <w:tcW w:w="180" w:type="dxa"/>
            <w:vAlign w:val="bottom"/>
            <w:shd w:val="clear" w:color="auto" w:fill="DBE5F1"/>
          </w:tcPr>
          <w:p>
            <w:pPr>
              <w:spacing w:after="0"/>
              <w:rPr>
                <w:sz w:val="19"/>
                <w:szCs w:val="19"/>
                <w:color w:val="auto"/>
              </w:rPr>
            </w:pPr>
          </w:p>
        </w:tc>
        <w:tc>
          <w:tcPr>
            <w:tcW w:w="980" w:type="dxa"/>
            <w:vAlign w:val="bottom"/>
            <w:shd w:val="clear" w:color="auto" w:fill="DBE5F1"/>
          </w:tcPr>
          <w:p>
            <w:pPr>
              <w:spacing w:after="0"/>
              <w:rPr>
                <w:sz w:val="19"/>
                <w:szCs w:val="19"/>
                <w:color w:val="auto"/>
              </w:rPr>
            </w:pP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1020" w:type="dxa"/>
            <w:vAlign w:val="bottom"/>
            <w:shd w:val="clear" w:color="auto" w:fill="DBE5F1"/>
          </w:tcPr>
          <w:p>
            <w:pPr>
              <w:ind w:left="20"/>
              <w:spacing w:after="0"/>
              <w:rPr>
                <w:sz w:val="20"/>
                <w:szCs w:val="20"/>
                <w:color w:val="auto"/>
              </w:rPr>
            </w:pPr>
            <w:r>
              <w:rPr>
                <w:rFonts w:ascii="Arial" w:cs="Arial" w:eastAsia="Arial" w:hAnsi="Arial"/>
                <w:sz w:val="13"/>
                <w:szCs w:val="13"/>
                <w:b w:val="1"/>
                <w:bCs w:val="1"/>
                <w:color w:val="auto"/>
              </w:rPr>
              <w:t>Scott L. Yinger</w:t>
            </w:r>
          </w:p>
        </w:tc>
        <w:tc>
          <w:tcPr>
            <w:tcW w:w="700" w:type="dxa"/>
            <w:vAlign w:val="bottom"/>
            <w:shd w:val="clear" w:color="auto" w:fill="DBE5F1"/>
          </w:tcPr>
          <w:p>
            <w:pPr>
              <w:jc w:val="center"/>
              <w:spacing w:after="0"/>
              <w:rPr>
                <w:sz w:val="20"/>
                <w:szCs w:val="20"/>
                <w:color w:val="auto"/>
              </w:rPr>
            </w:pPr>
            <w:r>
              <w:rPr>
                <w:rFonts w:ascii="Arial" w:cs="Arial" w:eastAsia="Arial" w:hAnsi="Arial"/>
                <w:sz w:val="13"/>
                <w:szCs w:val="13"/>
                <w:color w:val="auto"/>
                <w:w w:val="92"/>
              </w:rPr>
              <w:t>5/28/15</w:t>
            </w:r>
          </w:p>
        </w:tc>
        <w:tc>
          <w:tcPr>
            <w:tcW w:w="860" w:type="dxa"/>
            <w:vAlign w:val="bottom"/>
            <w:shd w:val="clear" w:color="auto" w:fill="DBE5F1"/>
          </w:tcPr>
          <w:p>
            <w:pPr>
              <w:spacing w:after="0"/>
              <w:rPr>
                <w:sz w:val="24"/>
                <w:szCs w:val="24"/>
                <w:color w:val="auto"/>
              </w:rPr>
            </w:pPr>
          </w:p>
        </w:tc>
        <w:tc>
          <w:tcPr>
            <w:tcW w:w="60" w:type="dxa"/>
            <w:vAlign w:val="bottom"/>
            <w:shd w:val="clear" w:color="auto" w:fill="DBE5F1"/>
          </w:tcPr>
          <w:p>
            <w:pPr>
              <w:spacing w:after="0"/>
              <w:rPr>
                <w:sz w:val="24"/>
                <w:szCs w:val="24"/>
                <w:color w:val="auto"/>
              </w:rPr>
            </w:pPr>
          </w:p>
        </w:tc>
        <w:tc>
          <w:tcPr>
            <w:tcW w:w="1160" w:type="dxa"/>
            <w:vAlign w:val="bottom"/>
            <w:shd w:val="clear" w:color="auto" w:fill="DBE5F1"/>
          </w:tcPr>
          <w:p>
            <w:pPr>
              <w:spacing w:after="0"/>
              <w:rPr>
                <w:sz w:val="24"/>
                <w:szCs w:val="24"/>
                <w:color w:val="auto"/>
              </w:rPr>
            </w:pPr>
          </w:p>
        </w:tc>
        <w:tc>
          <w:tcPr>
            <w:tcW w:w="860" w:type="dxa"/>
            <w:vAlign w:val="bottom"/>
            <w:shd w:val="clear" w:color="auto" w:fill="DBE5F1"/>
          </w:tcPr>
          <w:p>
            <w:pPr>
              <w:spacing w:after="0"/>
              <w:rPr>
                <w:sz w:val="24"/>
                <w:szCs w:val="24"/>
                <w:color w:val="auto"/>
              </w:rPr>
            </w:pPr>
          </w:p>
        </w:tc>
        <w:tc>
          <w:tcPr>
            <w:tcW w:w="940" w:type="dxa"/>
            <w:vAlign w:val="bottom"/>
            <w:shd w:val="clear" w:color="auto" w:fill="DBE5F1"/>
          </w:tcPr>
          <w:p>
            <w:pPr>
              <w:spacing w:after="0"/>
              <w:rPr>
                <w:sz w:val="24"/>
                <w:szCs w:val="24"/>
                <w:color w:val="auto"/>
              </w:rPr>
            </w:pPr>
          </w:p>
        </w:tc>
        <w:tc>
          <w:tcPr>
            <w:tcW w:w="700" w:type="dxa"/>
            <w:vAlign w:val="bottom"/>
            <w:shd w:val="clear" w:color="auto" w:fill="DBE5F1"/>
          </w:tcPr>
          <w:p>
            <w:pPr>
              <w:spacing w:after="0"/>
              <w:rPr>
                <w:sz w:val="24"/>
                <w:szCs w:val="24"/>
                <w:color w:val="auto"/>
              </w:rPr>
            </w:pPr>
          </w:p>
        </w:tc>
        <w:tc>
          <w:tcPr>
            <w:tcW w:w="860" w:type="dxa"/>
            <w:vAlign w:val="bottom"/>
            <w:shd w:val="clear" w:color="auto" w:fill="DBE5F1"/>
          </w:tcPr>
          <w:p>
            <w:pPr>
              <w:spacing w:after="0"/>
              <w:rPr>
                <w:sz w:val="24"/>
                <w:szCs w:val="24"/>
                <w:color w:val="auto"/>
              </w:rPr>
            </w:pPr>
          </w:p>
        </w:tc>
        <w:tc>
          <w:tcPr>
            <w:tcW w:w="900" w:type="dxa"/>
            <w:vAlign w:val="bottom"/>
            <w:shd w:val="clear" w:color="auto" w:fill="DBE5F1"/>
          </w:tcPr>
          <w:p>
            <w:pPr>
              <w:jc w:val="right"/>
              <w:spacing w:after="0"/>
              <w:rPr>
                <w:sz w:val="20"/>
                <w:szCs w:val="20"/>
                <w:color w:val="auto"/>
              </w:rPr>
            </w:pPr>
            <w:r>
              <w:rPr>
                <w:rFonts w:ascii="Arial" w:cs="Arial" w:eastAsia="Arial" w:hAnsi="Arial"/>
                <w:sz w:val="13"/>
                <w:szCs w:val="13"/>
                <w:color w:val="auto"/>
              </w:rPr>
              <w:t>944</w:t>
            </w:r>
          </w:p>
        </w:tc>
        <w:tc>
          <w:tcPr>
            <w:tcW w:w="1200" w:type="dxa"/>
            <w:vAlign w:val="bottom"/>
            <w:shd w:val="clear" w:color="auto" w:fill="DBE5F1"/>
          </w:tcPr>
          <w:p>
            <w:pPr>
              <w:spacing w:after="0"/>
              <w:rPr>
                <w:sz w:val="24"/>
                <w:szCs w:val="24"/>
                <w:color w:val="auto"/>
              </w:rPr>
            </w:pPr>
          </w:p>
        </w:tc>
        <w:tc>
          <w:tcPr>
            <w:tcW w:w="980" w:type="dxa"/>
            <w:vAlign w:val="bottom"/>
            <w:shd w:val="clear" w:color="auto" w:fill="DBE5F1"/>
          </w:tcPr>
          <w:p>
            <w:pPr>
              <w:spacing w:after="0"/>
              <w:rPr>
                <w:sz w:val="24"/>
                <w:szCs w:val="24"/>
                <w:color w:val="auto"/>
              </w:rPr>
            </w:pPr>
          </w:p>
        </w:tc>
        <w:tc>
          <w:tcPr>
            <w:tcW w:w="180" w:type="dxa"/>
            <w:vAlign w:val="bottom"/>
            <w:shd w:val="clear" w:color="auto" w:fill="DBE5F1"/>
          </w:tcPr>
          <w:p>
            <w:pPr>
              <w:ind w:left="80"/>
              <w:spacing w:after="0"/>
              <w:rPr>
                <w:sz w:val="20"/>
                <w:szCs w:val="20"/>
                <w:color w:val="auto"/>
              </w:rPr>
            </w:pPr>
            <w:r>
              <w:rPr>
                <w:rFonts w:ascii="Arial" w:cs="Arial" w:eastAsia="Arial" w:hAnsi="Arial"/>
                <w:sz w:val="13"/>
                <w:szCs w:val="13"/>
                <w:color w:val="auto"/>
              </w:rPr>
              <w:t>$</w:t>
            </w:r>
          </w:p>
        </w:tc>
        <w:tc>
          <w:tcPr>
            <w:tcW w:w="980" w:type="dxa"/>
            <w:vAlign w:val="bottom"/>
            <w:shd w:val="clear" w:color="auto" w:fill="DBE5F1"/>
          </w:tcPr>
          <w:p>
            <w:pPr>
              <w:jc w:val="right"/>
              <w:ind w:right="36"/>
              <w:spacing w:after="0"/>
              <w:rPr>
                <w:sz w:val="20"/>
                <w:szCs w:val="20"/>
                <w:color w:val="auto"/>
              </w:rPr>
            </w:pPr>
            <w:r>
              <w:rPr>
                <w:rFonts w:ascii="Arial" w:cs="Arial" w:eastAsia="Arial" w:hAnsi="Arial"/>
                <w:sz w:val="13"/>
                <w:szCs w:val="13"/>
                <w:color w:val="auto"/>
              </w:rPr>
              <w:t>200,109</w:t>
            </w:r>
          </w:p>
        </w:tc>
        <w:tc>
          <w:tcPr>
            <w:tcW w:w="0" w:type="dxa"/>
            <w:vAlign w:val="bottom"/>
          </w:tcPr>
          <w:p>
            <w:pPr>
              <w:spacing w:after="0"/>
              <w:rPr>
                <w:sz w:val="1"/>
                <w:szCs w:val="1"/>
                <w:color w:val="auto"/>
              </w:rPr>
            </w:pPr>
          </w:p>
        </w:tc>
      </w:tr>
      <w:tr>
        <w:trPr>
          <w:trHeight w:val="320"/>
        </w:trPr>
        <w:tc>
          <w:tcPr>
            <w:tcW w:w="20" w:type="dxa"/>
            <w:vAlign w:val="bottom"/>
          </w:tcPr>
          <w:p>
            <w:pPr>
              <w:spacing w:after="0"/>
              <w:rPr>
                <w:sz w:val="24"/>
                <w:szCs w:val="24"/>
                <w:color w:val="auto"/>
              </w:rPr>
            </w:pPr>
          </w:p>
        </w:tc>
        <w:tc>
          <w:tcPr>
            <w:tcW w:w="1020" w:type="dxa"/>
            <w:vAlign w:val="bottom"/>
            <w:tcBorders>
              <w:bottom w:val="single" w:sz="8" w:color="DBE5F1"/>
            </w:tcBorders>
            <w:shd w:val="clear" w:color="auto" w:fill="DBE5F1"/>
          </w:tcPr>
          <w:p>
            <w:pPr>
              <w:spacing w:after="0"/>
              <w:rPr>
                <w:sz w:val="24"/>
                <w:szCs w:val="24"/>
                <w:color w:val="auto"/>
              </w:rPr>
            </w:pPr>
          </w:p>
        </w:tc>
        <w:tc>
          <w:tcPr>
            <w:tcW w:w="700" w:type="dxa"/>
            <w:vAlign w:val="bottom"/>
            <w:tcBorders>
              <w:bottom w:val="single" w:sz="8" w:color="DBE5F1"/>
            </w:tcBorders>
            <w:shd w:val="clear" w:color="auto" w:fill="DBE5F1"/>
          </w:tcPr>
          <w:p>
            <w:pPr>
              <w:jc w:val="center"/>
              <w:spacing w:after="0"/>
              <w:rPr>
                <w:sz w:val="20"/>
                <w:szCs w:val="20"/>
                <w:color w:val="auto"/>
              </w:rPr>
            </w:pPr>
            <w:r>
              <w:rPr>
                <w:rFonts w:ascii="Arial" w:cs="Arial" w:eastAsia="Arial" w:hAnsi="Arial"/>
                <w:sz w:val="13"/>
                <w:szCs w:val="13"/>
                <w:color w:val="auto"/>
                <w:w w:val="88"/>
              </w:rPr>
              <w:t>6/7/15</w:t>
            </w:r>
          </w:p>
        </w:tc>
        <w:tc>
          <w:tcPr>
            <w:tcW w:w="860" w:type="dxa"/>
            <w:vAlign w:val="bottom"/>
            <w:tcBorders>
              <w:bottom w:val="single" w:sz="8" w:color="DBE5F1"/>
            </w:tcBorders>
            <w:shd w:val="clear" w:color="auto" w:fill="DBE5F1"/>
          </w:tcPr>
          <w:p>
            <w:pPr>
              <w:spacing w:after="0"/>
              <w:rPr>
                <w:sz w:val="24"/>
                <w:szCs w:val="24"/>
                <w:color w:val="auto"/>
              </w:rPr>
            </w:pPr>
          </w:p>
        </w:tc>
        <w:tc>
          <w:tcPr>
            <w:tcW w:w="60" w:type="dxa"/>
            <w:vAlign w:val="bottom"/>
            <w:tcBorders>
              <w:bottom w:val="single" w:sz="8" w:color="DBE5F1"/>
            </w:tcBorders>
            <w:shd w:val="clear" w:color="auto" w:fill="DBE5F1"/>
          </w:tcPr>
          <w:p>
            <w:pPr>
              <w:spacing w:after="0"/>
              <w:rPr>
                <w:sz w:val="24"/>
                <w:szCs w:val="24"/>
                <w:color w:val="auto"/>
              </w:rPr>
            </w:pPr>
          </w:p>
        </w:tc>
        <w:tc>
          <w:tcPr>
            <w:tcW w:w="1160" w:type="dxa"/>
            <w:vAlign w:val="bottom"/>
            <w:tcBorders>
              <w:bottom w:val="single" w:sz="8" w:color="DBE5F1"/>
            </w:tcBorders>
            <w:shd w:val="clear" w:color="auto" w:fill="DBE5F1"/>
          </w:tcPr>
          <w:p>
            <w:pPr>
              <w:spacing w:after="0"/>
              <w:rPr>
                <w:sz w:val="24"/>
                <w:szCs w:val="24"/>
                <w:color w:val="auto"/>
              </w:rPr>
            </w:pPr>
          </w:p>
        </w:tc>
        <w:tc>
          <w:tcPr>
            <w:tcW w:w="860" w:type="dxa"/>
            <w:vAlign w:val="bottom"/>
            <w:tcBorders>
              <w:bottom w:val="single" w:sz="8" w:color="DBE5F1"/>
            </w:tcBorders>
            <w:shd w:val="clear" w:color="auto" w:fill="DBE5F1"/>
          </w:tcPr>
          <w:p>
            <w:pPr>
              <w:spacing w:after="0"/>
              <w:rPr>
                <w:sz w:val="24"/>
                <w:szCs w:val="24"/>
                <w:color w:val="auto"/>
              </w:rPr>
            </w:pPr>
          </w:p>
        </w:tc>
        <w:tc>
          <w:tcPr>
            <w:tcW w:w="940" w:type="dxa"/>
            <w:vAlign w:val="bottom"/>
            <w:tcBorders>
              <w:bottom w:val="single" w:sz="8" w:color="DBE5F1"/>
            </w:tcBorders>
            <w:shd w:val="clear" w:color="auto" w:fill="DBE5F1"/>
          </w:tcPr>
          <w:p>
            <w:pPr>
              <w:spacing w:after="0"/>
              <w:rPr>
                <w:sz w:val="24"/>
                <w:szCs w:val="24"/>
                <w:color w:val="auto"/>
              </w:rPr>
            </w:pPr>
          </w:p>
        </w:tc>
        <w:tc>
          <w:tcPr>
            <w:tcW w:w="700" w:type="dxa"/>
            <w:vAlign w:val="bottom"/>
            <w:tcBorders>
              <w:bottom w:val="single" w:sz="8" w:color="DBE5F1"/>
            </w:tcBorders>
            <w:shd w:val="clear" w:color="auto" w:fill="DBE5F1"/>
          </w:tcPr>
          <w:p>
            <w:pPr>
              <w:spacing w:after="0"/>
              <w:rPr>
                <w:sz w:val="24"/>
                <w:szCs w:val="24"/>
                <w:color w:val="auto"/>
              </w:rPr>
            </w:pPr>
          </w:p>
        </w:tc>
        <w:tc>
          <w:tcPr>
            <w:tcW w:w="860" w:type="dxa"/>
            <w:vAlign w:val="bottom"/>
            <w:tcBorders>
              <w:bottom w:val="single" w:sz="8" w:color="DBE5F1"/>
            </w:tcBorders>
            <w:shd w:val="clear" w:color="auto" w:fill="DBE5F1"/>
          </w:tcPr>
          <w:p>
            <w:pPr>
              <w:spacing w:after="0"/>
              <w:rPr>
                <w:sz w:val="24"/>
                <w:szCs w:val="24"/>
                <w:color w:val="auto"/>
              </w:rPr>
            </w:pPr>
          </w:p>
        </w:tc>
        <w:tc>
          <w:tcPr>
            <w:tcW w:w="900" w:type="dxa"/>
            <w:vAlign w:val="bottom"/>
            <w:tcBorders>
              <w:bottom w:val="single" w:sz="8" w:color="DBE5F1"/>
            </w:tcBorders>
            <w:shd w:val="clear" w:color="auto" w:fill="DBE5F1"/>
          </w:tcPr>
          <w:p>
            <w:pPr>
              <w:jc w:val="right"/>
              <w:spacing w:after="0"/>
              <w:rPr>
                <w:sz w:val="20"/>
                <w:szCs w:val="20"/>
                <w:color w:val="auto"/>
              </w:rPr>
            </w:pPr>
            <w:r>
              <w:rPr>
                <w:rFonts w:ascii="Arial" w:cs="Arial" w:eastAsia="Arial" w:hAnsi="Arial"/>
                <w:sz w:val="13"/>
                <w:szCs w:val="13"/>
                <w:color w:val="auto"/>
              </w:rPr>
              <w:t>3</w:t>
            </w:r>
          </w:p>
        </w:tc>
        <w:tc>
          <w:tcPr>
            <w:tcW w:w="1200" w:type="dxa"/>
            <w:vAlign w:val="bottom"/>
            <w:tcBorders>
              <w:bottom w:val="single" w:sz="8" w:color="DBE5F1"/>
            </w:tcBorders>
            <w:shd w:val="clear" w:color="auto" w:fill="DBE5F1"/>
          </w:tcPr>
          <w:p>
            <w:pPr>
              <w:spacing w:after="0"/>
              <w:rPr>
                <w:sz w:val="24"/>
                <w:szCs w:val="24"/>
                <w:color w:val="auto"/>
              </w:rPr>
            </w:pPr>
          </w:p>
        </w:tc>
        <w:tc>
          <w:tcPr>
            <w:tcW w:w="980" w:type="dxa"/>
            <w:vAlign w:val="bottom"/>
            <w:tcBorders>
              <w:bottom w:val="single" w:sz="8" w:color="DBE5F1"/>
            </w:tcBorders>
            <w:shd w:val="clear" w:color="auto" w:fill="DBE5F1"/>
          </w:tcPr>
          <w:p>
            <w:pPr>
              <w:spacing w:after="0"/>
              <w:rPr>
                <w:sz w:val="24"/>
                <w:szCs w:val="24"/>
                <w:color w:val="auto"/>
              </w:rPr>
            </w:pPr>
          </w:p>
        </w:tc>
        <w:tc>
          <w:tcPr>
            <w:tcW w:w="180" w:type="dxa"/>
            <w:vAlign w:val="bottom"/>
            <w:tcBorders>
              <w:bottom w:val="single" w:sz="8" w:color="DBE5F1"/>
            </w:tcBorders>
            <w:shd w:val="clear" w:color="auto" w:fill="DBE5F1"/>
          </w:tcPr>
          <w:p>
            <w:pPr>
              <w:ind w:left="80"/>
              <w:spacing w:after="0"/>
              <w:rPr>
                <w:sz w:val="20"/>
                <w:szCs w:val="20"/>
                <w:color w:val="auto"/>
              </w:rPr>
            </w:pPr>
            <w:r>
              <w:rPr>
                <w:rFonts w:ascii="Arial" w:cs="Arial" w:eastAsia="Arial" w:hAnsi="Arial"/>
                <w:sz w:val="13"/>
                <w:szCs w:val="13"/>
                <w:color w:val="auto"/>
              </w:rPr>
              <w:t>$</w:t>
            </w:r>
          </w:p>
        </w:tc>
        <w:tc>
          <w:tcPr>
            <w:tcW w:w="980" w:type="dxa"/>
            <w:vAlign w:val="bottom"/>
            <w:tcBorders>
              <w:bottom w:val="single" w:sz="8" w:color="DBE5F1"/>
            </w:tcBorders>
            <w:shd w:val="clear" w:color="auto" w:fill="DBE5F1"/>
          </w:tcPr>
          <w:p>
            <w:pPr>
              <w:jc w:val="right"/>
              <w:ind w:right="36"/>
              <w:spacing w:after="0"/>
              <w:rPr>
                <w:sz w:val="20"/>
                <w:szCs w:val="20"/>
                <w:color w:val="auto"/>
              </w:rPr>
            </w:pPr>
            <w:r>
              <w:rPr>
                <w:rFonts w:ascii="Arial" w:cs="Arial" w:eastAsia="Arial" w:hAnsi="Arial"/>
                <w:sz w:val="13"/>
                <w:szCs w:val="13"/>
                <w:color w:val="auto"/>
              </w:rPr>
              <w:t>630</w:t>
            </w: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1020" w:type="dxa"/>
            <w:vAlign w:val="bottom"/>
            <w:shd w:val="clear" w:color="auto" w:fill="F2F2F2"/>
          </w:tcPr>
          <w:p>
            <w:pPr>
              <w:spacing w:after="0"/>
              <w:rPr>
                <w:sz w:val="24"/>
                <w:szCs w:val="24"/>
                <w:color w:val="auto"/>
              </w:rPr>
            </w:pPr>
          </w:p>
        </w:tc>
        <w:tc>
          <w:tcPr>
            <w:tcW w:w="700" w:type="dxa"/>
            <w:vAlign w:val="bottom"/>
            <w:shd w:val="clear" w:color="auto" w:fill="F2F2F2"/>
          </w:tcPr>
          <w:p>
            <w:pPr>
              <w:spacing w:after="0"/>
              <w:rPr>
                <w:sz w:val="24"/>
                <w:szCs w:val="24"/>
                <w:color w:val="auto"/>
              </w:rPr>
            </w:pPr>
          </w:p>
        </w:tc>
        <w:tc>
          <w:tcPr>
            <w:tcW w:w="860" w:type="dxa"/>
            <w:vAlign w:val="bottom"/>
            <w:shd w:val="clear" w:color="auto" w:fill="F2F2F2"/>
          </w:tcPr>
          <w:p>
            <w:pPr>
              <w:spacing w:after="0"/>
              <w:rPr>
                <w:sz w:val="24"/>
                <w:szCs w:val="24"/>
                <w:color w:val="auto"/>
              </w:rPr>
            </w:pPr>
          </w:p>
        </w:tc>
        <w:tc>
          <w:tcPr>
            <w:tcW w:w="1220" w:type="dxa"/>
            <w:vAlign w:val="bottom"/>
            <w:gridSpan w:val="2"/>
            <w:shd w:val="clear" w:color="auto" w:fill="F2F2F2"/>
          </w:tcPr>
          <w:p>
            <w:pPr>
              <w:spacing w:after="0"/>
              <w:rPr>
                <w:sz w:val="24"/>
                <w:szCs w:val="24"/>
                <w:color w:val="auto"/>
              </w:rPr>
            </w:pPr>
          </w:p>
        </w:tc>
        <w:tc>
          <w:tcPr>
            <w:tcW w:w="860" w:type="dxa"/>
            <w:vAlign w:val="bottom"/>
            <w:shd w:val="clear" w:color="auto" w:fill="F2F2F2"/>
          </w:tcPr>
          <w:p>
            <w:pPr>
              <w:spacing w:after="0"/>
              <w:rPr>
                <w:sz w:val="24"/>
                <w:szCs w:val="24"/>
                <w:color w:val="auto"/>
              </w:rPr>
            </w:pPr>
          </w:p>
        </w:tc>
        <w:tc>
          <w:tcPr>
            <w:tcW w:w="940" w:type="dxa"/>
            <w:vAlign w:val="bottom"/>
            <w:shd w:val="clear" w:color="auto" w:fill="F2F2F2"/>
          </w:tcPr>
          <w:p>
            <w:pPr>
              <w:spacing w:after="0"/>
              <w:rPr>
                <w:sz w:val="24"/>
                <w:szCs w:val="24"/>
                <w:color w:val="auto"/>
              </w:rPr>
            </w:pPr>
          </w:p>
        </w:tc>
        <w:tc>
          <w:tcPr>
            <w:tcW w:w="700" w:type="dxa"/>
            <w:vAlign w:val="bottom"/>
            <w:shd w:val="clear" w:color="auto" w:fill="F2F2F2"/>
          </w:tcPr>
          <w:p>
            <w:pPr>
              <w:spacing w:after="0"/>
              <w:rPr>
                <w:sz w:val="24"/>
                <w:szCs w:val="24"/>
                <w:color w:val="auto"/>
              </w:rPr>
            </w:pPr>
          </w:p>
        </w:tc>
        <w:tc>
          <w:tcPr>
            <w:tcW w:w="860" w:type="dxa"/>
            <w:vAlign w:val="bottom"/>
            <w:shd w:val="clear" w:color="auto" w:fill="F2F2F2"/>
          </w:tcPr>
          <w:p>
            <w:pPr>
              <w:spacing w:after="0"/>
              <w:rPr>
                <w:sz w:val="24"/>
                <w:szCs w:val="24"/>
                <w:color w:val="auto"/>
              </w:rPr>
            </w:pPr>
          </w:p>
        </w:tc>
        <w:tc>
          <w:tcPr>
            <w:tcW w:w="900" w:type="dxa"/>
            <w:vAlign w:val="bottom"/>
            <w:shd w:val="clear" w:color="auto" w:fill="F2F2F2"/>
          </w:tcPr>
          <w:p>
            <w:pPr>
              <w:spacing w:after="0"/>
              <w:rPr>
                <w:sz w:val="24"/>
                <w:szCs w:val="24"/>
                <w:color w:val="auto"/>
              </w:rPr>
            </w:pPr>
          </w:p>
        </w:tc>
        <w:tc>
          <w:tcPr>
            <w:tcW w:w="1200" w:type="dxa"/>
            <w:vAlign w:val="bottom"/>
            <w:shd w:val="clear" w:color="auto" w:fill="F2F2F2"/>
          </w:tcPr>
          <w:p>
            <w:pPr>
              <w:spacing w:after="0"/>
              <w:rPr>
                <w:sz w:val="24"/>
                <w:szCs w:val="24"/>
                <w:color w:val="auto"/>
              </w:rPr>
            </w:pPr>
          </w:p>
        </w:tc>
        <w:tc>
          <w:tcPr>
            <w:tcW w:w="980" w:type="dxa"/>
            <w:vAlign w:val="bottom"/>
            <w:shd w:val="clear" w:color="auto" w:fill="F2F2F2"/>
          </w:tcPr>
          <w:p>
            <w:pPr>
              <w:spacing w:after="0"/>
              <w:rPr>
                <w:sz w:val="24"/>
                <w:szCs w:val="24"/>
                <w:color w:val="auto"/>
              </w:rPr>
            </w:pPr>
          </w:p>
        </w:tc>
        <w:tc>
          <w:tcPr>
            <w:tcW w:w="180" w:type="dxa"/>
            <w:vAlign w:val="bottom"/>
            <w:shd w:val="clear" w:color="auto" w:fill="F2F2F2"/>
          </w:tcPr>
          <w:p>
            <w:pPr>
              <w:spacing w:after="0"/>
              <w:rPr>
                <w:sz w:val="24"/>
                <w:szCs w:val="24"/>
                <w:color w:val="auto"/>
              </w:rPr>
            </w:pPr>
          </w:p>
        </w:tc>
        <w:tc>
          <w:tcPr>
            <w:tcW w:w="980" w:type="dxa"/>
            <w:vAlign w:val="bottom"/>
            <w:shd w:val="clear" w:color="auto" w:fill="F2F2F2"/>
          </w:tcPr>
          <w:p>
            <w:pPr>
              <w:spacing w:after="0"/>
              <w:rPr>
                <w:sz w:val="24"/>
                <w:szCs w:val="24"/>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20" w:type="dxa"/>
            <w:vAlign w:val="bottom"/>
            <w:shd w:val="clear" w:color="auto" w:fill="DBE5F1"/>
          </w:tcPr>
          <w:p>
            <w:pPr>
              <w:spacing w:after="0"/>
              <w:rPr>
                <w:sz w:val="19"/>
                <w:szCs w:val="19"/>
                <w:color w:val="auto"/>
              </w:rPr>
            </w:pPr>
          </w:p>
        </w:tc>
        <w:tc>
          <w:tcPr>
            <w:tcW w:w="700" w:type="dxa"/>
            <w:vAlign w:val="bottom"/>
            <w:shd w:val="clear" w:color="auto" w:fill="DBE5F1"/>
          </w:tcPr>
          <w:p>
            <w:pPr>
              <w:spacing w:after="0"/>
              <w:rPr>
                <w:sz w:val="19"/>
                <w:szCs w:val="19"/>
                <w:color w:val="auto"/>
              </w:rPr>
            </w:pPr>
          </w:p>
        </w:tc>
        <w:tc>
          <w:tcPr>
            <w:tcW w:w="860" w:type="dxa"/>
            <w:vAlign w:val="bottom"/>
            <w:shd w:val="clear" w:color="auto" w:fill="DBE5F1"/>
          </w:tcPr>
          <w:p>
            <w:pPr>
              <w:jc w:val="right"/>
              <w:spacing w:after="0"/>
              <w:rPr>
                <w:sz w:val="20"/>
                <w:szCs w:val="20"/>
                <w:color w:val="auto"/>
              </w:rPr>
            </w:pPr>
            <w:r>
              <w:rPr>
                <w:rFonts w:ascii="Arial" w:cs="Arial" w:eastAsia="Arial" w:hAnsi="Arial"/>
                <w:sz w:val="13"/>
                <w:szCs w:val="13"/>
                <w:color w:val="auto"/>
              </w:rPr>
              <w:t>$112,500</w:t>
            </w:r>
          </w:p>
        </w:tc>
        <w:tc>
          <w:tcPr>
            <w:tcW w:w="1220" w:type="dxa"/>
            <w:vAlign w:val="bottom"/>
            <w:gridSpan w:val="2"/>
            <w:shd w:val="clear" w:color="auto" w:fill="DBE5F1"/>
          </w:tcPr>
          <w:p>
            <w:pPr>
              <w:jc w:val="right"/>
              <w:ind w:right="270"/>
              <w:spacing w:after="0"/>
              <w:rPr>
                <w:sz w:val="20"/>
                <w:szCs w:val="20"/>
                <w:color w:val="auto"/>
              </w:rPr>
            </w:pPr>
            <w:r>
              <w:rPr>
                <w:rFonts w:ascii="Arial" w:cs="Arial" w:eastAsia="Arial" w:hAnsi="Arial"/>
                <w:sz w:val="13"/>
                <w:szCs w:val="13"/>
                <w:color w:val="auto"/>
              </w:rPr>
              <w:t>$225,000</w:t>
            </w:r>
          </w:p>
        </w:tc>
        <w:tc>
          <w:tcPr>
            <w:tcW w:w="860" w:type="dxa"/>
            <w:vAlign w:val="bottom"/>
            <w:shd w:val="clear" w:color="auto" w:fill="DBE5F1"/>
          </w:tcPr>
          <w:p>
            <w:pPr>
              <w:jc w:val="right"/>
              <w:ind w:right="77"/>
              <w:spacing w:after="0"/>
              <w:rPr>
                <w:sz w:val="20"/>
                <w:szCs w:val="20"/>
                <w:color w:val="auto"/>
              </w:rPr>
            </w:pPr>
            <w:r>
              <w:rPr>
                <w:rFonts w:ascii="Arial" w:cs="Arial" w:eastAsia="Arial" w:hAnsi="Arial"/>
                <w:sz w:val="13"/>
                <w:szCs w:val="13"/>
                <w:color w:val="auto"/>
              </w:rPr>
              <w:t>$450,000</w:t>
            </w:r>
          </w:p>
        </w:tc>
        <w:tc>
          <w:tcPr>
            <w:tcW w:w="940" w:type="dxa"/>
            <w:vAlign w:val="bottom"/>
            <w:shd w:val="clear" w:color="auto" w:fill="DBE5F1"/>
          </w:tcPr>
          <w:p>
            <w:pPr>
              <w:spacing w:after="0"/>
              <w:rPr>
                <w:sz w:val="19"/>
                <w:szCs w:val="19"/>
                <w:color w:val="auto"/>
              </w:rPr>
            </w:pPr>
          </w:p>
        </w:tc>
        <w:tc>
          <w:tcPr>
            <w:tcW w:w="700" w:type="dxa"/>
            <w:vAlign w:val="bottom"/>
            <w:shd w:val="clear" w:color="auto" w:fill="DBE5F1"/>
          </w:tcPr>
          <w:p>
            <w:pPr>
              <w:spacing w:after="0"/>
              <w:rPr>
                <w:sz w:val="19"/>
                <w:szCs w:val="19"/>
                <w:color w:val="auto"/>
              </w:rPr>
            </w:pPr>
          </w:p>
        </w:tc>
        <w:tc>
          <w:tcPr>
            <w:tcW w:w="860" w:type="dxa"/>
            <w:vAlign w:val="bottom"/>
            <w:shd w:val="clear" w:color="auto" w:fill="DBE5F1"/>
          </w:tcPr>
          <w:p>
            <w:pPr>
              <w:spacing w:after="0"/>
              <w:rPr>
                <w:sz w:val="19"/>
                <w:szCs w:val="19"/>
                <w:color w:val="auto"/>
              </w:rPr>
            </w:pPr>
          </w:p>
        </w:tc>
        <w:tc>
          <w:tcPr>
            <w:tcW w:w="900" w:type="dxa"/>
            <w:vAlign w:val="bottom"/>
            <w:shd w:val="clear" w:color="auto" w:fill="DBE5F1"/>
          </w:tcPr>
          <w:p>
            <w:pPr>
              <w:spacing w:after="0"/>
              <w:rPr>
                <w:sz w:val="19"/>
                <w:szCs w:val="19"/>
                <w:color w:val="auto"/>
              </w:rPr>
            </w:pPr>
          </w:p>
        </w:tc>
        <w:tc>
          <w:tcPr>
            <w:tcW w:w="1200" w:type="dxa"/>
            <w:vAlign w:val="bottom"/>
            <w:shd w:val="clear" w:color="auto" w:fill="DBE5F1"/>
          </w:tcPr>
          <w:p>
            <w:pPr>
              <w:spacing w:after="0"/>
              <w:rPr>
                <w:sz w:val="19"/>
                <w:szCs w:val="19"/>
                <w:color w:val="auto"/>
              </w:rPr>
            </w:pPr>
          </w:p>
        </w:tc>
        <w:tc>
          <w:tcPr>
            <w:tcW w:w="980" w:type="dxa"/>
            <w:vAlign w:val="bottom"/>
            <w:shd w:val="clear" w:color="auto" w:fill="DBE5F1"/>
          </w:tcPr>
          <w:p>
            <w:pPr>
              <w:spacing w:after="0"/>
              <w:rPr>
                <w:sz w:val="19"/>
                <w:szCs w:val="19"/>
                <w:color w:val="auto"/>
              </w:rPr>
            </w:pPr>
          </w:p>
        </w:tc>
        <w:tc>
          <w:tcPr>
            <w:tcW w:w="180" w:type="dxa"/>
            <w:vAlign w:val="bottom"/>
            <w:shd w:val="clear" w:color="auto" w:fill="DBE5F1"/>
          </w:tcPr>
          <w:p>
            <w:pPr>
              <w:spacing w:after="0"/>
              <w:rPr>
                <w:sz w:val="19"/>
                <w:szCs w:val="19"/>
                <w:color w:val="auto"/>
              </w:rPr>
            </w:pPr>
          </w:p>
        </w:tc>
        <w:tc>
          <w:tcPr>
            <w:tcW w:w="980" w:type="dxa"/>
            <w:vAlign w:val="bottom"/>
            <w:shd w:val="clear" w:color="auto" w:fill="DBE5F1"/>
          </w:tcPr>
          <w:p>
            <w:pPr>
              <w:spacing w:after="0"/>
              <w:rPr>
                <w:sz w:val="19"/>
                <w:szCs w:val="19"/>
                <w:color w:val="auto"/>
              </w:rPr>
            </w:pP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1020" w:type="dxa"/>
            <w:vAlign w:val="bottom"/>
            <w:vMerge w:val="restart"/>
            <w:shd w:val="clear" w:color="auto" w:fill="DBE5F1"/>
          </w:tcPr>
          <w:p>
            <w:pPr>
              <w:ind w:left="20"/>
              <w:spacing w:after="0"/>
              <w:rPr>
                <w:sz w:val="20"/>
                <w:szCs w:val="20"/>
                <w:color w:val="auto"/>
              </w:rPr>
            </w:pPr>
            <w:r>
              <w:rPr>
                <w:rFonts w:ascii="Arial" w:cs="Arial" w:eastAsia="Arial" w:hAnsi="Arial"/>
                <w:sz w:val="13"/>
                <w:szCs w:val="13"/>
                <w:b w:val="1"/>
                <w:bCs w:val="1"/>
                <w:color w:val="auto"/>
              </w:rPr>
              <w:t>Francis A.</w:t>
            </w:r>
          </w:p>
        </w:tc>
        <w:tc>
          <w:tcPr>
            <w:tcW w:w="700" w:type="dxa"/>
            <w:vAlign w:val="bottom"/>
            <w:shd w:val="clear" w:color="auto" w:fill="DBE5F1"/>
          </w:tcPr>
          <w:p>
            <w:pPr>
              <w:jc w:val="center"/>
              <w:spacing w:after="0"/>
              <w:rPr>
                <w:sz w:val="20"/>
                <w:szCs w:val="20"/>
                <w:color w:val="auto"/>
              </w:rPr>
            </w:pPr>
            <w:r>
              <w:rPr>
                <w:rFonts w:ascii="Arial" w:cs="Arial" w:eastAsia="Arial" w:hAnsi="Arial"/>
                <w:sz w:val="13"/>
                <w:szCs w:val="13"/>
                <w:color w:val="auto"/>
                <w:w w:val="88"/>
              </w:rPr>
              <w:t>3/5/15</w:t>
            </w:r>
          </w:p>
        </w:tc>
        <w:tc>
          <w:tcPr>
            <w:tcW w:w="860" w:type="dxa"/>
            <w:vAlign w:val="bottom"/>
            <w:shd w:val="clear" w:color="auto" w:fill="DBE5F1"/>
          </w:tcPr>
          <w:p>
            <w:pPr>
              <w:spacing w:after="0"/>
              <w:rPr>
                <w:sz w:val="24"/>
                <w:szCs w:val="24"/>
                <w:color w:val="auto"/>
              </w:rPr>
            </w:pPr>
          </w:p>
        </w:tc>
        <w:tc>
          <w:tcPr>
            <w:tcW w:w="60" w:type="dxa"/>
            <w:vAlign w:val="bottom"/>
            <w:shd w:val="clear" w:color="auto" w:fill="DBE5F1"/>
          </w:tcPr>
          <w:p>
            <w:pPr>
              <w:spacing w:after="0"/>
              <w:rPr>
                <w:sz w:val="24"/>
                <w:szCs w:val="24"/>
                <w:color w:val="auto"/>
              </w:rPr>
            </w:pPr>
          </w:p>
        </w:tc>
        <w:tc>
          <w:tcPr>
            <w:tcW w:w="1160" w:type="dxa"/>
            <w:vAlign w:val="bottom"/>
            <w:shd w:val="clear" w:color="auto" w:fill="DBE5F1"/>
          </w:tcPr>
          <w:p>
            <w:pPr>
              <w:spacing w:after="0"/>
              <w:rPr>
                <w:sz w:val="24"/>
                <w:szCs w:val="24"/>
                <w:color w:val="auto"/>
              </w:rPr>
            </w:pPr>
          </w:p>
        </w:tc>
        <w:tc>
          <w:tcPr>
            <w:tcW w:w="860" w:type="dxa"/>
            <w:vAlign w:val="bottom"/>
            <w:shd w:val="clear" w:color="auto" w:fill="DBE5F1"/>
          </w:tcPr>
          <w:p>
            <w:pPr>
              <w:spacing w:after="0"/>
              <w:rPr>
                <w:sz w:val="24"/>
                <w:szCs w:val="24"/>
                <w:color w:val="auto"/>
              </w:rPr>
            </w:pPr>
          </w:p>
        </w:tc>
        <w:tc>
          <w:tcPr>
            <w:tcW w:w="940" w:type="dxa"/>
            <w:vAlign w:val="bottom"/>
            <w:shd w:val="clear" w:color="auto" w:fill="DBE5F1"/>
          </w:tcPr>
          <w:p>
            <w:pPr>
              <w:jc w:val="right"/>
              <w:ind w:right="15"/>
              <w:spacing w:after="0"/>
              <w:rPr>
                <w:sz w:val="20"/>
                <w:szCs w:val="20"/>
                <w:color w:val="auto"/>
              </w:rPr>
            </w:pPr>
            <w:r>
              <w:rPr>
                <w:rFonts w:ascii="Arial" w:cs="Arial" w:eastAsia="Arial" w:hAnsi="Arial"/>
                <w:sz w:val="13"/>
                <w:szCs w:val="13"/>
                <w:color w:val="auto"/>
              </w:rPr>
              <w:t>520</w:t>
            </w:r>
          </w:p>
        </w:tc>
        <w:tc>
          <w:tcPr>
            <w:tcW w:w="700" w:type="dxa"/>
            <w:vAlign w:val="bottom"/>
            <w:shd w:val="clear" w:color="auto" w:fill="DBE5F1"/>
          </w:tcPr>
          <w:p>
            <w:pPr>
              <w:jc w:val="right"/>
              <w:ind w:right="57"/>
              <w:spacing w:after="0"/>
              <w:rPr>
                <w:sz w:val="20"/>
                <w:szCs w:val="20"/>
                <w:color w:val="auto"/>
              </w:rPr>
            </w:pPr>
            <w:r>
              <w:rPr>
                <w:rFonts w:ascii="Arial" w:cs="Arial" w:eastAsia="Arial" w:hAnsi="Arial"/>
                <w:sz w:val="13"/>
                <w:szCs w:val="13"/>
                <w:color w:val="auto"/>
              </w:rPr>
              <w:t>1,300</w:t>
            </w:r>
          </w:p>
        </w:tc>
        <w:tc>
          <w:tcPr>
            <w:tcW w:w="860" w:type="dxa"/>
            <w:vAlign w:val="bottom"/>
            <w:shd w:val="clear" w:color="auto" w:fill="DBE5F1"/>
          </w:tcPr>
          <w:p>
            <w:pPr>
              <w:jc w:val="right"/>
              <w:spacing w:after="0"/>
              <w:rPr>
                <w:sz w:val="20"/>
                <w:szCs w:val="20"/>
                <w:color w:val="auto"/>
              </w:rPr>
            </w:pPr>
            <w:r>
              <w:rPr>
                <w:rFonts w:ascii="Arial" w:cs="Arial" w:eastAsia="Arial" w:hAnsi="Arial"/>
                <w:sz w:val="13"/>
                <w:szCs w:val="13"/>
                <w:color w:val="auto"/>
              </w:rPr>
              <w:t>3,120</w:t>
            </w:r>
          </w:p>
        </w:tc>
        <w:tc>
          <w:tcPr>
            <w:tcW w:w="900" w:type="dxa"/>
            <w:vAlign w:val="bottom"/>
            <w:shd w:val="clear" w:color="auto" w:fill="DBE5F1"/>
          </w:tcPr>
          <w:p>
            <w:pPr>
              <w:spacing w:after="0"/>
              <w:rPr>
                <w:sz w:val="24"/>
                <w:szCs w:val="24"/>
                <w:color w:val="auto"/>
              </w:rPr>
            </w:pPr>
          </w:p>
        </w:tc>
        <w:tc>
          <w:tcPr>
            <w:tcW w:w="1200" w:type="dxa"/>
            <w:vAlign w:val="bottom"/>
            <w:shd w:val="clear" w:color="auto" w:fill="DBE5F1"/>
          </w:tcPr>
          <w:p>
            <w:pPr>
              <w:spacing w:after="0"/>
              <w:rPr>
                <w:sz w:val="24"/>
                <w:szCs w:val="24"/>
                <w:color w:val="auto"/>
              </w:rPr>
            </w:pPr>
          </w:p>
        </w:tc>
        <w:tc>
          <w:tcPr>
            <w:tcW w:w="980" w:type="dxa"/>
            <w:vAlign w:val="bottom"/>
            <w:shd w:val="clear" w:color="auto" w:fill="DBE5F1"/>
          </w:tcPr>
          <w:p>
            <w:pPr>
              <w:spacing w:after="0"/>
              <w:rPr>
                <w:sz w:val="24"/>
                <w:szCs w:val="24"/>
                <w:color w:val="auto"/>
              </w:rPr>
            </w:pPr>
          </w:p>
        </w:tc>
        <w:tc>
          <w:tcPr>
            <w:tcW w:w="1160" w:type="dxa"/>
            <w:vAlign w:val="bottom"/>
            <w:gridSpan w:val="2"/>
            <w:shd w:val="clear" w:color="auto" w:fill="DBE5F1"/>
          </w:tcPr>
          <w:p>
            <w:pPr>
              <w:ind w:left="80"/>
              <w:spacing w:after="0"/>
              <w:rPr>
                <w:sz w:val="20"/>
                <w:szCs w:val="20"/>
                <w:color w:val="auto"/>
              </w:rPr>
            </w:pPr>
            <w:r>
              <w:rPr>
                <w:rFonts w:ascii="Arial" w:cs="Arial" w:eastAsia="Arial" w:hAnsi="Arial"/>
                <w:sz w:val="13"/>
                <w:szCs w:val="13"/>
                <w:color w:val="auto"/>
              </w:rPr>
              <w:t>$ 649,210</w:t>
            </w:r>
            <w:r>
              <w:rPr>
                <w:rFonts w:ascii="Arial" w:cs="Arial" w:eastAsia="Arial" w:hAnsi="Arial"/>
                <w:sz w:val="8"/>
                <w:szCs w:val="8"/>
                <w:color w:val="auto"/>
              </w:rPr>
              <w:t>(7)</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20" w:type="dxa"/>
            <w:vAlign w:val="bottom"/>
            <w:vMerge w:val="continue"/>
            <w:shd w:val="clear" w:color="auto" w:fill="DBE5F1"/>
          </w:tcPr>
          <w:p>
            <w:pPr>
              <w:spacing w:after="0"/>
              <w:rPr>
                <w:sz w:val="3"/>
                <w:szCs w:val="3"/>
                <w:color w:val="auto"/>
              </w:rPr>
            </w:pPr>
          </w:p>
        </w:tc>
        <w:tc>
          <w:tcPr>
            <w:tcW w:w="700" w:type="dxa"/>
            <w:vAlign w:val="bottom"/>
            <w:shd w:val="clear" w:color="auto" w:fill="DBE5F1"/>
          </w:tcPr>
          <w:p>
            <w:pPr>
              <w:spacing w:after="0"/>
              <w:rPr>
                <w:sz w:val="3"/>
                <w:szCs w:val="3"/>
                <w:color w:val="auto"/>
              </w:rPr>
            </w:pPr>
          </w:p>
        </w:tc>
        <w:tc>
          <w:tcPr>
            <w:tcW w:w="860" w:type="dxa"/>
            <w:vAlign w:val="bottom"/>
            <w:shd w:val="clear" w:color="auto" w:fill="DBE5F1"/>
          </w:tcPr>
          <w:p>
            <w:pPr>
              <w:spacing w:after="0"/>
              <w:rPr>
                <w:sz w:val="3"/>
                <w:szCs w:val="3"/>
                <w:color w:val="auto"/>
              </w:rPr>
            </w:pPr>
          </w:p>
        </w:tc>
        <w:tc>
          <w:tcPr>
            <w:tcW w:w="60" w:type="dxa"/>
            <w:vAlign w:val="bottom"/>
            <w:shd w:val="clear" w:color="auto" w:fill="DBE5F1"/>
          </w:tcPr>
          <w:p>
            <w:pPr>
              <w:spacing w:after="0"/>
              <w:rPr>
                <w:sz w:val="3"/>
                <w:szCs w:val="3"/>
                <w:color w:val="auto"/>
              </w:rPr>
            </w:pPr>
          </w:p>
        </w:tc>
        <w:tc>
          <w:tcPr>
            <w:tcW w:w="1160" w:type="dxa"/>
            <w:vAlign w:val="bottom"/>
            <w:shd w:val="clear" w:color="auto" w:fill="DBE5F1"/>
          </w:tcPr>
          <w:p>
            <w:pPr>
              <w:spacing w:after="0"/>
              <w:rPr>
                <w:sz w:val="3"/>
                <w:szCs w:val="3"/>
                <w:color w:val="auto"/>
              </w:rPr>
            </w:pPr>
          </w:p>
        </w:tc>
        <w:tc>
          <w:tcPr>
            <w:tcW w:w="860" w:type="dxa"/>
            <w:vAlign w:val="bottom"/>
            <w:shd w:val="clear" w:color="auto" w:fill="DBE5F1"/>
          </w:tcPr>
          <w:p>
            <w:pPr>
              <w:spacing w:after="0"/>
              <w:rPr>
                <w:sz w:val="3"/>
                <w:szCs w:val="3"/>
                <w:color w:val="auto"/>
              </w:rPr>
            </w:pPr>
          </w:p>
        </w:tc>
        <w:tc>
          <w:tcPr>
            <w:tcW w:w="940" w:type="dxa"/>
            <w:vAlign w:val="bottom"/>
            <w:shd w:val="clear" w:color="auto" w:fill="DBE5F1"/>
          </w:tcPr>
          <w:p>
            <w:pPr>
              <w:spacing w:after="0"/>
              <w:rPr>
                <w:sz w:val="3"/>
                <w:szCs w:val="3"/>
                <w:color w:val="auto"/>
              </w:rPr>
            </w:pPr>
          </w:p>
        </w:tc>
        <w:tc>
          <w:tcPr>
            <w:tcW w:w="700" w:type="dxa"/>
            <w:vAlign w:val="bottom"/>
            <w:shd w:val="clear" w:color="auto" w:fill="DBE5F1"/>
          </w:tcPr>
          <w:p>
            <w:pPr>
              <w:spacing w:after="0"/>
              <w:rPr>
                <w:sz w:val="3"/>
                <w:szCs w:val="3"/>
                <w:color w:val="auto"/>
              </w:rPr>
            </w:pPr>
          </w:p>
        </w:tc>
        <w:tc>
          <w:tcPr>
            <w:tcW w:w="860" w:type="dxa"/>
            <w:vAlign w:val="bottom"/>
            <w:shd w:val="clear" w:color="auto" w:fill="DBE5F1"/>
          </w:tcPr>
          <w:p>
            <w:pPr>
              <w:spacing w:after="0"/>
              <w:rPr>
                <w:sz w:val="3"/>
                <w:szCs w:val="3"/>
                <w:color w:val="auto"/>
              </w:rPr>
            </w:pPr>
          </w:p>
        </w:tc>
        <w:tc>
          <w:tcPr>
            <w:tcW w:w="900" w:type="dxa"/>
            <w:vAlign w:val="bottom"/>
            <w:shd w:val="clear" w:color="auto" w:fill="DBE5F1"/>
          </w:tcPr>
          <w:p>
            <w:pPr>
              <w:spacing w:after="0"/>
              <w:rPr>
                <w:sz w:val="3"/>
                <w:szCs w:val="3"/>
                <w:color w:val="auto"/>
              </w:rPr>
            </w:pPr>
          </w:p>
        </w:tc>
        <w:tc>
          <w:tcPr>
            <w:tcW w:w="1200" w:type="dxa"/>
            <w:vAlign w:val="bottom"/>
            <w:shd w:val="clear" w:color="auto" w:fill="DBE5F1"/>
          </w:tcPr>
          <w:p>
            <w:pPr>
              <w:spacing w:after="0"/>
              <w:rPr>
                <w:sz w:val="3"/>
                <w:szCs w:val="3"/>
                <w:color w:val="auto"/>
              </w:rPr>
            </w:pPr>
          </w:p>
        </w:tc>
        <w:tc>
          <w:tcPr>
            <w:tcW w:w="980" w:type="dxa"/>
            <w:vAlign w:val="bottom"/>
            <w:shd w:val="clear" w:color="auto" w:fill="DBE5F1"/>
          </w:tcPr>
          <w:p>
            <w:pPr>
              <w:spacing w:after="0"/>
              <w:rPr>
                <w:sz w:val="3"/>
                <w:szCs w:val="3"/>
                <w:color w:val="auto"/>
              </w:rPr>
            </w:pPr>
          </w:p>
        </w:tc>
        <w:tc>
          <w:tcPr>
            <w:tcW w:w="180" w:type="dxa"/>
            <w:vAlign w:val="bottom"/>
            <w:shd w:val="clear" w:color="auto" w:fill="DBE5F1"/>
          </w:tcPr>
          <w:p>
            <w:pPr>
              <w:spacing w:after="0"/>
              <w:rPr>
                <w:sz w:val="3"/>
                <w:szCs w:val="3"/>
                <w:color w:val="auto"/>
              </w:rPr>
            </w:pPr>
          </w:p>
        </w:tc>
        <w:tc>
          <w:tcPr>
            <w:tcW w:w="980" w:type="dxa"/>
            <w:vAlign w:val="bottom"/>
            <w:shd w:val="clear" w:color="auto" w:fill="DBE5F1"/>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4"/>
        </w:trPr>
        <w:tc>
          <w:tcPr>
            <w:tcW w:w="20" w:type="dxa"/>
            <w:vAlign w:val="bottom"/>
          </w:tcPr>
          <w:p>
            <w:pPr>
              <w:spacing w:after="0"/>
              <w:rPr>
                <w:sz w:val="14"/>
                <w:szCs w:val="14"/>
                <w:color w:val="auto"/>
              </w:rPr>
            </w:pPr>
          </w:p>
        </w:tc>
        <w:tc>
          <w:tcPr>
            <w:tcW w:w="1020" w:type="dxa"/>
            <w:vAlign w:val="bottom"/>
            <w:shd w:val="clear" w:color="auto" w:fill="DBE5F1"/>
          </w:tcPr>
          <w:p>
            <w:pPr>
              <w:ind w:left="20"/>
              <w:spacing w:after="0"/>
              <w:rPr>
                <w:sz w:val="20"/>
                <w:szCs w:val="20"/>
                <w:color w:val="auto"/>
              </w:rPr>
            </w:pPr>
            <w:r>
              <w:rPr>
                <w:rFonts w:ascii="Arial" w:cs="Arial" w:eastAsia="Arial" w:hAnsi="Arial"/>
                <w:sz w:val="13"/>
                <w:szCs w:val="13"/>
                <w:b w:val="1"/>
                <w:bCs w:val="1"/>
                <w:color w:val="auto"/>
              </w:rPr>
              <w:t>Carchedi</w:t>
            </w:r>
          </w:p>
        </w:tc>
        <w:tc>
          <w:tcPr>
            <w:tcW w:w="700" w:type="dxa"/>
            <w:vAlign w:val="bottom"/>
            <w:vMerge w:val="restart"/>
            <w:shd w:val="clear" w:color="auto" w:fill="DBE5F1"/>
          </w:tcPr>
          <w:p>
            <w:pPr>
              <w:jc w:val="center"/>
              <w:spacing w:after="0"/>
              <w:rPr>
                <w:sz w:val="20"/>
                <w:szCs w:val="20"/>
                <w:color w:val="auto"/>
              </w:rPr>
            </w:pPr>
            <w:r>
              <w:rPr>
                <w:rFonts w:ascii="Arial" w:cs="Arial" w:eastAsia="Arial" w:hAnsi="Arial"/>
                <w:sz w:val="13"/>
                <w:szCs w:val="13"/>
                <w:color w:val="auto"/>
                <w:w w:val="88"/>
              </w:rPr>
              <w:t>3/5/15</w:t>
            </w:r>
          </w:p>
        </w:tc>
        <w:tc>
          <w:tcPr>
            <w:tcW w:w="860" w:type="dxa"/>
            <w:vAlign w:val="bottom"/>
            <w:shd w:val="clear" w:color="auto" w:fill="DBE5F1"/>
          </w:tcPr>
          <w:p>
            <w:pPr>
              <w:spacing w:after="0"/>
              <w:rPr>
                <w:sz w:val="14"/>
                <w:szCs w:val="14"/>
                <w:color w:val="auto"/>
              </w:rPr>
            </w:pPr>
          </w:p>
        </w:tc>
        <w:tc>
          <w:tcPr>
            <w:tcW w:w="60" w:type="dxa"/>
            <w:vAlign w:val="bottom"/>
            <w:shd w:val="clear" w:color="auto" w:fill="DBE5F1"/>
          </w:tcPr>
          <w:p>
            <w:pPr>
              <w:spacing w:after="0"/>
              <w:rPr>
                <w:sz w:val="14"/>
                <w:szCs w:val="14"/>
                <w:color w:val="auto"/>
              </w:rPr>
            </w:pPr>
          </w:p>
        </w:tc>
        <w:tc>
          <w:tcPr>
            <w:tcW w:w="1160" w:type="dxa"/>
            <w:vAlign w:val="bottom"/>
            <w:shd w:val="clear" w:color="auto" w:fill="DBE5F1"/>
          </w:tcPr>
          <w:p>
            <w:pPr>
              <w:spacing w:after="0"/>
              <w:rPr>
                <w:sz w:val="14"/>
                <w:szCs w:val="14"/>
                <w:color w:val="auto"/>
              </w:rPr>
            </w:pPr>
          </w:p>
        </w:tc>
        <w:tc>
          <w:tcPr>
            <w:tcW w:w="860" w:type="dxa"/>
            <w:vAlign w:val="bottom"/>
            <w:shd w:val="clear" w:color="auto" w:fill="DBE5F1"/>
          </w:tcPr>
          <w:p>
            <w:pPr>
              <w:spacing w:after="0"/>
              <w:rPr>
                <w:sz w:val="14"/>
                <w:szCs w:val="14"/>
                <w:color w:val="auto"/>
              </w:rPr>
            </w:pPr>
          </w:p>
        </w:tc>
        <w:tc>
          <w:tcPr>
            <w:tcW w:w="940" w:type="dxa"/>
            <w:vAlign w:val="bottom"/>
            <w:shd w:val="clear" w:color="auto" w:fill="DBE5F1"/>
          </w:tcPr>
          <w:p>
            <w:pPr>
              <w:spacing w:after="0"/>
              <w:rPr>
                <w:sz w:val="14"/>
                <w:szCs w:val="14"/>
                <w:color w:val="auto"/>
              </w:rPr>
            </w:pPr>
          </w:p>
        </w:tc>
        <w:tc>
          <w:tcPr>
            <w:tcW w:w="700" w:type="dxa"/>
            <w:vAlign w:val="bottom"/>
            <w:shd w:val="clear" w:color="auto" w:fill="DBE5F1"/>
          </w:tcPr>
          <w:p>
            <w:pPr>
              <w:spacing w:after="0"/>
              <w:rPr>
                <w:sz w:val="14"/>
                <w:szCs w:val="14"/>
                <w:color w:val="auto"/>
              </w:rPr>
            </w:pPr>
          </w:p>
        </w:tc>
        <w:tc>
          <w:tcPr>
            <w:tcW w:w="860" w:type="dxa"/>
            <w:vAlign w:val="bottom"/>
            <w:shd w:val="clear" w:color="auto" w:fill="DBE5F1"/>
          </w:tcPr>
          <w:p>
            <w:pPr>
              <w:spacing w:after="0"/>
              <w:rPr>
                <w:sz w:val="14"/>
                <w:szCs w:val="14"/>
                <w:color w:val="auto"/>
              </w:rPr>
            </w:pPr>
          </w:p>
        </w:tc>
        <w:tc>
          <w:tcPr>
            <w:tcW w:w="900" w:type="dxa"/>
            <w:vAlign w:val="bottom"/>
            <w:vMerge w:val="restart"/>
            <w:shd w:val="clear" w:color="auto" w:fill="DBE5F1"/>
          </w:tcPr>
          <w:p>
            <w:pPr>
              <w:jc w:val="right"/>
              <w:spacing w:after="0"/>
              <w:rPr>
                <w:sz w:val="20"/>
                <w:szCs w:val="20"/>
                <w:color w:val="auto"/>
              </w:rPr>
            </w:pPr>
            <w:r>
              <w:rPr>
                <w:rFonts w:ascii="Arial" w:cs="Arial" w:eastAsia="Arial" w:hAnsi="Arial"/>
                <w:sz w:val="13"/>
                <w:szCs w:val="13"/>
                <w:color w:val="auto"/>
              </w:rPr>
              <w:t>5,000</w:t>
            </w:r>
          </w:p>
        </w:tc>
        <w:tc>
          <w:tcPr>
            <w:tcW w:w="1200" w:type="dxa"/>
            <w:vAlign w:val="bottom"/>
            <w:shd w:val="clear" w:color="auto" w:fill="DBE5F1"/>
          </w:tcPr>
          <w:p>
            <w:pPr>
              <w:spacing w:after="0"/>
              <w:rPr>
                <w:sz w:val="14"/>
                <w:szCs w:val="14"/>
                <w:color w:val="auto"/>
              </w:rPr>
            </w:pPr>
          </w:p>
        </w:tc>
        <w:tc>
          <w:tcPr>
            <w:tcW w:w="980" w:type="dxa"/>
            <w:vAlign w:val="bottom"/>
            <w:shd w:val="clear" w:color="auto" w:fill="DBE5F1"/>
          </w:tcPr>
          <w:p>
            <w:pPr>
              <w:spacing w:after="0"/>
              <w:rPr>
                <w:sz w:val="14"/>
                <w:szCs w:val="14"/>
                <w:color w:val="auto"/>
              </w:rPr>
            </w:pPr>
          </w:p>
        </w:tc>
        <w:tc>
          <w:tcPr>
            <w:tcW w:w="180" w:type="dxa"/>
            <w:vAlign w:val="bottom"/>
            <w:vMerge w:val="restart"/>
            <w:shd w:val="clear" w:color="auto" w:fill="DBE5F1"/>
          </w:tcPr>
          <w:p>
            <w:pPr>
              <w:ind w:left="80"/>
              <w:spacing w:after="0"/>
              <w:rPr>
                <w:sz w:val="20"/>
                <w:szCs w:val="20"/>
                <w:color w:val="auto"/>
              </w:rPr>
            </w:pPr>
            <w:r>
              <w:rPr>
                <w:rFonts w:ascii="Arial" w:cs="Arial" w:eastAsia="Arial" w:hAnsi="Arial"/>
                <w:sz w:val="13"/>
                <w:szCs w:val="13"/>
                <w:color w:val="auto"/>
              </w:rPr>
              <w:t>$</w:t>
            </w:r>
          </w:p>
        </w:tc>
        <w:tc>
          <w:tcPr>
            <w:tcW w:w="980" w:type="dxa"/>
            <w:vAlign w:val="bottom"/>
            <w:vMerge w:val="restart"/>
            <w:shd w:val="clear" w:color="auto" w:fill="DBE5F1"/>
          </w:tcPr>
          <w:p>
            <w:pPr>
              <w:jc w:val="right"/>
              <w:ind w:right="36"/>
              <w:spacing w:after="0"/>
              <w:rPr>
                <w:sz w:val="20"/>
                <w:szCs w:val="20"/>
                <w:color w:val="auto"/>
              </w:rPr>
            </w:pPr>
            <w:r>
              <w:rPr>
                <w:rFonts w:ascii="Arial" w:cs="Arial" w:eastAsia="Arial" w:hAnsi="Arial"/>
                <w:sz w:val="13"/>
                <w:szCs w:val="13"/>
                <w:color w:val="auto"/>
              </w:rPr>
              <w:t>968,450</w:t>
            </w: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20" w:type="dxa"/>
            <w:vAlign w:val="bottom"/>
            <w:shd w:val="clear" w:color="auto" w:fill="DBE5F1"/>
          </w:tcPr>
          <w:p>
            <w:pPr>
              <w:spacing w:after="0"/>
              <w:rPr>
                <w:sz w:val="7"/>
                <w:szCs w:val="7"/>
                <w:color w:val="auto"/>
              </w:rPr>
            </w:pPr>
          </w:p>
        </w:tc>
        <w:tc>
          <w:tcPr>
            <w:tcW w:w="700" w:type="dxa"/>
            <w:vAlign w:val="bottom"/>
            <w:vMerge w:val="continue"/>
            <w:shd w:val="clear" w:color="auto" w:fill="DBE5F1"/>
          </w:tcPr>
          <w:p>
            <w:pPr>
              <w:spacing w:after="0"/>
              <w:rPr>
                <w:sz w:val="7"/>
                <w:szCs w:val="7"/>
                <w:color w:val="auto"/>
              </w:rPr>
            </w:pPr>
          </w:p>
        </w:tc>
        <w:tc>
          <w:tcPr>
            <w:tcW w:w="860" w:type="dxa"/>
            <w:vAlign w:val="bottom"/>
            <w:shd w:val="clear" w:color="auto" w:fill="DBE5F1"/>
          </w:tcPr>
          <w:p>
            <w:pPr>
              <w:spacing w:after="0"/>
              <w:rPr>
                <w:sz w:val="7"/>
                <w:szCs w:val="7"/>
                <w:color w:val="auto"/>
              </w:rPr>
            </w:pPr>
          </w:p>
        </w:tc>
        <w:tc>
          <w:tcPr>
            <w:tcW w:w="60" w:type="dxa"/>
            <w:vAlign w:val="bottom"/>
            <w:shd w:val="clear" w:color="auto" w:fill="DBE5F1"/>
          </w:tcPr>
          <w:p>
            <w:pPr>
              <w:spacing w:after="0"/>
              <w:rPr>
                <w:sz w:val="7"/>
                <w:szCs w:val="7"/>
                <w:color w:val="auto"/>
              </w:rPr>
            </w:pPr>
          </w:p>
        </w:tc>
        <w:tc>
          <w:tcPr>
            <w:tcW w:w="1160" w:type="dxa"/>
            <w:vAlign w:val="bottom"/>
            <w:shd w:val="clear" w:color="auto" w:fill="DBE5F1"/>
          </w:tcPr>
          <w:p>
            <w:pPr>
              <w:spacing w:after="0"/>
              <w:rPr>
                <w:sz w:val="7"/>
                <w:szCs w:val="7"/>
                <w:color w:val="auto"/>
              </w:rPr>
            </w:pPr>
          </w:p>
        </w:tc>
        <w:tc>
          <w:tcPr>
            <w:tcW w:w="860" w:type="dxa"/>
            <w:vAlign w:val="bottom"/>
            <w:shd w:val="clear" w:color="auto" w:fill="DBE5F1"/>
          </w:tcPr>
          <w:p>
            <w:pPr>
              <w:spacing w:after="0"/>
              <w:rPr>
                <w:sz w:val="7"/>
                <w:szCs w:val="7"/>
                <w:color w:val="auto"/>
              </w:rPr>
            </w:pPr>
          </w:p>
        </w:tc>
        <w:tc>
          <w:tcPr>
            <w:tcW w:w="940" w:type="dxa"/>
            <w:vAlign w:val="bottom"/>
            <w:shd w:val="clear" w:color="auto" w:fill="DBE5F1"/>
          </w:tcPr>
          <w:p>
            <w:pPr>
              <w:spacing w:after="0"/>
              <w:rPr>
                <w:sz w:val="7"/>
                <w:szCs w:val="7"/>
                <w:color w:val="auto"/>
              </w:rPr>
            </w:pPr>
          </w:p>
        </w:tc>
        <w:tc>
          <w:tcPr>
            <w:tcW w:w="700" w:type="dxa"/>
            <w:vAlign w:val="bottom"/>
            <w:shd w:val="clear" w:color="auto" w:fill="DBE5F1"/>
          </w:tcPr>
          <w:p>
            <w:pPr>
              <w:spacing w:after="0"/>
              <w:rPr>
                <w:sz w:val="7"/>
                <w:szCs w:val="7"/>
                <w:color w:val="auto"/>
              </w:rPr>
            </w:pPr>
          </w:p>
        </w:tc>
        <w:tc>
          <w:tcPr>
            <w:tcW w:w="860" w:type="dxa"/>
            <w:vAlign w:val="bottom"/>
            <w:shd w:val="clear" w:color="auto" w:fill="DBE5F1"/>
          </w:tcPr>
          <w:p>
            <w:pPr>
              <w:spacing w:after="0"/>
              <w:rPr>
                <w:sz w:val="7"/>
                <w:szCs w:val="7"/>
                <w:color w:val="auto"/>
              </w:rPr>
            </w:pPr>
          </w:p>
        </w:tc>
        <w:tc>
          <w:tcPr>
            <w:tcW w:w="900" w:type="dxa"/>
            <w:vAlign w:val="bottom"/>
            <w:vMerge w:val="continue"/>
            <w:shd w:val="clear" w:color="auto" w:fill="DBE5F1"/>
          </w:tcPr>
          <w:p>
            <w:pPr>
              <w:spacing w:after="0"/>
              <w:rPr>
                <w:sz w:val="7"/>
                <w:szCs w:val="7"/>
                <w:color w:val="auto"/>
              </w:rPr>
            </w:pPr>
          </w:p>
        </w:tc>
        <w:tc>
          <w:tcPr>
            <w:tcW w:w="1200" w:type="dxa"/>
            <w:vAlign w:val="bottom"/>
            <w:shd w:val="clear" w:color="auto" w:fill="DBE5F1"/>
          </w:tcPr>
          <w:p>
            <w:pPr>
              <w:spacing w:after="0"/>
              <w:rPr>
                <w:sz w:val="7"/>
                <w:szCs w:val="7"/>
                <w:color w:val="auto"/>
              </w:rPr>
            </w:pPr>
          </w:p>
        </w:tc>
        <w:tc>
          <w:tcPr>
            <w:tcW w:w="980" w:type="dxa"/>
            <w:vAlign w:val="bottom"/>
            <w:shd w:val="clear" w:color="auto" w:fill="DBE5F1"/>
          </w:tcPr>
          <w:p>
            <w:pPr>
              <w:spacing w:after="0"/>
              <w:rPr>
                <w:sz w:val="7"/>
                <w:szCs w:val="7"/>
                <w:color w:val="auto"/>
              </w:rPr>
            </w:pPr>
          </w:p>
        </w:tc>
        <w:tc>
          <w:tcPr>
            <w:tcW w:w="180" w:type="dxa"/>
            <w:vAlign w:val="bottom"/>
            <w:vMerge w:val="continue"/>
            <w:shd w:val="clear" w:color="auto" w:fill="DBE5F1"/>
          </w:tcPr>
          <w:p>
            <w:pPr>
              <w:spacing w:after="0"/>
              <w:rPr>
                <w:sz w:val="7"/>
                <w:szCs w:val="7"/>
                <w:color w:val="auto"/>
              </w:rPr>
            </w:pPr>
          </w:p>
        </w:tc>
        <w:tc>
          <w:tcPr>
            <w:tcW w:w="980" w:type="dxa"/>
            <w:vAlign w:val="bottom"/>
            <w:vMerge w:val="continue"/>
            <w:shd w:val="clear" w:color="auto" w:fill="DBE5F1"/>
          </w:tcPr>
          <w:p>
            <w:pPr>
              <w:spacing w:after="0"/>
              <w:rPr>
                <w:sz w:val="7"/>
                <w:szCs w:val="7"/>
                <w:color w:val="auto"/>
              </w:rPr>
            </w:pPr>
          </w:p>
        </w:tc>
        <w:tc>
          <w:tcPr>
            <w:tcW w:w="0" w:type="dxa"/>
            <w:vAlign w:val="bottom"/>
          </w:tcPr>
          <w:p>
            <w:pPr>
              <w:spacing w:after="0"/>
              <w:rPr>
                <w:sz w:val="1"/>
                <w:szCs w:val="1"/>
                <w:color w:val="auto"/>
              </w:rPr>
            </w:pPr>
          </w:p>
        </w:tc>
      </w:tr>
      <w:tr>
        <w:trPr>
          <w:trHeight w:val="320"/>
        </w:trPr>
        <w:tc>
          <w:tcPr>
            <w:tcW w:w="20" w:type="dxa"/>
            <w:vAlign w:val="bottom"/>
          </w:tcPr>
          <w:p>
            <w:pPr>
              <w:spacing w:after="0"/>
              <w:rPr>
                <w:sz w:val="24"/>
                <w:szCs w:val="24"/>
                <w:color w:val="auto"/>
              </w:rPr>
            </w:pPr>
          </w:p>
        </w:tc>
        <w:tc>
          <w:tcPr>
            <w:tcW w:w="1020" w:type="dxa"/>
            <w:vAlign w:val="bottom"/>
            <w:tcBorders>
              <w:bottom w:val="single" w:sz="8" w:color="DBE5F1"/>
            </w:tcBorders>
            <w:shd w:val="clear" w:color="auto" w:fill="DBE5F1"/>
          </w:tcPr>
          <w:p>
            <w:pPr>
              <w:spacing w:after="0"/>
              <w:rPr>
                <w:sz w:val="24"/>
                <w:szCs w:val="24"/>
                <w:color w:val="auto"/>
              </w:rPr>
            </w:pPr>
          </w:p>
        </w:tc>
        <w:tc>
          <w:tcPr>
            <w:tcW w:w="700" w:type="dxa"/>
            <w:vAlign w:val="bottom"/>
            <w:tcBorders>
              <w:bottom w:val="single" w:sz="8" w:color="DBE5F1"/>
            </w:tcBorders>
            <w:shd w:val="clear" w:color="auto" w:fill="DBE5F1"/>
          </w:tcPr>
          <w:p>
            <w:pPr>
              <w:jc w:val="center"/>
              <w:spacing w:after="0"/>
              <w:rPr>
                <w:sz w:val="20"/>
                <w:szCs w:val="20"/>
                <w:color w:val="auto"/>
              </w:rPr>
            </w:pPr>
            <w:r>
              <w:rPr>
                <w:rFonts w:ascii="Arial" w:cs="Arial" w:eastAsia="Arial" w:hAnsi="Arial"/>
                <w:sz w:val="13"/>
                <w:szCs w:val="13"/>
                <w:color w:val="auto"/>
                <w:w w:val="88"/>
              </w:rPr>
              <w:t>3/5/15</w:t>
            </w:r>
          </w:p>
        </w:tc>
        <w:tc>
          <w:tcPr>
            <w:tcW w:w="860" w:type="dxa"/>
            <w:vAlign w:val="bottom"/>
            <w:tcBorders>
              <w:bottom w:val="single" w:sz="8" w:color="DBE5F1"/>
            </w:tcBorders>
            <w:shd w:val="clear" w:color="auto" w:fill="DBE5F1"/>
          </w:tcPr>
          <w:p>
            <w:pPr>
              <w:spacing w:after="0"/>
              <w:rPr>
                <w:sz w:val="24"/>
                <w:szCs w:val="24"/>
                <w:color w:val="auto"/>
              </w:rPr>
            </w:pPr>
          </w:p>
        </w:tc>
        <w:tc>
          <w:tcPr>
            <w:tcW w:w="60" w:type="dxa"/>
            <w:vAlign w:val="bottom"/>
            <w:tcBorders>
              <w:bottom w:val="single" w:sz="8" w:color="DBE5F1"/>
            </w:tcBorders>
            <w:shd w:val="clear" w:color="auto" w:fill="DBE5F1"/>
          </w:tcPr>
          <w:p>
            <w:pPr>
              <w:spacing w:after="0"/>
              <w:rPr>
                <w:sz w:val="24"/>
                <w:szCs w:val="24"/>
                <w:color w:val="auto"/>
              </w:rPr>
            </w:pPr>
          </w:p>
        </w:tc>
        <w:tc>
          <w:tcPr>
            <w:tcW w:w="1160" w:type="dxa"/>
            <w:vAlign w:val="bottom"/>
            <w:tcBorders>
              <w:bottom w:val="single" w:sz="8" w:color="DBE5F1"/>
            </w:tcBorders>
            <w:shd w:val="clear" w:color="auto" w:fill="DBE5F1"/>
          </w:tcPr>
          <w:p>
            <w:pPr>
              <w:spacing w:after="0"/>
              <w:rPr>
                <w:sz w:val="24"/>
                <w:szCs w:val="24"/>
                <w:color w:val="auto"/>
              </w:rPr>
            </w:pPr>
          </w:p>
        </w:tc>
        <w:tc>
          <w:tcPr>
            <w:tcW w:w="860" w:type="dxa"/>
            <w:vAlign w:val="bottom"/>
            <w:tcBorders>
              <w:bottom w:val="single" w:sz="8" w:color="DBE5F1"/>
            </w:tcBorders>
            <w:shd w:val="clear" w:color="auto" w:fill="DBE5F1"/>
          </w:tcPr>
          <w:p>
            <w:pPr>
              <w:spacing w:after="0"/>
              <w:rPr>
                <w:sz w:val="24"/>
                <w:szCs w:val="24"/>
                <w:color w:val="auto"/>
              </w:rPr>
            </w:pPr>
          </w:p>
        </w:tc>
        <w:tc>
          <w:tcPr>
            <w:tcW w:w="940" w:type="dxa"/>
            <w:vAlign w:val="bottom"/>
            <w:tcBorders>
              <w:bottom w:val="single" w:sz="8" w:color="DBE5F1"/>
            </w:tcBorders>
            <w:shd w:val="clear" w:color="auto" w:fill="DBE5F1"/>
          </w:tcPr>
          <w:p>
            <w:pPr>
              <w:spacing w:after="0"/>
              <w:rPr>
                <w:sz w:val="24"/>
                <w:szCs w:val="24"/>
                <w:color w:val="auto"/>
              </w:rPr>
            </w:pPr>
          </w:p>
        </w:tc>
        <w:tc>
          <w:tcPr>
            <w:tcW w:w="700" w:type="dxa"/>
            <w:vAlign w:val="bottom"/>
            <w:tcBorders>
              <w:bottom w:val="single" w:sz="8" w:color="DBE5F1"/>
            </w:tcBorders>
            <w:shd w:val="clear" w:color="auto" w:fill="DBE5F1"/>
          </w:tcPr>
          <w:p>
            <w:pPr>
              <w:spacing w:after="0"/>
              <w:rPr>
                <w:sz w:val="24"/>
                <w:szCs w:val="24"/>
                <w:color w:val="auto"/>
              </w:rPr>
            </w:pPr>
          </w:p>
        </w:tc>
        <w:tc>
          <w:tcPr>
            <w:tcW w:w="860" w:type="dxa"/>
            <w:vAlign w:val="bottom"/>
            <w:tcBorders>
              <w:bottom w:val="single" w:sz="8" w:color="DBE5F1"/>
            </w:tcBorders>
            <w:shd w:val="clear" w:color="auto" w:fill="DBE5F1"/>
          </w:tcPr>
          <w:p>
            <w:pPr>
              <w:spacing w:after="0"/>
              <w:rPr>
                <w:sz w:val="24"/>
                <w:szCs w:val="24"/>
                <w:color w:val="auto"/>
              </w:rPr>
            </w:pPr>
          </w:p>
        </w:tc>
        <w:tc>
          <w:tcPr>
            <w:tcW w:w="900" w:type="dxa"/>
            <w:vAlign w:val="bottom"/>
            <w:tcBorders>
              <w:bottom w:val="single" w:sz="8" w:color="DBE5F1"/>
            </w:tcBorders>
            <w:shd w:val="clear" w:color="auto" w:fill="DBE5F1"/>
          </w:tcPr>
          <w:p>
            <w:pPr>
              <w:spacing w:after="0"/>
              <w:rPr>
                <w:sz w:val="24"/>
                <w:szCs w:val="24"/>
                <w:color w:val="auto"/>
              </w:rPr>
            </w:pPr>
          </w:p>
        </w:tc>
        <w:tc>
          <w:tcPr>
            <w:tcW w:w="1200" w:type="dxa"/>
            <w:vAlign w:val="bottom"/>
            <w:tcBorders>
              <w:bottom w:val="single" w:sz="8" w:color="DBE5F1"/>
            </w:tcBorders>
            <w:shd w:val="clear" w:color="auto" w:fill="DBE5F1"/>
          </w:tcPr>
          <w:p>
            <w:pPr>
              <w:jc w:val="right"/>
              <w:ind w:right="54"/>
              <w:spacing w:after="0"/>
              <w:rPr>
                <w:sz w:val="20"/>
                <w:szCs w:val="20"/>
                <w:color w:val="auto"/>
              </w:rPr>
            </w:pPr>
            <w:r>
              <w:rPr>
                <w:rFonts w:ascii="Arial" w:cs="Arial" w:eastAsia="Arial" w:hAnsi="Arial"/>
                <w:sz w:val="13"/>
                <w:szCs w:val="13"/>
                <w:color w:val="auto"/>
              </w:rPr>
              <w:t>8,500</w:t>
            </w:r>
          </w:p>
        </w:tc>
        <w:tc>
          <w:tcPr>
            <w:tcW w:w="980" w:type="dxa"/>
            <w:vAlign w:val="bottom"/>
            <w:tcBorders>
              <w:bottom w:val="single" w:sz="8" w:color="DBE5F1"/>
            </w:tcBorders>
            <w:shd w:val="clear" w:color="auto" w:fill="DBE5F1"/>
          </w:tcPr>
          <w:p>
            <w:pPr>
              <w:jc w:val="right"/>
              <w:spacing w:after="0"/>
              <w:rPr>
                <w:sz w:val="20"/>
                <w:szCs w:val="20"/>
                <w:color w:val="auto"/>
              </w:rPr>
            </w:pPr>
            <w:r>
              <w:rPr>
                <w:rFonts w:ascii="Arial" w:cs="Arial" w:eastAsia="Arial" w:hAnsi="Arial"/>
                <w:sz w:val="13"/>
                <w:szCs w:val="13"/>
                <w:color w:val="auto"/>
              </w:rPr>
              <w:t>$193.69</w:t>
            </w:r>
          </w:p>
        </w:tc>
        <w:tc>
          <w:tcPr>
            <w:tcW w:w="180" w:type="dxa"/>
            <w:vAlign w:val="bottom"/>
            <w:tcBorders>
              <w:bottom w:val="single" w:sz="8" w:color="DBE5F1"/>
            </w:tcBorders>
            <w:shd w:val="clear" w:color="auto" w:fill="DBE5F1"/>
          </w:tcPr>
          <w:p>
            <w:pPr>
              <w:ind w:left="80"/>
              <w:spacing w:after="0"/>
              <w:rPr>
                <w:sz w:val="20"/>
                <w:szCs w:val="20"/>
                <w:color w:val="auto"/>
              </w:rPr>
            </w:pPr>
            <w:r>
              <w:rPr>
                <w:rFonts w:ascii="Arial" w:cs="Arial" w:eastAsia="Arial" w:hAnsi="Arial"/>
                <w:sz w:val="13"/>
                <w:szCs w:val="13"/>
                <w:color w:val="auto"/>
              </w:rPr>
              <w:t>$</w:t>
            </w:r>
          </w:p>
        </w:tc>
        <w:tc>
          <w:tcPr>
            <w:tcW w:w="980" w:type="dxa"/>
            <w:vAlign w:val="bottom"/>
            <w:tcBorders>
              <w:bottom w:val="single" w:sz="8" w:color="DBE5F1"/>
            </w:tcBorders>
            <w:shd w:val="clear" w:color="auto" w:fill="DBE5F1"/>
          </w:tcPr>
          <w:p>
            <w:pPr>
              <w:jc w:val="right"/>
              <w:ind w:right="36"/>
              <w:spacing w:after="0"/>
              <w:rPr>
                <w:sz w:val="20"/>
                <w:szCs w:val="20"/>
                <w:color w:val="auto"/>
              </w:rPr>
            </w:pPr>
            <w:r>
              <w:rPr>
                <w:rFonts w:ascii="Arial" w:cs="Arial" w:eastAsia="Arial" w:hAnsi="Arial"/>
                <w:sz w:val="13"/>
                <w:szCs w:val="13"/>
                <w:color w:val="auto"/>
              </w:rPr>
              <w:t>480,505</w:t>
            </w: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1020" w:type="dxa"/>
            <w:vAlign w:val="bottom"/>
            <w:shd w:val="clear" w:color="auto" w:fill="F2F2F2"/>
          </w:tcPr>
          <w:p>
            <w:pPr>
              <w:spacing w:after="0"/>
              <w:rPr>
                <w:sz w:val="24"/>
                <w:szCs w:val="24"/>
                <w:color w:val="auto"/>
              </w:rPr>
            </w:pPr>
          </w:p>
        </w:tc>
        <w:tc>
          <w:tcPr>
            <w:tcW w:w="700" w:type="dxa"/>
            <w:vAlign w:val="bottom"/>
            <w:shd w:val="clear" w:color="auto" w:fill="F2F2F2"/>
          </w:tcPr>
          <w:p>
            <w:pPr>
              <w:spacing w:after="0"/>
              <w:rPr>
                <w:sz w:val="24"/>
                <w:szCs w:val="24"/>
                <w:color w:val="auto"/>
              </w:rPr>
            </w:pPr>
          </w:p>
        </w:tc>
        <w:tc>
          <w:tcPr>
            <w:tcW w:w="860" w:type="dxa"/>
            <w:vAlign w:val="bottom"/>
            <w:shd w:val="clear" w:color="auto" w:fill="F2F2F2"/>
          </w:tcPr>
          <w:p>
            <w:pPr>
              <w:spacing w:after="0"/>
              <w:rPr>
                <w:sz w:val="24"/>
                <w:szCs w:val="24"/>
                <w:color w:val="auto"/>
              </w:rPr>
            </w:pPr>
          </w:p>
        </w:tc>
        <w:tc>
          <w:tcPr>
            <w:tcW w:w="60" w:type="dxa"/>
            <w:vAlign w:val="bottom"/>
            <w:shd w:val="clear" w:color="auto" w:fill="F2F2F2"/>
          </w:tcPr>
          <w:p>
            <w:pPr>
              <w:spacing w:after="0"/>
              <w:rPr>
                <w:sz w:val="24"/>
                <w:szCs w:val="24"/>
                <w:color w:val="auto"/>
              </w:rPr>
            </w:pPr>
          </w:p>
        </w:tc>
        <w:tc>
          <w:tcPr>
            <w:tcW w:w="1160" w:type="dxa"/>
            <w:vAlign w:val="bottom"/>
            <w:shd w:val="clear" w:color="auto" w:fill="F2F2F2"/>
          </w:tcPr>
          <w:p>
            <w:pPr>
              <w:spacing w:after="0"/>
              <w:rPr>
                <w:sz w:val="24"/>
                <w:szCs w:val="24"/>
                <w:color w:val="auto"/>
              </w:rPr>
            </w:pPr>
          </w:p>
        </w:tc>
        <w:tc>
          <w:tcPr>
            <w:tcW w:w="860" w:type="dxa"/>
            <w:vAlign w:val="bottom"/>
            <w:shd w:val="clear" w:color="auto" w:fill="F2F2F2"/>
          </w:tcPr>
          <w:p>
            <w:pPr>
              <w:spacing w:after="0"/>
              <w:rPr>
                <w:sz w:val="24"/>
                <w:szCs w:val="24"/>
                <w:color w:val="auto"/>
              </w:rPr>
            </w:pPr>
          </w:p>
        </w:tc>
        <w:tc>
          <w:tcPr>
            <w:tcW w:w="940" w:type="dxa"/>
            <w:vAlign w:val="bottom"/>
            <w:shd w:val="clear" w:color="auto" w:fill="F2F2F2"/>
          </w:tcPr>
          <w:p>
            <w:pPr>
              <w:spacing w:after="0"/>
              <w:rPr>
                <w:sz w:val="24"/>
                <w:szCs w:val="24"/>
                <w:color w:val="auto"/>
              </w:rPr>
            </w:pPr>
          </w:p>
        </w:tc>
        <w:tc>
          <w:tcPr>
            <w:tcW w:w="700" w:type="dxa"/>
            <w:vAlign w:val="bottom"/>
            <w:shd w:val="clear" w:color="auto" w:fill="F2F2F2"/>
          </w:tcPr>
          <w:p>
            <w:pPr>
              <w:spacing w:after="0"/>
              <w:rPr>
                <w:sz w:val="24"/>
                <w:szCs w:val="24"/>
                <w:color w:val="auto"/>
              </w:rPr>
            </w:pPr>
          </w:p>
        </w:tc>
        <w:tc>
          <w:tcPr>
            <w:tcW w:w="860" w:type="dxa"/>
            <w:vAlign w:val="bottom"/>
            <w:shd w:val="clear" w:color="auto" w:fill="F2F2F2"/>
          </w:tcPr>
          <w:p>
            <w:pPr>
              <w:spacing w:after="0"/>
              <w:rPr>
                <w:sz w:val="24"/>
                <w:szCs w:val="24"/>
                <w:color w:val="auto"/>
              </w:rPr>
            </w:pPr>
          </w:p>
        </w:tc>
        <w:tc>
          <w:tcPr>
            <w:tcW w:w="900" w:type="dxa"/>
            <w:vAlign w:val="bottom"/>
            <w:shd w:val="clear" w:color="auto" w:fill="F2F2F2"/>
          </w:tcPr>
          <w:p>
            <w:pPr>
              <w:spacing w:after="0"/>
              <w:rPr>
                <w:sz w:val="24"/>
                <w:szCs w:val="24"/>
                <w:color w:val="auto"/>
              </w:rPr>
            </w:pPr>
          </w:p>
        </w:tc>
        <w:tc>
          <w:tcPr>
            <w:tcW w:w="1200" w:type="dxa"/>
            <w:vAlign w:val="bottom"/>
            <w:shd w:val="clear" w:color="auto" w:fill="F2F2F2"/>
          </w:tcPr>
          <w:p>
            <w:pPr>
              <w:spacing w:after="0"/>
              <w:rPr>
                <w:sz w:val="24"/>
                <w:szCs w:val="24"/>
                <w:color w:val="auto"/>
              </w:rPr>
            </w:pPr>
          </w:p>
        </w:tc>
        <w:tc>
          <w:tcPr>
            <w:tcW w:w="980" w:type="dxa"/>
            <w:vAlign w:val="bottom"/>
            <w:shd w:val="clear" w:color="auto" w:fill="F2F2F2"/>
          </w:tcPr>
          <w:p>
            <w:pPr>
              <w:spacing w:after="0"/>
              <w:rPr>
                <w:sz w:val="24"/>
                <w:szCs w:val="24"/>
                <w:color w:val="auto"/>
              </w:rPr>
            </w:pPr>
          </w:p>
        </w:tc>
        <w:tc>
          <w:tcPr>
            <w:tcW w:w="180" w:type="dxa"/>
            <w:vAlign w:val="bottom"/>
            <w:shd w:val="clear" w:color="auto" w:fill="F2F2F2"/>
          </w:tcPr>
          <w:p>
            <w:pPr>
              <w:spacing w:after="0"/>
              <w:rPr>
                <w:sz w:val="24"/>
                <w:szCs w:val="24"/>
                <w:color w:val="auto"/>
              </w:rPr>
            </w:pPr>
          </w:p>
        </w:tc>
        <w:tc>
          <w:tcPr>
            <w:tcW w:w="980" w:type="dxa"/>
            <w:vAlign w:val="bottom"/>
            <w:shd w:val="clear" w:color="auto" w:fill="F2F2F2"/>
          </w:tcPr>
          <w:p>
            <w:pPr>
              <w:spacing w:after="0"/>
              <w:rPr>
                <w:sz w:val="24"/>
                <w:szCs w:val="24"/>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20" w:type="dxa"/>
            <w:vAlign w:val="bottom"/>
            <w:shd w:val="clear" w:color="auto" w:fill="DBE5F1"/>
          </w:tcPr>
          <w:p>
            <w:pPr>
              <w:spacing w:after="0"/>
              <w:rPr>
                <w:sz w:val="19"/>
                <w:szCs w:val="19"/>
                <w:color w:val="auto"/>
              </w:rPr>
            </w:pPr>
          </w:p>
        </w:tc>
        <w:tc>
          <w:tcPr>
            <w:tcW w:w="700" w:type="dxa"/>
            <w:vAlign w:val="bottom"/>
            <w:shd w:val="clear" w:color="auto" w:fill="DBE5F1"/>
          </w:tcPr>
          <w:p>
            <w:pPr>
              <w:jc w:val="center"/>
              <w:spacing w:after="0"/>
              <w:rPr>
                <w:sz w:val="20"/>
                <w:szCs w:val="20"/>
                <w:color w:val="auto"/>
              </w:rPr>
            </w:pPr>
            <w:r>
              <w:rPr>
                <w:rFonts w:ascii="Arial" w:cs="Arial" w:eastAsia="Arial" w:hAnsi="Arial"/>
                <w:sz w:val="13"/>
                <w:szCs w:val="13"/>
                <w:color w:val="auto"/>
                <w:w w:val="88"/>
              </w:rPr>
              <w:t>3/5/15</w:t>
            </w:r>
          </w:p>
        </w:tc>
        <w:tc>
          <w:tcPr>
            <w:tcW w:w="860" w:type="dxa"/>
            <w:vAlign w:val="bottom"/>
            <w:shd w:val="clear" w:color="auto" w:fill="DBE5F1"/>
          </w:tcPr>
          <w:p>
            <w:pPr>
              <w:spacing w:after="0"/>
              <w:rPr>
                <w:sz w:val="19"/>
                <w:szCs w:val="19"/>
                <w:color w:val="auto"/>
              </w:rPr>
            </w:pPr>
          </w:p>
        </w:tc>
        <w:tc>
          <w:tcPr>
            <w:tcW w:w="60" w:type="dxa"/>
            <w:vAlign w:val="bottom"/>
            <w:shd w:val="clear" w:color="auto" w:fill="DBE5F1"/>
          </w:tcPr>
          <w:p>
            <w:pPr>
              <w:spacing w:after="0"/>
              <w:rPr>
                <w:sz w:val="19"/>
                <w:szCs w:val="19"/>
                <w:color w:val="auto"/>
              </w:rPr>
            </w:pPr>
          </w:p>
        </w:tc>
        <w:tc>
          <w:tcPr>
            <w:tcW w:w="1160" w:type="dxa"/>
            <w:vAlign w:val="bottom"/>
            <w:shd w:val="clear" w:color="auto" w:fill="DBE5F1"/>
          </w:tcPr>
          <w:p>
            <w:pPr>
              <w:spacing w:after="0"/>
              <w:rPr>
                <w:sz w:val="19"/>
                <w:szCs w:val="19"/>
                <w:color w:val="auto"/>
              </w:rPr>
            </w:pPr>
          </w:p>
        </w:tc>
        <w:tc>
          <w:tcPr>
            <w:tcW w:w="860" w:type="dxa"/>
            <w:vAlign w:val="bottom"/>
            <w:shd w:val="clear" w:color="auto" w:fill="DBE5F1"/>
          </w:tcPr>
          <w:p>
            <w:pPr>
              <w:spacing w:after="0"/>
              <w:rPr>
                <w:sz w:val="19"/>
                <w:szCs w:val="19"/>
                <w:color w:val="auto"/>
              </w:rPr>
            </w:pPr>
          </w:p>
        </w:tc>
        <w:tc>
          <w:tcPr>
            <w:tcW w:w="940" w:type="dxa"/>
            <w:vAlign w:val="bottom"/>
            <w:shd w:val="clear" w:color="auto" w:fill="DBE5F1"/>
          </w:tcPr>
          <w:p>
            <w:pPr>
              <w:jc w:val="right"/>
              <w:ind w:right="15"/>
              <w:spacing w:after="0"/>
              <w:rPr>
                <w:sz w:val="20"/>
                <w:szCs w:val="20"/>
                <w:color w:val="auto"/>
              </w:rPr>
            </w:pPr>
            <w:r>
              <w:rPr>
                <w:rFonts w:ascii="Arial" w:cs="Arial" w:eastAsia="Arial" w:hAnsi="Arial"/>
                <w:sz w:val="13"/>
                <w:szCs w:val="13"/>
                <w:color w:val="auto"/>
              </w:rPr>
              <w:t>440</w:t>
            </w:r>
          </w:p>
        </w:tc>
        <w:tc>
          <w:tcPr>
            <w:tcW w:w="700" w:type="dxa"/>
            <w:vAlign w:val="bottom"/>
            <w:shd w:val="clear" w:color="auto" w:fill="DBE5F1"/>
          </w:tcPr>
          <w:p>
            <w:pPr>
              <w:jc w:val="right"/>
              <w:ind w:right="57"/>
              <w:spacing w:after="0"/>
              <w:rPr>
                <w:sz w:val="20"/>
                <w:szCs w:val="20"/>
                <w:color w:val="auto"/>
              </w:rPr>
            </w:pPr>
            <w:r>
              <w:rPr>
                <w:rFonts w:ascii="Arial" w:cs="Arial" w:eastAsia="Arial" w:hAnsi="Arial"/>
                <w:sz w:val="13"/>
                <w:szCs w:val="13"/>
                <w:color w:val="auto"/>
              </w:rPr>
              <w:t>1,100</w:t>
            </w:r>
          </w:p>
        </w:tc>
        <w:tc>
          <w:tcPr>
            <w:tcW w:w="860" w:type="dxa"/>
            <w:vAlign w:val="bottom"/>
            <w:shd w:val="clear" w:color="auto" w:fill="DBE5F1"/>
          </w:tcPr>
          <w:p>
            <w:pPr>
              <w:jc w:val="right"/>
              <w:spacing w:after="0"/>
              <w:rPr>
                <w:sz w:val="20"/>
                <w:szCs w:val="20"/>
                <w:color w:val="auto"/>
              </w:rPr>
            </w:pPr>
            <w:r>
              <w:rPr>
                <w:rFonts w:ascii="Arial" w:cs="Arial" w:eastAsia="Arial" w:hAnsi="Arial"/>
                <w:sz w:val="13"/>
                <w:szCs w:val="13"/>
                <w:color w:val="auto"/>
              </w:rPr>
              <w:t>2,640</w:t>
            </w:r>
          </w:p>
        </w:tc>
        <w:tc>
          <w:tcPr>
            <w:tcW w:w="900" w:type="dxa"/>
            <w:vAlign w:val="bottom"/>
            <w:shd w:val="clear" w:color="auto" w:fill="DBE5F1"/>
          </w:tcPr>
          <w:p>
            <w:pPr>
              <w:spacing w:after="0"/>
              <w:rPr>
                <w:sz w:val="19"/>
                <w:szCs w:val="19"/>
                <w:color w:val="auto"/>
              </w:rPr>
            </w:pPr>
          </w:p>
        </w:tc>
        <w:tc>
          <w:tcPr>
            <w:tcW w:w="1200" w:type="dxa"/>
            <w:vAlign w:val="bottom"/>
            <w:shd w:val="clear" w:color="auto" w:fill="DBE5F1"/>
          </w:tcPr>
          <w:p>
            <w:pPr>
              <w:spacing w:after="0"/>
              <w:rPr>
                <w:sz w:val="19"/>
                <w:szCs w:val="19"/>
                <w:color w:val="auto"/>
              </w:rPr>
            </w:pPr>
          </w:p>
        </w:tc>
        <w:tc>
          <w:tcPr>
            <w:tcW w:w="980" w:type="dxa"/>
            <w:vAlign w:val="bottom"/>
            <w:shd w:val="clear" w:color="auto" w:fill="DBE5F1"/>
          </w:tcPr>
          <w:p>
            <w:pPr>
              <w:spacing w:after="0"/>
              <w:rPr>
                <w:sz w:val="19"/>
                <w:szCs w:val="19"/>
                <w:color w:val="auto"/>
              </w:rPr>
            </w:pPr>
          </w:p>
        </w:tc>
        <w:tc>
          <w:tcPr>
            <w:tcW w:w="180" w:type="dxa"/>
            <w:vAlign w:val="bottom"/>
            <w:shd w:val="clear" w:color="auto" w:fill="DBE5F1"/>
          </w:tcPr>
          <w:p>
            <w:pPr>
              <w:ind w:left="80"/>
              <w:spacing w:after="0"/>
              <w:rPr>
                <w:sz w:val="20"/>
                <w:szCs w:val="20"/>
                <w:color w:val="auto"/>
              </w:rPr>
            </w:pPr>
            <w:r>
              <w:rPr>
                <w:rFonts w:ascii="Arial" w:cs="Arial" w:eastAsia="Arial" w:hAnsi="Arial"/>
                <w:sz w:val="13"/>
                <w:szCs w:val="13"/>
                <w:color w:val="auto"/>
              </w:rPr>
              <w:t>$</w:t>
            </w:r>
          </w:p>
        </w:tc>
        <w:tc>
          <w:tcPr>
            <w:tcW w:w="980" w:type="dxa"/>
            <w:vAlign w:val="bottom"/>
            <w:shd w:val="clear" w:color="auto" w:fill="DBE5F1"/>
          </w:tcPr>
          <w:p>
            <w:pPr>
              <w:jc w:val="right"/>
              <w:ind w:right="36"/>
              <w:spacing w:after="0"/>
              <w:rPr>
                <w:sz w:val="20"/>
                <w:szCs w:val="20"/>
                <w:color w:val="auto"/>
              </w:rPr>
            </w:pPr>
            <w:r>
              <w:rPr>
                <w:rFonts w:ascii="Arial" w:cs="Arial" w:eastAsia="Arial" w:hAnsi="Arial"/>
                <w:sz w:val="13"/>
                <w:szCs w:val="13"/>
                <w:color w:val="auto"/>
              </w:rPr>
              <w:t>549,331</w:t>
            </w: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1020" w:type="dxa"/>
            <w:vAlign w:val="bottom"/>
            <w:shd w:val="clear" w:color="auto" w:fill="DBE5F1"/>
          </w:tcPr>
          <w:p>
            <w:pPr>
              <w:ind w:left="20"/>
              <w:spacing w:after="0"/>
              <w:rPr>
                <w:sz w:val="20"/>
                <w:szCs w:val="20"/>
                <w:color w:val="auto"/>
              </w:rPr>
            </w:pPr>
            <w:r>
              <w:rPr>
                <w:rFonts w:ascii="Arial" w:cs="Arial" w:eastAsia="Arial" w:hAnsi="Arial"/>
                <w:sz w:val="13"/>
                <w:szCs w:val="13"/>
                <w:b w:val="1"/>
                <w:bCs w:val="1"/>
                <w:color w:val="auto"/>
              </w:rPr>
              <w:t>Matthew</w:t>
            </w:r>
          </w:p>
        </w:tc>
        <w:tc>
          <w:tcPr>
            <w:tcW w:w="700" w:type="dxa"/>
            <w:vAlign w:val="bottom"/>
            <w:vMerge w:val="restart"/>
            <w:shd w:val="clear" w:color="auto" w:fill="DBE5F1"/>
          </w:tcPr>
          <w:p>
            <w:pPr>
              <w:jc w:val="center"/>
              <w:spacing w:after="0"/>
              <w:rPr>
                <w:sz w:val="20"/>
                <w:szCs w:val="20"/>
                <w:color w:val="auto"/>
              </w:rPr>
            </w:pPr>
            <w:r>
              <w:rPr>
                <w:rFonts w:ascii="Arial" w:cs="Arial" w:eastAsia="Arial" w:hAnsi="Arial"/>
                <w:sz w:val="13"/>
                <w:szCs w:val="13"/>
                <w:color w:val="auto"/>
                <w:w w:val="88"/>
              </w:rPr>
              <w:t>3/5/15</w:t>
            </w:r>
          </w:p>
        </w:tc>
        <w:tc>
          <w:tcPr>
            <w:tcW w:w="860" w:type="dxa"/>
            <w:vAlign w:val="bottom"/>
            <w:shd w:val="clear" w:color="auto" w:fill="DBE5F1"/>
          </w:tcPr>
          <w:p>
            <w:pPr>
              <w:spacing w:after="0"/>
              <w:rPr>
                <w:sz w:val="16"/>
                <w:szCs w:val="16"/>
                <w:color w:val="auto"/>
              </w:rPr>
            </w:pPr>
          </w:p>
        </w:tc>
        <w:tc>
          <w:tcPr>
            <w:tcW w:w="60" w:type="dxa"/>
            <w:vAlign w:val="bottom"/>
            <w:shd w:val="clear" w:color="auto" w:fill="DBE5F1"/>
          </w:tcPr>
          <w:p>
            <w:pPr>
              <w:spacing w:after="0"/>
              <w:rPr>
                <w:sz w:val="16"/>
                <w:szCs w:val="16"/>
                <w:color w:val="auto"/>
              </w:rPr>
            </w:pPr>
          </w:p>
        </w:tc>
        <w:tc>
          <w:tcPr>
            <w:tcW w:w="1160" w:type="dxa"/>
            <w:vAlign w:val="bottom"/>
            <w:shd w:val="clear" w:color="auto" w:fill="DBE5F1"/>
          </w:tcPr>
          <w:p>
            <w:pPr>
              <w:spacing w:after="0"/>
              <w:rPr>
                <w:sz w:val="16"/>
                <w:szCs w:val="16"/>
                <w:color w:val="auto"/>
              </w:rPr>
            </w:pPr>
          </w:p>
        </w:tc>
        <w:tc>
          <w:tcPr>
            <w:tcW w:w="860" w:type="dxa"/>
            <w:vAlign w:val="bottom"/>
            <w:shd w:val="clear" w:color="auto" w:fill="DBE5F1"/>
          </w:tcPr>
          <w:p>
            <w:pPr>
              <w:spacing w:after="0"/>
              <w:rPr>
                <w:sz w:val="16"/>
                <w:szCs w:val="16"/>
                <w:color w:val="auto"/>
              </w:rPr>
            </w:pPr>
          </w:p>
        </w:tc>
        <w:tc>
          <w:tcPr>
            <w:tcW w:w="940" w:type="dxa"/>
            <w:vAlign w:val="bottom"/>
            <w:shd w:val="clear" w:color="auto" w:fill="DBE5F1"/>
          </w:tcPr>
          <w:p>
            <w:pPr>
              <w:spacing w:after="0"/>
              <w:rPr>
                <w:sz w:val="16"/>
                <w:szCs w:val="16"/>
                <w:color w:val="auto"/>
              </w:rPr>
            </w:pPr>
          </w:p>
        </w:tc>
        <w:tc>
          <w:tcPr>
            <w:tcW w:w="700" w:type="dxa"/>
            <w:vAlign w:val="bottom"/>
            <w:shd w:val="clear" w:color="auto" w:fill="DBE5F1"/>
          </w:tcPr>
          <w:p>
            <w:pPr>
              <w:spacing w:after="0"/>
              <w:rPr>
                <w:sz w:val="16"/>
                <w:szCs w:val="16"/>
                <w:color w:val="auto"/>
              </w:rPr>
            </w:pPr>
          </w:p>
        </w:tc>
        <w:tc>
          <w:tcPr>
            <w:tcW w:w="860" w:type="dxa"/>
            <w:vAlign w:val="bottom"/>
            <w:shd w:val="clear" w:color="auto" w:fill="DBE5F1"/>
          </w:tcPr>
          <w:p>
            <w:pPr>
              <w:spacing w:after="0"/>
              <w:rPr>
                <w:sz w:val="16"/>
                <w:szCs w:val="16"/>
                <w:color w:val="auto"/>
              </w:rPr>
            </w:pPr>
          </w:p>
        </w:tc>
        <w:tc>
          <w:tcPr>
            <w:tcW w:w="900" w:type="dxa"/>
            <w:vAlign w:val="bottom"/>
            <w:vMerge w:val="restart"/>
            <w:shd w:val="clear" w:color="auto" w:fill="DBE5F1"/>
          </w:tcPr>
          <w:p>
            <w:pPr>
              <w:jc w:val="right"/>
              <w:spacing w:after="0"/>
              <w:rPr>
                <w:sz w:val="20"/>
                <w:szCs w:val="20"/>
                <w:color w:val="auto"/>
              </w:rPr>
            </w:pPr>
            <w:r>
              <w:rPr>
                <w:rFonts w:ascii="Arial" w:cs="Arial" w:eastAsia="Arial" w:hAnsi="Arial"/>
                <w:sz w:val="13"/>
                <w:szCs w:val="13"/>
                <w:color w:val="auto"/>
              </w:rPr>
              <w:t>4,300</w:t>
            </w:r>
          </w:p>
        </w:tc>
        <w:tc>
          <w:tcPr>
            <w:tcW w:w="1200" w:type="dxa"/>
            <w:vAlign w:val="bottom"/>
            <w:shd w:val="clear" w:color="auto" w:fill="DBE5F1"/>
          </w:tcPr>
          <w:p>
            <w:pPr>
              <w:spacing w:after="0"/>
              <w:rPr>
                <w:sz w:val="16"/>
                <w:szCs w:val="16"/>
                <w:color w:val="auto"/>
              </w:rPr>
            </w:pPr>
          </w:p>
        </w:tc>
        <w:tc>
          <w:tcPr>
            <w:tcW w:w="980" w:type="dxa"/>
            <w:vAlign w:val="bottom"/>
            <w:shd w:val="clear" w:color="auto" w:fill="DBE5F1"/>
          </w:tcPr>
          <w:p>
            <w:pPr>
              <w:spacing w:after="0"/>
              <w:rPr>
                <w:sz w:val="16"/>
                <w:szCs w:val="16"/>
                <w:color w:val="auto"/>
              </w:rPr>
            </w:pPr>
          </w:p>
        </w:tc>
        <w:tc>
          <w:tcPr>
            <w:tcW w:w="180" w:type="dxa"/>
            <w:vAlign w:val="bottom"/>
            <w:vMerge w:val="restart"/>
            <w:shd w:val="clear" w:color="auto" w:fill="DBE5F1"/>
          </w:tcPr>
          <w:p>
            <w:pPr>
              <w:ind w:left="80"/>
              <w:spacing w:after="0"/>
              <w:rPr>
                <w:sz w:val="20"/>
                <w:szCs w:val="20"/>
                <w:color w:val="auto"/>
              </w:rPr>
            </w:pPr>
            <w:r>
              <w:rPr>
                <w:rFonts w:ascii="Arial" w:cs="Arial" w:eastAsia="Arial" w:hAnsi="Arial"/>
                <w:sz w:val="13"/>
                <w:szCs w:val="13"/>
                <w:color w:val="auto"/>
              </w:rPr>
              <w:t>$</w:t>
            </w:r>
          </w:p>
        </w:tc>
        <w:tc>
          <w:tcPr>
            <w:tcW w:w="980" w:type="dxa"/>
            <w:vAlign w:val="bottom"/>
            <w:vMerge w:val="restart"/>
            <w:shd w:val="clear" w:color="auto" w:fill="DBE5F1"/>
          </w:tcPr>
          <w:p>
            <w:pPr>
              <w:jc w:val="right"/>
              <w:ind w:right="36"/>
              <w:spacing w:after="0"/>
              <w:rPr>
                <w:sz w:val="20"/>
                <w:szCs w:val="20"/>
                <w:color w:val="auto"/>
              </w:rPr>
            </w:pPr>
            <w:r>
              <w:rPr>
                <w:rFonts w:ascii="Arial" w:cs="Arial" w:eastAsia="Arial" w:hAnsi="Arial"/>
                <w:sz w:val="13"/>
                <w:szCs w:val="13"/>
                <w:color w:val="auto"/>
              </w:rPr>
              <w:t>832,867</w:t>
            </w: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1020" w:type="dxa"/>
            <w:vAlign w:val="bottom"/>
            <w:vMerge w:val="restart"/>
            <w:shd w:val="clear" w:color="auto" w:fill="DBE5F1"/>
          </w:tcPr>
          <w:p>
            <w:pPr>
              <w:ind w:left="20"/>
              <w:spacing w:after="0"/>
              <w:rPr>
                <w:sz w:val="20"/>
                <w:szCs w:val="20"/>
                <w:color w:val="auto"/>
              </w:rPr>
            </w:pPr>
            <w:r>
              <w:rPr>
                <w:rFonts w:ascii="Arial" w:cs="Arial" w:eastAsia="Arial" w:hAnsi="Arial"/>
                <w:sz w:val="13"/>
                <w:szCs w:val="13"/>
                <w:b w:val="1"/>
                <w:bCs w:val="1"/>
                <w:color w:val="auto"/>
                <w:w w:val="96"/>
              </w:rPr>
              <w:t>F. W. Linnington</w:t>
            </w:r>
          </w:p>
        </w:tc>
        <w:tc>
          <w:tcPr>
            <w:tcW w:w="700" w:type="dxa"/>
            <w:vAlign w:val="bottom"/>
            <w:vMerge w:val="continue"/>
            <w:shd w:val="clear" w:color="auto" w:fill="DBE5F1"/>
          </w:tcPr>
          <w:p>
            <w:pPr>
              <w:spacing w:after="0"/>
              <w:rPr>
                <w:sz w:val="8"/>
                <w:szCs w:val="8"/>
                <w:color w:val="auto"/>
              </w:rPr>
            </w:pPr>
          </w:p>
        </w:tc>
        <w:tc>
          <w:tcPr>
            <w:tcW w:w="860" w:type="dxa"/>
            <w:vAlign w:val="bottom"/>
            <w:shd w:val="clear" w:color="auto" w:fill="DBE5F1"/>
          </w:tcPr>
          <w:p>
            <w:pPr>
              <w:spacing w:after="0"/>
              <w:rPr>
                <w:sz w:val="8"/>
                <w:szCs w:val="8"/>
                <w:color w:val="auto"/>
              </w:rPr>
            </w:pPr>
          </w:p>
        </w:tc>
        <w:tc>
          <w:tcPr>
            <w:tcW w:w="60" w:type="dxa"/>
            <w:vAlign w:val="bottom"/>
            <w:shd w:val="clear" w:color="auto" w:fill="DBE5F1"/>
          </w:tcPr>
          <w:p>
            <w:pPr>
              <w:spacing w:after="0"/>
              <w:rPr>
                <w:sz w:val="8"/>
                <w:szCs w:val="8"/>
                <w:color w:val="auto"/>
              </w:rPr>
            </w:pPr>
          </w:p>
        </w:tc>
        <w:tc>
          <w:tcPr>
            <w:tcW w:w="1160" w:type="dxa"/>
            <w:vAlign w:val="bottom"/>
            <w:shd w:val="clear" w:color="auto" w:fill="DBE5F1"/>
          </w:tcPr>
          <w:p>
            <w:pPr>
              <w:spacing w:after="0"/>
              <w:rPr>
                <w:sz w:val="8"/>
                <w:szCs w:val="8"/>
                <w:color w:val="auto"/>
              </w:rPr>
            </w:pPr>
          </w:p>
        </w:tc>
        <w:tc>
          <w:tcPr>
            <w:tcW w:w="860" w:type="dxa"/>
            <w:vAlign w:val="bottom"/>
            <w:shd w:val="clear" w:color="auto" w:fill="DBE5F1"/>
          </w:tcPr>
          <w:p>
            <w:pPr>
              <w:spacing w:after="0"/>
              <w:rPr>
                <w:sz w:val="8"/>
                <w:szCs w:val="8"/>
                <w:color w:val="auto"/>
              </w:rPr>
            </w:pPr>
          </w:p>
        </w:tc>
        <w:tc>
          <w:tcPr>
            <w:tcW w:w="940" w:type="dxa"/>
            <w:vAlign w:val="bottom"/>
            <w:shd w:val="clear" w:color="auto" w:fill="DBE5F1"/>
          </w:tcPr>
          <w:p>
            <w:pPr>
              <w:spacing w:after="0"/>
              <w:rPr>
                <w:sz w:val="8"/>
                <w:szCs w:val="8"/>
                <w:color w:val="auto"/>
              </w:rPr>
            </w:pPr>
          </w:p>
        </w:tc>
        <w:tc>
          <w:tcPr>
            <w:tcW w:w="700" w:type="dxa"/>
            <w:vAlign w:val="bottom"/>
            <w:shd w:val="clear" w:color="auto" w:fill="DBE5F1"/>
          </w:tcPr>
          <w:p>
            <w:pPr>
              <w:spacing w:after="0"/>
              <w:rPr>
                <w:sz w:val="8"/>
                <w:szCs w:val="8"/>
                <w:color w:val="auto"/>
              </w:rPr>
            </w:pPr>
          </w:p>
        </w:tc>
        <w:tc>
          <w:tcPr>
            <w:tcW w:w="860" w:type="dxa"/>
            <w:vAlign w:val="bottom"/>
            <w:shd w:val="clear" w:color="auto" w:fill="DBE5F1"/>
          </w:tcPr>
          <w:p>
            <w:pPr>
              <w:spacing w:after="0"/>
              <w:rPr>
                <w:sz w:val="8"/>
                <w:szCs w:val="8"/>
                <w:color w:val="auto"/>
              </w:rPr>
            </w:pPr>
          </w:p>
        </w:tc>
        <w:tc>
          <w:tcPr>
            <w:tcW w:w="900" w:type="dxa"/>
            <w:vAlign w:val="bottom"/>
            <w:vMerge w:val="continue"/>
            <w:shd w:val="clear" w:color="auto" w:fill="DBE5F1"/>
          </w:tcPr>
          <w:p>
            <w:pPr>
              <w:spacing w:after="0"/>
              <w:rPr>
                <w:sz w:val="8"/>
                <w:szCs w:val="8"/>
                <w:color w:val="auto"/>
              </w:rPr>
            </w:pPr>
          </w:p>
        </w:tc>
        <w:tc>
          <w:tcPr>
            <w:tcW w:w="1200" w:type="dxa"/>
            <w:vAlign w:val="bottom"/>
            <w:shd w:val="clear" w:color="auto" w:fill="DBE5F1"/>
          </w:tcPr>
          <w:p>
            <w:pPr>
              <w:spacing w:after="0"/>
              <w:rPr>
                <w:sz w:val="8"/>
                <w:szCs w:val="8"/>
                <w:color w:val="auto"/>
              </w:rPr>
            </w:pPr>
          </w:p>
        </w:tc>
        <w:tc>
          <w:tcPr>
            <w:tcW w:w="980" w:type="dxa"/>
            <w:vAlign w:val="bottom"/>
            <w:shd w:val="clear" w:color="auto" w:fill="DBE5F1"/>
          </w:tcPr>
          <w:p>
            <w:pPr>
              <w:spacing w:after="0"/>
              <w:rPr>
                <w:sz w:val="8"/>
                <w:szCs w:val="8"/>
                <w:color w:val="auto"/>
              </w:rPr>
            </w:pPr>
          </w:p>
        </w:tc>
        <w:tc>
          <w:tcPr>
            <w:tcW w:w="180" w:type="dxa"/>
            <w:vAlign w:val="bottom"/>
            <w:vMerge w:val="continue"/>
            <w:shd w:val="clear" w:color="auto" w:fill="DBE5F1"/>
          </w:tcPr>
          <w:p>
            <w:pPr>
              <w:spacing w:after="0"/>
              <w:rPr>
                <w:sz w:val="8"/>
                <w:szCs w:val="8"/>
                <w:color w:val="auto"/>
              </w:rPr>
            </w:pPr>
          </w:p>
        </w:tc>
        <w:tc>
          <w:tcPr>
            <w:tcW w:w="980" w:type="dxa"/>
            <w:vAlign w:val="bottom"/>
            <w:vMerge w:val="continue"/>
            <w:shd w:val="clear" w:color="auto" w:fill="DBE5F1"/>
          </w:tcPr>
          <w:p>
            <w:pPr>
              <w:spacing w:after="0"/>
              <w:rPr>
                <w:sz w:val="8"/>
                <w:szCs w:val="8"/>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1020" w:type="dxa"/>
            <w:vAlign w:val="bottom"/>
            <w:vMerge w:val="continue"/>
            <w:shd w:val="clear" w:color="auto" w:fill="DBE5F1"/>
          </w:tcPr>
          <w:p>
            <w:pPr>
              <w:spacing w:after="0"/>
              <w:rPr>
                <w:sz w:val="4"/>
                <w:szCs w:val="4"/>
                <w:color w:val="auto"/>
              </w:rPr>
            </w:pPr>
          </w:p>
        </w:tc>
        <w:tc>
          <w:tcPr>
            <w:tcW w:w="700" w:type="dxa"/>
            <w:vAlign w:val="bottom"/>
            <w:shd w:val="clear" w:color="auto" w:fill="DBE5F1"/>
          </w:tcPr>
          <w:p>
            <w:pPr>
              <w:spacing w:after="0"/>
              <w:rPr>
                <w:sz w:val="4"/>
                <w:szCs w:val="4"/>
                <w:color w:val="auto"/>
              </w:rPr>
            </w:pPr>
          </w:p>
        </w:tc>
        <w:tc>
          <w:tcPr>
            <w:tcW w:w="860" w:type="dxa"/>
            <w:vAlign w:val="bottom"/>
            <w:shd w:val="clear" w:color="auto" w:fill="DBE5F1"/>
          </w:tcPr>
          <w:p>
            <w:pPr>
              <w:spacing w:after="0"/>
              <w:rPr>
                <w:sz w:val="4"/>
                <w:szCs w:val="4"/>
                <w:color w:val="auto"/>
              </w:rPr>
            </w:pPr>
          </w:p>
        </w:tc>
        <w:tc>
          <w:tcPr>
            <w:tcW w:w="60" w:type="dxa"/>
            <w:vAlign w:val="bottom"/>
            <w:shd w:val="clear" w:color="auto" w:fill="DBE5F1"/>
          </w:tcPr>
          <w:p>
            <w:pPr>
              <w:spacing w:after="0"/>
              <w:rPr>
                <w:sz w:val="4"/>
                <w:szCs w:val="4"/>
                <w:color w:val="auto"/>
              </w:rPr>
            </w:pPr>
          </w:p>
        </w:tc>
        <w:tc>
          <w:tcPr>
            <w:tcW w:w="1160" w:type="dxa"/>
            <w:vAlign w:val="bottom"/>
            <w:shd w:val="clear" w:color="auto" w:fill="DBE5F1"/>
          </w:tcPr>
          <w:p>
            <w:pPr>
              <w:spacing w:after="0"/>
              <w:rPr>
                <w:sz w:val="4"/>
                <w:szCs w:val="4"/>
                <w:color w:val="auto"/>
              </w:rPr>
            </w:pPr>
          </w:p>
        </w:tc>
        <w:tc>
          <w:tcPr>
            <w:tcW w:w="860" w:type="dxa"/>
            <w:vAlign w:val="bottom"/>
            <w:shd w:val="clear" w:color="auto" w:fill="DBE5F1"/>
          </w:tcPr>
          <w:p>
            <w:pPr>
              <w:spacing w:after="0"/>
              <w:rPr>
                <w:sz w:val="4"/>
                <w:szCs w:val="4"/>
                <w:color w:val="auto"/>
              </w:rPr>
            </w:pPr>
          </w:p>
        </w:tc>
        <w:tc>
          <w:tcPr>
            <w:tcW w:w="940" w:type="dxa"/>
            <w:vAlign w:val="bottom"/>
            <w:shd w:val="clear" w:color="auto" w:fill="DBE5F1"/>
          </w:tcPr>
          <w:p>
            <w:pPr>
              <w:spacing w:after="0"/>
              <w:rPr>
                <w:sz w:val="4"/>
                <w:szCs w:val="4"/>
                <w:color w:val="auto"/>
              </w:rPr>
            </w:pPr>
          </w:p>
        </w:tc>
        <w:tc>
          <w:tcPr>
            <w:tcW w:w="700" w:type="dxa"/>
            <w:vAlign w:val="bottom"/>
            <w:shd w:val="clear" w:color="auto" w:fill="DBE5F1"/>
          </w:tcPr>
          <w:p>
            <w:pPr>
              <w:spacing w:after="0"/>
              <w:rPr>
                <w:sz w:val="4"/>
                <w:szCs w:val="4"/>
                <w:color w:val="auto"/>
              </w:rPr>
            </w:pPr>
          </w:p>
        </w:tc>
        <w:tc>
          <w:tcPr>
            <w:tcW w:w="860" w:type="dxa"/>
            <w:vAlign w:val="bottom"/>
            <w:shd w:val="clear" w:color="auto" w:fill="DBE5F1"/>
          </w:tcPr>
          <w:p>
            <w:pPr>
              <w:spacing w:after="0"/>
              <w:rPr>
                <w:sz w:val="4"/>
                <w:szCs w:val="4"/>
                <w:color w:val="auto"/>
              </w:rPr>
            </w:pPr>
          </w:p>
        </w:tc>
        <w:tc>
          <w:tcPr>
            <w:tcW w:w="900" w:type="dxa"/>
            <w:vAlign w:val="bottom"/>
            <w:shd w:val="clear" w:color="auto" w:fill="DBE5F1"/>
          </w:tcPr>
          <w:p>
            <w:pPr>
              <w:spacing w:after="0"/>
              <w:rPr>
                <w:sz w:val="4"/>
                <w:szCs w:val="4"/>
                <w:color w:val="auto"/>
              </w:rPr>
            </w:pPr>
          </w:p>
        </w:tc>
        <w:tc>
          <w:tcPr>
            <w:tcW w:w="1200" w:type="dxa"/>
            <w:vAlign w:val="bottom"/>
            <w:shd w:val="clear" w:color="auto" w:fill="DBE5F1"/>
          </w:tcPr>
          <w:p>
            <w:pPr>
              <w:spacing w:after="0"/>
              <w:rPr>
                <w:sz w:val="4"/>
                <w:szCs w:val="4"/>
                <w:color w:val="auto"/>
              </w:rPr>
            </w:pPr>
          </w:p>
        </w:tc>
        <w:tc>
          <w:tcPr>
            <w:tcW w:w="980" w:type="dxa"/>
            <w:vAlign w:val="bottom"/>
            <w:shd w:val="clear" w:color="auto" w:fill="DBE5F1"/>
          </w:tcPr>
          <w:p>
            <w:pPr>
              <w:spacing w:after="0"/>
              <w:rPr>
                <w:sz w:val="4"/>
                <w:szCs w:val="4"/>
                <w:color w:val="auto"/>
              </w:rPr>
            </w:pPr>
          </w:p>
        </w:tc>
        <w:tc>
          <w:tcPr>
            <w:tcW w:w="180" w:type="dxa"/>
            <w:vAlign w:val="bottom"/>
            <w:shd w:val="clear" w:color="auto" w:fill="DBE5F1"/>
          </w:tcPr>
          <w:p>
            <w:pPr>
              <w:spacing w:after="0"/>
              <w:rPr>
                <w:sz w:val="4"/>
                <w:szCs w:val="4"/>
                <w:color w:val="auto"/>
              </w:rPr>
            </w:pPr>
          </w:p>
        </w:tc>
        <w:tc>
          <w:tcPr>
            <w:tcW w:w="980" w:type="dxa"/>
            <w:vAlign w:val="bottom"/>
            <w:shd w:val="clear" w:color="auto" w:fill="DBE5F1"/>
          </w:tcPr>
          <w:p>
            <w:pPr>
              <w:spacing w:after="0"/>
              <w:rPr>
                <w:sz w:val="4"/>
                <w:szCs w:val="4"/>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1020" w:type="dxa"/>
            <w:vAlign w:val="bottom"/>
            <w:tcBorders>
              <w:bottom w:val="single" w:sz="8" w:color="DBE5F1"/>
            </w:tcBorders>
            <w:shd w:val="clear" w:color="auto" w:fill="DBE5F1"/>
          </w:tcPr>
          <w:p>
            <w:pPr>
              <w:spacing w:after="0"/>
              <w:rPr>
                <w:sz w:val="22"/>
                <w:szCs w:val="22"/>
                <w:color w:val="auto"/>
              </w:rPr>
            </w:pPr>
          </w:p>
        </w:tc>
        <w:tc>
          <w:tcPr>
            <w:tcW w:w="700" w:type="dxa"/>
            <w:vAlign w:val="bottom"/>
            <w:tcBorders>
              <w:bottom w:val="single" w:sz="8" w:color="DBE5F1"/>
            </w:tcBorders>
            <w:shd w:val="clear" w:color="auto" w:fill="DBE5F1"/>
          </w:tcPr>
          <w:p>
            <w:pPr>
              <w:jc w:val="center"/>
              <w:spacing w:after="0"/>
              <w:rPr>
                <w:sz w:val="20"/>
                <w:szCs w:val="20"/>
                <w:color w:val="auto"/>
              </w:rPr>
            </w:pPr>
            <w:r>
              <w:rPr>
                <w:rFonts w:ascii="Arial" w:cs="Arial" w:eastAsia="Arial" w:hAnsi="Arial"/>
                <w:sz w:val="13"/>
                <w:szCs w:val="13"/>
                <w:color w:val="auto"/>
                <w:w w:val="88"/>
              </w:rPr>
              <w:t>3/5/15</w:t>
            </w:r>
          </w:p>
        </w:tc>
        <w:tc>
          <w:tcPr>
            <w:tcW w:w="860" w:type="dxa"/>
            <w:vAlign w:val="bottom"/>
            <w:tcBorders>
              <w:bottom w:val="single" w:sz="8" w:color="DBE5F1"/>
            </w:tcBorders>
            <w:shd w:val="clear" w:color="auto" w:fill="DBE5F1"/>
          </w:tcPr>
          <w:p>
            <w:pPr>
              <w:spacing w:after="0"/>
              <w:rPr>
                <w:sz w:val="22"/>
                <w:szCs w:val="22"/>
                <w:color w:val="auto"/>
              </w:rPr>
            </w:pPr>
          </w:p>
        </w:tc>
        <w:tc>
          <w:tcPr>
            <w:tcW w:w="60" w:type="dxa"/>
            <w:vAlign w:val="bottom"/>
            <w:tcBorders>
              <w:bottom w:val="single" w:sz="8" w:color="DBE5F1"/>
            </w:tcBorders>
            <w:shd w:val="clear" w:color="auto" w:fill="DBE5F1"/>
          </w:tcPr>
          <w:p>
            <w:pPr>
              <w:spacing w:after="0"/>
              <w:rPr>
                <w:sz w:val="22"/>
                <w:szCs w:val="22"/>
                <w:color w:val="auto"/>
              </w:rPr>
            </w:pPr>
          </w:p>
        </w:tc>
        <w:tc>
          <w:tcPr>
            <w:tcW w:w="1160" w:type="dxa"/>
            <w:vAlign w:val="bottom"/>
            <w:tcBorders>
              <w:bottom w:val="single" w:sz="8" w:color="DBE5F1"/>
            </w:tcBorders>
            <w:shd w:val="clear" w:color="auto" w:fill="DBE5F1"/>
          </w:tcPr>
          <w:p>
            <w:pPr>
              <w:spacing w:after="0"/>
              <w:rPr>
                <w:sz w:val="22"/>
                <w:szCs w:val="22"/>
                <w:color w:val="auto"/>
              </w:rPr>
            </w:pPr>
          </w:p>
        </w:tc>
        <w:tc>
          <w:tcPr>
            <w:tcW w:w="860" w:type="dxa"/>
            <w:vAlign w:val="bottom"/>
            <w:tcBorders>
              <w:bottom w:val="single" w:sz="8" w:color="DBE5F1"/>
            </w:tcBorders>
            <w:shd w:val="clear" w:color="auto" w:fill="DBE5F1"/>
          </w:tcPr>
          <w:p>
            <w:pPr>
              <w:spacing w:after="0"/>
              <w:rPr>
                <w:sz w:val="22"/>
                <w:szCs w:val="22"/>
                <w:color w:val="auto"/>
              </w:rPr>
            </w:pPr>
          </w:p>
        </w:tc>
        <w:tc>
          <w:tcPr>
            <w:tcW w:w="940" w:type="dxa"/>
            <w:vAlign w:val="bottom"/>
            <w:tcBorders>
              <w:bottom w:val="single" w:sz="8" w:color="DBE5F1"/>
            </w:tcBorders>
            <w:shd w:val="clear" w:color="auto" w:fill="DBE5F1"/>
          </w:tcPr>
          <w:p>
            <w:pPr>
              <w:spacing w:after="0"/>
              <w:rPr>
                <w:sz w:val="22"/>
                <w:szCs w:val="22"/>
                <w:color w:val="auto"/>
              </w:rPr>
            </w:pPr>
          </w:p>
        </w:tc>
        <w:tc>
          <w:tcPr>
            <w:tcW w:w="700" w:type="dxa"/>
            <w:vAlign w:val="bottom"/>
            <w:tcBorders>
              <w:bottom w:val="single" w:sz="8" w:color="DBE5F1"/>
            </w:tcBorders>
            <w:shd w:val="clear" w:color="auto" w:fill="DBE5F1"/>
          </w:tcPr>
          <w:p>
            <w:pPr>
              <w:spacing w:after="0"/>
              <w:rPr>
                <w:sz w:val="22"/>
                <w:szCs w:val="22"/>
                <w:color w:val="auto"/>
              </w:rPr>
            </w:pPr>
          </w:p>
        </w:tc>
        <w:tc>
          <w:tcPr>
            <w:tcW w:w="860" w:type="dxa"/>
            <w:vAlign w:val="bottom"/>
            <w:tcBorders>
              <w:bottom w:val="single" w:sz="8" w:color="DBE5F1"/>
            </w:tcBorders>
            <w:shd w:val="clear" w:color="auto" w:fill="DBE5F1"/>
          </w:tcPr>
          <w:p>
            <w:pPr>
              <w:spacing w:after="0"/>
              <w:rPr>
                <w:sz w:val="22"/>
                <w:szCs w:val="22"/>
                <w:color w:val="auto"/>
              </w:rPr>
            </w:pPr>
          </w:p>
        </w:tc>
        <w:tc>
          <w:tcPr>
            <w:tcW w:w="900" w:type="dxa"/>
            <w:vAlign w:val="bottom"/>
            <w:tcBorders>
              <w:bottom w:val="single" w:sz="8" w:color="DBE5F1"/>
            </w:tcBorders>
            <w:shd w:val="clear" w:color="auto" w:fill="DBE5F1"/>
          </w:tcPr>
          <w:p>
            <w:pPr>
              <w:spacing w:after="0"/>
              <w:rPr>
                <w:sz w:val="22"/>
                <w:szCs w:val="22"/>
                <w:color w:val="auto"/>
              </w:rPr>
            </w:pPr>
          </w:p>
        </w:tc>
        <w:tc>
          <w:tcPr>
            <w:tcW w:w="1200" w:type="dxa"/>
            <w:vAlign w:val="bottom"/>
            <w:tcBorders>
              <w:bottom w:val="single" w:sz="8" w:color="DBE5F1"/>
            </w:tcBorders>
            <w:shd w:val="clear" w:color="auto" w:fill="DBE5F1"/>
          </w:tcPr>
          <w:p>
            <w:pPr>
              <w:jc w:val="right"/>
              <w:ind w:right="54"/>
              <w:spacing w:after="0"/>
              <w:rPr>
                <w:sz w:val="20"/>
                <w:szCs w:val="20"/>
                <w:color w:val="auto"/>
              </w:rPr>
            </w:pPr>
            <w:r>
              <w:rPr>
                <w:rFonts w:ascii="Arial" w:cs="Arial" w:eastAsia="Arial" w:hAnsi="Arial"/>
                <w:sz w:val="13"/>
                <w:szCs w:val="13"/>
                <w:color w:val="auto"/>
              </w:rPr>
              <w:t>7,200</w:t>
            </w:r>
          </w:p>
        </w:tc>
        <w:tc>
          <w:tcPr>
            <w:tcW w:w="980" w:type="dxa"/>
            <w:vAlign w:val="bottom"/>
            <w:tcBorders>
              <w:bottom w:val="single" w:sz="8" w:color="DBE5F1"/>
            </w:tcBorders>
            <w:shd w:val="clear" w:color="auto" w:fill="DBE5F1"/>
          </w:tcPr>
          <w:p>
            <w:pPr>
              <w:jc w:val="right"/>
              <w:spacing w:after="0"/>
              <w:rPr>
                <w:sz w:val="20"/>
                <w:szCs w:val="20"/>
                <w:color w:val="auto"/>
              </w:rPr>
            </w:pPr>
            <w:r>
              <w:rPr>
                <w:rFonts w:ascii="Arial" w:cs="Arial" w:eastAsia="Arial" w:hAnsi="Arial"/>
                <w:sz w:val="13"/>
                <w:szCs w:val="13"/>
                <w:color w:val="auto"/>
              </w:rPr>
              <w:t>$193.69</w:t>
            </w:r>
          </w:p>
        </w:tc>
        <w:tc>
          <w:tcPr>
            <w:tcW w:w="180" w:type="dxa"/>
            <w:vAlign w:val="bottom"/>
            <w:tcBorders>
              <w:bottom w:val="single" w:sz="8" w:color="DBE5F1"/>
            </w:tcBorders>
            <w:shd w:val="clear" w:color="auto" w:fill="DBE5F1"/>
          </w:tcPr>
          <w:p>
            <w:pPr>
              <w:ind w:left="80"/>
              <w:spacing w:after="0"/>
              <w:rPr>
                <w:sz w:val="20"/>
                <w:szCs w:val="20"/>
                <w:color w:val="auto"/>
              </w:rPr>
            </w:pPr>
            <w:r>
              <w:rPr>
                <w:rFonts w:ascii="Arial" w:cs="Arial" w:eastAsia="Arial" w:hAnsi="Arial"/>
                <w:sz w:val="13"/>
                <w:szCs w:val="13"/>
                <w:color w:val="auto"/>
              </w:rPr>
              <w:t>$</w:t>
            </w:r>
          </w:p>
        </w:tc>
        <w:tc>
          <w:tcPr>
            <w:tcW w:w="980" w:type="dxa"/>
            <w:vAlign w:val="bottom"/>
            <w:tcBorders>
              <w:bottom w:val="single" w:sz="8" w:color="DBE5F1"/>
            </w:tcBorders>
            <w:shd w:val="clear" w:color="auto" w:fill="DBE5F1"/>
          </w:tcPr>
          <w:p>
            <w:pPr>
              <w:jc w:val="right"/>
              <w:ind w:right="36"/>
              <w:spacing w:after="0"/>
              <w:rPr>
                <w:sz w:val="20"/>
                <w:szCs w:val="20"/>
                <w:color w:val="auto"/>
              </w:rPr>
            </w:pPr>
            <w:r>
              <w:rPr>
                <w:rFonts w:ascii="Arial" w:cs="Arial" w:eastAsia="Arial" w:hAnsi="Arial"/>
                <w:sz w:val="13"/>
                <w:szCs w:val="13"/>
                <w:color w:val="auto"/>
              </w:rPr>
              <w:t>407,016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020" w:type="dxa"/>
            <w:vAlign w:val="bottom"/>
          </w:tcPr>
          <w:p>
            <w:pPr>
              <w:spacing w:after="0"/>
              <w:rPr>
                <w:sz w:val="20"/>
                <w:szCs w:val="20"/>
                <w:color w:val="auto"/>
              </w:rPr>
            </w:pPr>
            <w:r>
              <w:rPr>
                <w:rFonts w:ascii="Arial" w:cs="Arial" w:eastAsia="Arial" w:hAnsi="Arial"/>
                <w:sz w:val="18"/>
                <w:szCs w:val="18"/>
                <w:color w:val="auto"/>
                <w:w w:val="99"/>
              </w:rPr>
              <w:t>__________</w:t>
            </w:r>
          </w:p>
        </w:tc>
        <w:tc>
          <w:tcPr>
            <w:tcW w:w="7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30" w:lineRule="exact"/>
        <w:rPr>
          <w:sz w:val="20"/>
          <w:szCs w:val="20"/>
          <w:color w:val="auto"/>
        </w:rPr>
      </w:pPr>
    </w:p>
    <w:p>
      <w:pPr>
        <w:jc w:val="both"/>
        <w:ind w:left="340" w:hanging="318"/>
        <w:spacing w:after="0" w:line="269" w:lineRule="auto"/>
        <w:tabs>
          <w:tab w:leader="none" w:pos="340" w:val="left"/>
        </w:tabs>
        <w:numPr>
          <w:ilvl w:val="0"/>
          <w:numId w:val="53"/>
        </w:numPr>
        <w:rPr>
          <w:rFonts w:ascii="Arial" w:cs="Arial" w:eastAsia="Arial" w:hAnsi="Arial"/>
          <w:sz w:val="15"/>
          <w:szCs w:val="15"/>
          <w:color w:val="auto"/>
        </w:rPr>
      </w:pPr>
      <w:r>
        <w:rPr>
          <w:rFonts w:ascii="Arial" w:cs="Arial" w:eastAsia="Arial" w:hAnsi="Arial"/>
          <w:sz w:val="15"/>
          <w:szCs w:val="15"/>
          <w:color w:val="auto"/>
        </w:rPr>
        <w:t>Amounts shown in these columns are possible amounts payable under the Company’s cash incentive plan for 2015. The actual cash payments made in 2016 for 2015 performance under the Company’s cash incentive plan are reported in the Summary Compensation table above. The Company’s cash incentive plan in effect for 2015 is described more fully in the section titled “Compensation Discussion and Analysis—2015 Annual Cash Incentive Program” within this Proxy Statement.</w:t>
      </w:r>
    </w:p>
    <w:p>
      <w:pPr>
        <w:spacing w:after="0" w:line="1" w:lineRule="exact"/>
        <w:rPr>
          <w:rFonts w:ascii="Arial" w:cs="Arial" w:eastAsia="Arial" w:hAnsi="Arial"/>
          <w:sz w:val="15"/>
          <w:szCs w:val="15"/>
          <w:color w:val="auto"/>
        </w:rPr>
      </w:pPr>
    </w:p>
    <w:p>
      <w:pPr>
        <w:jc w:val="both"/>
        <w:ind w:left="340" w:hanging="318"/>
        <w:spacing w:after="0" w:line="246" w:lineRule="auto"/>
        <w:tabs>
          <w:tab w:leader="none" w:pos="340" w:val="left"/>
        </w:tabs>
        <w:numPr>
          <w:ilvl w:val="0"/>
          <w:numId w:val="53"/>
        </w:numPr>
        <w:rPr>
          <w:rFonts w:ascii="Arial" w:cs="Arial" w:eastAsia="Arial" w:hAnsi="Arial"/>
          <w:sz w:val="16"/>
          <w:szCs w:val="16"/>
          <w:color w:val="auto"/>
        </w:rPr>
      </w:pPr>
      <w:r>
        <w:rPr>
          <w:rFonts w:ascii="Arial" w:cs="Arial" w:eastAsia="Arial" w:hAnsi="Arial"/>
          <w:sz w:val="16"/>
          <w:szCs w:val="16"/>
          <w:color w:val="auto"/>
        </w:rPr>
        <w:t>Amounts shown in these columns are the possible number of shares that may vest pursuant to the three-year performance-based restricted stock awards granted in March 2015 under the Company’s 2007 Plan, which vest based on achievement of a three-year cumulative revenue goal for the period from January 1, 2015 through December 31, 2017 and are subject to adjustment based on the Company’s TSR over the three-year performance period. See the section titled “Compensation Discussion and Analysis—2015 Multi-Year Performance Shares for a description of the material terms of these awards.</w:t>
      </w:r>
    </w:p>
    <w:p>
      <w:pPr>
        <w:spacing w:after="0" w:line="1" w:lineRule="exact"/>
        <w:rPr>
          <w:rFonts w:ascii="Arial" w:cs="Arial" w:eastAsia="Arial" w:hAnsi="Arial"/>
          <w:sz w:val="16"/>
          <w:szCs w:val="16"/>
          <w:color w:val="auto"/>
        </w:rPr>
      </w:pPr>
    </w:p>
    <w:p>
      <w:pPr>
        <w:jc w:val="both"/>
        <w:ind w:left="340" w:hanging="318"/>
        <w:spacing w:after="0" w:line="251" w:lineRule="auto"/>
        <w:tabs>
          <w:tab w:leader="none" w:pos="340" w:val="left"/>
        </w:tabs>
        <w:numPr>
          <w:ilvl w:val="0"/>
          <w:numId w:val="53"/>
        </w:numPr>
        <w:rPr>
          <w:rFonts w:ascii="Arial" w:cs="Arial" w:eastAsia="Arial" w:hAnsi="Arial"/>
          <w:sz w:val="15"/>
          <w:szCs w:val="15"/>
          <w:color w:val="auto"/>
        </w:rPr>
      </w:pPr>
      <w:r>
        <w:rPr>
          <w:rFonts w:ascii="Arial" w:cs="Arial" w:eastAsia="Arial" w:hAnsi="Arial"/>
          <w:sz w:val="15"/>
          <w:szCs w:val="15"/>
          <w:color w:val="auto"/>
        </w:rPr>
        <w:t>Amounts shown in this column represent restricted stock awards granted to named executive officers in 2015 in respect of achievement of 2014 non-GAAP net income goals, except with respect to (a) Mr. Yinger who was not an executive officer when the executive long-term equity incentive awards were granted in 2015 and instead received an equity award of 944 shares on May 28, 2015, in connection with the Company’s annual equity grants to managers and key employees, which award vests in equal, annual installments over four years, and (b) with respect to Mr. Yinger’s service award of three shares granted on June 7, 2015 in connection with his 5</w:t>
      </w:r>
      <w:r>
        <w:rPr>
          <w:rFonts w:ascii="Arial" w:cs="Arial" w:eastAsia="Arial" w:hAnsi="Arial"/>
          <w:sz w:val="20"/>
          <w:szCs w:val="20"/>
          <w:color w:val="auto"/>
          <w:vertAlign w:val="superscript"/>
        </w:rPr>
        <w:t>th</w:t>
      </w:r>
      <w:r>
        <w:rPr>
          <w:rFonts w:ascii="Arial" w:cs="Arial" w:eastAsia="Arial" w:hAnsi="Arial"/>
          <w:sz w:val="15"/>
          <w:szCs w:val="15"/>
          <w:color w:val="auto"/>
        </w:rPr>
        <w:t xml:space="preserve"> anniversary of employment with the Company pursuant to the Company’s service award program which grants anniversary awards to all employees on the same terms on every five-year anniversary. The closing price of the Company’s common stock on May 28, 2015 was $211.98, and the closing price of the Company’s common stock on June 7, 2015 was $210.15. All service award grants are fully vested upon grant, but are subject to a one-year holding period.</w:t>
      </w:r>
    </w:p>
    <w:p>
      <w:pPr>
        <w:ind w:left="340" w:hanging="318"/>
        <w:spacing w:after="0" w:line="246" w:lineRule="auto"/>
        <w:tabs>
          <w:tab w:leader="none" w:pos="340" w:val="left"/>
        </w:tabs>
        <w:numPr>
          <w:ilvl w:val="0"/>
          <w:numId w:val="53"/>
        </w:numPr>
        <w:rPr>
          <w:rFonts w:ascii="Arial" w:cs="Arial" w:eastAsia="Arial" w:hAnsi="Arial"/>
          <w:sz w:val="16"/>
          <w:szCs w:val="16"/>
          <w:color w:val="auto"/>
        </w:rPr>
      </w:pPr>
      <w:r>
        <w:rPr>
          <w:rFonts w:ascii="Arial" w:cs="Arial" w:eastAsia="Arial" w:hAnsi="Arial"/>
          <w:sz w:val="16"/>
          <w:szCs w:val="16"/>
          <w:color w:val="auto"/>
        </w:rPr>
        <w:t>Amounts shown in this column represent stock options granted to named executive officers in 2015 that vest in equal, annual installments over three years after the date of grant.</w:t>
      </w:r>
    </w:p>
    <w:p>
      <w:pPr>
        <w:ind w:left="340" w:hanging="318"/>
        <w:spacing w:after="0"/>
        <w:tabs>
          <w:tab w:leader="none" w:pos="340" w:val="left"/>
        </w:tabs>
        <w:numPr>
          <w:ilvl w:val="0"/>
          <w:numId w:val="53"/>
        </w:numPr>
        <w:rPr>
          <w:rFonts w:ascii="Arial" w:cs="Arial" w:eastAsia="Arial" w:hAnsi="Arial"/>
          <w:sz w:val="16"/>
          <w:szCs w:val="16"/>
          <w:color w:val="auto"/>
        </w:rPr>
      </w:pPr>
      <w:r>
        <w:rPr>
          <w:rFonts w:ascii="Arial" w:cs="Arial" w:eastAsia="Arial" w:hAnsi="Arial"/>
          <w:sz w:val="16"/>
          <w:szCs w:val="16"/>
          <w:color w:val="auto"/>
        </w:rPr>
        <w:t>The exercise price is the closing price of our common stock on the date of grant, as reported on the Nasdaq Global Select Market.</w:t>
      </w:r>
    </w:p>
    <w:p>
      <w:pPr>
        <w:spacing w:after="0" w:line="5" w:lineRule="exact"/>
        <w:rPr>
          <w:rFonts w:ascii="Arial" w:cs="Arial" w:eastAsia="Arial" w:hAnsi="Arial"/>
          <w:sz w:val="16"/>
          <w:szCs w:val="16"/>
          <w:color w:val="auto"/>
        </w:rPr>
      </w:pPr>
    </w:p>
    <w:p>
      <w:pPr>
        <w:ind w:left="340" w:hanging="318"/>
        <w:spacing w:after="0" w:line="257" w:lineRule="auto"/>
        <w:tabs>
          <w:tab w:leader="none" w:pos="340" w:val="left"/>
        </w:tabs>
        <w:numPr>
          <w:ilvl w:val="0"/>
          <w:numId w:val="53"/>
        </w:numPr>
        <w:rPr>
          <w:rFonts w:ascii="Arial" w:cs="Arial" w:eastAsia="Arial" w:hAnsi="Arial"/>
          <w:sz w:val="16"/>
          <w:szCs w:val="16"/>
          <w:color w:val="auto"/>
        </w:rPr>
      </w:pPr>
      <w:r>
        <w:rPr>
          <w:rFonts w:ascii="Arial" w:cs="Arial" w:eastAsia="Arial" w:hAnsi="Arial"/>
          <w:sz w:val="16"/>
          <w:szCs w:val="16"/>
          <w:color w:val="auto"/>
        </w:rPr>
        <w:t>The amounts shown in this column represent the grant date fair value of each equity award computed in accordance with FASB ASC Topic 718 pursuant to SEC rules. For a discussion of the assumptions used in calculating the fair value of each equity</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420"/>
          </w:cols>
          <w:pgMar w:left="240" w:top="414" w:right="239" w:bottom="1440" w:gutter="0" w:footer="0" w:header="0"/>
        </w:sectPr>
      </w:pPr>
    </w:p>
    <w:bookmarkStart w:id="78" w:name="page79"/>
    <w:bookmarkEnd w:id="78"/>
    <w:p>
      <w:pPr>
        <w:ind w:left="320"/>
        <w:spacing w:after="0"/>
        <w:rPr>
          <w:sz w:val="20"/>
          <w:szCs w:val="20"/>
          <w:color w:val="auto"/>
        </w:rPr>
      </w:pPr>
      <w:r>
        <w:rPr>
          <w:rFonts w:ascii="Arial" w:cs="Arial" w:eastAsia="Arial" w:hAnsi="Arial"/>
          <w:sz w:val="16"/>
          <w:szCs w:val="16"/>
          <w:color w:val="auto"/>
        </w:rPr>
        <w:t>award see Note 15 to the audited financial statements in the Company’s Annual Report on Form 10-K for the period ended December 31, 2015.</w:t>
      </w:r>
    </w:p>
    <w:p>
      <w:pPr>
        <w:spacing w:after="0" w:line="200" w:lineRule="exact"/>
        <w:rPr>
          <w:sz w:val="20"/>
          <w:szCs w:val="20"/>
          <w:color w:val="auto"/>
        </w:rPr>
      </w:pPr>
    </w:p>
    <w:p>
      <w:pPr>
        <w:spacing w:after="0" w:line="224" w:lineRule="exact"/>
        <w:rPr>
          <w:sz w:val="20"/>
          <w:szCs w:val="20"/>
          <w:color w:val="auto"/>
        </w:rPr>
      </w:pPr>
    </w:p>
    <w:p>
      <w:pPr>
        <w:jc w:val="both"/>
        <w:ind w:left="320" w:hanging="318"/>
        <w:spacing w:after="0" w:line="253" w:lineRule="auto"/>
        <w:tabs>
          <w:tab w:leader="none" w:pos="320" w:val="left"/>
        </w:tabs>
        <w:numPr>
          <w:ilvl w:val="0"/>
          <w:numId w:val="54"/>
        </w:numPr>
        <w:rPr>
          <w:rFonts w:ascii="Arial" w:cs="Arial" w:eastAsia="Arial" w:hAnsi="Arial"/>
          <w:sz w:val="16"/>
          <w:szCs w:val="16"/>
          <w:color w:val="auto"/>
        </w:rPr>
      </w:pPr>
      <w:r>
        <w:rPr>
          <w:rFonts w:ascii="Arial" w:cs="Arial" w:eastAsia="Arial" w:hAnsi="Arial"/>
          <w:sz w:val="16"/>
          <w:szCs w:val="16"/>
          <w:color w:val="auto"/>
        </w:rPr>
        <w:t>Amount shown represents the grant date fair value computed in accordance with FASB ASC Topic 718 pursuant to SEC rules of the maximum number of shares that could be issued pursuant to the three-year performance-based restricted stock awards, which vest based on achievement of a three-year cumulative revenue goal for the period from January 1, 2015 through December 31, 2017 and are subject to adjustment based on the Company’s TSR over the three-year performance period. For a discussion of the assumptions used in calculating the fair value of each equity award see Note 15 to the audited financial statements in the Company’s Annual Report on Form 10-K for the period ended December 31, 2015.</w:t>
      </w:r>
    </w:p>
    <w:p>
      <w:pPr>
        <w:spacing w:after="0" w:line="200" w:lineRule="exact"/>
        <w:rPr>
          <w:sz w:val="20"/>
          <w:szCs w:val="20"/>
          <w:color w:val="auto"/>
        </w:rPr>
      </w:pPr>
    </w:p>
    <w:p>
      <w:pPr>
        <w:spacing w:after="0" w:line="230"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400"/>
          </w:cols>
          <w:pgMar w:left="260" w:top="400" w:right="239" w:bottom="1440" w:gutter="0" w:footer="0" w:header="0"/>
        </w:sectPr>
      </w:pPr>
    </w:p>
    <w:bookmarkStart w:id="79" w:name="page80"/>
    <w:bookmarkEnd w:id="79"/>
    <w:p>
      <w:pPr>
        <w:ind w:left="480" w:right="640"/>
        <w:spacing w:after="0" w:line="282" w:lineRule="auto"/>
        <w:rPr>
          <w:sz w:val="20"/>
          <w:szCs w:val="20"/>
          <w:color w:val="auto"/>
        </w:rPr>
      </w:pPr>
      <w:r>
        <w:rPr>
          <w:rFonts w:ascii="Arial" w:cs="Arial" w:eastAsia="Arial" w:hAnsi="Arial"/>
          <w:sz w:val="25"/>
          <w:szCs w:val="25"/>
          <w:b w:val="1"/>
          <w:bCs w:val="1"/>
          <w:color w:val="FFFFFF"/>
        </w:rPr>
        <w:drawing>
          <wp:anchor simplePos="0" relativeHeight="251657728" behindDoc="1" locked="0" layoutInCell="0" allowOverlap="1">
            <wp:simplePos x="0" y="0"/>
            <wp:positionH relativeFrom="page">
              <wp:posOffset>440690</wp:posOffset>
            </wp:positionH>
            <wp:positionV relativeFrom="page">
              <wp:posOffset>466090</wp:posOffset>
            </wp:positionV>
            <wp:extent cx="6963410" cy="41148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963410" cy="411480"/>
                    </a:xfrm>
                    <a:prstGeom prst="rect">
                      <a:avLst/>
                    </a:prstGeom>
                    <a:noFill/>
                  </pic:spPr>
                </pic:pic>
              </a:graphicData>
            </a:graphic>
          </wp:anchor>
        </w:drawing>
        <w:t>NARRATIVES TO SUMMARY COMPENSATION TABLE AND GRANTS OF PLAN-BASED AWARDS TABLE</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EMPLOYMENT AGREEMENTS AND ARRANGEMENTS</w:t>
      </w:r>
    </w:p>
    <w:p>
      <w:pPr>
        <w:spacing w:after="0" w:line="130"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We have an employment agreement with Mr. Florance, and we have at will employment terms with Mr. Yinger, Mr. Carchedi and Mr. Linnington (and had at will employment terms with Mr. Radecki prior to his departure in 2016). Our employment agreement with Mr. Florance became effective as of January 1, 1998. All employees, including our named executive officers, are required to execute terms and conditions of employment, which state that employment is at will and set forth restrictive covenants, including duties of confidentiality, non-solicitation of customers and employees and non-competition. Mr. Radecki’s employment terms became effective December 1, 1997. Mr. Yinger’s current employment terms became effective June 15, 2010. Mr. Carchedi’s current employment terms became effective June 4, 2009. Mr. Linnington’s current employment terms became effective May 8, 2014.</w:t>
      </w:r>
    </w:p>
    <w:p>
      <w:pPr>
        <w:spacing w:after="0" w:line="21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CHIEF EXECUTIVE OFFICER EMPLOYMENT AGREEMENT</w:t>
      </w:r>
    </w:p>
    <w:p>
      <w:pPr>
        <w:spacing w:after="0" w:line="130"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Pursuant to his employment agreement, Mr. Florance is entitled to receive base salary, an annual cash bonus, six weeks of paid vacation per year, the same health insurance, accident and disability insurance, life insurance, and other fringe benefits provided to most senior executives of the Company, and additional term life insurance coverage not to exceed $1 million (at a cost to the Company not to exceed $2,000 per year), payable as designated by Mr. Florance. Mr. Florance’s employment agreement automatically renews for successive one-year terms unless either the Company or Mr. Florance provides the other with written notice of termination at least three months prior to the end of the then-current term.</w:t>
      </w:r>
    </w:p>
    <w:p>
      <w:pPr>
        <w:spacing w:after="0" w:line="173"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Pursuant to his employment agreement, Mr. Florance is subject to confidentiality and non-compete restrictive covenants. The non-compete restrictions apply during the term of the agreement, any period of time during which he remains employed with the Company “at will” and through the second anniversary of the date of his termination.</w:t>
      </w:r>
    </w:p>
    <w:p>
      <w:pPr>
        <w:spacing w:after="0" w:line="22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EQUITY AWARDS</w:t>
      </w:r>
    </w:p>
    <w:p>
      <w:pPr>
        <w:spacing w:after="0" w:line="130"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All grants of equity awards made in 2015 were made under the Company’s 2007 Plan. In April 2007, the Company’s Board adopted the 2007 Plan, subject to stockholder approval. Stockholders approved the 2007 Plan in June 2007; an amendment to the 2007 Plan in June 2010, which increased the number of authorized shares that can be issued under the 2007 Plan by 1,300,000 shares; an amendment to the 2007 Plan in June 2011, which increased the Tax Code limit on the number of shares of common stock that may be granted under the 2007 Plan to any one participant during a calendar year; and an amendment to the 2007 Plan in June 2012, which increased the number of authorized shares that can be issued under the 2007 Plan by 900,000 shares. All shares of common stock that were authorized for issuance under the 1998 Plan that, as of June 7, 2007, remained available for issuance under the 1998 Plan (excluding shares subject to outstanding awards) were rolled into the 2007 Plan and, as of that date, no shares of common stock remained available for issuance pursuant to new awards under the 1998 Plan.</w:t>
      </w:r>
    </w:p>
    <w:p>
      <w:pPr>
        <w:spacing w:after="0" w:line="179"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Stock options and annual performance-based restricted stock granted to named executive officers in 2015 and annual performance-based restricted stock granted in 2016 for performance in 2015, in each case pursuant to the named executive officers’ annual equity incentive grants, vest in equal installments over the first three anniversaries following the date of grant, except for grants of restricted stock subject to vesting based on pre-determined performance objectives which vest upon achievement of those objectives. Mr. Yinger received a grant of time-based restricted stock in connection with the Company’s annual equity grants to managers and key employees, that vests over four years from the date of grant. For a description of the criteria applied in determining the number of shares of restricted stock awarded in 2015 and 2016 for performance in 2014 and 2015, respectively, see “Compensation Discussion and Analysis–Equity Incentive Plan” above. For a discussion of the effect of a change of control on outstanding restricted stock and option awards, see “Potential Payments Upon Termination or Change of Control–Change of Control Provisions under the Company’s 1998 and 2007 Plans” below. For a discussion of the effect of Mr. Florance’s termination on his outstanding equity awards, see “Potential Payments Upon Termination or Change of Control–Termination and Change of Control Provisions pursuant to Employment Agreements” below. Under the 2007 Plan, recipients of restricted stock are entitled to receive all dividends and other distributions, if any, paid with respect to the common stock. The Compensation Committee will determine if any such dividends or distributions will be automatically reinvested in additional shares</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420"/>
          </w:cols>
          <w:pgMar w:left="240" w:top="738" w:right="239" w:bottom="1440" w:gutter="0" w:footer="0" w:header="0"/>
        </w:sectPr>
      </w:pPr>
    </w:p>
    <w:bookmarkStart w:id="80" w:name="page81"/>
    <w:bookmarkEnd w:id="80"/>
    <w:p>
      <w:pPr>
        <w:spacing w:after="0"/>
        <w:rPr>
          <w:sz w:val="20"/>
          <w:szCs w:val="20"/>
          <w:color w:val="auto"/>
        </w:rPr>
      </w:pPr>
      <w:r>
        <w:rPr>
          <w:rFonts w:ascii="Arial" w:cs="Arial" w:eastAsia="Arial" w:hAnsi="Arial"/>
          <w:sz w:val="18"/>
          <w:szCs w:val="18"/>
          <w:color w:val="auto"/>
        </w:rPr>
        <w:t>of restricted stock and subject to the same restrictions as the restricted stock or whether the dividend or distribution will be paid in cash.</w:t>
      </w:r>
    </w:p>
    <w:p>
      <w:pPr>
        <w:spacing w:after="0" w:line="27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OUTSTANDING EQUITY AWARDS AT 2015 FISCAL YEAR-END</w:t>
      </w:r>
    </w:p>
    <w:p>
      <w:pPr>
        <w:spacing w:after="0" w:line="130"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summarizes the equity awards we have made to our named executive officers that are outstanding as of December 31,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245110</wp:posOffset>
            </wp:positionV>
            <wp:extent cx="7246620" cy="624332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46620" cy="6243320"/>
                    </a:xfrm>
                    <a:prstGeom prst="rect">
                      <a:avLst/>
                    </a:prstGeom>
                    <a:noFill/>
                  </pic:spPr>
                </pic:pic>
              </a:graphicData>
            </a:graphic>
          </wp:anchor>
        </w:drawing>
      </w:r>
    </w:p>
    <w:p>
      <w:pPr>
        <w:spacing w:after="0" w:line="366" w:lineRule="exact"/>
        <w:rPr>
          <w:sz w:val="20"/>
          <w:szCs w:val="20"/>
          <w:color w:val="auto"/>
        </w:rPr>
      </w:pPr>
    </w:p>
    <w:tbl>
      <w:tblPr>
        <w:tblLayout w:type="fixed"/>
        <w:tblInd w:w="0" w:type="dxa"/>
        <w:tblCellMar>
          <w:top w:w="0" w:type="dxa"/>
          <w:left w:w="0" w:type="dxa"/>
          <w:bottom w:w="0" w:type="dxa"/>
          <w:right w:w="0" w:type="dxa"/>
        </w:tblCellMar>
      </w:tblPr>
      <w:tr>
        <w:trPr>
          <w:trHeight w:val="301"/>
        </w:trPr>
        <w:tc>
          <w:tcPr>
            <w:tcW w:w="1500" w:type="dxa"/>
            <w:vAlign w:val="bottom"/>
            <w:shd w:val="clear" w:color="auto" w:fill="B8CCE4"/>
          </w:tcPr>
          <w:p>
            <w:pPr>
              <w:spacing w:after="0"/>
              <w:rPr>
                <w:sz w:val="24"/>
                <w:szCs w:val="24"/>
                <w:color w:val="auto"/>
              </w:rPr>
            </w:pPr>
          </w:p>
        </w:tc>
        <w:tc>
          <w:tcPr>
            <w:tcW w:w="920" w:type="dxa"/>
            <w:vAlign w:val="bottom"/>
            <w:shd w:val="clear" w:color="auto" w:fill="B8CCE4"/>
          </w:tcPr>
          <w:p>
            <w:pPr>
              <w:spacing w:after="0"/>
              <w:rPr>
                <w:sz w:val="24"/>
                <w:szCs w:val="24"/>
                <w:color w:val="auto"/>
              </w:rPr>
            </w:pPr>
          </w:p>
        </w:tc>
        <w:tc>
          <w:tcPr>
            <w:tcW w:w="1120" w:type="dxa"/>
            <w:vAlign w:val="bottom"/>
            <w:shd w:val="clear" w:color="auto" w:fill="B8CCE4"/>
          </w:tcPr>
          <w:p>
            <w:pPr>
              <w:spacing w:after="0"/>
              <w:rPr>
                <w:sz w:val="24"/>
                <w:szCs w:val="24"/>
                <w:color w:val="auto"/>
              </w:rPr>
            </w:pPr>
          </w:p>
        </w:tc>
        <w:tc>
          <w:tcPr>
            <w:tcW w:w="1400" w:type="dxa"/>
            <w:vAlign w:val="bottom"/>
            <w:shd w:val="clear" w:color="auto" w:fill="B8CCE4"/>
          </w:tcPr>
          <w:p>
            <w:pPr>
              <w:jc w:val="right"/>
              <w:ind w:right="7"/>
              <w:spacing w:after="0"/>
              <w:rPr>
                <w:sz w:val="20"/>
                <w:szCs w:val="20"/>
                <w:color w:val="auto"/>
              </w:rPr>
            </w:pPr>
            <w:r>
              <w:rPr>
                <w:rFonts w:ascii="Arial" w:cs="Arial" w:eastAsia="Arial" w:hAnsi="Arial"/>
                <w:sz w:val="18"/>
                <w:szCs w:val="18"/>
                <w:b w:val="1"/>
                <w:bCs w:val="1"/>
                <w:color w:val="auto"/>
                <w:w w:val="87"/>
              </w:rPr>
              <w:t>Option Awards</w:t>
            </w:r>
            <w:r>
              <w:rPr>
                <w:rFonts w:ascii="Arial" w:cs="Arial" w:eastAsia="Arial" w:hAnsi="Arial"/>
                <w:sz w:val="25"/>
                <w:szCs w:val="25"/>
                <w:b w:val="1"/>
                <w:bCs w:val="1"/>
                <w:color w:val="auto"/>
                <w:w w:val="87"/>
                <w:vertAlign w:val="superscript"/>
              </w:rPr>
              <w:t>(1)</w:t>
            </w:r>
          </w:p>
        </w:tc>
        <w:tc>
          <w:tcPr>
            <w:tcW w:w="120" w:type="dxa"/>
            <w:vAlign w:val="bottom"/>
            <w:shd w:val="clear" w:color="auto" w:fill="B8CCE4"/>
          </w:tcPr>
          <w:p>
            <w:pPr>
              <w:spacing w:after="0"/>
              <w:rPr>
                <w:sz w:val="24"/>
                <w:szCs w:val="24"/>
                <w:color w:val="auto"/>
              </w:rPr>
            </w:pPr>
          </w:p>
        </w:tc>
        <w:tc>
          <w:tcPr>
            <w:tcW w:w="680" w:type="dxa"/>
            <w:vAlign w:val="bottom"/>
            <w:shd w:val="clear" w:color="auto" w:fill="B8CCE4"/>
          </w:tcPr>
          <w:p>
            <w:pPr>
              <w:spacing w:after="0"/>
              <w:rPr>
                <w:sz w:val="24"/>
                <w:szCs w:val="24"/>
                <w:color w:val="auto"/>
              </w:rPr>
            </w:pPr>
          </w:p>
        </w:tc>
        <w:tc>
          <w:tcPr>
            <w:tcW w:w="120" w:type="dxa"/>
            <w:vAlign w:val="bottom"/>
            <w:shd w:val="clear" w:color="auto" w:fill="B8CCE4"/>
          </w:tcPr>
          <w:p>
            <w:pPr>
              <w:spacing w:after="0"/>
              <w:rPr>
                <w:sz w:val="24"/>
                <w:szCs w:val="24"/>
                <w:color w:val="auto"/>
              </w:rPr>
            </w:pPr>
          </w:p>
        </w:tc>
        <w:tc>
          <w:tcPr>
            <w:tcW w:w="1040" w:type="dxa"/>
            <w:vAlign w:val="bottom"/>
            <w:shd w:val="clear" w:color="auto" w:fill="B8CCE4"/>
          </w:tcPr>
          <w:p>
            <w:pPr>
              <w:spacing w:after="0"/>
              <w:rPr>
                <w:sz w:val="24"/>
                <w:szCs w:val="24"/>
                <w:color w:val="auto"/>
              </w:rPr>
            </w:pPr>
          </w:p>
        </w:tc>
        <w:tc>
          <w:tcPr>
            <w:tcW w:w="1240" w:type="dxa"/>
            <w:vAlign w:val="bottom"/>
            <w:shd w:val="clear" w:color="auto" w:fill="B8CCE4"/>
          </w:tcPr>
          <w:p>
            <w:pPr>
              <w:spacing w:after="0"/>
              <w:rPr>
                <w:sz w:val="24"/>
                <w:szCs w:val="24"/>
                <w:color w:val="auto"/>
              </w:rPr>
            </w:pPr>
          </w:p>
        </w:tc>
        <w:tc>
          <w:tcPr>
            <w:tcW w:w="2200" w:type="dxa"/>
            <w:vAlign w:val="bottom"/>
            <w:gridSpan w:val="2"/>
            <w:shd w:val="clear" w:color="auto" w:fill="B8CCE4"/>
          </w:tcPr>
          <w:p>
            <w:pPr>
              <w:jc w:val="right"/>
              <w:ind w:right="568"/>
              <w:spacing w:after="0"/>
              <w:rPr>
                <w:sz w:val="20"/>
                <w:szCs w:val="20"/>
                <w:color w:val="auto"/>
              </w:rPr>
            </w:pPr>
            <w:r>
              <w:rPr>
                <w:rFonts w:ascii="Arial" w:cs="Arial" w:eastAsia="Arial" w:hAnsi="Arial"/>
                <w:sz w:val="18"/>
                <w:szCs w:val="18"/>
                <w:b w:val="1"/>
                <w:bCs w:val="1"/>
                <w:color w:val="auto"/>
              </w:rPr>
              <w:t>Stock Awards</w:t>
            </w:r>
          </w:p>
        </w:tc>
        <w:tc>
          <w:tcPr>
            <w:tcW w:w="1080" w:type="dxa"/>
            <w:vAlign w:val="bottom"/>
            <w:shd w:val="clear" w:color="auto" w:fill="B8CCE4"/>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1500" w:type="dxa"/>
            <w:vAlign w:val="bottom"/>
            <w:shd w:val="clear" w:color="auto" w:fill="B8CCE4"/>
          </w:tcPr>
          <w:p>
            <w:pPr>
              <w:spacing w:after="0"/>
              <w:rPr>
                <w:sz w:val="12"/>
                <w:szCs w:val="12"/>
                <w:color w:val="auto"/>
              </w:rPr>
            </w:pPr>
          </w:p>
        </w:tc>
        <w:tc>
          <w:tcPr>
            <w:tcW w:w="920" w:type="dxa"/>
            <w:vAlign w:val="bottom"/>
            <w:shd w:val="clear" w:color="auto" w:fill="B8CCE4"/>
          </w:tcPr>
          <w:p>
            <w:pPr>
              <w:spacing w:after="0"/>
              <w:rPr>
                <w:sz w:val="12"/>
                <w:szCs w:val="12"/>
                <w:color w:val="auto"/>
              </w:rPr>
            </w:pPr>
          </w:p>
        </w:tc>
        <w:tc>
          <w:tcPr>
            <w:tcW w:w="1120" w:type="dxa"/>
            <w:vAlign w:val="bottom"/>
            <w:shd w:val="clear" w:color="auto" w:fill="B8CCE4"/>
          </w:tcPr>
          <w:p>
            <w:pPr>
              <w:spacing w:after="0"/>
              <w:rPr>
                <w:sz w:val="12"/>
                <w:szCs w:val="12"/>
                <w:color w:val="auto"/>
              </w:rPr>
            </w:pPr>
          </w:p>
        </w:tc>
        <w:tc>
          <w:tcPr>
            <w:tcW w:w="1400" w:type="dxa"/>
            <w:vAlign w:val="bottom"/>
            <w:shd w:val="clear" w:color="auto" w:fill="B8CCE4"/>
          </w:tcPr>
          <w:p>
            <w:pPr>
              <w:spacing w:after="0"/>
              <w:rPr>
                <w:sz w:val="12"/>
                <w:szCs w:val="12"/>
                <w:color w:val="auto"/>
              </w:rPr>
            </w:pPr>
          </w:p>
        </w:tc>
        <w:tc>
          <w:tcPr>
            <w:tcW w:w="120" w:type="dxa"/>
            <w:vAlign w:val="bottom"/>
            <w:shd w:val="clear" w:color="auto" w:fill="B8CCE4"/>
          </w:tcPr>
          <w:p>
            <w:pPr>
              <w:spacing w:after="0"/>
              <w:rPr>
                <w:sz w:val="12"/>
                <w:szCs w:val="12"/>
                <w:color w:val="auto"/>
              </w:rPr>
            </w:pPr>
          </w:p>
        </w:tc>
        <w:tc>
          <w:tcPr>
            <w:tcW w:w="680" w:type="dxa"/>
            <w:vAlign w:val="bottom"/>
            <w:shd w:val="clear" w:color="auto" w:fill="B8CCE4"/>
          </w:tcPr>
          <w:p>
            <w:pPr>
              <w:spacing w:after="0"/>
              <w:rPr>
                <w:sz w:val="12"/>
                <w:szCs w:val="12"/>
                <w:color w:val="auto"/>
              </w:rPr>
            </w:pPr>
          </w:p>
        </w:tc>
        <w:tc>
          <w:tcPr>
            <w:tcW w:w="120" w:type="dxa"/>
            <w:vAlign w:val="bottom"/>
            <w:shd w:val="clear" w:color="auto" w:fill="B8CCE4"/>
          </w:tcPr>
          <w:p>
            <w:pPr>
              <w:spacing w:after="0"/>
              <w:rPr>
                <w:sz w:val="12"/>
                <w:szCs w:val="12"/>
                <w:color w:val="auto"/>
              </w:rPr>
            </w:pPr>
          </w:p>
        </w:tc>
        <w:tc>
          <w:tcPr>
            <w:tcW w:w="1040" w:type="dxa"/>
            <w:vAlign w:val="bottom"/>
            <w:shd w:val="clear" w:color="auto" w:fill="B8CCE4"/>
          </w:tcPr>
          <w:p>
            <w:pPr>
              <w:spacing w:after="0"/>
              <w:rPr>
                <w:sz w:val="12"/>
                <w:szCs w:val="12"/>
                <w:color w:val="auto"/>
              </w:rPr>
            </w:pPr>
          </w:p>
        </w:tc>
        <w:tc>
          <w:tcPr>
            <w:tcW w:w="1240" w:type="dxa"/>
            <w:vAlign w:val="bottom"/>
            <w:shd w:val="clear" w:color="auto" w:fill="B8CCE4"/>
          </w:tcPr>
          <w:p>
            <w:pPr>
              <w:spacing w:after="0"/>
              <w:rPr>
                <w:sz w:val="12"/>
                <w:szCs w:val="12"/>
                <w:color w:val="auto"/>
              </w:rPr>
            </w:pPr>
          </w:p>
        </w:tc>
        <w:tc>
          <w:tcPr>
            <w:tcW w:w="1040" w:type="dxa"/>
            <w:vAlign w:val="bottom"/>
            <w:shd w:val="clear" w:color="auto" w:fill="B8CCE4"/>
          </w:tcPr>
          <w:p>
            <w:pPr>
              <w:spacing w:after="0"/>
              <w:rPr>
                <w:sz w:val="12"/>
                <w:szCs w:val="12"/>
                <w:color w:val="auto"/>
              </w:rPr>
            </w:pPr>
          </w:p>
        </w:tc>
        <w:tc>
          <w:tcPr>
            <w:tcW w:w="1160" w:type="dxa"/>
            <w:vAlign w:val="bottom"/>
            <w:vMerge w:val="restart"/>
            <w:shd w:val="clear" w:color="auto" w:fill="B8CCE4"/>
          </w:tcPr>
          <w:p>
            <w:pPr>
              <w:jc w:val="center"/>
              <w:spacing w:after="0"/>
              <w:rPr>
                <w:sz w:val="20"/>
                <w:szCs w:val="20"/>
                <w:color w:val="auto"/>
              </w:rPr>
            </w:pPr>
            <w:r>
              <w:rPr>
                <w:rFonts w:ascii="Arial" w:cs="Arial" w:eastAsia="Arial" w:hAnsi="Arial"/>
                <w:sz w:val="14"/>
                <w:szCs w:val="14"/>
                <w:b w:val="1"/>
                <w:bCs w:val="1"/>
                <w:color w:val="auto"/>
                <w:w w:val="93"/>
              </w:rPr>
              <w:t>Equity</w:t>
            </w:r>
          </w:p>
        </w:tc>
        <w:tc>
          <w:tcPr>
            <w:tcW w:w="1080" w:type="dxa"/>
            <w:vAlign w:val="bottom"/>
            <w:shd w:val="clear" w:color="auto" w:fill="B8CCE4"/>
          </w:tcPr>
          <w:p>
            <w:pPr>
              <w:jc w:val="center"/>
              <w:spacing w:after="0" w:line="149" w:lineRule="exact"/>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149"/>
        </w:trPr>
        <w:tc>
          <w:tcPr>
            <w:tcW w:w="1500" w:type="dxa"/>
            <w:vAlign w:val="bottom"/>
            <w:shd w:val="clear" w:color="auto" w:fill="B8CCE4"/>
          </w:tcPr>
          <w:p>
            <w:pPr>
              <w:spacing w:after="0"/>
              <w:rPr>
                <w:sz w:val="12"/>
                <w:szCs w:val="12"/>
                <w:color w:val="auto"/>
              </w:rPr>
            </w:pPr>
          </w:p>
        </w:tc>
        <w:tc>
          <w:tcPr>
            <w:tcW w:w="920" w:type="dxa"/>
            <w:vAlign w:val="bottom"/>
            <w:shd w:val="clear" w:color="auto" w:fill="B8CCE4"/>
          </w:tcPr>
          <w:p>
            <w:pPr>
              <w:spacing w:after="0"/>
              <w:rPr>
                <w:sz w:val="12"/>
                <w:szCs w:val="12"/>
                <w:color w:val="auto"/>
              </w:rPr>
            </w:pPr>
          </w:p>
        </w:tc>
        <w:tc>
          <w:tcPr>
            <w:tcW w:w="1120" w:type="dxa"/>
            <w:vAlign w:val="bottom"/>
            <w:shd w:val="clear" w:color="auto" w:fill="B8CCE4"/>
          </w:tcPr>
          <w:p>
            <w:pPr>
              <w:spacing w:after="0"/>
              <w:rPr>
                <w:sz w:val="12"/>
                <w:szCs w:val="12"/>
                <w:color w:val="auto"/>
              </w:rPr>
            </w:pPr>
          </w:p>
        </w:tc>
        <w:tc>
          <w:tcPr>
            <w:tcW w:w="1400" w:type="dxa"/>
            <w:vAlign w:val="bottom"/>
            <w:shd w:val="clear" w:color="auto" w:fill="B8CCE4"/>
          </w:tcPr>
          <w:p>
            <w:pPr>
              <w:spacing w:after="0"/>
              <w:rPr>
                <w:sz w:val="12"/>
                <w:szCs w:val="12"/>
                <w:color w:val="auto"/>
              </w:rPr>
            </w:pPr>
          </w:p>
        </w:tc>
        <w:tc>
          <w:tcPr>
            <w:tcW w:w="120" w:type="dxa"/>
            <w:vAlign w:val="bottom"/>
            <w:shd w:val="clear" w:color="auto" w:fill="B8CCE4"/>
          </w:tcPr>
          <w:p>
            <w:pPr>
              <w:spacing w:after="0"/>
              <w:rPr>
                <w:sz w:val="12"/>
                <w:szCs w:val="12"/>
                <w:color w:val="auto"/>
              </w:rPr>
            </w:pPr>
          </w:p>
        </w:tc>
        <w:tc>
          <w:tcPr>
            <w:tcW w:w="680" w:type="dxa"/>
            <w:vAlign w:val="bottom"/>
            <w:shd w:val="clear" w:color="auto" w:fill="B8CCE4"/>
          </w:tcPr>
          <w:p>
            <w:pPr>
              <w:spacing w:after="0"/>
              <w:rPr>
                <w:sz w:val="12"/>
                <w:szCs w:val="12"/>
                <w:color w:val="auto"/>
              </w:rPr>
            </w:pPr>
          </w:p>
        </w:tc>
        <w:tc>
          <w:tcPr>
            <w:tcW w:w="120" w:type="dxa"/>
            <w:vAlign w:val="bottom"/>
            <w:shd w:val="clear" w:color="auto" w:fill="B8CCE4"/>
          </w:tcPr>
          <w:p>
            <w:pPr>
              <w:spacing w:after="0"/>
              <w:rPr>
                <w:sz w:val="12"/>
                <w:szCs w:val="12"/>
                <w:color w:val="auto"/>
              </w:rPr>
            </w:pPr>
          </w:p>
        </w:tc>
        <w:tc>
          <w:tcPr>
            <w:tcW w:w="1040" w:type="dxa"/>
            <w:vAlign w:val="bottom"/>
            <w:shd w:val="clear" w:color="auto" w:fill="B8CCE4"/>
          </w:tcPr>
          <w:p>
            <w:pPr>
              <w:spacing w:after="0"/>
              <w:rPr>
                <w:sz w:val="12"/>
                <w:szCs w:val="12"/>
                <w:color w:val="auto"/>
              </w:rPr>
            </w:pPr>
          </w:p>
        </w:tc>
        <w:tc>
          <w:tcPr>
            <w:tcW w:w="1240" w:type="dxa"/>
            <w:vAlign w:val="bottom"/>
            <w:shd w:val="clear" w:color="auto" w:fill="B8CCE4"/>
          </w:tcPr>
          <w:p>
            <w:pPr>
              <w:spacing w:after="0"/>
              <w:rPr>
                <w:sz w:val="12"/>
                <w:szCs w:val="12"/>
                <w:color w:val="auto"/>
              </w:rPr>
            </w:pPr>
          </w:p>
        </w:tc>
        <w:tc>
          <w:tcPr>
            <w:tcW w:w="1040" w:type="dxa"/>
            <w:vAlign w:val="bottom"/>
            <w:shd w:val="clear" w:color="auto" w:fill="B8CCE4"/>
          </w:tcPr>
          <w:p>
            <w:pPr>
              <w:spacing w:after="0"/>
              <w:rPr>
                <w:sz w:val="12"/>
                <w:szCs w:val="12"/>
                <w:color w:val="auto"/>
              </w:rPr>
            </w:pPr>
          </w:p>
        </w:tc>
        <w:tc>
          <w:tcPr>
            <w:tcW w:w="1160" w:type="dxa"/>
            <w:vAlign w:val="bottom"/>
            <w:vMerge w:val="continue"/>
            <w:shd w:val="clear" w:color="auto" w:fill="B8CCE4"/>
          </w:tcPr>
          <w:p>
            <w:pPr>
              <w:spacing w:after="0"/>
              <w:rPr>
                <w:sz w:val="12"/>
                <w:szCs w:val="12"/>
                <w:color w:val="auto"/>
              </w:rPr>
            </w:pPr>
          </w:p>
        </w:tc>
        <w:tc>
          <w:tcPr>
            <w:tcW w:w="1080" w:type="dxa"/>
            <w:vAlign w:val="bottom"/>
            <w:shd w:val="clear" w:color="auto" w:fill="B8CCE4"/>
          </w:tcPr>
          <w:p>
            <w:pPr>
              <w:jc w:val="center"/>
              <w:spacing w:after="0" w:line="149" w:lineRule="exact"/>
              <w:rPr>
                <w:sz w:val="20"/>
                <w:szCs w:val="20"/>
                <w:color w:val="auto"/>
              </w:rPr>
            </w:pPr>
            <w:r>
              <w:rPr>
                <w:rFonts w:ascii="Arial" w:cs="Arial" w:eastAsia="Arial" w:hAnsi="Arial"/>
                <w:sz w:val="14"/>
                <w:szCs w:val="14"/>
                <w:b w:val="1"/>
                <w:bCs w:val="1"/>
                <w:color w:val="auto"/>
                <w:w w:val="93"/>
              </w:rPr>
              <w:t>Incentive Plan</w:t>
            </w:r>
          </w:p>
        </w:tc>
        <w:tc>
          <w:tcPr>
            <w:tcW w:w="0" w:type="dxa"/>
            <w:vAlign w:val="bottom"/>
          </w:tcPr>
          <w:p>
            <w:pPr>
              <w:spacing w:after="0"/>
              <w:rPr>
                <w:sz w:val="1"/>
                <w:szCs w:val="1"/>
                <w:color w:val="auto"/>
              </w:rPr>
            </w:pPr>
          </w:p>
        </w:tc>
      </w:tr>
      <w:tr>
        <w:trPr>
          <w:trHeight w:val="149"/>
        </w:trPr>
        <w:tc>
          <w:tcPr>
            <w:tcW w:w="1500" w:type="dxa"/>
            <w:vAlign w:val="bottom"/>
            <w:shd w:val="clear" w:color="auto" w:fill="B8CCE4"/>
          </w:tcPr>
          <w:p>
            <w:pPr>
              <w:spacing w:after="0"/>
              <w:rPr>
                <w:sz w:val="12"/>
                <w:szCs w:val="12"/>
                <w:color w:val="auto"/>
              </w:rPr>
            </w:pPr>
          </w:p>
        </w:tc>
        <w:tc>
          <w:tcPr>
            <w:tcW w:w="920" w:type="dxa"/>
            <w:vAlign w:val="bottom"/>
            <w:shd w:val="clear" w:color="auto" w:fill="B8CCE4"/>
          </w:tcPr>
          <w:p>
            <w:pPr>
              <w:spacing w:after="0"/>
              <w:rPr>
                <w:sz w:val="12"/>
                <w:szCs w:val="12"/>
                <w:color w:val="auto"/>
              </w:rPr>
            </w:pPr>
          </w:p>
        </w:tc>
        <w:tc>
          <w:tcPr>
            <w:tcW w:w="1120" w:type="dxa"/>
            <w:vAlign w:val="bottom"/>
            <w:shd w:val="clear" w:color="auto" w:fill="B8CCE4"/>
          </w:tcPr>
          <w:p>
            <w:pPr>
              <w:spacing w:after="0"/>
              <w:rPr>
                <w:sz w:val="12"/>
                <w:szCs w:val="12"/>
                <w:color w:val="auto"/>
              </w:rPr>
            </w:pPr>
          </w:p>
        </w:tc>
        <w:tc>
          <w:tcPr>
            <w:tcW w:w="1400" w:type="dxa"/>
            <w:vAlign w:val="bottom"/>
            <w:shd w:val="clear" w:color="auto" w:fill="B8CCE4"/>
          </w:tcPr>
          <w:p>
            <w:pPr>
              <w:spacing w:after="0"/>
              <w:rPr>
                <w:sz w:val="12"/>
                <w:szCs w:val="12"/>
                <w:color w:val="auto"/>
              </w:rPr>
            </w:pPr>
          </w:p>
        </w:tc>
        <w:tc>
          <w:tcPr>
            <w:tcW w:w="120" w:type="dxa"/>
            <w:vAlign w:val="bottom"/>
            <w:shd w:val="clear" w:color="auto" w:fill="B8CCE4"/>
          </w:tcPr>
          <w:p>
            <w:pPr>
              <w:spacing w:after="0"/>
              <w:rPr>
                <w:sz w:val="12"/>
                <w:szCs w:val="12"/>
                <w:color w:val="auto"/>
              </w:rPr>
            </w:pPr>
          </w:p>
        </w:tc>
        <w:tc>
          <w:tcPr>
            <w:tcW w:w="680" w:type="dxa"/>
            <w:vAlign w:val="bottom"/>
            <w:shd w:val="clear" w:color="auto" w:fill="B8CCE4"/>
          </w:tcPr>
          <w:p>
            <w:pPr>
              <w:spacing w:after="0"/>
              <w:rPr>
                <w:sz w:val="12"/>
                <w:szCs w:val="12"/>
                <w:color w:val="auto"/>
              </w:rPr>
            </w:pPr>
          </w:p>
        </w:tc>
        <w:tc>
          <w:tcPr>
            <w:tcW w:w="120" w:type="dxa"/>
            <w:vAlign w:val="bottom"/>
            <w:shd w:val="clear" w:color="auto" w:fill="B8CCE4"/>
          </w:tcPr>
          <w:p>
            <w:pPr>
              <w:spacing w:after="0"/>
              <w:rPr>
                <w:sz w:val="12"/>
                <w:szCs w:val="12"/>
                <w:color w:val="auto"/>
              </w:rPr>
            </w:pPr>
          </w:p>
        </w:tc>
        <w:tc>
          <w:tcPr>
            <w:tcW w:w="1040" w:type="dxa"/>
            <w:vAlign w:val="bottom"/>
            <w:shd w:val="clear" w:color="auto" w:fill="B8CCE4"/>
          </w:tcPr>
          <w:p>
            <w:pPr>
              <w:spacing w:after="0"/>
              <w:rPr>
                <w:sz w:val="12"/>
                <w:szCs w:val="12"/>
                <w:color w:val="auto"/>
              </w:rPr>
            </w:pPr>
          </w:p>
        </w:tc>
        <w:tc>
          <w:tcPr>
            <w:tcW w:w="1240" w:type="dxa"/>
            <w:vAlign w:val="bottom"/>
            <w:shd w:val="clear" w:color="auto" w:fill="B8CCE4"/>
          </w:tcPr>
          <w:p>
            <w:pPr>
              <w:spacing w:after="0"/>
              <w:rPr>
                <w:sz w:val="12"/>
                <w:szCs w:val="12"/>
                <w:color w:val="auto"/>
              </w:rPr>
            </w:pPr>
          </w:p>
        </w:tc>
        <w:tc>
          <w:tcPr>
            <w:tcW w:w="1040" w:type="dxa"/>
            <w:vAlign w:val="bottom"/>
            <w:shd w:val="clear" w:color="auto" w:fill="B8CCE4"/>
          </w:tcPr>
          <w:p>
            <w:pPr>
              <w:spacing w:after="0"/>
              <w:rPr>
                <w:sz w:val="12"/>
                <w:szCs w:val="12"/>
                <w:color w:val="auto"/>
              </w:rPr>
            </w:pPr>
          </w:p>
        </w:tc>
        <w:tc>
          <w:tcPr>
            <w:tcW w:w="1160" w:type="dxa"/>
            <w:vAlign w:val="bottom"/>
            <w:shd w:val="clear" w:color="auto" w:fill="B8CCE4"/>
          </w:tcPr>
          <w:p>
            <w:pPr>
              <w:jc w:val="center"/>
              <w:spacing w:after="0" w:line="149" w:lineRule="exact"/>
              <w:rPr>
                <w:sz w:val="20"/>
                <w:szCs w:val="20"/>
                <w:color w:val="auto"/>
              </w:rPr>
            </w:pPr>
            <w:r>
              <w:rPr>
                <w:rFonts w:ascii="Arial" w:cs="Arial" w:eastAsia="Arial" w:hAnsi="Arial"/>
                <w:sz w:val="14"/>
                <w:szCs w:val="14"/>
                <w:b w:val="1"/>
                <w:bCs w:val="1"/>
                <w:color w:val="auto"/>
                <w:w w:val="93"/>
              </w:rPr>
              <w:t>Incentive Plan</w:t>
            </w:r>
          </w:p>
        </w:tc>
        <w:tc>
          <w:tcPr>
            <w:tcW w:w="1080" w:type="dxa"/>
            <w:vAlign w:val="bottom"/>
            <w:shd w:val="clear" w:color="auto" w:fill="B8CCE4"/>
          </w:tcPr>
          <w:p>
            <w:pPr>
              <w:jc w:val="center"/>
              <w:spacing w:after="0" w:line="149" w:lineRule="exact"/>
              <w:rPr>
                <w:sz w:val="20"/>
                <w:szCs w:val="20"/>
                <w:color w:val="auto"/>
              </w:rPr>
            </w:pPr>
            <w:r>
              <w:rPr>
                <w:rFonts w:ascii="Arial" w:cs="Arial" w:eastAsia="Arial" w:hAnsi="Arial"/>
                <w:sz w:val="14"/>
                <w:szCs w:val="14"/>
                <w:b w:val="1"/>
                <w:bCs w:val="1"/>
                <w:color w:val="auto"/>
                <w:w w:val="94"/>
              </w:rPr>
              <w:t>Awards:</w:t>
            </w:r>
          </w:p>
        </w:tc>
        <w:tc>
          <w:tcPr>
            <w:tcW w:w="0" w:type="dxa"/>
            <w:vAlign w:val="bottom"/>
          </w:tcPr>
          <w:p>
            <w:pPr>
              <w:spacing w:after="0"/>
              <w:rPr>
                <w:sz w:val="1"/>
                <w:szCs w:val="1"/>
                <w:color w:val="auto"/>
              </w:rPr>
            </w:pPr>
          </w:p>
        </w:tc>
      </w:tr>
      <w:tr>
        <w:trPr>
          <w:trHeight w:val="149"/>
        </w:trPr>
        <w:tc>
          <w:tcPr>
            <w:tcW w:w="1500" w:type="dxa"/>
            <w:vAlign w:val="bottom"/>
            <w:shd w:val="clear" w:color="auto" w:fill="B8CCE4"/>
          </w:tcPr>
          <w:p>
            <w:pPr>
              <w:spacing w:after="0"/>
              <w:rPr>
                <w:sz w:val="12"/>
                <w:szCs w:val="12"/>
                <w:color w:val="auto"/>
              </w:rPr>
            </w:pPr>
          </w:p>
        </w:tc>
        <w:tc>
          <w:tcPr>
            <w:tcW w:w="920" w:type="dxa"/>
            <w:vAlign w:val="bottom"/>
            <w:shd w:val="clear" w:color="auto" w:fill="B8CCE4"/>
          </w:tcPr>
          <w:p>
            <w:pPr>
              <w:spacing w:after="0"/>
              <w:rPr>
                <w:sz w:val="12"/>
                <w:szCs w:val="12"/>
                <w:color w:val="auto"/>
              </w:rPr>
            </w:pPr>
          </w:p>
        </w:tc>
        <w:tc>
          <w:tcPr>
            <w:tcW w:w="1120" w:type="dxa"/>
            <w:vAlign w:val="bottom"/>
            <w:shd w:val="clear" w:color="auto" w:fill="B8CCE4"/>
          </w:tcPr>
          <w:p>
            <w:pPr>
              <w:spacing w:after="0"/>
              <w:rPr>
                <w:sz w:val="12"/>
                <w:szCs w:val="12"/>
                <w:color w:val="auto"/>
              </w:rPr>
            </w:pPr>
          </w:p>
        </w:tc>
        <w:tc>
          <w:tcPr>
            <w:tcW w:w="1400" w:type="dxa"/>
            <w:vAlign w:val="bottom"/>
            <w:shd w:val="clear" w:color="auto" w:fill="B8CCE4"/>
          </w:tcPr>
          <w:p>
            <w:pPr>
              <w:spacing w:after="0"/>
              <w:rPr>
                <w:sz w:val="12"/>
                <w:szCs w:val="12"/>
                <w:color w:val="auto"/>
              </w:rPr>
            </w:pPr>
          </w:p>
        </w:tc>
        <w:tc>
          <w:tcPr>
            <w:tcW w:w="120" w:type="dxa"/>
            <w:vAlign w:val="bottom"/>
            <w:shd w:val="clear" w:color="auto" w:fill="B8CCE4"/>
          </w:tcPr>
          <w:p>
            <w:pPr>
              <w:spacing w:after="0"/>
              <w:rPr>
                <w:sz w:val="12"/>
                <w:szCs w:val="12"/>
                <w:color w:val="auto"/>
              </w:rPr>
            </w:pPr>
          </w:p>
        </w:tc>
        <w:tc>
          <w:tcPr>
            <w:tcW w:w="680" w:type="dxa"/>
            <w:vAlign w:val="bottom"/>
            <w:shd w:val="clear" w:color="auto" w:fill="B8CCE4"/>
          </w:tcPr>
          <w:p>
            <w:pPr>
              <w:spacing w:after="0"/>
              <w:rPr>
                <w:sz w:val="12"/>
                <w:szCs w:val="12"/>
                <w:color w:val="auto"/>
              </w:rPr>
            </w:pPr>
          </w:p>
        </w:tc>
        <w:tc>
          <w:tcPr>
            <w:tcW w:w="120" w:type="dxa"/>
            <w:vAlign w:val="bottom"/>
            <w:shd w:val="clear" w:color="auto" w:fill="B8CCE4"/>
          </w:tcPr>
          <w:p>
            <w:pPr>
              <w:spacing w:after="0"/>
              <w:rPr>
                <w:sz w:val="12"/>
                <w:szCs w:val="12"/>
                <w:color w:val="auto"/>
              </w:rPr>
            </w:pPr>
          </w:p>
        </w:tc>
        <w:tc>
          <w:tcPr>
            <w:tcW w:w="1040" w:type="dxa"/>
            <w:vAlign w:val="bottom"/>
            <w:shd w:val="clear" w:color="auto" w:fill="B8CCE4"/>
          </w:tcPr>
          <w:p>
            <w:pPr>
              <w:spacing w:after="0"/>
              <w:rPr>
                <w:sz w:val="12"/>
                <w:szCs w:val="12"/>
                <w:color w:val="auto"/>
              </w:rPr>
            </w:pPr>
          </w:p>
        </w:tc>
        <w:tc>
          <w:tcPr>
            <w:tcW w:w="1240" w:type="dxa"/>
            <w:vAlign w:val="bottom"/>
            <w:shd w:val="clear" w:color="auto" w:fill="B8CCE4"/>
          </w:tcPr>
          <w:p>
            <w:pPr>
              <w:spacing w:after="0"/>
              <w:rPr>
                <w:sz w:val="12"/>
                <w:szCs w:val="12"/>
                <w:color w:val="auto"/>
              </w:rPr>
            </w:pPr>
          </w:p>
        </w:tc>
        <w:tc>
          <w:tcPr>
            <w:tcW w:w="1040" w:type="dxa"/>
            <w:vAlign w:val="bottom"/>
            <w:vMerge w:val="restart"/>
            <w:shd w:val="clear" w:color="auto" w:fill="B8CCE4"/>
          </w:tcPr>
          <w:p>
            <w:pPr>
              <w:jc w:val="center"/>
              <w:ind w:right="27"/>
              <w:spacing w:after="0"/>
              <w:rPr>
                <w:sz w:val="20"/>
                <w:szCs w:val="20"/>
                <w:color w:val="auto"/>
              </w:rPr>
            </w:pPr>
            <w:r>
              <w:rPr>
                <w:rFonts w:ascii="Arial" w:cs="Arial" w:eastAsia="Arial" w:hAnsi="Arial"/>
                <w:sz w:val="14"/>
                <w:szCs w:val="14"/>
                <w:b w:val="1"/>
                <w:bCs w:val="1"/>
                <w:color w:val="auto"/>
              </w:rPr>
              <w:t>Market</w:t>
            </w:r>
          </w:p>
        </w:tc>
        <w:tc>
          <w:tcPr>
            <w:tcW w:w="1160" w:type="dxa"/>
            <w:vAlign w:val="bottom"/>
            <w:shd w:val="clear" w:color="auto" w:fill="B8CCE4"/>
          </w:tcPr>
          <w:p>
            <w:pPr>
              <w:jc w:val="center"/>
              <w:spacing w:after="0" w:line="149" w:lineRule="exact"/>
              <w:rPr>
                <w:sz w:val="20"/>
                <w:szCs w:val="20"/>
                <w:color w:val="auto"/>
              </w:rPr>
            </w:pPr>
            <w:r>
              <w:rPr>
                <w:rFonts w:ascii="Arial" w:cs="Arial" w:eastAsia="Arial" w:hAnsi="Arial"/>
                <w:sz w:val="14"/>
                <w:szCs w:val="14"/>
                <w:b w:val="1"/>
                <w:bCs w:val="1"/>
                <w:color w:val="auto"/>
                <w:w w:val="94"/>
              </w:rPr>
              <w:t>Awards:</w:t>
            </w:r>
          </w:p>
        </w:tc>
        <w:tc>
          <w:tcPr>
            <w:tcW w:w="1080" w:type="dxa"/>
            <w:vAlign w:val="bottom"/>
            <w:shd w:val="clear" w:color="auto" w:fill="B8CCE4"/>
          </w:tcPr>
          <w:p>
            <w:pPr>
              <w:jc w:val="center"/>
              <w:spacing w:after="0" w:line="149" w:lineRule="exact"/>
              <w:rPr>
                <w:sz w:val="20"/>
                <w:szCs w:val="20"/>
                <w:color w:val="auto"/>
              </w:rPr>
            </w:pPr>
            <w:r>
              <w:rPr>
                <w:rFonts w:ascii="Arial" w:cs="Arial" w:eastAsia="Arial" w:hAnsi="Arial"/>
                <w:sz w:val="14"/>
                <w:szCs w:val="14"/>
                <w:b w:val="1"/>
                <w:bCs w:val="1"/>
                <w:color w:val="auto"/>
              </w:rPr>
              <w:t>Market or</w:t>
            </w:r>
          </w:p>
        </w:tc>
        <w:tc>
          <w:tcPr>
            <w:tcW w:w="0" w:type="dxa"/>
            <w:vAlign w:val="bottom"/>
          </w:tcPr>
          <w:p>
            <w:pPr>
              <w:spacing w:after="0"/>
              <w:rPr>
                <w:sz w:val="1"/>
                <w:szCs w:val="1"/>
                <w:color w:val="auto"/>
              </w:rPr>
            </w:pPr>
          </w:p>
        </w:tc>
      </w:tr>
      <w:tr>
        <w:trPr>
          <w:trHeight w:val="149"/>
        </w:trPr>
        <w:tc>
          <w:tcPr>
            <w:tcW w:w="1500" w:type="dxa"/>
            <w:vAlign w:val="bottom"/>
            <w:shd w:val="clear" w:color="auto" w:fill="B8CCE4"/>
          </w:tcPr>
          <w:p>
            <w:pPr>
              <w:spacing w:after="0"/>
              <w:rPr>
                <w:sz w:val="12"/>
                <w:szCs w:val="12"/>
                <w:color w:val="auto"/>
              </w:rPr>
            </w:pPr>
          </w:p>
        </w:tc>
        <w:tc>
          <w:tcPr>
            <w:tcW w:w="920" w:type="dxa"/>
            <w:vAlign w:val="bottom"/>
            <w:shd w:val="clear" w:color="auto" w:fill="B8CCE4"/>
          </w:tcPr>
          <w:p>
            <w:pPr>
              <w:spacing w:after="0"/>
              <w:rPr>
                <w:sz w:val="12"/>
                <w:szCs w:val="12"/>
                <w:color w:val="auto"/>
              </w:rPr>
            </w:pPr>
          </w:p>
        </w:tc>
        <w:tc>
          <w:tcPr>
            <w:tcW w:w="1120" w:type="dxa"/>
            <w:vAlign w:val="bottom"/>
            <w:vMerge w:val="restart"/>
            <w:shd w:val="clear" w:color="auto" w:fill="B8CCE4"/>
          </w:tcPr>
          <w:p>
            <w:pPr>
              <w:jc w:val="center"/>
              <w:spacing w:after="0"/>
              <w:rPr>
                <w:sz w:val="20"/>
                <w:szCs w:val="20"/>
                <w:color w:val="auto"/>
              </w:rPr>
            </w:pPr>
            <w:r>
              <w:rPr>
                <w:rFonts w:ascii="Arial" w:cs="Arial" w:eastAsia="Arial" w:hAnsi="Arial"/>
                <w:sz w:val="14"/>
                <w:szCs w:val="14"/>
                <w:b w:val="1"/>
                <w:bCs w:val="1"/>
                <w:color w:val="auto"/>
                <w:w w:val="94"/>
              </w:rPr>
              <w:t>Number of</w:t>
            </w:r>
          </w:p>
        </w:tc>
        <w:tc>
          <w:tcPr>
            <w:tcW w:w="1400" w:type="dxa"/>
            <w:vAlign w:val="bottom"/>
            <w:vMerge w:val="restart"/>
            <w:shd w:val="clear" w:color="auto" w:fill="B8CCE4"/>
          </w:tcPr>
          <w:p>
            <w:pPr>
              <w:jc w:val="center"/>
              <w:spacing w:after="0"/>
              <w:rPr>
                <w:sz w:val="20"/>
                <w:szCs w:val="20"/>
                <w:color w:val="auto"/>
              </w:rPr>
            </w:pPr>
            <w:r>
              <w:rPr>
                <w:rFonts w:ascii="Arial" w:cs="Arial" w:eastAsia="Arial" w:hAnsi="Arial"/>
                <w:sz w:val="14"/>
                <w:szCs w:val="14"/>
                <w:b w:val="1"/>
                <w:bCs w:val="1"/>
                <w:color w:val="auto"/>
                <w:w w:val="94"/>
              </w:rPr>
              <w:t>Number of</w:t>
            </w:r>
          </w:p>
        </w:tc>
        <w:tc>
          <w:tcPr>
            <w:tcW w:w="120" w:type="dxa"/>
            <w:vAlign w:val="bottom"/>
            <w:shd w:val="clear" w:color="auto" w:fill="B8CCE4"/>
          </w:tcPr>
          <w:p>
            <w:pPr>
              <w:spacing w:after="0"/>
              <w:rPr>
                <w:sz w:val="12"/>
                <w:szCs w:val="12"/>
                <w:color w:val="auto"/>
              </w:rPr>
            </w:pPr>
          </w:p>
        </w:tc>
        <w:tc>
          <w:tcPr>
            <w:tcW w:w="680" w:type="dxa"/>
            <w:vAlign w:val="bottom"/>
            <w:shd w:val="clear" w:color="auto" w:fill="B8CCE4"/>
          </w:tcPr>
          <w:p>
            <w:pPr>
              <w:spacing w:after="0"/>
              <w:rPr>
                <w:sz w:val="12"/>
                <w:szCs w:val="12"/>
                <w:color w:val="auto"/>
              </w:rPr>
            </w:pPr>
          </w:p>
        </w:tc>
        <w:tc>
          <w:tcPr>
            <w:tcW w:w="120" w:type="dxa"/>
            <w:vAlign w:val="bottom"/>
            <w:shd w:val="clear" w:color="auto" w:fill="B8CCE4"/>
          </w:tcPr>
          <w:p>
            <w:pPr>
              <w:spacing w:after="0"/>
              <w:rPr>
                <w:sz w:val="12"/>
                <w:szCs w:val="12"/>
                <w:color w:val="auto"/>
              </w:rPr>
            </w:pPr>
          </w:p>
        </w:tc>
        <w:tc>
          <w:tcPr>
            <w:tcW w:w="1040" w:type="dxa"/>
            <w:vAlign w:val="bottom"/>
            <w:shd w:val="clear" w:color="auto" w:fill="B8CCE4"/>
          </w:tcPr>
          <w:p>
            <w:pPr>
              <w:spacing w:after="0"/>
              <w:rPr>
                <w:sz w:val="12"/>
                <w:szCs w:val="12"/>
                <w:color w:val="auto"/>
              </w:rPr>
            </w:pPr>
          </w:p>
        </w:tc>
        <w:tc>
          <w:tcPr>
            <w:tcW w:w="1240" w:type="dxa"/>
            <w:vAlign w:val="bottom"/>
            <w:vMerge w:val="restart"/>
            <w:shd w:val="clear" w:color="auto" w:fill="B8CCE4"/>
          </w:tcPr>
          <w:p>
            <w:pPr>
              <w:jc w:val="center"/>
              <w:ind w:right="8"/>
              <w:spacing w:after="0"/>
              <w:rPr>
                <w:sz w:val="20"/>
                <w:szCs w:val="20"/>
                <w:color w:val="auto"/>
              </w:rPr>
            </w:pPr>
            <w:r>
              <w:rPr>
                <w:rFonts w:ascii="Arial" w:cs="Arial" w:eastAsia="Arial" w:hAnsi="Arial"/>
                <w:sz w:val="14"/>
                <w:szCs w:val="14"/>
                <w:b w:val="1"/>
                <w:bCs w:val="1"/>
                <w:color w:val="auto"/>
                <w:w w:val="97"/>
              </w:rPr>
              <w:t>Number of</w:t>
            </w:r>
          </w:p>
        </w:tc>
        <w:tc>
          <w:tcPr>
            <w:tcW w:w="1040" w:type="dxa"/>
            <w:vAlign w:val="bottom"/>
            <w:vMerge w:val="continue"/>
            <w:shd w:val="clear" w:color="auto" w:fill="B8CCE4"/>
          </w:tcPr>
          <w:p>
            <w:pPr>
              <w:spacing w:after="0"/>
              <w:rPr>
                <w:sz w:val="12"/>
                <w:szCs w:val="12"/>
                <w:color w:val="auto"/>
              </w:rPr>
            </w:pPr>
          </w:p>
        </w:tc>
        <w:tc>
          <w:tcPr>
            <w:tcW w:w="1160" w:type="dxa"/>
            <w:vAlign w:val="bottom"/>
            <w:shd w:val="clear" w:color="auto" w:fill="B8CCE4"/>
          </w:tcPr>
          <w:p>
            <w:pPr>
              <w:jc w:val="center"/>
              <w:spacing w:after="0" w:line="149" w:lineRule="exact"/>
              <w:rPr>
                <w:sz w:val="20"/>
                <w:szCs w:val="20"/>
                <w:color w:val="auto"/>
              </w:rPr>
            </w:pPr>
            <w:r>
              <w:rPr>
                <w:rFonts w:ascii="Arial" w:cs="Arial" w:eastAsia="Arial" w:hAnsi="Arial"/>
                <w:sz w:val="14"/>
                <w:szCs w:val="14"/>
                <w:b w:val="1"/>
                <w:bCs w:val="1"/>
                <w:color w:val="auto"/>
                <w:w w:val="97"/>
              </w:rPr>
              <w:t>Number of</w:t>
            </w:r>
          </w:p>
        </w:tc>
        <w:tc>
          <w:tcPr>
            <w:tcW w:w="1080" w:type="dxa"/>
            <w:vAlign w:val="bottom"/>
            <w:shd w:val="clear" w:color="auto" w:fill="B8CCE4"/>
          </w:tcPr>
          <w:p>
            <w:pPr>
              <w:jc w:val="center"/>
              <w:spacing w:after="0" w:line="149" w:lineRule="exact"/>
              <w:rPr>
                <w:sz w:val="20"/>
                <w:szCs w:val="20"/>
                <w:color w:val="auto"/>
              </w:rPr>
            </w:pPr>
            <w:r>
              <w:rPr>
                <w:rFonts w:ascii="Arial" w:cs="Arial" w:eastAsia="Arial" w:hAnsi="Arial"/>
                <w:sz w:val="14"/>
                <w:szCs w:val="14"/>
                <w:b w:val="1"/>
                <w:bCs w:val="1"/>
                <w:color w:val="auto"/>
                <w:w w:val="93"/>
              </w:rPr>
              <w:t>Payout Value</w:t>
            </w:r>
          </w:p>
        </w:tc>
        <w:tc>
          <w:tcPr>
            <w:tcW w:w="0" w:type="dxa"/>
            <w:vAlign w:val="bottom"/>
          </w:tcPr>
          <w:p>
            <w:pPr>
              <w:spacing w:after="0"/>
              <w:rPr>
                <w:sz w:val="1"/>
                <w:szCs w:val="1"/>
                <w:color w:val="auto"/>
              </w:rPr>
            </w:pPr>
          </w:p>
        </w:tc>
      </w:tr>
      <w:tr>
        <w:trPr>
          <w:trHeight w:val="149"/>
        </w:trPr>
        <w:tc>
          <w:tcPr>
            <w:tcW w:w="1500" w:type="dxa"/>
            <w:vAlign w:val="bottom"/>
            <w:shd w:val="clear" w:color="auto" w:fill="B8CCE4"/>
          </w:tcPr>
          <w:p>
            <w:pPr>
              <w:spacing w:after="0"/>
              <w:rPr>
                <w:sz w:val="12"/>
                <w:szCs w:val="12"/>
                <w:color w:val="auto"/>
              </w:rPr>
            </w:pPr>
          </w:p>
        </w:tc>
        <w:tc>
          <w:tcPr>
            <w:tcW w:w="920" w:type="dxa"/>
            <w:vAlign w:val="bottom"/>
            <w:shd w:val="clear" w:color="auto" w:fill="B8CCE4"/>
          </w:tcPr>
          <w:p>
            <w:pPr>
              <w:spacing w:after="0"/>
              <w:rPr>
                <w:sz w:val="12"/>
                <w:szCs w:val="12"/>
                <w:color w:val="auto"/>
              </w:rPr>
            </w:pPr>
          </w:p>
        </w:tc>
        <w:tc>
          <w:tcPr>
            <w:tcW w:w="1120" w:type="dxa"/>
            <w:vAlign w:val="bottom"/>
            <w:vMerge w:val="continue"/>
            <w:shd w:val="clear" w:color="auto" w:fill="B8CCE4"/>
          </w:tcPr>
          <w:p>
            <w:pPr>
              <w:spacing w:after="0"/>
              <w:rPr>
                <w:sz w:val="12"/>
                <w:szCs w:val="12"/>
                <w:color w:val="auto"/>
              </w:rPr>
            </w:pPr>
          </w:p>
        </w:tc>
        <w:tc>
          <w:tcPr>
            <w:tcW w:w="1400" w:type="dxa"/>
            <w:vAlign w:val="bottom"/>
            <w:vMerge w:val="continue"/>
            <w:shd w:val="clear" w:color="auto" w:fill="B8CCE4"/>
          </w:tcPr>
          <w:p>
            <w:pPr>
              <w:spacing w:after="0"/>
              <w:rPr>
                <w:sz w:val="12"/>
                <w:szCs w:val="12"/>
                <w:color w:val="auto"/>
              </w:rPr>
            </w:pPr>
          </w:p>
        </w:tc>
        <w:tc>
          <w:tcPr>
            <w:tcW w:w="120" w:type="dxa"/>
            <w:vAlign w:val="bottom"/>
            <w:shd w:val="clear" w:color="auto" w:fill="B8CCE4"/>
          </w:tcPr>
          <w:p>
            <w:pPr>
              <w:spacing w:after="0"/>
              <w:rPr>
                <w:sz w:val="12"/>
                <w:szCs w:val="12"/>
                <w:color w:val="auto"/>
              </w:rPr>
            </w:pPr>
          </w:p>
        </w:tc>
        <w:tc>
          <w:tcPr>
            <w:tcW w:w="680" w:type="dxa"/>
            <w:vAlign w:val="bottom"/>
            <w:shd w:val="clear" w:color="auto" w:fill="B8CCE4"/>
          </w:tcPr>
          <w:p>
            <w:pPr>
              <w:spacing w:after="0"/>
              <w:rPr>
                <w:sz w:val="12"/>
                <w:szCs w:val="12"/>
                <w:color w:val="auto"/>
              </w:rPr>
            </w:pPr>
          </w:p>
        </w:tc>
        <w:tc>
          <w:tcPr>
            <w:tcW w:w="120" w:type="dxa"/>
            <w:vAlign w:val="bottom"/>
            <w:shd w:val="clear" w:color="auto" w:fill="B8CCE4"/>
          </w:tcPr>
          <w:p>
            <w:pPr>
              <w:spacing w:after="0"/>
              <w:rPr>
                <w:sz w:val="12"/>
                <w:szCs w:val="12"/>
                <w:color w:val="auto"/>
              </w:rPr>
            </w:pPr>
          </w:p>
        </w:tc>
        <w:tc>
          <w:tcPr>
            <w:tcW w:w="1040" w:type="dxa"/>
            <w:vAlign w:val="bottom"/>
            <w:shd w:val="clear" w:color="auto" w:fill="B8CCE4"/>
          </w:tcPr>
          <w:p>
            <w:pPr>
              <w:spacing w:after="0"/>
              <w:rPr>
                <w:sz w:val="12"/>
                <w:szCs w:val="12"/>
                <w:color w:val="auto"/>
              </w:rPr>
            </w:pPr>
          </w:p>
        </w:tc>
        <w:tc>
          <w:tcPr>
            <w:tcW w:w="1240" w:type="dxa"/>
            <w:vAlign w:val="bottom"/>
            <w:vMerge w:val="continue"/>
            <w:shd w:val="clear" w:color="auto" w:fill="B8CCE4"/>
          </w:tcPr>
          <w:p>
            <w:pPr>
              <w:spacing w:after="0"/>
              <w:rPr>
                <w:sz w:val="12"/>
                <w:szCs w:val="12"/>
                <w:color w:val="auto"/>
              </w:rPr>
            </w:pPr>
          </w:p>
        </w:tc>
        <w:tc>
          <w:tcPr>
            <w:tcW w:w="1040" w:type="dxa"/>
            <w:vAlign w:val="bottom"/>
            <w:shd w:val="clear" w:color="auto" w:fill="B8CCE4"/>
          </w:tcPr>
          <w:p>
            <w:pPr>
              <w:jc w:val="center"/>
              <w:ind w:right="27"/>
              <w:spacing w:after="0" w:line="149" w:lineRule="exact"/>
              <w:rPr>
                <w:sz w:val="20"/>
                <w:szCs w:val="20"/>
                <w:color w:val="auto"/>
              </w:rPr>
            </w:pPr>
            <w:r>
              <w:rPr>
                <w:rFonts w:ascii="Arial" w:cs="Arial" w:eastAsia="Arial" w:hAnsi="Arial"/>
                <w:sz w:val="14"/>
                <w:szCs w:val="14"/>
                <w:b w:val="1"/>
                <w:bCs w:val="1"/>
                <w:color w:val="auto"/>
                <w:w w:val="91"/>
              </w:rPr>
              <w:t>Value of</w:t>
            </w:r>
          </w:p>
        </w:tc>
        <w:tc>
          <w:tcPr>
            <w:tcW w:w="1160" w:type="dxa"/>
            <w:vAlign w:val="bottom"/>
            <w:shd w:val="clear" w:color="auto" w:fill="B8CCE4"/>
          </w:tcPr>
          <w:p>
            <w:pPr>
              <w:jc w:val="center"/>
              <w:spacing w:after="0" w:line="149" w:lineRule="exact"/>
              <w:rPr>
                <w:sz w:val="20"/>
                <w:szCs w:val="20"/>
                <w:color w:val="auto"/>
              </w:rPr>
            </w:pPr>
            <w:r>
              <w:rPr>
                <w:rFonts w:ascii="Arial" w:cs="Arial" w:eastAsia="Arial" w:hAnsi="Arial"/>
                <w:sz w:val="14"/>
                <w:szCs w:val="14"/>
                <w:b w:val="1"/>
                <w:bCs w:val="1"/>
                <w:color w:val="auto"/>
                <w:w w:val="92"/>
              </w:rPr>
              <w:t>Unearned</w:t>
            </w:r>
          </w:p>
        </w:tc>
        <w:tc>
          <w:tcPr>
            <w:tcW w:w="1080" w:type="dxa"/>
            <w:vAlign w:val="bottom"/>
            <w:shd w:val="clear" w:color="auto" w:fill="B8CCE4"/>
          </w:tcPr>
          <w:p>
            <w:pPr>
              <w:jc w:val="center"/>
              <w:spacing w:after="0" w:line="149" w:lineRule="exact"/>
              <w:rPr>
                <w:sz w:val="20"/>
                <w:szCs w:val="20"/>
                <w:color w:val="auto"/>
              </w:rPr>
            </w:pPr>
            <w:r>
              <w:rPr>
                <w:rFonts w:ascii="Arial" w:cs="Arial" w:eastAsia="Arial" w:hAnsi="Arial"/>
                <w:sz w:val="14"/>
                <w:szCs w:val="14"/>
                <w:b w:val="1"/>
                <w:bCs w:val="1"/>
                <w:color w:val="auto"/>
                <w:w w:val="92"/>
              </w:rPr>
              <w:t>of Unearned</w:t>
            </w:r>
          </w:p>
        </w:tc>
        <w:tc>
          <w:tcPr>
            <w:tcW w:w="0" w:type="dxa"/>
            <w:vAlign w:val="bottom"/>
          </w:tcPr>
          <w:p>
            <w:pPr>
              <w:spacing w:after="0"/>
              <w:rPr>
                <w:sz w:val="1"/>
                <w:szCs w:val="1"/>
                <w:color w:val="auto"/>
              </w:rPr>
            </w:pPr>
          </w:p>
        </w:tc>
      </w:tr>
      <w:tr>
        <w:trPr>
          <w:trHeight w:val="149"/>
        </w:trPr>
        <w:tc>
          <w:tcPr>
            <w:tcW w:w="1500" w:type="dxa"/>
            <w:vAlign w:val="bottom"/>
            <w:shd w:val="clear" w:color="auto" w:fill="B8CCE4"/>
          </w:tcPr>
          <w:p>
            <w:pPr>
              <w:spacing w:after="0"/>
              <w:rPr>
                <w:sz w:val="12"/>
                <w:szCs w:val="12"/>
                <w:color w:val="auto"/>
              </w:rPr>
            </w:pPr>
          </w:p>
        </w:tc>
        <w:tc>
          <w:tcPr>
            <w:tcW w:w="920" w:type="dxa"/>
            <w:vAlign w:val="bottom"/>
            <w:shd w:val="clear" w:color="auto" w:fill="B8CCE4"/>
          </w:tcPr>
          <w:p>
            <w:pPr>
              <w:spacing w:after="0"/>
              <w:rPr>
                <w:sz w:val="12"/>
                <w:szCs w:val="12"/>
                <w:color w:val="auto"/>
              </w:rPr>
            </w:pPr>
          </w:p>
        </w:tc>
        <w:tc>
          <w:tcPr>
            <w:tcW w:w="1120" w:type="dxa"/>
            <w:vAlign w:val="bottom"/>
            <w:shd w:val="clear" w:color="auto" w:fill="B8CCE4"/>
          </w:tcPr>
          <w:p>
            <w:pPr>
              <w:jc w:val="center"/>
              <w:spacing w:after="0" w:line="149" w:lineRule="exact"/>
              <w:rPr>
                <w:sz w:val="20"/>
                <w:szCs w:val="20"/>
                <w:color w:val="auto"/>
              </w:rPr>
            </w:pPr>
            <w:r>
              <w:rPr>
                <w:rFonts w:ascii="Arial" w:cs="Arial" w:eastAsia="Arial" w:hAnsi="Arial"/>
                <w:sz w:val="14"/>
                <w:szCs w:val="14"/>
                <w:b w:val="1"/>
                <w:bCs w:val="1"/>
                <w:color w:val="auto"/>
                <w:w w:val="89"/>
              </w:rPr>
              <w:t>Securities</w:t>
            </w:r>
          </w:p>
        </w:tc>
        <w:tc>
          <w:tcPr>
            <w:tcW w:w="1400" w:type="dxa"/>
            <w:vAlign w:val="bottom"/>
            <w:shd w:val="clear" w:color="auto" w:fill="B8CCE4"/>
          </w:tcPr>
          <w:p>
            <w:pPr>
              <w:jc w:val="center"/>
              <w:spacing w:after="0" w:line="149" w:lineRule="exact"/>
              <w:rPr>
                <w:sz w:val="20"/>
                <w:szCs w:val="20"/>
                <w:color w:val="auto"/>
              </w:rPr>
            </w:pPr>
            <w:r>
              <w:rPr>
                <w:rFonts w:ascii="Arial" w:cs="Arial" w:eastAsia="Arial" w:hAnsi="Arial"/>
                <w:sz w:val="14"/>
                <w:szCs w:val="14"/>
                <w:b w:val="1"/>
                <w:bCs w:val="1"/>
                <w:color w:val="auto"/>
                <w:w w:val="89"/>
              </w:rPr>
              <w:t>Securities</w:t>
            </w:r>
          </w:p>
        </w:tc>
        <w:tc>
          <w:tcPr>
            <w:tcW w:w="120" w:type="dxa"/>
            <w:vAlign w:val="bottom"/>
            <w:shd w:val="clear" w:color="auto" w:fill="B8CCE4"/>
          </w:tcPr>
          <w:p>
            <w:pPr>
              <w:spacing w:after="0"/>
              <w:rPr>
                <w:sz w:val="12"/>
                <w:szCs w:val="12"/>
                <w:color w:val="auto"/>
              </w:rPr>
            </w:pPr>
          </w:p>
        </w:tc>
        <w:tc>
          <w:tcPr>
            <w:tcW w:w="680" w:type="dxa"/>
            <w:vAlign w:val="bottom"/>
            <w:shd w:val="clear" w:color="auto" w:fill="B8CCE4"/>
          </w:tcPr>
          <w:p>
            <w:pPr>
              <w:spacing w:after="0"/>
              <w:rPr>
                <w:sz w:val="12"/>
                <w:szCs w:val="12"/>
                <w:color w:val="auto"/>
              </w:rPr>
            </w:pPr>
          </w:p>
        </w:tc>
        <w:tc>
          <w:tcPr>
            <w:tcW w:w="120" w:type="dxa"/>
            <w:vAlign w:val="bottom"/>
            <w:shd w:val="clear" w:color="auto" w:fill="B8CCE4"/>
          </w:tcPr>
          <w:p>
            <w:pPr>
              <w:spacing w:after="0"/>
              <w:rPr>
                <w:sz w:val="12"/>
                <w:szCs w:val="12"/>
                <w:color w:val="auto"/>
              </w:rPr>
            </w:pPr>
          </w:p>
        </w:tc>
        <w:tc>
          <w:tcPr>
            <w:tcW w:w="1040" w:type="dxa"/>
            <w:vAlign w:val="bottom"/>
            <w:shd w:val="clear" w:color="auto" w:fill="B8CCE4"/>
          </w:tcPr>
          <w:p>
            <w:pPr>
              <w:spacing w:after="0"/>
              <w:rPr>
                <w:sz w:val="12"/>
                <w:szCs w:val="12"/>
                <w:color w:val="auto"/>
              </w:rPr>
            </w:pPr>
          </w:p>
        </w:tc>
        <w:tc>
          <w:tcPr>
            <w:tcW w:w="1240" w:type="dxa"/>
            <w:vAlign w:val="bottom"/>
            <w:shd w:val="clear" w:color="auto" w:fill="B8CCE4"/>
          </w:tcPr>
          <w:p>
            <w:pPr>
              <w:jc w:val="center"/>
              <w:spacing w:after="0" w:line="149" w:lineRule="exact"/>
              <w:rPr>
                <w:sz w:val="20"/>
                <w:szCs w:val="20"/>
                <w:color w:val="auto"/>
              </w:rPr>
            </w:pPr>
            <w:r>
              <w:rPr>
                <w:rFonts w:ascii="Arial" w:cs="Arial" w:eastAsia="Arial" w:hAnsi="Arial"/>
                <w:sz w:val="14"/>
                <w:szCs w:val="14"/>
                <w:b w:val="1"/>
                <w:bCs w:val="1"/>
                <w:color w:val="auto"/>
                <w:w w:val="89"/>
              </w:rPr>
              <w:t>Shares or</w:t>
            </w:r>
          </w:p>
        </w:tc>
        <w:tc>
          <w:tcPr>
            <w:tcW w:w="1040" w:type="dxa"/>
            <w:vAlign w:val="bottom"/>
            <w:shd w:val="clear" w:color="auto" w:fill="B8CCE4"/>
          </w:tcPr>
          <w:p>
            <w:pPr>
              <w:jc w:val="center"/>
              <w:ind w:right="27"/>
              <w:spacing w:after="0" w:line="149" w:lineRule="exact"/>
              <w:rPr>
                <w:sz w:val="20"/>
                <w:szCs w:val="20"/>
                <w:color w:val="auto"/>
              </w:rPr>
            </w:pPr>
            <w:r>
              <w:rPr>
                <w:rFonts w:ascii="Arial" w:cs="Arial" w:eastAsia="Arial" w:hAnsi="Arial"/>
                <w:sz w:val="14"/>
                <w:szCs w:val="14"/>
                <w:b w:val="1"/>
                <w:bCs w:val="1"/>
                <w:color w:val="auto"/>
                <w:w w:val="89"/>
              </w:rPr>
              <w:t>Shares or</w:t>
            </w:r>
          </w:p>
        </w:tc>
        <w:tc>
          <w:tcPr>
            <w:tcW w:w="1160" w:type="dxa"/>
            <w:vAlign w:val="bottom"/>
            <w:shd w:val="clear" w:color="auto" w:fill="B8CCE4"/>
          </w:tcPr>
          <w:p>
            <w:pPr>
              <w:jc w:val="center"/>
              <w:spacing w:after="0" w:line="149" w:lineRule="exact"/>
              <w:rPr>
                <w:sz w:val="20"/>
                <w:szCs w:val="20"/>
                <w:color w:val="auto"/>
              </w:rPr>
            </w:pPr>
            <w:r>
              <w:rPr>
                <w:rFonts w:ascii="Arial" w:cs="Arial" w:eastAsia="Arial" w:hAnsi="Arial"/>
                <w:sz w:val="14"/>
                <w:szCs w:val="14"/>
                <w:b w:val="1"/>
                <w:bCs w:val="1"/>
                <w:color w:val="auto"/>
                <w:w w:val="89"/>
              </w:rPr>
              <w:t>Shares, Units</w:t>
            </w:r>
          </w:p>
        </w:tc>
        <w:tc>
          <w:tcPr>
            <w:tcW w:w="1080" w:type="dxa"/>
            <w:vAlign w:val="bottom"/>
            <w:shd w:val="clear" w:color="auto" w:fill="B8CCE4"/>
          </w:tcPr>
          <w:p>
            <w:pPr>
              <w:jc w:val="center"/>
              <w:spacing w:after="0" w:line="149" w:lineRule="exact"/>
              <w:rPr>
                <w:sz w:val="20"/>
                <w:szCs w:val="20"/>
                <w:color w:val="auto"/>
              </w:rPr>
            </w:pPr>
            <w:r>
              <w:rPr>
                <w:rFonts w:ascii="Arial" w:cs="Arial" w:eastAsia="Arial" w:hAnsi="Arial"/>
                <w:sz w:val="14"/>
                <w:szCs w:val="14"/>
                <w:b w:val="1"/>
                <w:bCs w:val="1"/>
                <w:color w:val="auto"/>
                <w:w w:val="91"/>
              </w:rPr>
              <w:t>Shares, Units</w:t>
            </w:r>
          </w:p>
        </w:tc>
        <w:tc>
          <w:tcPr>
            <w:tcW w:w="0" w:type="dxa"/>
            <w:vAlign w:val="bottom"/>
          </w:tcPr>
          <w:p>
            <w:pPr>
              <w:spacing w:after="0"/>
              <w:rPr>
                <w:sz w:val="1"/>
                <w:szCs w:val="1"/>
                <w:color w:val="auto"/>
              </w:rPr>
            </w:pPr>
          </w:p>
        </w:tc>
      </w:tr>
      <w:tr>
        <w:trPr>
          <w:trHeight w:val="149"/>
        </w:trPr>
        <w:tc>
          <w:tcPr>
            <w:tcW w:w="1500" w:type="dxa"/>
            <w:vAlign w:val="bottom"/>
            <w:shd w:val="clear" w:color="auto" w:fill="B8CCE4"/>
          </w:tcPr>
          <w:p>
            <w:pPr>
              <w:spacing w:after="0"/>
              <w:rPr>
                <w:sz w:val="12"/>
                <w:szCs w:val="12"/>
                <w:color w:val="auto"/>
              </w:rPr>
            </w:pPr>
          </w:p>
        </w:tc>
        <w:tc>
          <w:tcPr>
            <w:tcW w:w="920" w:type="dxa"/>
            <w:vAlign w:val="bottom"/>
            <w:shd w:val="clear" w:color="auto" w:fill="B8CCE4"/>
          </w:tcPr>
          <w:p>
            <w:pPr>
              <w:spacing w:after="0"/>
              <w:rPr>
                <w:sz w:val="12"/>
                <w:szCs w:val="12"/>
                <w:color w:val="auto"/>
              </w:rPr>
            </w:pPr>
          </w:p>
        </w:tc>
        <w:tc>
          <w:tcPr>
            <w:tcW w:w="1120" w:type="dxa"/>
            <w:vAlign w:val="bottom"/>
            <w:shd w:val="clear" w:color="auto" w:fill="B8CCE4"/>
          </w:tcPr>
          <w:p>
            <w:pPr>
              <w:jc w:val="center"/>
              <w:spacing w:after="0" w:line="149" w:lineRule="exact"/>
              <w:rPr>
                <w:sz w:val="20"/>
                <w:szCs w:val="20"/>
                <w:color w:val="auto"/>
              </w:rPr>
            </w:pPr>
            <w:r>
              <w:rPr>
                <w:rFonts w:ascii="Arial" w:cs="Arial" w:eastAsia="Arial" w:hAnsi="Arial"/>
                <w:sz w:val="14"/>
                <w:szCs w:val="14"/>
                <w:b w:val="1"/>
                <w:bCs w:val="1"/>
                <w:color w:val="auto"/>
                <w:w w:val="95"/>
              </w:rPr>
              <w:t>Underlying</w:t>
            </w:r>
          </w:p>
        </w:tc>
        <w:tc>
          <w:tcPr>
            <w:tcW w:w="1400" w:type="dxa"/>
            <w:vAlign w:val="bottom"/>
            <w:shd w:val="clear" w:color="auto" w:fill="B8CCE4"/>
          </w:tcPr>
          <w:p>
            <w:pPr>
              <w:jc w:val="center"/>
              <w:spacing w:after="0" w:line="149" w:lineRule="exact"/>
              <w:rPr>
                <w:sz w:val="20"/>
                <w:szCs w:val="20"/>
                <w:color w:val="auto"/>
              </w:rPr>
            </w:pPr>
            <w:r>
              <w:rPr>
                <w:rFonts w:ascii="Arial" w:cs="Arial" w:eastAsia="Arial" w:hAnsi="Arial"/>
                <w:sz w:val="14"/>
                <w:szCs w:val="14"/>
                <w:b w:val="1"/>
                <w:bCs w:val="1"/>
                <w:color w:val="auto"/>
                <w:w w:val="95"/>
              </w:rPr>
              <w:t>Underlying</w:t>
            </w:r>
          </w:p>
        </w:tc>
        <w:tc>
          <w:tcPr>
            <w:tcW w:w="120" w:type="dxa"/>
            <w:vAlign w:val="bottom"/>
            <w:shd w:val="clear" w:color="auto" w:fill="B8CCE4"/>
          </w:tcPr>
          <w:p>
            <w:pPr>
              <w:spacing w:after="0"/>
              <w:rPr>
                <w:sz w:val="12"/>
                <w:szCs w:val="12"/>
                <w:color w:val="auto"/>
              </w:rPr>
            </w:pPr>
          </w:p>
        </w:tc>
        <w:tc>
          <w:tcPr>
            <w:tcW w:w="800" w:type="dxa"/>
            <w:vAlign w:val="bottom"/>
            <w:gridSpan w:val="2"/>
            <w:vMerge w:val="restart"/>
            <w:shd w:val="clear" w:color="auto" w:fill="B8CCE4"/>
          </w:tcPr>
          <w:p>
            <w:pPr>
              <w:jc w:val="center"/>
              <w:ind w:right="100"/>
              <w:spacing w:after="0"/>
              <w:rPr>
                <w:sz w:val="20"/>
                <w:szCs w:val="20"/>
                <w:color w:val="auto"/>
              </w:rPr>
            </w:pPr>
            <w:r>
              <w:rPr>
                <w:rFonts w:ascii="Arial" w:cs="Arial" w:eastAsia="Arial" w:hAnsi="Arial"/>
                <w:sz w:val="14"/>
                <w:szCs w:val="14"/>
                <w:b w:val="1"/>
                <w:bCs w:val="1"/>
                <w:color w:val="auto"/>
                <w:w w:val="93"/>
              </w:rPr>
              <w:t>Option</w:t>
            </w:r>
          </w:p>
        </w:tc>
        <w:tc>
          <w:tcPr>
            <w:tcW w:w="1040" w:type="dxa"/>
            <w:vAlign w:val="bottom"/>
            <w:shd w:val="clear" w:color="auto" w:fill="B8CCE4"/>
          </w:tcPr>
          <w:p>
            <w:pPr>
              <w:spacing w:after="0"/>
              <w:rPr>
                <w:sz w:val="12"/>
                <w:szCs w:val="12"/>
                <w:color w:val="auto"/>
              </w:rPr>
            </w:pPr>
          </w:p>
        </w:tc>
        <w:tc>
          <w:tcPr>
            <w:tcW w:w="1240" w:type="dxa"/>
            <w:vAlign w:val="bottom"/>
            <w:shd w:val="clear" w:color="auto" w:fill="B8CCE4"/>
          </w:tcPr>
          <w:p>
            <w:pPr>
              <w:jc w:val="center"/>
              <w:ind w:right="8"/>
              <w:spacing w:after="0" w:line="149" w:lineRule="exact"/>
              <w:rPr>
                <w:sz w:val="20"/>
                <w:szCs w:val="20"/>
                <w:color w:val="auto"/>
              </w:rPr>
            </w:pPr>
            <w:r>
              <w:rPr>
                <w:rFonts w:ascii="Arial" w:cs="Arial" w:eastAsia="Arial" w:hAnsi="Arial"/>
                <w:sz w:val="14"/>
                <w:szCs w:val="14"/>
                <w:b w:val="1"/>
                <w:bCs w:val="1"/>
                <w:color w:val="auto"/>
                <w:w w:val="92"/>
              </w:rPr>
              <w:t>Units of</w:t>
            </w:r>
          </w:p>
        </w:tc>
        <w:tc>
          <w:tcPr>
            <w:tcW w:w="1040" w:type="dxa"/>
            <w:vAlign w:val="bottom"/>
            <w:shd w:val="clear" w:color="auto" w:fill="B8CCE4"/>
          </w:tcPr>
          <w:p>
            <w:pPr>
              <w:jc w:val="center"/>
              <w:ind w:right="27"/>
              <w:spacing w:after="0" w:line="149" w:lineRule="exact"/>
              <w:rPr>
                <w:sz w:val="20"/>
                <w:szCs w:val="20"/>
                <w:color w:val="auto"/>
              </w:rPr>
            </w:pPr>
            <w:r>
              <w:rPr>
                <w:rFonts w:ascii="Arial" w:cs="Arial" w:eastAsia="Arial" w:hAnsi="Arial"/>
                <w:sz w:val="14"/>
                <w:szCs w:val="14"/>
                <w:b w:val="1"/>
                <w:bCs w:val="1"/>
                <w:color w:val="auto"/>
                <w:w w:val="95"/>
              </w:rPr>
              <w:t>Units of</w:t>
            </w:r>
          </w:p>
        </w:tc>
        <w:tc>
          <w:tcPr>
            <w:tcW w:w="1160" w:type="dxa"/>
            <w:vAlign w:val="bottom"/>
            <w:shd w:val="clear" w:color="auto" w:fill="B8CCE4"/>
          </w:tcPr>
          <w:p>
            <w:pPr>
              <w:jc w:val="center"/>
              <w:spacing w:after="0" w:line="149" w:lineRule="exact"/>
              <w:rPr>
                <w:sz w:val="20"/>
                <w:szCs w:val="20"/>
                <w:color w:val="auto"/>
              </w:rPr>
            </w:pPr>
            <w:r>
              <w:rPr>
                <w:rFonts w:ascii="Arial" w:cs="Arial" w:eastAsia="Arial" w:hAnsi="Arial"/>
                <w:sz w:val="14"/>
                <w:szCs w:val="14"/>
                <w:b w:val="1"/>
                <w:bCs w:val="1"/>
                <w:color w:val="auto"/>
                <w:w w:val="97"/>
              </w:rPr>
              <w:t>or Other</w:t>
            </w:r>
          </w:p>
        </w:tc>
        <w:tc>
          <w:tcPr>
            <w:tcW w:w="1080" w:type="dxa"/>
            <w:vAlign w:val="bottom"/>
            <w:shd w:val="clear" w:color="auto" w:fill="B8CCE4"/>
          </w:tcPr>
          <w:p>
            <w:pPr>
              <w:jc w:val="center"/>
              <w:spacing w:after="0" w:line="149" w:lineRule="exact"/>
              <w:rPr>
                <w:sz w:val="20"/>
                <w:szCs w:val="20"/>
                <w:color w:val="auto"/>
              </w:rPr>
            </w:pPr>
            <w:r>
              <w:rPr>
                <w:rFonts w:ascii="Arial" w:cs="Arial" w:eastAsia="Arial" w:hAnsi="Arial"/>
                <w:sz w:val="14"/>
                <w:szCs w:val="14"/>
                <w:b w:val="1"/>
                <w:bCs w:val="1"/>
                <w:color w:val="auto"/>
                <w:w w:val="97"/>
              </w:rPr>
              <w:t>or Other</w:t>
            </w:r>
          </w:p>
        </w:tc>
        <w:tc>
          <w:tcPr>
            <w:tcW w:w="0" w:type="dxa"/>
            <w:vAlign w:val="bottom"/>
          </w:tcPr>
          <w:p>
            <w:pPr>
              <w:spacing w:after="0"/>
              <w:rPr>
                <w:sz w:val="1"/>
                <w:szCs w:val="1"/>
                <w:color w:val="auto"/>
              </w:rPr>
            </w:pPr>
          </w:p>
        </w:tc>
      </w:tr>
      <w:tr>
        <w:trPr>
          <w:trHeight w:val="149"/>
        </w:trPr>
        <w:tc>
          <w:tcPr>
            <w:tcW w:w="1500" w:type="dxa"/>
            <w:vAlign w:val="bottom"/>
            <w:shd w:val="clear" w:color="auto" w:fill="B8CCE4"/>
          </w:tcPr>
          <w:p>
            <w:pPr>
              <w:spacing w:after="0"/>
              <w:rPr>
                <w:sz w:val="12"/>
                <w:szCs w:val="12"/>
                <w:color w:val="auto"/>
              </w:rPr>
            </w:pPr>
          </w:p>
        </w:tc>
        <w:tc>
          <w:tcPr>
            <w:tcW w:w="920" w:type="dxa"/>
            <w:vAlign w:val="bottom"/>
            <w:shd w:val="clear" w:color="auto" w:fill="B8CCE4"/>
          </w:tcPr>
          <w:p>
            <w:pPr>
              <w:spacing w:after="0"/>
              <w:rPr>
                <w:sz w:val="12"/>
                <w:szCs w:val="12"/>
                <w:color w:val="auto"/>
              </w:rPr>
            </w:pPr>
          </w:p>
        </w:tc>
        <w:tc>
          <w:tcPr>
            <w:tcW w:w="1120" w:type="dxa"/>
            <w:vAlign w:val="bottom"/>
            <w:shd w:val="clear" w:color="auto" w:fill="B8CCE4"/>
          </w:tcPr>
          <w:p>
            <w:pPr>
              <w:jc w:val="center"/>
              <w:spacing w:after="0" w:line="149" w:lineRule="exact"/>
              <w:rPr>
                <w:sz w:val="20"/>
                <w:szCs w:val="20"/>
                <w:color w:val="auto"/>
              </w:rPr>
            </w:pPr>
            <w:r>
              <w:rPr>
                <w:rFonts w:ascii="Arial" w:cs="Arial" w:eastAsia="Arial" w:hAnsi="Arial"/>
                <w:sz w:val="14"/>
                <w:szCs w:val="14"/>
                <w:b w:val="1"/>
                <w:bCs w:val="1"/>
                <w:color w:val="auto"/>
                <w:w w:val="88"/>
              </w:rPr>
              <w:t>Unexercised</w:t>
            </w:r>
          </w:p>
        </w:tc>
        <w:tc>
          <w:tcPr>
            <w:tcW w:w="1400" w:type="dxa"/>
            <w:vAlign w:val="bottom"/>
            <w:shd w:val="clear" w:color="auto" w:fill="B8CCE4"/>
          </w:tcPr>
          <w:p>
            <w:pPr>
              <w:jc w:val="center"/>
              <w:spacing w:after="0" w:line="149" w:lineRule="exact"/>
              <w:rPr>
                <w:sz w:val="20"/>
                <w:szCs w:val="20"/>
                <w:color w:val="auto"/>
              </w:rPr>
            </w:pPr>
            <w:r>
              <w:rPr>
                <w:rFonts w:ascii="Arial" w:cs="Arial" w:eastAsia="Arial" w:hAnsi="Arial"/>
                <w:sz w:val="14"/>
                <w:szCs w:val="14"/>
                <w:b w:val="1"/>
                <w:bCs w:val="1"/>
                <w:color w:val="auto"/>
                <w:w w:val="88"/>
              </w:rPr>
              <w:t>Unexercised</w:t>
            </w:r>
          </w:p>
        </w:tc>
        <w:tc>
          <w:tcPr>
            <w:tcW w:w="120" w:type="dxa"/>
            <w:vAlign w:val="bottom"/>
            <w:shd w:val="clear" w:color="auto" w:fill="B8CCE4"/>
          </w:tcPr>
          <w:p>
            <w:pPr>
              <w:spacing w:after="0"/>
              <w:rPr>
                <w:sz w:val="12"/>
                <w:szCs w:val="12"/>
                <w:color w:val="auto"/>
              </w:rPr>
            </w:pPr>
          </w:p>
        </w:tc>
        <w:tc>
          <w:tcPr>
            <w:tcW w:w="800" w:type="dxa"/>
            <w:vAlign w:val="bottom"/>
            <w:gridSpan w:val="2"/>
            <w:vMerge w:val="continue"/>
            <w:shd w:val="clear" w:color="auto" w:fill="B8CCE4"/>
          </w:tcPr>
          <w:p>
            <w:pPr>
              <w:spacing w:after="0"/>
              <w:rPr>
                <w:sz w:val="12"/>
                <w:szCs w:val="12"/>
                <w:color w:val="auto"/>
              </w:rPr>
            </w:pPr>
          </w:p>
        </w:tc>
        <w:tc>
          <w:tcPr>
            <w:tcW w:w="1040" w:type="dxa"/>
            <w:vAlign w:val="bottom"/>
            <w:vMerge w:val="restart"/>
            <w:shd w:val="clear" w:color="auto" w:fill="B8CCE4"/>
          </w:tcPr>
          <w:p>
            <w:pPr>
              <w:jc w:val="center"/>
              <w:spacing w:after="0"/>
              <w:rPr>
                <w:sz w:val="20"/>
                <w:szCs w:val="20"/>
                <w:color w:val="auto"/>
              </w:rPr>
            </w:pPr>
            <w:r>
              <w:rPr>
                <w:rFonts w:ascii="Arial" w:cs="Arial" w:eastAsia="Arial" w:hAnsi="Arial"/>
                <w:sz w:val="14"/>
                <w:szCs w:val="14"/>
                <w:b w:val="1"/>
                <w:bCs w:val="1"/>
                <w:color w:val="auto"/>
                <w:w w:val="97"/>
              </w:rPr>
              <w:t>Option</w:t>
            </w:r>
          </w:p>
        </w:tc>
        <w:tc>
          <w:tcPr>
            <w:tcW w:w="1240" w:type="dxa"/>
            <w:vAlign w:val="bottom"/>
            <w:shd w:val="clear" w:color="auto" w:fill="B8CCE4"/>
          </w:tcPr>
          <w:p>
            <w:pPr>
              <w:jc w:val="center"/>
              <w:ind w:right="8"/>
              <w:spacing w:after="0" w:line="149" w:lineRule="exact"/>
              <w:rPr>
                <w:sz w:val="20"/>
                <w:szCs w:val="20"/>
                <w:color w:val="auto"/>
              </w:rPr>
            </w:pPr>
            <w:r>
              <w:rPr>
                <w:rFonts w:ascii="Arial" w:cs="Arial" w:eastAsia="Arial" w:hAnsi="Arial"/>
                <w:sz w:val="14"/>
                <w:szCs w:val="14"/>
                <w:b w:val="1"/>
                <w:bCs w:val="1"/>
                <w:color w:val="auto"/>
                <w:w w:val="94"/>
              </w:rPr>
              <w:t>Stock That</w:t>
            </w:r>
          </w:p>
        </w:tc>
        <w:tc>
          <w:tcPr>
            <w:tcW w:w="1040" w:type="dxa"/>
            <w:vAlign w:val="bottom"/>
            <w:shd w:val="clear" w:color="auto" w:fill="B8CCE4"/>
          </w:tcPr>
          <w:p>
            <w:pPr>
              <w:jc w:val="center"/>
              <w:ind w:right="27"/>
              <w:spacing w:after="0" w:line="149" w:lineRule="exact"/>
              <w:rPr>
                <w:sz w:val="20"/>
                <w:szCs w:val="20"/>
                <w:color w:val="auto"/>
              </w:rPr>
            </w:pPr>
            <w:r>
              <w:rPr>
                <w:rFonts w:ascii="Arial" w:cs="Arial" w:eastAsia="Arial" w:hAnsi="Arial"/>
                <w:sz w:val="14"/>
                <w:szCs w:val="14"/>
                <w:b w:val="1"/>
                <w:bCs w:val="1"/>
                <w:color w:val="auto"/>
                <w:w w:val="92"/>
              </w:rPr>
              <w:t>Stock That</w:t>
            </w:r>
          </w:p>
        </w:tc>
        <w:tc>
          <w:tcPr>
            <w:tcW w:w="1160" w:type="dxa"/>
            <w:vAlign w:val="bottom"/>
            <w:shd w:val="clear" w:color="auto" w:fill="B8CCE4"/>
          </w:tcPr>
          <w:p>
            <w:pPr>
              <w:jc w:val="center"/>
              <w:spacing w:after="0" w:line="149" w:lineRule="exact"/>
              <w:rPr>
                <w:sz w:val="20"/>
                <w:szCs w:val="20"/>
                <w:color w:val="auto"/>
              </w:rPr>
            </w:pPr>
            <w:r>
              <w:rPr>
                <w:rFonts w:ascii="Arial" w:cs="Arial" w:eastAsia="Arial" w:hAnsi="Arial"/>
                <w:sz w:val="14"/>
                <w:szCs w:val="14"/>
                <w:b w:val="1"/>
                <w:bCs w:val="1"/>
                <w:color w:val="auto"/>
                <w:w w:val="93"/>
              </w:rPr>
              <w:t>Rights That</w:t>
            </w:r>
          </w:p>
        </w:tc>
        <w:tc>
          <w:tcPr>
            <w:tcW w:w="1080" w:type="dxa"/>
            <w:vAlign w:val="bottom"/>
            <w:shd w:val="clear" w:color="auto" w:fill="B8CCE4"/>
          </w:tcPr>
          <w:p>
            <w:pPr>
              <w:jc w:val="center"/>
              <w:spacing w:after="0" w:line="149" w:lineRule="exact"/>
              <w:rPr>
                <w:sz w:val="20"/>
                <w:szCs w:val="20"/>
                <w:color w:val="auto"/>
              </w:rPr>
            </w:pPr>
            <w:r>
              <w:rPr>
                <w:rFonts w:ascii="Arial" w:cs="Arial" w:eastAsia="Arial" w:hAnsi="Arial"/>
                <w:sz w:val="14"/>
                <w:szCs w:val="14"/>
                <w:b w:val="1"/>
                <w:bCs w:val="1"/>
                <w:color w:val="auto"/>
                <w:w w:val="96"/>
              </w:rPr>
              <w:t>Rights That</w:t>
            </w:r>
          </w:p>
        </w:tc>
        <w:tc>
          <w:tcPr>
            <w:tcW w:w="0" w:type="dxa"/>
            <w:vAlign w:val="bottom"/>
          </w:tcPr>
          <w:p>
            <w:pPr>
              <w:spacing w:after="0"/>
              <w:rPr>
                <w:sz w:val="1"/>
                <w:szCs w:val="1"/>
                <w:color w:val="auto"/>
              </w:rPr>
            </w:pPr>
          </w:p>
        </w:tc>
      </w:tr>
      <w:tr>
        <w:trPr>
          <w:trHeight w:val="149"/>
        </w:trPr>
        <w:tc>
          <w:tcPr>
            <w:tcW w:w="1500" w:type="dxa"/>
            <w:vAlign w:val="bottom"/>
            <w:shd w:val="clear" w:color="auto" w:fill="B8CCE4"/>
          </w:tcPr>
          <w:p>
            <w:pPr>
              <w:spacing w:after="0"/>
              <w:rPr>
                <w:sz w:val="12"/>
                <w:szCs w:val="12"/>
                <w:color w:val="auto"/>
              </w:rPr>
            </w:pPr>
          </w:p>
        </w:tc>
        <w:tc>
          <w:tcPr>
            <w:tcW w:w="920" w:type="dxa"/>
            <w:vAlign w:val="bottom"/>
            <w:shd w:val="clear" w:color="auto" w:fill="B8CCE4"/>
          </w:tcPr>
          <w:p>
            <w:pPr>
              <w:spacing w:after="0"/>
              <w:rPr>
                <w:sz w:val="12"/>
                <w:szCs w:val="12"/>
                <w:color w:val="auto"/>
              </w:rPr>
            </w:pPr>
          </w:p>
        </w:tc>
        <w:tc>
          <w:tcPr>
            <w:tcW w:w="1120" w:type="dxa"/>
            <w:vAlign w:val="bottom"/>
            <w:shd w:val="clear" w:color="auto" w:fill="B8CCE4"/>
          </w:tcPr>
          <w:p>
            <w:pPr>
              <w:jc w:val="center"/>
              <w:spacing w:after="0" w:line="149" w:lineRule="exact"/>
              <w:rPr>
                <w:sz w:val="20"/>
                <w:szCs w:val="20"/>
                <w:color w:val="auto"/>
              </w:rPr>
            </w:pPr>
            <w:r>
              <w:rPr>
                <w:rFonts w:ascii="Arial" w:cs="Arial" w:eastAsia="Arial" w:hAnsi="Arial"/>
                <w:sz w:val="14"/>
                <w:szCs w:val="14"/>
                <w:b w:val="1"/>
                <w:bCs w:val="1"/>
                <w:color w:val="auto"/>
                <w:w w:val="94"/>
              </w:rPr>
              <w:t>Options</w:t>
            </w:r>
          </w:p>
        </w:tc>
        <w:tc>
          <w:tcPr>
            <w:tcW w:w="1400" w:type="dxa"/>
            <w:vAlign w:val="bottom"/>
            <w:shd w:val="clear" w:color="auto" w:fill="B8CCE4"/>
          </w:tcPr>
          <w:p>
            <w:pPr>
              <w:jc w:val="center"/>
              <w:spacing w:after="0" w:line="149" w:lineRule="exact"/>
              <w:rPr>
                <w:sz w:val="20"/>
                <w:szCs w:val="20"/>
                <w:color w:val="auto"/>
              </w:rPr>
            </w:pPr>
            <w:r>
              <w:rPr>
                <w:rFonts w:ascii="Arial" w:cs="Arial" w:eastAsia="Arial" w:hAnsi="Arial"/>
                <w:sz w:val="14"/>
                <w:szCs w:val="14"/>
                <w:b w:val="1"/>
                <w:bCs w:val="1"/>
                <w:color w:val="auto"/>
                <w:w w:val="90"/>
              </w:rPr>
              <w:t>Options</w:t>
            </w:r>
          </w:p>
        </w:tc>
        <w:tc>
          <w:tcPr>
            <w:tcW w:w="120" w:type="dxa"/>
            <w:vAlign w:val="bottom"/>
            <w:shd w:val="clear" w:color="auto" w:fill="B8CCE4"/>
          </w:tcPr>
          <w:p>
            <w:pPr>
              <w:spacing w:after="0"/>
              <w:rPr>
                <w:sz w:val="12"/>
                <w:szCs w:val="12"/>
                <w:color w:val="auto"/>
              </w:rPr>
            </w:pPr>
          </w:p>
        </w:tc>
        <w:tc>
          <w:tcPr>
            <w:tcW w:w="800" w:type="dxa"/>
            <w:vAlign w:val="bottom"/>
            <w:gridSpan w:val="2"/>
            <w:shd w:val="clear" w:color="auto" w:fill="B8CCE4"/>
          </w:tcPr>
          <w:p>
            <w:pPr>
              <w:jc w:val="center"/>
              <w:ind w:right="100"/>
              <w:spacing w:after="0" w:line="149" w:lineRule="exact"/>
              <w:rPr>
                <w:sz w:val="20"/>
                <w:szCs w:val="20"/>
                <w:color w:val="auto"/>
              </w:rPr>
            </w:pPr>
            <w:r>
              <w:rPr>
                <w:rFonts w:ascii="Arial" w:cs="Arial" w:eastAsia="Arial" w:hAnsi="Arial"/>
                <w:sz w:val="14"/>
                <w:szCs w:val="14"/>
                <w:b w:val="1"/>
                <w:bCs w:val="1"/>
                <w:color w:val="auto"/>
                <w:w w:val="86"/>
              </w:rPr>
              <w:t>Exercise</w:t>
            </w:r>
          </w:p>
        </w:tc>
        <w:tc>
          <w:tcPr>
            <w:tcW w:w="1040" w:type="dxa"/>
            <w:vAlign w:val="bottom"/>
            <w:vMerge w:val="continue"/>
            <w:shd w:val="clear" w:color="auto" w:fill="B8CCE4"/>
          </w:tcPr>
          <w:p>
            <w:pPr>
              <w:spacing w:after="0"/>
              <w:rPr>
                <w:sz w:val="12"/>
                <w:szCs w:val="12"/>
                <w:color w:val="auto"/>
              </w:rPr>
            </w:pPr>
          </w:p>
        </w:tc>
        <w:tc>
          <w:tcPr>
            <w:tcW w:w="1240" w:type="dxa"/>
            <w:vAlign w:val="bottom"/>
            <w:shd w:val="clear" w:color="auto" w:fill="B8CCE4"/>
          </w:tcPr>
          <w:p>
            <w:pPr>
              <w:jc w:val="center"/>
              <w:spacing w:after="0" w:line="149" w:lineRule="exact"/>
              <w:rPr>
                <w:sz w:val="20"/>
                <w:szCs w:val="20"/>
                <w:color w:val="auto"/>
              </w:rPr>
            </w:pPr>
            <w:r>
              <w:rPr>
                <w:rFonts w:ascii="Arial" w:cs="Arial" w:eastAsia="Arial" w:hAnsi="Arial"/>
                <w:sz w:val="14"/>
                <w:szCs w:val="14"/>
                <w:b w:val="1"/>
                <w:bCs w:val="1"/>
                <w:color w:val="auto"/>
                <w:w w:val="95"/>
              </w:rPr>
              <w:t>Have Not</w:t>
            </w:r>
          </w:p>
        </w:tc>
        <w:tc>
          <w:tcPr>
            <w:tcW w:w="1040" w:type="dxa"/>
            <w:vAlign w:val="bottom"/>
            <w:shd w:val="clear" w:color="auto" w:fill="B8CCE4"/>
          </w:tcPr>
          <w:p>
            <w:pPr>
              <w:jc w:val="center"/>
              <w:ind w:right="27"/>
              <w:spacing w:after="0" w:line="149" w:lineRule="exact"/>
              <w:rPr>
                <w:sz w:val="20"/>
                <w:szCs w:val="20"/>
                <w:color w:val="auto"/>
              </w:rPr>
            </w:pPr>
            <w:r>
              <w:rPr>
                <w:rFonts w:ascii="Arial" w:cs="Arial" w:eastAsia="Arial" w:hAnsi="Arial"/>
                <w:sz w:val="14"/>
                <w:szCs w:val="14"/>
                <w:b w:val="1"/>
                <w:bCs w:val="1"/>
                <w:color w:val="auto"/>
                <w:w w:val="95"/>
              </w:rPr>
              <w:t>Have Not</w:t>
            </w:r>
          </w:p>
        </w:tc>
        <w:tc>
          <w:tcPr>
            <w:tcW w:w="1160" w:type="dxa"/>
            <w:vAlign w:val="bottom"/>
            <w:shd w:val="clear" w:color="auto" w:fill="B8CCE4"/>
          </w:tcPr>
          <w:p>
            <w:pPr>
              <w:jc w:val="center"/>
              <w:spacing w:after="0" w:line="149" w:lineRule="exact"/>
              <w:rPr>
                <w:sz w:val="20"/>
                <w:szCs w:val="20"/>
                <w:color w:val="auto"/>
              </w:rPr>
            </w:pPr>
            <w:r>
              <w:rPr>
                <w:rFonts w:ascii="Arial" w:cs="Arial" w:eastAsia="Arial" w:hAnsi="Arial"/>
                <w:sz w:val="14"/>
                <w:szCs w:val="14"/>
                <w:b w:val="1"/>
                <w:bCs w:val="1"/>
                <w:color w:val="auto"/>
                <w:w w:val="95"/>
              </w:rPr>
              <w:t>Have Not</w:t>
            </w:r>
          </w:p>
        </w:tc>
        <w:tc>
          <w:tcPr>
            <w:tcW w:w="1080" w:type="dxa"/>
            <w:vAlign w:val="bottom"/>
            <w:shd w:val="clear" w:color="auto" w:fill="B8CCE4"/>
          </w:tcPr>
          <w:p>
            <w:pPr>
              <w:jc w:val="center"/>
              <w:spacing w:after="0" w:line="149" w:lineRule="exact"/>
              <w:rPr>
                <w:sz w:val="20"/>
                <w:szCs w:val="20"/>
                <w:color w:val="auto"/>
              </w:rPr>
            </w:pPr>
            <w:r>
              <w:rPr>
                <w:rFonts w:ascii="Arial" w:cs="Arial" w:eastAsia="Arial" w:hAnsi="Arial"/>
                <w:sz w:val="14"/>
                <w:szCs w:val="14"/>
                <w:b w:val="1"/>
                <w:bCs w:val="1"/>
                <w:color w:val="auto"/>
                <w:w w:val="95"/>
              </w:rPr>
              <w:t>Have Not</w:t>
            </w:r>
          </w:p>
        </w:tc>
        <w:tc>
          <w:tcPr>
            <w:tcW w:w="0" w:type="dxa"/>
            <w:vAlign w:val="bottom"/>
          </w:tcPr>
          <w:p>
            <w:pPr>
              <w:spacing w:after="0"/>
              <w:rPr>
                <w:sz w:val="1"/>
                <w:szCs w:val="1"/>
                <w:color w:val="auto"/>
              </w:rPr>
            </w:pPr>
          </w:p>
        </w:tc>
      </w:tr>
      <w:tr>
        <w:trPr>
          <w:trHeight w:val="149"/>
        </w:trPr>
        <w:tc>
          <w:tcPr>
            <w:tcW w:w="1500" w:type="dxa"/>
            <w:vAlign w:val="bottom"/>
            <w:vMerge w:val="restart"/>
            <w:shd w:val="clear" w:color="auto" w:fill="B8CCE4"/>
          </w:tcPr>
          <w:p>
            <w:pPr>
              <w:ind w:left="520"/>
              <w:spacing w:after="0"/>
              <w:rPr>
                <w:sz w:val="20"/>
                <w:szCs w:val="20"/>
                <w:color w:val="auto"/>
              </w:rPr>
            </w:pPr>
            <w:r>
              <w:rPr>
                <w:rFonts w:ascii="Arial" w:cs="Arial" w:eastAsia="Arial" w:hAnsi="Arial"/>
                <w:sz w:val="18"/>
                <w:szCs w:val="18"/>
                <w:b w:val="1"/>
                <w:bCs w:val="1"/>
                <w:color w:val="auto"/>
              </w:rPr>
              <w:t>Name</w:t>
            </w:r>
          </w:p>
        </w:tc>
        <w:tc>
          <w:tcPr>
            <w:tcW w:w="920" w:type="dxa"/>
            <w:vAlign w:val="bottom"/>
            <w:vMerge w:val="restart"/>
            <w:shd w:val="clear" w:color="auto" w:fill="B8CCE4"/>
          </w:tcPr>
          <w:p>
            <w:pPr>
              <w:jc w:val="right"/>
              <w:spacing w:after="0"/>
              <w:rPr>
                <w:sz w:val="20"/>
                <w:szCs w:val="20"/>
                <w:color w:val="auto"/>
              </w:rPr>
            </w:pPr>
            <w:r>
              <w:rPr>
                <w:rFonts w:ascii="Arial" w:cs="Arial" w:eastAsia="Arial" w:hAnsi="Arial"/>
                <w:sz w:val="14"/>
                <w:szCs w:val="14"/>
                <w:b w:val="1"/>
                <w:bCs w:val="1"/>
                <w:color w:val="auto"/>
              </w:rPr>
              <w:t>Grant Date</w:t>
            </w:r>
            <w:r>
              <w:rPr>
                <w:rFonts w:ascii="Arial" w:cs="Arial" w:eastAsia="Arial" w:hAnsi="Arial"/>
                <w:sz w:val="8"/>
                <w:szCs w:val="8"/>
                <w:b w:val="1"/>
                <w:bCs w:val="1"/>
                <w:color w:val="auto"/>
              </w:rPr>
              <w:t>(1)</w:t>
            </w:r>
          </w:p>
        </w:tc>
        <w:tc>
          <w:tcPr>
            <w:tcW w:w="1120" w:type="dxa"/>
            <w:vAlign w:val="bottom"/>
            <w:shd w:val="clear" w:color="auto" w:fill="B8CCE4"/>
          </w:tcPr>
          <w:p>
            <w:pPr>
              <w:jc w:val="center"/>
              <w:spacing w:after="0" w:line="149" w:lineRule="exact"/>
              <w:rPr>
                <w:sz w:val="20"/>
                <w:szCs w:val="20"/>
                <w:color w:val="auto"/>
              </w:rPr>
            </w:pPr>
            <w:r>
              <w:rPr>
                <w:rFonts w:ascii="Arial" w:cs="Arial" w:eastAsia="Arial" w:hAnsi="Arial"/>
                <w:sz w:val="14"/>
                <w:szCs w:val="14"/>
                <w:b w:val="1"/>
                <w:bCs w:val="1"/>
                <w:color w:val="auto"/>
              </w:rPr>
              <w:t>(#)</w:t>
            </w:r>
          </w:p>
        </w:tc>
        <w:tc>
          <w:tcPr>
            <w:tcW w:w="1400" w:type="dxa"/>
            <w:vAlign w:val="bottom"/>
            <w:shd w:val="clear" w:color="auto" w:fill="B8CCE4"/>
          </w:tcPr>
          <w:p>
            <w:pPr>
              <w:jc w:val="center"/>
              <w:spacing w:after="0" w:line="149" w:lineRule="exact"/>
              <w:rPr>
                <w:sz w:val="20"/>
                <w:szCs w:val="20"/>
                <w:color w:val="auto"/>
              </w:rPr>
            </w:pPr>
            <w:r>
              <w:rPr>
                <w:rFonts w:ascii="Arial" w:cs="Arial" w:eastAsia="Arial" w:hAnsi="Arial"/>
                <w:sz w:val="14"/>
                <w:szCs w:val="14"/>
                <w:b w:val="1"/>
                <w:bCs w:val="1"/>
                <w:color w:val="auto"/>
                <w:w w:val="93"/>
              </w:rPr>
              <w:t>(#)</w:t>
            </w:r>
          </w:p>
        </w:tc>
        <w:tc>
          <w:tcPr>
            <w:tcW w:w="120" w:type="dxa"/>
            <w:vAlign w:val="bottom"/>
            <w:shd w:val="clear" w:color="auto" w:fill="B8CCE4"/>
          </w:tcPr>
          <w:p>
            <w:pPr>
              <w:spacing w:after="0"/>
              <w:rPr>
                <w:sz w:val="12"/>
                <w:szCs w:val="12"/>
                <w:color w:val="auto"/>
              </w:rPr>
            </w:pPr>
          </w:p>
        </w:tc>
        <w:tc>
          <w:tcPr>
            <w:tcW w:w="800" w:type="dxa"/>
            <w:vAlign w:val="bottom"/>
            <w:gridSpan w:val="2"/>
            <w:shd w:val="clear" w:color="auto" w:fill="B8CCE4"/>
          </w:tcPr>
          <w:p>
            <w:pPr>
              <w:jc w:val="center"/>
              <w:ind w:right="80"/>
              <w:spacing w:after="0" w:line="149" w:lineRule="exact"/>
              <w:rPr>
                <w:sz w:val="20"/>
                <w:szCs w:val="20"/>
                <w:color w:val="auto"/>
              </w:rPr>
            </w:pPr>
            <w:r>
              <w:rPr>
                <w:rFonts w:ascii="Arial" w:cs="Arial" w:eastAsia="Arial" w:hAnsi="Arial"/>
                <w:sz w:val="14"/>
                <w:szCs w:val="14"/>
                <w:b w:val="1"/>
                <w:bCs w:val="1"/>
                <w:color w:val="auto"/>
                <w:w w:val="93"/>
              </w:rPr>
              <w:t>Price</w:t>
            </w:r>
          </w:p>
        </w:tc>
        <w:tc>
          <w:tcPr>
            <w:tcW w:w="1040" w:type="dxa"/>
            <w:vAlign w:val="bottom"/>
            <w:shd w:val="clear" w:color="auto" w:fill="B8CCE4"/>
          </w:tcPr>
          <w:p>
            <w:pPr>
              <w:jc w:val="center"/>
              <w:spacing w:after="0" w:line="149" w:lineRule="exact"/>
              <w:rPr>
                <w:sz w:val="20"/>
                <w:szCs w:val="20"/>
                <w:color w:val="auto"/>
              </w:rPr>
            </w:pPr>
            <w:r>
              <w:rPr>
                <w:rFonts w:ascii="Arial" w:cs="Arial" w:eastAsia="Arial" w:hAnsi="Arial"/>
                <w:sz w:val="14"/>
                <w:szCs w:val="14"/>
                <w:b w:val="1"/>
                <w:bCs w:val="1"/>
                <w:color w:val="auto"/>
                <w:w w:val="96"/>
              </w:rPr>
              <w:t>Expiration</w:t>
            </w:r>
          </w:p>
        </w:tc>
        <w:tc>
          <w:tcPr>
            <w:tcW w:w="1240" w:type="dxa"/>
            <w:vAlign w:val="bottom"/>
            <w:shd w:val="clear" w:color="auto" w:fill="B8CCE4"/>
          </w:tcPr>
          <w:p>
            <w:pPr>
              <w:jc w:val="center"/>
              <w:ind w:right="8"/>
              <w:spacing w:after="0" w:line="149" w:lineRule="exact"/>
              <w:rPr>
                <w:sz w:val="20"/>
                <w:szCs w:val="20"/>
                <w:color w:val="auto"/>
              </w:rPr>
            </w:pPr>
            <w:r>
              <w:rPr>
                <w:rFonts w:ascii="Arial" w:cs="Arial" w:eastAsia="Arial" w:hAnsi="Arial"/>
                <w:sz w:val="14"/>
                <w:szCs w:val="14"/>
                <w:b w:val="1"/>
                <w:bCs w:val="1"/>
                <w:color w:val="auto"/>
                <w:w w:val="87"/>
              </w:rPr>
              <w:t>Vested</w:t>
            </w:r>
          </w:p>
        </w:tc>
        <w:tc>
          <w:tcPr>
            <w:tcW w:w="1040" w:type="dxa"/>
            <w:vAlign w:val="bottom"/>
            <w:shd w:val="clear" w:color="auto" w:fill="B8CCE4"/>
          </w:tcPr>
          <w:p>
            <w:pPr>
              <w:jc w:val="center"/>
              <w:ind w:right="27"/>
              <w:spacing w:after="0" w:line="149" w:lineRule="exact"/>
              <w:rPr>
                <w:sz w:val="20"/>
                <w:szCs w:val="20"/>
                <w:color w:val="auto"/>
              </w:rPr>
            </w:pPr>
            <w:r>
              <w:rPr>
                <w:rFonts w:ascii="Arial" w:cs="Arial" w:eastAsia="Arial" w:hAnsi="Arial"/>
                <w:sz w:val="14"/>
                <w:szCs w:val="14"/>
                <w:b w:val="1"/>
                <w:bCs w:val="1"/>
                <w:color w:val="auto"/>
                <w:w w:val="89"/>
              </w:rPr>
              <w:t>Vested</w:t>
            </w:r>
            <w:r>
              <w:rPr>
                <w:rFonts w:ascii="Arial" w:cs="Arial" w:eastAsia="Arial" w:hAnsi="Arial"/>
                <w:sz w:val="8"/>
                <w:szCs w:val="8"/>
                <w:b w:val="1"/>
                <w:bCs w:val="1"/>
                <w:color w:val="auto"/>
                <w:w w:val="89"/>
              </w:rPr>
              <w:t>(2)</w:t>
            </w:r>
          </w:p>
        </w:tc>
        <w:tc>
          <w:tcPr>
            <w:tcW w:w="1160" w:type="dxa"/>
            <w:vAlign w:val="bottom"/>
            <w:shd w:val="clear" w:color="auto" w:fill="B8CCE4"/>
          </w:tcPr>
          <w:p>
            <w:pPr>
              <w:jc w:val="center"/>
              <w:spacing w:after="0" w:line="149" w:lineRule="exact"/>
              <w:rPr>
                <w:sz w:val="20"/>
                <w:szCs w:val="20"/>
                <w:color w:val="auto"/>
              </w:rPr>
            </w:pPr>
            <w:r>
              <w:rPr>
                <w:rFonts w:ascii="Arial" w:cs="Arial" w:eastAsia="Arial" w:hAnsi="Arial"/>
                <w:sz w:val="14"/>
                <w:szCs w:val="14"/>
                <w:b w:val="1"/>
                <w:bCs w:val="1"/>
                <w:color w:val="auto"/>
                <w:w w:val="93"/>
              </w:rPr>
              <w:t>Vested</w:t>
            </w:r>
            <w:r>
              <w:rPr>
                <w:rFonts w:ascii="Arial" w:cs="Arial" w:eastAsia="Arial" w:hAnsi="Arial"/>
                <w:sz w:val="8"/>
                <w:szCs w:val="8"/>
                <w:b w:val="1"/>
                <w:bCs w:val="1"/>
                <w:color w:val="auto"/>
                <w:w w:val="93"/>
              </w:rPr>
              <w:t>(3)</w:t>
            </w:r>
          </w:p>
        </w:tc>
        <w:tc>
          <w:tcPr>
            <w:tcW w:w="1080" w:type="dxa"/>
            <w:vAlign w:val="bottom"/>
            <w:shd w:val="clear" w:color="auto" w:fill="B8CCE4"/>
          </w:tcPr>
          <w:p>
            <w:pPr>
              <w:jc w:val="center"/>
              <w:spacing w:after="0" w:line="149" w:lineRule="exact"/>
              <w:rPr>
                <w:sz w:val="20"/>
                <w:szCs w:val="20"/>
                <w:color w:val="auto"/>
              </w:rPr>
            </w:pPr>
            <w:r>
              <w:rPr>
                <w:rFonts w:ascii="Arial" w:cs="Arial" w:eastAsia="Arial" w:hAnsi="Arial"/>
                <w:sz w:val="14"/>
                <w:szCs w:val="14"/>
                <w:b w:val="1"/>
                <w:bCs w:val="1"/>
                <w:color w:val="auto"/>
                <w:w w:val="89"/>
              </w:rPr>
              <w:t>Vested</w:t>
            </w:r>
            <w:r>
              <w:rPr>
                <w:rFonts w:ascii="Arial" w:cs="Arial" w:eastAsia="Arial" w:hAnsi="Arial"/>
                <w:sz w:val="8"/>
                <w:szCs w:val="8"/>
                <w:b w:val="1"/>
                <w:bCs w:val="1"/>
                <w:color w:val="auto"/>
                <w:w w:val="89"/>
              </w:rPr>
              <w:t>(2)</w:t>
            </w:r>
          </w:p>
        </w:tc>
        <w:tc>
          <w:tcPr>
            <w:tcW w:w="0" w:type="dxa"/>
            <w:vAlign w:val="bottom"/>
          </w:tcPr>
          <w:p>
            <w:pPr>
              <w:spacing w:after="0"/>
              <w:rPr>
                <w:sz w:val="1"/>
                <w:szCs w:val="1"/>
                <w:color w:val="auto"/>
              </w:rPr>
            </w:pPr>
          </w:p>
        </w:tc>
      </w:tr>
      <w:tr>
        <w:trPr>
          <w:trHeight w:val="198"/>
        </w:trPr>
        <w:tc>
          <w:tcPr>
            <w:tcW w:w="1500" w:type="dxa"/>
            <w:vAlign w:val="bottom"/>
            <w:vMerge w:val="continue"/>
            <w:shd w:val="clear" w:color="auto" w:fill="B8CCE4"/>
          </w:tcPr>
          <w:p>
            <w:pPr>
              <w:spacing w:after="0"/>
              <w:rPr>
                <w:sz w:val="17"/>
                <w:szCs w:val="17"/>
                <w:color w:val="auto"/>
              </w:rPr>
            </w:pPr>
          </w:p>
        </w:tc>
        <w:tc>
          <w:tcPr>
            <w:tcW w:w="920" w:type="dxa"/>
            <w:vAlign w:val="bottom"/>
            <w:vMerge w:val="continue"/>
            <w:shd w:val="clear" w:color="auto" w:fill="B8CCE4"/>
          </w:tcPr>
          <w:p>
            <w:pPr>
              <w:spacing w:after="0"/>
              <w:rPr>
                <w:sz w:val="17"/>
                <w:szCs w:val="17"/>
                <w:color w:val="auto"/>
              </w:rPr>
            </w:pPr>
          </w:p>
        </w:tc>
        <w:tc>
          <w:tcPr>
            <w:tcW w:w="1120" w:type="dxa"/>
            <w:vAlign w:val="bottom"/>
            <w:shd w:val="clear" w:color="auto" w:fill="B8CCE4"/>
          </w:tcPr>
          <w:p>
            <w:pPr>
              <w:jc w:val="center"/>
              <w:spacing w:after="0"/>
              <w:rPr>
                <w:sz w:val="20"/>
                <w:szCs w:val="20"/>
                <w:color w:val="auto"/>
              </w:rPr>
            </w:pPr>
            <w:r>
              <w:rPr>
                <w:rFonts w:ascii="Arial" w:cs="Arial" w:eastAsia="Arial" w:hAnsi="Arial"/>
                <w:sz w:val="14"/>
                <w:szCs w:val="14"/>
                <w:b w:val="1"/>
                <w:bCs w:val="1"/>
                <w:color w:val="auto"/>
                <w:w w:val="89"/>
              </w:rPr>
              <w:t>Exercisable</w:t>
            </w:r>
          </w:p>
        </w:tc>
        <w:tc>
          <w:tcPr>
            <w:tcW w:w="1400" w:type="dxa"/>
            <w:vAlign w:val="bottom"/>
            <w:shd w:val="clear" w:color="auto" w:fill="B8CCE4"/>
          </w:tcPr>
          <w:p>
            <w:pPr>
              <w:jc w:val="center"/>
              <w:spacing w:after="0"/>
              <w:rPr>
                <w:sz w:val="20"/>
                <w:szCs w:val="20"/>
                <w:color w:val="auto"/>
              </w:rPr>
            </w:pPr>
            <w:r>
              <w:rPr>
                <w:rFonts w:ascii="Arial" w:cs="Arial" w:eastAsia="Arial" w:hAnsi="Arial"/>
                <w:sz w:val="14"/>
                <w:szCs w:val="14"/>
                <w:b w:val="1"/>
                <w:bCs w:val="1"/>
                <w:color w:val="auto"/>
                <w:w w:val="90"/>
              </w:rPr>
              <w:t>Unexercisable</w:t>
            </w:r>
          </w:p>
        </w:tc>
        <w:tc>
          <w:tcPr>
            <w:tcW w:w="800" w:type="dxa"/>
            <w:vAlign w:val="bottom"/>
            <w:gridSpan w:val="2"/>
            <w:shd w:val="clear" w:color="auto" w:fill="B8CCE4"/>
          </w:tcPr>
          <w:p>
            <w:pPr>
              <w:jc w:val="center"/>
              <w:ind w:left="68"/>
              <w:spacing w:after="0"/>
              <w:rPr>
                <w:sz w:val="20"/>
                <w:szCs w:val="20"/>
                <w:color w:val="auto"/>
              </w:rPr>
            </w:pPr>
            <w:r>
              <w:rPr>
                <w:rFonts w:ascii="Arial" w:cs="Arial" w:eastAsia="Arial" w:hAnsi="Arial"/>
                <w:sz w:val="14"/>
                <w:szCs w:val="14"/>
                <w:b w:val="1"/>
                <w:bCs w:val="1"/>
                <w:color w:val="auto"/>
              </w:rPr>
              <w:t>($)</w:t>
            </w:r>
          </w:p>
        </w:tc>
        <w:tc>
          <w:tcPr>
            <w:tcW w:w="120" w:type="dxa"/>
            <w:vAlign w:val="bottom"/>
            <w:shd w:val="clear" w:color="auto" w:fill="B8CCE4"/>
          </w:tcPr>
          <w:p>
            <w:pPr>
              <w:spacing w:after="0"/>
              <w:rPr>
                <w:sz w:val="17"/>
                <w:szCs w:val="17"/>
                <w:color w:val="auto"/>
              </w:rPr>
            </w:pPr>
          </w:p>
        </w:tc>
        <w:tc>
          <w:tcPr>
            <w:tcW w:w="1040" w:type="dxa"/>
            <w:vAlign w:val="bottom"/>
            <w:shd w:val="clear" w:color="auto" w:fill="B8CCE4"/>
          </w:tcPr>
          <w:p>
            <w:pPr>
              <w:jc w:val="center"/>
              <w:spacing w:after="0"/>
              <w:rPr>
                <w:sz w:val="20"/>
                <w:szCs w:val="20"/>
                <w:color w:val="auto"/>
              </w:rPr>
            </w:pPr>
            <w:r>
              <w:rPr>
                <w:rFonts w:ascii="Arial" w:cs="Arial" w:eastAsia="Arial" w:hAnsi="Arial"/>
                <w:sz w:val="14"/>
                <w:szCs w:val="14"/>
                <w:b w:val="1"/>
                <w:bCs w:val="1"/>
                <w:color w:val="auto"/>
                <w:w w:val="92"/>
              </w:rPr>
              <w:t>Date</w:t>
            </w:r>
          </w:p>
        </w:tc>
        <w:tc>
          <w:tcPr>
            <w:tcW w:w="1240" w:type="dxa"/>
            <w:vAlign w:val="bottom"/>
            <w:shd w:val="clear" w:color="auto" w:fill="B8CCE4"/>
          </w:tcPr>
          <w:p>
            <w:pPr>
              <w:jc w:val="center"/>
              <w:ind w:right="8"/>
              <w:spacing w:after="0"/>
              <w:rPr>
                <w:sz w:val="20"/>
                <w:szCs w:val="20"/>
                <w:color w:val="auto"/>
              </w:rPr>
            </w:pPr>
            <w:r>
              <w:rPr>
                <w:rFonts w:ascii="Arial" w:cs="Arial" w:eastAsia="Arial" w:hAnsi="Arial"/>
                <w:sz w:val="14"/>
                <w:szCs w:val="14"/>
                <w:b w:val="1"/>
                <w:bCs w:val="1"/>
                <w:color w:val="auto"/>
                <w:w w:val="93"/>
              </w:rPr>
              <w:t>(#)</w:t>
            </w:r>
          </w:p>
        </w:tc>
        <w:tc>
          <w:tcPr>
            <w:tcW w:w="1040" w:type="dxa"/>
            <w:vAlign w:val="bottom"/>
            <w:shd w:val="clear" w:color="auto" w:fill="B8CCE4"/>
          </w:tcPr>
          <w:p>
            <w:pPr>
              <w:jc w:val="center"/>
              <w:ind w:right="27"/>
              <w:spacing w:after="0"/>
              <w:rPr>
                <w:sz w:val="20"/>
                <w:szCs w:val="20"/>
                <w:color w:val="auto"/>
              </w:rPr>
            </w:pPr>
            <w:r>
              <w:rPr>
                <w:rFonts w:ascii="Arial" w:cs="Arial" w:eastAsia="Arial" w:hAnsi="Arial"/>
                <w:sz w:val="14"/>
                <w:szCs w:val="14"/>
                <w:b w:val="1"/>
                <w:bCs w:val="1"/>
                <w:color w:val="auto"/>
              </w:rPr>
              <w:t>($)</w:t>
            </w:r>
          </w:p>
        </w:tc>
        <w:tc>
          <w:tcPr>
            <w:tcW w:w="1160" w:type="dxa"/>
            <w:vAlign w:val="bottom"/>
            <w:shd w:val="clear" w:color="auto" w:fill="B8CCE4"/>
          </w:tcPr>
          <w:p>
            <w:pPr>
              <w:jc w:val="center"/>
              <w:spacing w:after="0"/>
              <w:rPr>
                <w:sz w:val="20"/>
                <w:szCs w:val="20"/>
                <w:color w:val="auto"/>
              </w:rPr>
            </w:pPr>
            <w:r>
              <w:rPr>
                <w:rFonts w:ascii="Arial" w:cs="Arial" w:eastAsia="Arial" w:hAnsi="Arial"/>
                <w:sz w:val="14"/>
                <w:szCs w:val="14"/>
                <w:b w:val="1"/>
                <w:bCs w:val="1"/>
                <w:color w:val="auto"/>
                <w:w w:val="93"/>
              </w:rPr>
              <w:t>(#)</w:t>
            </w:r>
          </w:p>
        </w:tc>
        <w:tc>
          <w:tcPr>
            <w:tcW w:w="1080" w:type="dxa"/>
            <w:vAlign w:val="bottom"/>
            <w:shd w:val="clear" w:color="auto" w:fill="B8CCE4"/>
          </w:tcPr>
          <w:p>
            <w:pPr>
              <w:jc w:val="center"/>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72"/>
        </w:trPr>
        <w:tc>
          <w:tcPr>
            <w:tcW w:w="1500" w:type="dxa"/>
            <w:vAlign w:val="bottom"/>
            <w:shd w:val="clear" w:color="auto" w:fill="DBE5F1"/>
          </w:tcPr>
          <w:p>
            <w:pPr>
              <w:spacing w:after="0"/>
              <w:rPr>
                <w:sz w:val="23"/>
                <w:szCs w:val="23"/>
                <w:color w:val="auto"/>
              </w:rPr>
            </w:pPr>
          </w:p>
        </w:tc>
        <w:tc>
          <w:tcPr>
            <w:tcW w:w="920" w:type="dxa"/>
            <w:vAlign w:val="bottom"/>
            <w:vMerge w:val="restart"/>
            <w:shd w:val="clear" w:color="auto" w:fill="DBE5F1"/>
          </w:tcPr>
          <w:p>
            <w:pPr>
              <w:jc w:val="right"/>
              <w:spacing w:after="0"/>
              <w:rPr>
                <w:sz w:val="20"/>
                <w:szCs w:val="20"/>
                <w:color w:val="auto"/>
              </w:rPr>
            </w:pPr>
            <w:r>
              <w:rPr>
                <w:rFonts w:ascii="Arial" w:cs="Arial" w:eastAsia="Arial" w:hAnsi="Arial"/>
                <w:sz w:val="14"/>
                <w:szCs w:val="14"/>
                <w:color w:val="auto"/>
              </w:rPr>
              <w:t>3/12/2010</w:t>
            </w:r>
          </w:p>
        </w:tc>
        <w:tc>
          <w:tcPr>
            <w:tcW w:w="1120" w:type="dxa"/>
            <w:vAlign w:val="bottom"/>
            <w:shd w:val="clear" w:color="auto" w:fill="DBE5F1"/>
          </w:tcPr>
          <w:p>
            <w:pPr>
              <w:jc w:val="right"/>
              <w:spacing w:after="0"/>
              <w:rPr>
                <w:sz w:val="20"/>
                <w:szCs w:val="20"/>
                <w:color w:val="auto"/>
              </w:rPr>
            </w:pPr>
            <w:r>
              <w:rPr>
                <w:rFonts w:ascii="Arial" w:cs="Arial" w:eastAsia="Arial" w:hAnsi="Arial"/>
                <w:sz w:val="14"/>
                <w:szCs w:val="14"/>
                <w:color w:val="auto"/>
              </w:rPr>
              <w:t>43,536</w:t>
            </w:r>
          </w:p>
        </w:tc>
        <w:tc>
          <w:tcPr>
            <w:tcW w:w="1400" w:type="dxa"/>
            <w:vAlign w:val="bottom"/>
            <w:shd w:val="clear" w:color="auto" w:fill="DBE5F1"/>
          </w:tcPr>
          <w:p>
            <w:pPr>
              <w:spacing w:after="0"/>
              <w:rPr>
                <w:sz w:val="23"/>
                <w:szCs w:val="23"/>
                <w:color w:val="auto"/>
              </w:rPr>
            </w:pPr>
          </w:p>
        </w:tc>
        <w:tc>
          <w:tcPr>
            <w:tcW w:w="920" w:type="dxa"/>
            <w:vAlign w:val="bottom"/>
            <w:gridSpan w:val="3"/>
            <w:vMerge w:val="restart"/>
            <w:shd w:val="clear" w:color="auto" w:fill="DBE5F1"/>
          </w:tcPr>
          <w:p>
            <w:pPr>
              <w:jc w:val="right"/>
              <w:ind w:right="120"/>
              <w:spacing w:after="0"/>
              <w:rPr>
                <w:sz w:val="20"/>
                <w:szCs w:val="20"/>
                <w:color w:val="auto"/>
              </w:rPr>
            </w:pPr>
            <w:r>
              <w:rPr>
                <w:rFonts w:ascii="Arial" w:cs="Arial" w:eastAsia="Arial" w:hAnsi="Arial"/>
                <w:sz w:val="14"/>
                <w:szCs w:val="14"/>
                <w:color w:val="auto"/>
              </w:rPr>
              <w:t>$42.29</w:t>
            </w:r>
          </w:p>
        </w:tc>
        <w:tc>
          <w:tcPr>
            <w:tcW w:w="1040" w:type="dxa"/>
            <w:vAlign w:val="bottom"/>
            <w:vMerge w:val="restart"/>
            <w:shd w:val="clear" w:color="auto" w:fill="DBE5F1"/>
          </w:tcPr>
          <w:p>
            <w:pPr>
              <w:jc w:val="right"/>
              <w:spacing w:after="0"/>
              <w:rPr>
                <w:sz w:val="20"/>
                <w:szCs w:val="20"/>
                <w:color w:val="auto"/>
              </w:rPr>
            </w:pPr>
            <w:r>
              <w:rPr>
                <w:rFonts w:ascii="Arial" w:cs="Arial" w:eastAsia="Arial" w:hAnsi="Arial"/>
                <w:sz w:val="14"/>
                <w:szCs w:val="14"/>
                <w:color w:val="auto"/>
              </w:rPr>
              <w:t>3/11/2020</w:t>
            </w:r>
          </w:p>
        </w:tc>
        <w:tc>
          <w:tcPr>
            <w:tcW w:w="1240" w:type="dxa"/>
            <w:vAlign w:val="bottom"/>
            <w:shd w:val="clear" w:color="auto" w:fill="DBE5F1"/>
          </w:tcPr>
          <w:p>
            <w:pPr>
              <w:spacing w:after="0"/>
              <w:rPr>
                <w:sz w:val="23"/>
                <w:szCs w:val="23"/>
                <w:color w:val="auto"/>
              </w:rPr>
            </w:pPr>
          </w:p>
        </w:tc>
        <w:tc>
          <w:tcPr>
            <w:tcW w:w="1040" w:type="dxa"/>
            <w:vAlign w:val="bottom"/>
            <w:shd w:val="clear" w:color="auto" w:fill="DBE5F1"/>
          </w:tcPr>
          <w:p>
            <w:pPr>
              <w:spacing w:after="0"/>
              <w:rPr>
                <w:sz w:val="23"/>
                <w:szCs w:val="23"/>
                <w:color w:val="auto"/>
              </w:rPr>
            </w:pPr>
          </w:p>
        </w:tc>
        <w:tc>
          <w:tcPr>
            <w:tcW w:w="1160" w:type="dxa"/>
            <w:vAlign w:val="bottom"/>
            <w:shd w:val="clear" w:color="auto" w:fill="DBE5F1"/>
          </w:tcPr>
          <w:p>
            <w:pPr>
              <w:spacing w:after="0"/>
              <w:rPr>
                <w:sz w:val="23"/>
                <w:szCs w:val="23"/>
                <w:color w:val="auto"/>
              </w:rPr>
            </w:pPr>
          </w:p>
        </w:tc>
        <w:tc>
          <w:tcPr>
            <w:tcW w:w="1080" w:type="dxa"/>
            <w:vAlign w:val="bottom"/>
            <w:shd w:val="clear" w:color="auto" w:fill="DBE5F1"/>
          </w:tcPr>
          <w:p>
            <w:pPr>
              <w:spacing w:after="0"/>
              <w:rPr>
                <w:sz w:val="23"/>
                <w:szCs w:val="23"/>
                <w:color w:val="auto"/>
              </w:rPr>
            </w:pPr>
          </w:p>
        </w:tc>
        <w:tc>
          <w:tcPr>
            <w:tcW w:w="0" w:type="dxa"/>
            <w:vAlign w:val="bottom"/>
          </w:tcPr>
          <w:p>
            <w:pPr>
              <w:spacing w:after="0"/>
              <w:rPr>
                <w:sz w:val="1"/>
                <w:szCs w:val="1"/>
                <w:color w:val="auto"/>
              </w:rPr>
            </w:pPr>
          </w:p>
        </w:tc>
      </w:tr>
      <w:tr>
        <w:trPr>
          <w:trHeight w:val="81"/>
        </w:trPr>
        <w:tc>
          <w:tcPr>
            <w:tcW w:w="1500" w:type="dxa"/>
            <w:vAlign w:val="bottom"/>
            <w:shd w:val="clear" w:color="auto" w:fill="DBE5F1"/>
          </w:tcPr>
          <w:p>
            <w:pPr>
              <w:spacing w:after="0"/>
              <w:rPr>
                <w:sz w:val="7"/>
                <w:szCs w:val="7"/>
                <w:color w:val="auto"/>
              </w:rPr>
            </w:pPr>
          </w:p>
        </w:tc>
        <w:tc>
          <w:tcPr>
            <w:tcW w:w="920" w:type="dxa"/>
            <w:vAlign w:val="bottom"/>
            <w:vMerge w:val="continue"/>
            <w:shd w:val="clear" w:color="auto" w:fill="DBE5F1"/>
          </w:tcPr>
          <w:p>
            <w:pPr>
              <w:spacing w:after="0"/>
              <w:rPr>
                <w:sz w:val="7"/>
                <w:szCs w:val="7"/>
                <w:color w:val="auto"/>
              </w:rPr>
            </w:pPr>
          </w:p>
        </w:tc>
        <w:tc>
          <w:tcPr>
            <w:tcW w:w="1120" w:type="dxa"/>
            <w:vAlign w:val="bottom"/>
            <w:shd w:val="clear" w:color="auto" w:fill="DBE5F1"/>
          </w:tcPr>
          <w:p>
            <w:pPr>
              <w:spacing w:after="0"/>
              <w:rPr>
                <w:sz w:val="7"/>
                <w:szCs w:val="7"/>
                <w:color w:val="auto"/>
              </w:rPr>
            </w:pPr>
          </w:p>
        </w:tc>
        <w:tc>
          <w:tcPr>
            <w:tcW w:w="1400" w:type="dxa"/>
            <w:vAlign w:val="bottom"/>
            <w:shd w:val="clear" w:color="auto" w:fill="DBE5F1"/>
          </w:tcPr>
          <w:p>
            <w:pPr>
              <w:spacing w:after="0"/>
              <w:rPr>
                <w:sz w:val="7"/>
                <w:szCs w:val="7"/>
                <w:color w:val="auto"/>
              </w:rPr>
            </w:pPr>
          </w:p>
        </w:tc>
        <w:tc>
          <w:tcPr>
            <w:tcW w:w="920" w:type="dxa"/>
            <w:vAlign w:val="bottom"/>
            <w:gridSpan w:val="3"/>
            <w:vMerge w:val="continue"/>
            <w:shd w:val="clear" w:color="auto" w:fill="DBE5F1"/>
          </w:tcPr>
          <w:p>
            <w:pPr>
              <w:spacing w:after="0"/>
              <w:rPr>
                <w:sz w:val="7"/>
                <w:szCs w:val="7"/>
                <w:color w:val="auto"/>
              </w:rPr>
            </w:pPr>
          </w:p>
        </w:tc>
        <w:tc>
          <w:tcPr>
            <w:tcW w:w="1040" w:type="dxa"/>
            <w:vAlign w:val="bottom"/>
            <w:vMerge w:val="continue"/>
            <w:shd w:val="clear" w:color="auto" w:fill="DBE5F1"/>
          </w:tcPr>
          <w:p>
            <w:pPr>
              <w:spacing w:after="0"/>
              <w:rPr>
                <w:sz w:val="7"/>
                <w:szCs w:val="7"/>
                <w:color w:val="auto"/>
              </w:rPr>
            </w:pPr>
          </w:p>
        </w:tc>
        <w:tc>
          <w:tcPr>
            <w:tcW w:w="1240" w:type="dxa"/>
            <w:vAlign w:val="bottom"/>
            <w:shd w:val="clear" w:color="auto" w:fill="DBE5F1"/>
          </w:tcPr>
          <w:p>
            <w:pPr>
              <w:spacing w:after="0"/>
              <w:rPr>
                <w:sz w:val="7"/>
                <w:szCs w:val="7"/>
                <w:color w:val="auto"/>
              </w:rPr>
            </w:pPr>
          </w:p>
        </w:tc>
        <w:tc>
          <w:tcPr>
            <w:tcW w:w="1040" w:type="dxa"/>
            <w:vAlign w:val="bottom"/>
            <w:shd w:val="clear" w:color="auto" w:fill="DBE5F1"/>
          </w:tcPr>
          <w:p>
            <w:pPr>
              <w:spacing w:after="0"/>
              <w:rPr>
                <w:sz w:val="7"/>
                <w:szCs w:val="7"/>
                <w:color w:val="auto"/>
              </w:rPr>
            </w:pPr>
          </w:p>
        </w:tc>
        <w:tc>
          <w:tcPr>
            <w:tcW w:w="1160" w:type="dxa"/>
            <w:vAlign w:val="bottom"/>
            <w:shd w:val="clear" w:color="auto" w:fill="DBE5F1"/>
          </w:tcPr>
          <w:p>
            <w:pPr>
              <w:spacing w:after="0"/>
              <w:rPr>
                <w:sz w:val="7"/>
                <w:szCs w:val="7"/>
                <w:color w:val="auto"/>
              </w:rPr>
            </w:pPr>
          </w:p>
        </w:tc>
        <w:tc>
          <w:tcPr>
            <w:tcW w:w="1080" w:type="dxa"/>
            <w:vAlign w:val="bottom"/>
            <w:shd w:val="clear" w:color="auto" w:fill="DBE5F1"/>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1500" w:type="dxa"/>
            <w:vAlign w:val="bottom"/>
            <w:shd w:val="clear" w:color="auto" w:fill="DBE5F1"/>
          </w:tcPr>
          <w:p>
            <w:pPr>
              <w:spacing w:after="0"/>
              <w:rPr>
                <w:sz w:val="21"/>
                <w:szCs w:val="21"/>
                <w:color w:val="auto"/>
              </w:rPr>
            </w:pPr>
          </w:p>
        </w:tc>
        <w:tc>
          <w:tcPr>
            <w:tcW w:w="920" w:type="dxa"/>
            <w:vAlign w:val="bottom"/>
            <w:shd w:val="clear" w:color="auto" w:fill="DBE5F1"/>
          </w:tcPr>
          <w:p>
            <w:pPr>
              <w:jc w:val="right"/>
              <w:spacing w:after="0"/>
              <w:rPr>
                <w:sz w:val="20"/>
                <w:szCs w:val="20"/>
                <w:color w:val="auto"/>
              </w:rPr>
            </w:pPr>
            <w:r>
              <w:rPr>
                <w:rFonts w:ascii="Arial" w:cs="Arial" w:eastAsia="Arial" w:hAnsi="Arial"/>
                <w:sz w:val="14"/>
                <w:szCs w:val="14"/>
                <w:color w:val="auto"/>
              </w:rPr>
              <w:t>3/4/2011</w:t>
            </w:r>
          </w:p>
        </w:tc>
        <w:tc>
          <w:tcPr>
            <w:tcW w:w="1120" w:type="dxa"/>
            <w:vAlign w:val="bottom"/>
            <w:shd w:val="clear" w:color="auto" w:fill="DBE5F1"/>
          </w:tcPr>
          <w:p>
            <w:pPr>
              <w:jc w:val="right"/>
              <w:spacing w:after="0"/>
              <w:rPr>
                <w:sz w:val="20"/>
                <w:szCs w:val="20"/>
                <w:color w:val="auto"/>
              </w:rPr>
            </w:pPr>
            <w:r>
              <w:rPr>
                <w:rFonts w:ascii="Arial" w:cs="Arial" w:eastAsia="Arial" w:hAnsi="Arial"/>
                <w:sz w:val="14"/>
                <w:szCs w:val="14"/>
                <w:color w:val="auto"/>
              </w:rPr>
              <w:t>40,550</w:t>
            </w:r>
          </w:p>
        </w:tc>
        <w:tc>
          <w:tcPr>
            <w:tcW w:w="1400" w:type="dxa"/>
            <w:vAlign w:val="bottom"/>
            <w:shd w:val="clear" w:color="auto" w:fill="DBE5F1"/>
          </w:tcPr>
          <w:p>
            <w:pPr>
              <w:spacing w:after="0"/>
              <w:rPr>
                <w:sz w:val="21"/>
                <w:szCs w:val="21"/>
                <w:color w:val="auto"/>
              </w:rPr>
            </w:pPr>
          </w:p>
        </w:tc>
        <w:tc>
          <w:tcPr>
            <w:tcW w:w="920" w:type="dxa"/>
            <w:vAlign w:val="bottom"/>
            <w:gridSpan w:val="3"/>
            <w:shd w:val="clear" w:color="auto" w:fill="DBE5F1"/>
          </w:tcPr>
          <w:p>
            <w:pPr>
              <w:jc w:val="right"/>
              <w:ind w:right="120"/>
              <w:spacing w:after="0"/>
              <w:rPr>
                <w:sz w:val="20"/>
                <w:szCs w:val="20"/>
                <w:color w:val="auto"/>
              </w:rPr>
            </w:pPr>
            <w:r>
              <w:rPr>
                <w:rFonts w:ascii="Arial" w:cs="Arial" w:eastAsia="Arial" w:hAnsi="Arial"/>
                <w:sz w:val="14"/>
                <w:szCs w:val="14"/>
                <w:color w:val="auto"/>
              </w:rPr>
              <w:t>$57.16</w:t>
            </w:r>
          </w:p>
        </w:tc>
        <w:tc>
          <w:tcPr>
            <w:tcW w:w="1040" w:type="dxa"/>
            <w:vAlign w:val="bottom"/>
            <w:shd w:val="clear" w:color="auto" w:fill="DBE5F1"/>
          </w:tcPr>
          <w:p>
            <w:pPr>
              <w:jc w:val="right"/>
              <w:spacing w:after="0"/>
              <w:rPr>
                <w:sz w:val="20"/>
                <w:szCs w:val="20"/>
                <w:color w:val="auto"/>
              </w:rPr>
            </w:pPr>
            <w:r>
              <w:rPr>
                <w:rFonts w:ascii="Arial" w:cs="Arial" w:eastAsia="Arial" w:hAnsi="Arial"/>
                <w:sz w:val="14"/>
                <w:szCs w:val="14"/>
                <w:color w:val="auto"/>
              </w:rPr>
              <w:t>3/3/2021</w:t>
            </w:r>
          </w:p>
        </w:tc>
        <w:tc>
          <w:tcPr>
            <w:tcW w:w="1240" w:type="dxa"/>
            <w:vAlign w:val="bottom"/>
            <w:shd w:val="clear" w:color="auto" w:fill="DBE5F1"/>
          </w:tcPr>
          <w:p>
            <w:pPr>
              <w:spacing w:after="0"/>
              <w:rPr>
                <w:sz w:val="21"/>
                <w:szCs w:val="21"/>
                <w:color w:val="auto"/>
              </w:rPr>
            </w:pPr>
          </w:p>
        </w:tc>
        <w:tc>
          <w:tcPr>
            <w:tcW w:w="1040" w:type="dxa"/>
            <w:vAlign w:val="bottom"/>
            <w:shd w:val="clear" w:color="auto" w:fill="DBE5F1"/>
          </w:tcPr>
          <w:p>
            <w:pPr>
              <w:spacing w:after="0"/>
              <w:rPr>
                <w:sz w:val="21"/>
                <w:szCs w:val="21"/>
                <w:color w:val="auto"/>
              </w:rPr>
            </w:pPr>
          </w:p>
        </w:tc>
        <w:tc>
          <w:tcPr>
            <w:tcW w:w="1160" w:type="dxa"/>
            <w:vAlign w:val="bottom"/>
            <w:shd w:val="clear" w:color="auto" w:fill="DBE5F1"/>
          </w:tcPr>
          <w:p>
            <w:pPr>
              <w:spacing w:after="0"/>
              <w:rPr>
                <w:sz w:val="21"/>
                <w:szCs w:val="21"/>
                <w:color w:val="auto"/>
              </w:rPr>
            </w:pPr>
          </w:p>
        </w:tc>
        <w:tc>
          <w:tcPr>
            <w:tcW w:w="1080" w:type="dxa"/>
            <w:vAlign w:val="bottom"/>
            <w:shd w:val="clear" w:color="auto" w:fill="DBE5F1"/>
          </w:tcPr>
          <w:p>
            <w:pPr>
              <w:spacing w:after="0"/>
              <w:rPr>
                <w:sz w:val="21"/>
                <w:szCs w:val="21"/>
                <w:color w:val="auto"/>
              </w:rPr>
            </w:pPr>
          </w:p>
        </w:tc>
        <w:tc>
          <w:tcPr>
            <w:tcW w:w="0" w:type="dxa"/>
            <w:vAlign w:val="bottom"/>
          </w:tcPr>
          <w:p>
            <w:pPr>
              <w:spacing w:after="0"/>
              <w:rPr>
                <w:sz w:val="1"/>
                <w:szCs w:val="1"/>
                <w:color w:val="auto"/>
              </w:rPr>
            </w:pPr>
          </w:p>
        </w:tc>
      </w:tr>
      <w:tr>
        <w:trPr>
          <w:trHeight w:val="284"/>
        </w:trPr>
        <w:tc>
          <w:tcPr>
            <w:tcW w:w="1500" w:type="dxa"/>
            <w:vAlign w:val="bottom"/>
            <w:shd w:val="clear" w:color="auto" w:fill="DBE5F1"/>
          </w:tcPr>
          <w:p>
            <w:pPr>
              <w:spacing w:after="0"/>
              <w:rPr>
                <w:sz w:val="24"/>
                <w:szCs w:val="24"/>
                <w:color w:val="auto"/>
              </w:rPr>
            </w:pPr>
          </w:p>
        </w:tc>
        <w:tc>
          <w:tcPr>
            <w:tcW w:w="920" w:type="dxa"/>
            <w:vAlign w:val="bottom"/>
            <w:shd w:val="clear" w:color="auto" w:fill="DBE5F1"/>
          </w:tcPr>
          <w:p>
            <w:pPr>
              <w:jc w:val="right"/>
              <w:spacing w:after="0"/>
              <w:rPr>
                <w:sz w:val="20"/>
                <w:szCs w:val="20"/>
                <w:color w:val="auto"/>
              </w:rPr>
            </w:pPr>
            <w:r>
              <w:rPr>
                <w:rFonts w:ascii="Arial" w:cs="Arial" w:eastAsia="Arial" w:hAnsi="Arial"/>
                <w:sz w:val="14"/>
                <w:szCs w:val="14"/>
                <w:color w:val="auto"/>
              </w:rPr>
              <w:t>2/21/2012</w:t>
            </w:r>
          </w:p>
        </w:tc>
        <w:tc>
          <w:tcPr>
            <w:tcW w:w="1120" w:type="dxa"/>
            <w:vAlign w:val="bottom"/>
            <w:shd w:val="clear" w:color="auto" w:fill="DBE5F1"/>
          </w:tcPr>
          <w:p>
            <w:pPr>
              <w:jc w:val="right"/>
              <w:spacing w:after="0"/>
              <w:rPr>
                <w:sz w:val="20"/>
                <w:szCs w:val="20"/>
                <w:color w:val="auto"/>
              </w:rPr>
            </w:pPr>
            <w:r>
              <w:rPr>
                <w:rFonts w:ascii="Arial" w:cs="Arial" w:eastAsia="Arial" w:hAnsi="Arial"/>
                <w:sz w:val="14"/>
                <w:szCs w:val="14"/>
                <w:color w:val="auto"/>
              </w:rPr>
              <w:t>41,700</w:t>
            </w:r>
          </w:p>
        </w:tc>
        <w:tc>
          <w:tcPr>
            <w:tcW w:w="1400" w:type="dxa"/>
            <w:vAlign w:val="bottom"/>
            <w:shd w:val="clear" w:color="auto" w:fill="DBE5F1"/>
          </w:tcPr>
          <w:p>
            <w:pPr>
              <w:spacing w:after="0"/>
              <w:rPr>
                <w:sz w:val="24"/>
                <w:szCs w:val="24"/>
                <w:color w:val="auto"/>
              </w:rPr>
            </w:pPr>
          </w:p>
        </w:tc>
        <w:tc>
          <w:tcPr>
            <w:tcW w:w="920" w:type="dxa"/>
            <w:vAlign w:val="bottom"/>
            <w:gridSpan w:val="3"/>
            <w:shd w:val="clear" w:color="auto" w:fill="DBE5F1"/>
          </w:tcPr>
          <w:p>
            <w:pPr>
              <w:jc w:val="right"/>
              <w:ind w:right="120"/>
              <w:spacing w:after="0"/>
              <w:rPr>
                <w:sz w:val="20"/>
                <w:szCs w:val="20"/>
                <w:color w:val="auto"/>
              </w:rPr>
            </w:pPr>
            <w:r>
              <w:rPr>
                <w:rFonts w:ascii="Arial" w:cs="Arial" w:eastAsia="Arial" w:hAnsi="Arial"/>
                <w:sz w:val="14"/>
                <w:szCs w:val="14"/>
                <w:color w:val="auto"/>
              </w:rPr>
              <w:t>$58.95</w:t>
            </w:r>
          </w:p>
        </w:tc>
        <w:tc>
          <w:tcPr>
            <w:tcW w:w="1040" w:type="dxa"/>
            <w:vAlign w:val="bottom"/>
            <w:shd w:val="clear" w:color="auto" w:fill="DBE5F1"/>
          </w:tcPr>
          <w:p>
            <w:pPr>
              <w:jc w:val="right"/>
              <w:spacing w:after="0"/>
              <w:rPr>
                <w:sz w:val="20"/>
                <w:szCs w:val="20"/>
                <w:color w:val="auto"/>
              </w:rPr>
            </w:pPr>
            <w:r>
              <w:rPr>
                <w:rFonts w:ascii="Arial" w:cs="Arial" w:eastAsia="Arial" w:hAnsi="Arial"/>
                <w:sz w:val="14"/>
                <w:szCs w:val="14"/>
                <w:color w:val="auto"/>
              </w:rPr>
              <w:t>2/20/2022</w:t>
            </w:r>
          </w:p>
        </w:tc>
        <w:tc>
          <w:tcPr>
            <w:tcW w:w="1240" w:type="dxa"/>
            <w:vAlign w:val="bottom"/>
            <w:shd w:val="clear" w:color="auto" w:fill="DBE5F1"/>
          </w:tcPr>
          <w:p>
            <w:pPr>
              <w:spacing w:after="0"/>
              <w:rPr>
                <w:sz w:val="24"/>
                <w:szCs w:val="24"/>
                <w:color w:val="auto"/>
              </w:rPr>
            </w:pPr>
          </w:p>
        </w:tc>
        <w:tc>
          <w:tcPr>
            <w:tcW w:w="1040" w:type="dxa"/>
            <w:vAlign w:val="bottom"/>
            <w:shd w:val="clear" w:color="auto" w:fill="DBE5F1"/>
          </w:tcPr>
          <w:p>
            <w:pPr>
              <w:spacing w:after="0"/>
              <w:rPr>
                <w:sz w:val="24"/>
                <w:szCs w:val="24"/>
                <w:color w:val="auto"/>
              </w:rPr>
            </w:pPr>
          </w:p>
        </w:tc>
        <w:tc>
          <w:tcPr>
            <w:tcW w:w="1160" w:type="dxa"/>
            <w:vAlign w:val="bottom"/>
            <w:shd w:val="clear" w:color="auto" w:fill="DBE5F1"/>
          </w:tcPr>
          <w:p>
            <w:pPr>
              <w:spacing w:after="0"/>
              <w:rPr>
                <w:sz w:val="24"/>
                <w:szCs w:val="24"/>
                <w:color w:val="auto"/>
              </w:rPr>
            </w:pPr>
          </w:p>
        </w:tc>
        <w:tc>
          <w:tcPr>
            <w:tcW w:w="1080" w:type="dxa"/>
            <w:vAlign w:val="bottom"/>
            <w:shd w:val="clear" w:color="auto" w:fill="DBE5F1"/>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1500" w:type="dxa"/>
            <w:vAlign w:val="bottom"/>
            <w:vMerge w:val="restart"/>
            <w:shd w:val="clear" w:color="auto" w:fill="DBE5F1"/>
          </w:tcPr>
          <w:p>
            <w:pPr>
              <w:ind w:left="40"/>
              <w:spacing w:after="0"/>
              <w:rPr>
                <w:sz w:val="20"/>
                <w:szCs w:val="20"/>
                <w:color w:val="auto"/>
              </w:rPr>
            </w:pPr>
            <w:r>
              <w:rPr>
                <w:rFonts w:ascii="Arial" w:cs="Arial" w:eastAsia="Arial" w:hAnsi="Arial"/>
                <w:sz w:val="16"/>
                <w:szCs w:val="16"/>
                <w:b w:val="1"/>
                <w:bCs w:val="1"/>
                <w:color w:val="auto"/>
                <w:w w:val="95"/>
              </w:rPr>
              <w:t>Andrew C. Florance</w:t>
            </w:r>
          </w:p>
        </w:tc>
        <w:tc>
          <w:tcPr>
            <w:tcW w:w="920" w:type="dxa"/>
            <w:vAlign w:val="bottom"/>
            <w:shd w:val="clear" w:color="auto" w:fill="DBE5F1"/>
          </w:tcPr>
          <w:p>
            <w:pPr>
              <w:jc w:val="right"/>
              <w:spacing w:after="0"/>
              <w:rPr>
                <w:sz w:val="20"/>
                <w:szCs w:val="20"/>
                <w:color w:val="auto"/>
              </w:rPr>
            </w:pPr>
            <w:r>
              <w:rPr>
                <w:rFonts w:ascii="Arial" w:cs="Arial" w:eastAsia="Arial" w:hAnsi="Arial"/>
                <w:sz w:val="14"/>
                <w:szCs w:val="14"/>
                <w:color w:val="auto"/>
              </w:rPr>
              <w:t>3/11/2013</w:t>
            </w:r>
          </w:p>
        </w:tc>
        <w:tc>
          <w:tcPr>
            <w:tcW w:w="1120" w:type="dxa"/>
            <w:vAlign w:val="bottom"/>
            <w:shd w:val="clear" w:color="auto" w:fill="DBE5F1"/>
          </w:tcPr>
          <w:p>
            <w:pPr>
              <w:jc w:val="right"/>
              <w:spacing w:after="0"/>
              <w:rPr>
                <w:sz w:val="20"/>
                <w:szCs w:val="20"/>
                <w:color w:val="auto"/>
              </w:rPr>
            </w:pPr>
            <w:r>
              <w:rPr>
                <w:rFonts w:ascii="Arial" w:cs="Arial" w:eastAsia="Arial" w:hAnsi="Arial"/>
                <w:sz w:val="14"/>
                <w:szCs w:val="14"/>
                <w:color w:val="auto"/>
              </w:rPr>
              <w:t>37,533</w:t>
            </w:r>
          </w:p>
        </w:tc>
        <w:tc>
          <w:tcPr>
            <w:tcW w:w="1400" w:type="dxa"/>
            <w:vAlign w:val="bottom"/>
            <w:shd w:val="clear" w:color="auto" w:fill="DBE5F1"/>
          </w:tcPr>
          <w:p>
            <w:pPr>
              <w:jc w:val="right"/>
              <w:spacing w:after="0"/>
              <w:rPr>
                <w:sz w:val="20"/>
                <w:szCs w:val="20"/>
                <w:color w:val="auto"/>
              </w:rPr>
            </w:pPr>
            <w:r>
              <w:rPr>
                <w:rFonts w:ascii="Arial" w:cs="Arial" w:eastAsia="Arial" w:hAnsi="Arial"/>
                <w:sz w:val="14"/>
                <w:szCs w:val="14"/>
                <w:color w:val="auto"/>
              </w:rPr>
              <w:t>18,767</w:t>
            </w:r>
          </w:p>
        </w:tc>
        <w:tc>
          <w:tcPr>
            <w:tcW w:w="120" w:type="dxa"/>
            <w:vAlign w:val="bottom"/>
            <w:shd w:val="clear" w:color="auto" w:fill="DBE5F1"/>
          </w:tcPr>
          <w:p>
            <w:pPr>
              <w:spacing w:after="0"/>
              <w:rPr>
                <w:sz w:val="24"/>
                <w:szCs w:val="24"/>
                <w:color w:val="auto"/>
              </w:rPr>
            </w:pPr>
          </w:p>
        </w:tc>
        <w:tc>
          <w:tcPr>
            <w:tcW w:w="800" w:type="dxa"/>
            <w:vAlign w:val="bottom"/>
            <w:gridSpan w:val="2"/>
            <w:shd w:val="clear" w:color="auto" w:fill="DBE5F1"/>
          </w:tcPr>
          <w:p>
            <w:pPr>
              <w:jc w:val="right"/>
              <w:ind w:right="120"/>
              <w:spacing w:after="0"/>
              <w:rPr>
                <w:sz w:val="20"/>
                <w:szCs w:val="20"/>
                <w:color w:val="auto"/>
              </w:rPr>
            </w:pPr>
            <w:r>
              <w:rPr>
                <w:rFonts w:ascii="Arial" w:cs="Arial" w:eastAsia="Arial" w:hAnsi="Arial"/>
                <w:sz w:val="14"/>
                <w:szCs w:val="14"/>
                <w:color w:val="auto"/>
              </w:rPr>
              <w:t>$102.16</w:t>
            </w:r>
          </w:p>
        </w:tc>
        <w:tc>
          <w:tcPr>
            <w:tcW w:w="1040" w:type="dxa"/>
            <w:vAlign w:val="bottom"/>
            <w:shd w:val="clear" w:color="auto" w:fill="DBE5F1"/>
          </w:tcPr>
          <w:p>
            <w:pPr>
              <w:jc w:val="right"/>
              <w:spacing w:after="0"/>
              <w:rPr>
                <w:sz w:val="20"/>
                <w:szCs w:val="20"/>
                <w:color w:val="auto"/>
              </w:rPr>
            </w:pPr>
            <w:r>
              <w:rPr>
                <w:rFonts w:ascii="Arial" w:cs="Arial" w:eastAsia="Arial" w:hAnsi="Arial"/>
                <w:sz w:val="14"/>
                <w:szCs w:val="14"/>
                <w:color w:val="auto"/>
              </w:rPr>
              <w:t>3/10/2023</w:t>
            </w:r>
          </w:p>
        </w:tc>
        <w:tc>
          <w:tcPr>
            <w:tcW w:w="1240" w:type="dxa"/>
            <w:vAlign w:val="bottom"/>
            <w:shd w:val="clear" w:color="auto" w:fill="DBE5F1"/>
          </w:tcPr>
          <w:p>
            <w:pPr>
              <w:spacing w:after="0"/>
              <w:rPr>
                <w:sz w:val="24"/>
                <w:szCs w:val="24"/>
                <w:color w:val="auto"/>
              </w:rPr>
            </w:pPr>
          </w:p>
        </w:tc>
        <w:tc>
          <w:tcPr>
            <w:tcW w:w="1040" w:type="dxa"/>
            <w:vAlign w:val="bottom"/>
            <w:shd w:val="clear" w:color="auto" w:fill="DBE5F1"/>
          </w:tcPr>
          <w:p>
            <w:pPr>
              <w:spacing w:after="0"/>
              <w:rPr>
                <w:sz w:val="24"/>
                <w:szCs w:val="24"/>
                <w:color w:val="auto"/>
              </w:rPr>
            </w:pPr>
          </w:p>
        </w:tc>
        <w:tc>
          <w:tcPr>
            <w:tcW w:w="1160" w:type="dxa"/>
            <w:vAlign w:val="bottom"/>
            <w:shd w:val="clear" w:color="auto" w:fill="DBE5F1"/>
          </w:tcPr>
          <w:p>
            <w:pPr>
              <w:spacing w:after="0"/>
              <w:rPr>
                <w:sz w:val="24"/>
                <w:szCs w:val="24"/>
                <w:color w:val="auto"/>
              </w:rPr>
            </w:pPr>
          </w:p>
        </w:tc>
        <w:tc>
          <w:tcPr>
            <w:tcW w:w="1080" w:type="dxa"/>
            <w:vAlign w:val="bottom"/>
            <w:shd w:val="clear" w:color="auto" w:fill="DBE5F1"/>
          </w:tcPr>
          <w:p>
            <w:pPr>
              <w:spacing w:after="0"/>
              <w:rPr>
                <w:sz w:val="24"/>
                <w:szCs w:val="24"/>
                <w:color w:val="auto"/>
              </w:rPr>
            </w:pPr>
          </w:p>
        </w:tc>
        <w:tc>
          <w:tcPr>
            <w:tcW w:w="0" w:type="dxa"/>
            <w:vAlign w:val="bottom"/>
          </w:tcPr>
          <w:p>
            <w:pPr>
              <w:spacing w:after="0"/>
              <w:rPr>
                <w:sz w:val="1"/>
                <w:szCs w:val="1"/>
                <w:color w:val="auto"/>
              </w:rPr>
            </w:pPr>
          </w:p>
        </w:tc>
      </w:tr>
      <w:tr>
        <w:trPr>
          <w:trHeight w:val="114"/>
        </w:trPr>
        <w:tc>
          <w:tcPr>
            <w:tcW w:w="1500" w:type="dxa"/>
            <w:vAlign w:val="bottom"/>
            <w:vMerge w:val="continue"/>
            <w:shd w:val="clear" w:color="auto" w:fill="DBE5F1"/>
          </w:tcPr>
          <w:p>
            <w:pPr>
              <w:spacing w:after="0"/>
              <w:rPr>
                <w:sz w:val="9"/>
                <w:szCs w:val="9"/>
                <w:color w:val="auto"/>
              </w:rPr>
            </w:pPr>
          </w:p>
        </w:tc>
        <w:tc>
          <w:tcPr>
            <w:tcW w:w="920" w:type="dxa"/>
            <w:vAlign w:val="bottom"/>
            <w:vMerge w:val="restart"/>
            <w:shd w:val="clear" w:color="auto" w:fill="DBE5F1"/>
          </w:tcPr>
          <w:p>
            <w:pPr>
              <w:jc w:val="right"/>
              <w:spacing w:after="0"/>
              <w:rPr>
                <w:sz w:val="20"/>
                <w:szCs w:val="20"/>
                <w:color w:val="auto"/>
              </w:rPr>
            </w:pPr>
            <w:r>
              <w:rPr>
                <w:rFonts w:ascii="Arial" w:cs="Arial" w:eastAsia="Arial" w:hAnsi="Arial"/>
                <w:sz w:val="14"/>
                <w:szCs w:val="14"/>
                <w:color w:val="auto"/>
              </w:rPr>
              <w:t>2/28/14</w:t>
            </w:r>
          </w:p>
        </w:tc>
        <w:tc>
          <w:tcPr>
            <w:tcW w:w="1120" w:type="dxa"/>
            <w:vAlign w:val="bottom"/>
            <w:vMerge w:val="restart"/>
            <w:shd w:val="clear" w:color="auto" w:fill="DBE5F1"/>
          </w:tcPr>
          <w:p>
            <w:pPr>
              <w:jc w:val="right"/>
              <w:spacing w:after="0"/>
              <w:rPr>
                <w:sz w:val="20"/>
                <w:szCs w:val="20"/>
                <w:color w:val="auto"/>
              </w:rPr>
            </w:pPr>
            <w:r>
              <w:rPr>
                <w:rFonts w:ascii="Arial" w:cs="Arial" w:eastAsia="Arial" w:hAnsi="Arial"/>
                <w:sz w:val="14"/>
                <w:szCs w:val="14"/>
                <w:color w:val="auto"/>
              </w:rPr>
              <w:t>11,200</w:t>
            </w:r>
          </w:p>
        </w:tc>
        <w:tc>
          <w:tcPr>
            <w:tcW w:w="1400" w:type="dxa"/>
            <w:vAlign w:val="bottom"/>
            <w:vMerge w:val="restart"/>
            <w:shd w:val="clear" w:color="auto" w:fill="DBE5F1"/>
          </w:tcPr>
          <w:p>
            <w:pPr>
              <w:jc w:val="right"/>
              <w:spacing w:after="0"/>
              <w:rPr>
                <w:sz w:val="20"/>
                <w:szCs w:val="20"/>
                <w:color w:val="auto"/>
              </w:rPr>
            </w:pPr>
            <w:r>
              <w:rPr>
                <w:rFonts w:ascii="Arial" w:cs="Arial" w:eastAsia="Arial" w:hAnsi="Arial"/>
                <w:sz w:val="14"/>
                <w:szCs w:val="14"/>
                <w:color w:val="auto"/>
              </w:rPr>
              <w:t>22,400</w:t>
            </w:r>
          </w:p>
        </w:tc>
        <w:tc>
          <w:tcPr>
            <w:tcW w:w="120" w:type="dxa"/>
            <w:vAlign w:val="bottom"/>
            <w:shd w:val="clear" w:color="auto" w:fill="DBE5F1"/>
          </w:tcPr>
          <w:p>
            <w:pPr>
              <w:spacing w:after="0"/>
              <w:rPr>
                <w:sz w:val="9"/>
                <w:szCs w:val="9"/>
                <w:color w:val="auto"/>
              </w:rPr>
            </w:pPr>
          </w:p>
        </w:tc>
        <w:tc>
          <w:tcPr>
            <w:tcW w:w="680" w:type="dxa"/>
            <w:vAlign w:val="bottom"/>
            <w:vMerge w:val="restart"/>
            <w:shd w:val="clear" w:color="auto" w:fill="DBE5F1"/>
          </w:tcPr>
          <w:p>
            <w:pPr>
              <w:jc w:val="right"/>
              <w:spacing w:after="0"/>
              <w:rPr>
                <w:sz w:val="20"/>
                <w:szCs w:val="20"/>
                <w:color w:val="auto"/>
              </w:rPr>
            </w:pPr>
            <w:r>
              <w:rPr>
                <w:rFonts w:ascii="Arial" w:cs="Arial" w:eastAsia="Arial" w:hAnsi="Arial"/>
                <w:sz w:val="14"/>
                <w:szCs w:val="14"/>
                <w:color w:val="auto"/>
              </w:rPr>
              <w:t>$201.04</w:t>
            </w:r>
          </w:p>
        </w:tc>
        <w:tc>
          <w:tcPr>
            <w:tcW w:w="120" w:type="dxa"/>
            <w:vAlign w:val="bottom"/>
            <w:shd w:val="clear" w:color="auto" w:fill="DBE5F1"/>
          </w:tcPr>
          <w:p>
            <w:pPr>
              <w:spacing w:after="0"/>
              <w:rPr>
                <w:sz w:val="9"/>
                <w:szCs w:val="9"/>
                <w:color w:val="auto"/>
              </w:rPr>
            </w:pPr>
          </w:p>
        </w:tc>
        <w:tc>
          <w:tcPr>
            <w:tcW w:w="1040" w:type="dxa"/>
            <w:vAlign w:val="bottom"/>
            <w:vMerge w:val="restart"/>
            <w:shd w:val="clear" w:color="auto" w:fill="DBE5F1"/>
          </w:tcPr>
          <w:p>
            <w:pPr>
              <w:jc w:val="right"/>
              <w:spacing w:after="0"/>
              <w:rPr>
                <w:sz w:val="20"/>
                <w:szCs w:val="20"/>
                <w:color w:val="auto"/>
              </w:rPr>
            </w:pPr>
            <w:r>
              <w:rPr>
                <w:rFonts w:ascii="Arial" w:cs="Arial" w:eastAsia="Arial" w:hAnsi="Arial"/>
                <w:sz w:val="14"/>
                <w:szCs w:val="14"/>
                <w:color w:val="auto"/>
              </w:rPr>
              <w:t>2/27/2024</w:t>
            </w:r>
          </w:p>
        </w:tc>
        <w:tc>
          <w:tcPr>
            <w:tcW w:w="1240" w:type="dxa"/>
            <w:vAlign w:val="bottom"/>
            <w:shd w:val="clear" w:color="auto" w:fill="DBE5F1"/>
          </w:tcPr>
          <w:p>
            <w:pPr>
              <w:spacing w:after="0"/>
              <w:rPr>
                <w:sz w:val="9"/>
                <w:szCs w:val="9"/>
                <w:color w:val="auto"/>
              </w:rPr>
            </w:pPr>
          </w:p>
        </w:tc>
        <w:tc>
          <w:tcPr>
            <w:tcW w:w="1040" w:type="dxa"/>
            <w:vAlign w:val="bottom"/>
            <w:shd w:val="clear" w:color="auto" w:fill="DBE5F1"/>
          </w:tcPr>
          <w:p>
            <w:pPr>
              <w:spacing w:after="0"/>
              <w:rPr>
                <w:sz w:val="9"/>
                <w:szCs w:val="9"/>
                <w:color w:val="auto"/>
              </w:rPr>
            </w:pPr>
          </w:p>
        </w:tc>
        <w:tc>
          <w:tcPr>
            <w:tcW w:w="1160" w:type="dxa"/>
            <w:vAlign w:val="bottom"/>
            <w:shd w:val="clear" w:color="auto" w:fill="DBE5F1"/>
          </w:tcPr>
          <w:p>
            <w:pPr>
              <w:spacing w:after="0"/>
              <w:rPr>
                <w:sz w:val="9"/>
                <w:szCs w:val="9"/>
                <w:color w:val="auto"/>
              </w:rPr>
            </w:pPr>
          </w:p>
        </w:tc>
        <w:tc>
          <w:tcPr>
            <w:tcW w:w="1080" w:type="dxa"/>
            <w:vAlign w:val="bottom"/>
            <w:shd w:val="clear" w:color="auto" w:fill="DBE5F1"/>
          </w:tcPr>
          <w:p>
            <w:pPr>
              <w:spacing w:after="0"/>
              <w:rPr>
                <w:sz w:val="9"/>
                <w:szCs w:val="9"/>
                <w:color w:val="auto"/>
              </w:rPr>
            </w:pPr>
          </w:p>
        </w:tc>
        <w:tc>
          <w:tcPr>
            <w:tcW w:w="0" w:type="dxa"/>
            <w:vAlign w:val="bottom"/>
          </w:tcPr>
          <w:p>
            <w:pPr>
              <w:spacing w:after="0"/>
              <w:rPr>
                <w:sz w:val="1"/>
                <w:szCs w:val="1"/>
                <w:color w:val="auto"/>
              </w:rPr>
            </w:pPr>
          </w:p>
        </w:tc>
      </w:tr>
      <w:tr>
        <w:trPr>
          <w:trHeight w:val="170"/>
        </w:trPr>
        <w:tc>
          <w:tcPr>
            <w:tcW w:w="1500" w:type="dxa"/>
            <w:vAlign w:val="bottom"/>
            <w:shd w:val="clear" w:color="auto" w:fill="DBE5F1"/>
          </w:tcPr>
          <w:p>
            <w:pPr>
              <w:spacing w:after="0"/>
              <w:rPr>
                <w:sz w:val="14"/>
                <w:szCs w:val="14"/>
                <w:color w:val="auto"/>
              </w:rPr>
            </w:pPr>
          </w:p>
        </w:tc>
        <w:tc>
          <w:tcPr>
            <w:tcW w:w="920" w:type="dxa"/>
            <w:vAlign w:val="bottom"/>
            <w:vMerge w:val="continue"/>
            <w:shd w:val="clear" w:color="auto" w:fill="DBE5F1"/>
          </w:tcPr>
          <w:p>
            <w:pPr>
              <w:spacing w:after="0"/>
              <w:rPr>
                <w:sz w:val="14"/>
                <w:szCs w:val="14"/>
                <w:color w:val="auto"/>
              </w:rPr>
            </w:pPr>
          </w:p>
        </w:tc>
        <w:tc>
          <w:tcPr>
            <w:tcW w:w="1120" w:type="dxa"/>
            <w:vAlign w:val="bottom"/>
            <w:vMerge w:val="continue"/>
            <w:shd w:val="clear" w:color="auto" w:fill="DBE5F1"/>
          </w:tcPr>
          <w:p>
            <w:pPr>
              <w:spacing w:after="0"/>
              <w:rPr>
                <w:sz w:val="14"/>
                <w:szCs w:val="14"/>
                <w:color w:val="auto"/>
              </w:rPr>
            </w:pPr>
          </w:p>
        </w:tc>
        <w:tc>
          <w:tcPr>
            <w:tcW w:w="1400" w:type="dxa"/>
            <w:vAlign w:val="bottom"/>
            <w:vMerge w:val="continue"/>
            <w:shd w:val="clear" w:color="auto" w:fill="DBE5F1"/>
          </w:tcPr>
          <w:p>
            <w:pPr>
              <w:spacing w:after="0"/>
              <w:rPr>
                <w:sz w:val="14"/>
                <w:szCs w:val="14"/>
                <w:color w:val="auto"/>
              </w:rPr>
            </w:pPr>
          </w:p>
        </w:tc>
        <w:tc>
          <w:tcPr>
            <w:tcW w:w="120" w:type="dxa"/>
            <w:vAlign w:val="bottom"/>
            <w:shd w:val="clear" w:color="auto" w:fill="DBE5F1"/>
          </w:tcPr>
          <w:p>
            <w:pPr>
              <w:spacing w:after="0"/>
              <w:rPr>
                <w:sz w:val="14"/>
                <w:szCs w:val="14"/>
                <w:color w:val="auto"/>
              </w:rPr>
            </w:pPr>
          </w:p>
        </w:tc>
        <w:tc>
          <w:tcPr>
            <w:tcW w:w="680" w:type="dxa"/>
            <w:vAlign w:val="bottom"/>
            <w:vMerge w:val="continue"/>
            <w:shd w:val="clear" w:color="auto" w:fill="DBE5F1"/>
          </w:tcPr>
          <w:p>
            <w:pPr>
              <w:spacing w:after="0"/>
              <w:rPr>
                <w:sz w:val="14"/>
                <w:szCs w:val="14"/>
                <w:color w:val="auto"/>
              </w:rPr>
            </w:pPr>
          </w:p>
        </w:tc>
        <w:tc>
          <w:tcPr>
            <w:tcW w:w="120" w:type="dxa"/>
            <w:vAlign w:val="bottom"/>
            <w:shd w:val="clear" w:color="auto" w:fill="DBE5F1"/>
          </w:tcPr>
          <w:p>
            <w:pPr>
              <w:spacing w:after="0"/>
              <w:rPr>
                <w:sz w:val="14"/>
                <w:szCs w:val="14"/>
                <w:color w:val="auto"/>
              </w:rPr>
            </w:pPr>
          </w:p>
        </w:tc>
        <w:tc>
          <w:tcPr>
            <w:tcW w:w="1040" w:type="dxa"/>
            <w:vAlign w:val="bottom"/>
            <w:vMerge w:val="continue"/>
            <w:shd w:val="clear" w:color="auto" w:fill="DBE5F1"/>
          </w:tcPr>
          <w:p>
            <w:pPr>
              <w:spacing w:after="0"/>
              <w:rPr>
                <w:sz w:val="14"/>
                <w:szCs w:val="14"/>
                <w:color w:val="auto"/>
              </w:rPr>
            </w:pPr>
          </w:p>
        </w:tc>
        <w:tc>
          <w:tcPr>
            <w:tcW w:w="1240" w:type="dxa"/>
            <w:vAlign w:val="bottom"/>
            <w:shd w:val="clear" w:color="auto" w:fill="DBE5F1"/>
          </w:tcPr>
          <w:p>
            <w:pPr>
              <w:spacing w:after="0"/>
              <w:rPr>
                <w:sz w:val="14"/>
                <w:szCs w:val="14"/>
                <w:color w:val="auto"/>
              </w:rPr>
            </w:pPr>
          </w:p>
        </w:tc>
        <w:tc>
          <w:tcPr>
            <w:tcW w:w="1040" w:type="dxa"/>
            <w:vAlign w:val="bottom"/>
            <w:shd w:val="clear" w:color="auto" w:fill="DBE5F1"/>
          </w:tcPr>
          <w:p>
            <w:pPr>
              <w:spacing w:after="0"/>
              <w:rPr>
                <w:sz w:val="14"/>
                <w:szCs w:val="14"/>
                <w:color w:val="auto"/>
              </w:rPr>
            </w:pPr>
          </w:p>
        </w:tc>
        <w:tc>
          <w:tcPr>
            <w:tcW w:w="1160" w:type="dxa"/>
            <w:vAlign w:val="bottom"/>
            <w:shd w:val="clear" w:color="auto" w:fill="DBE5F1"/>
          </w:tcPr>
          <w:p>
            <w:pPr>
              <w:spacing w:after="0"/>
              <w:rPr>
                <w:sz w:val="14"/>
                <w:szCs w:val="14"/>
                <w:color w:val="auto"/>
              </w:rPr>
            </w:pPr>
          </w:p>
        </w:tc>
        <w:tc>
          <w:tcPr>
            <w:tcW w:w="1080" w:type="dxa"/>
            <w:vAlign w:val="bottom"/>
            <w:shd w:val="clear" w:color="auto" w:fill="DBE5F1"/>
          </w:tcPr>
          <w:p>
            <w:pPr>
              <w:spacing w:after="0"/>
              <w:rPr>
                <w:sz w:val="14"/>
                <w:szCs w:val="14"/>
                <w:color w:val="auto"/>
              </w:rPr>
            </w:pPr>
          </w:p>
        </w:tc>
        <w:tc>
          <w:tcPr>
            <w:tcW w:w="0" w:type="dxa"/>
            <w:vAlign w:val="bottom"/>
          </w:tcPr>
          <w:p>
            <w:pPr>
              <w:spacing w:after="0"/>
              <w:rPr>
                <w:sz w:val="1"/>
                <w:szCs w:val="1"/>
                <w:color w:val="auto"/>
              </w:rPr>
            </w:pPr>
          </w:p>
        </w:tc>
      </w:tr>
      <w:tr>
        <w:trPr>
          <w:trHeight w:val="284"/>
        </w:trPr>
        <w:tc>
          <w:tcPr>
            <w:tcW w:w="1500" w:type="dxa"/>
            <w:vAlign w:val="bottom"/>
            <w:shd w:val="clear" w:color="auto" w:fill="DBE5F1"/>
          </w:tcPr>
          <w:p>
            <w:pPr>
              <w:spacing w:after="0"/>
              <w:rPr>
                <w:sz w:val="24"/>
                <w:szCs w:val="24"/>
                <w:color w:val="auto"/>
              </w:rPr>
            </w:pPr>
          </w:p>
        </w:tc>
        <w:tc>
          <w:tcPr>
            <w:tcW w:w="920" w:type="dxa"/>
            <w:vAlign w:val="bottom"/>
            <w:shd w:val="clear" w:color="auto" w:fill="DBE5F1"/>
          </w:tcPr>
          <w:p>
            <w:pPr>
              <w:jc w:val="right"/>
              <w:spacing w:after="0"/>
              <w:rPr>
                <w:sz w:val="20"/>
                <w:szCs w:val="20"/>
                <w:color w:val="auto"/>
              </w:rPr>
            </w:pPr>
            <w:r>
              <w:rPr>
                <w:rFonts w:ascii="Arial" w:cs="Arial" w:eastAsia="Arial" w:hAnsi="Arial"/>
                <w:sz w:val="14"/>
                <w:szCs w:val="14"/>
                <w:color w:val="auto"/>
              </w:rPr>
              <w:t>3/5/15</w:t>
            </w:r>
          </w:p>
        </w:tc>
        <w:tc>
          <w:tcPr>
            <w:tcW w:w="1120" w:type="dxa"/>
            <w:vAlign w:val="bottom"/>
            <w:shd w:val="clear" w:color="auto" w:fill="DBE5F1"/>
          </w:tcPr>
          <w:p>
            <w:pPr>
              <w:spacing w:after="0"/>
              <w:rPr>
                <w:sz w:val="24"/>
                <w:szCs w:val="24"/>
                <w:color w:val="auto"/>
              </w:rPr>
            </w:pPr>
          </w:p>
        </w:tc>
        <w:tc>
          <w:tcPr>
            <w:tcW w:w="1400" w:type="dxa"/>
            <w:vAlign w:val="bottom"/>
            <w:shd w:val="clear" w:color="auto" w:fill="DBE5F1"/>
          </w:tcPr>
          <w:p>
            <w:pPr>
              <w:jc w:val="right"/>
              <w:spacing w:after="0"/>
              <w:rPr>
                <w:sz w:val="20"/>
                <w:szCs w:val="20"/>
                <w:color w:val="auto"/>
              </w:rPr>
            </w:pPr>
            <w:r>
              <w:rPr>
                <w:rFonts w:ascii="Arial" w:cs="Arial" w:eastAsia="Arial" w:hAnsi="Arial"/>
                <w:sz w:val="14"/>
                <w:szCs w:val="14"/>
                <w:color w:val="auto"/>
              </w:rPr>
              <w:t>32,200</w:t>
            </w:r>
          </w:p>
        </w:tc>
        <w:tc>
          <w:tcPr>
            <w:tcW w:w="120" w:type="dxa"/>
            <w:vAlign w:val="bottom"/>
            <w:shd w:val="clear" w:color="auto" w:fill="DBE5F1"/>
          </w:tcPr>
          <w:p>
            <w:pPr>
              <w:spacing w:after="0"/>
              <w:rPr>
                <w:sz w:val="24"/>
                <w:szCs w:val="24"/>
                <w:color w:val="auto"/>
              </w:rPr>
            </w:pPr>
          </w:p>
        </w:tc>
        <w:tc>
          <w:tcPr>
            <w:tcW w:w="680" w:type="dxa"/>
            <w:vAlign w:val="bottom"/>
            <w:shd w:val="clear" w:color="auto" w:fill="DBE5F1"/>
          </w:tcPr>
          <w:p>
            <w:pPr>
              <w:jc w:val="right"/>
              <w:spacing w:after="0"/>
              <w:rPr>
                <w:sz w:val="20"/>
                <w:szCs w:val="20"/>
                <w:color w:val="auto"/>
              </w:rPr>
            </w:pPr>
            <w:r>
              <w:rPr>
                <w:rFonts w:ascii="Arial" w:cs="Arial" w:eastAsia="Arial" w:hAnsi="Arial"/>
                <w:sz w:val="14"/>
                <w:szCs w:val="14"/>
                <w:color w:val="auto"/>
              </w:rPr>
              <w:t>$193.69</w:t>
            </w:r>
          </w:p>
        </w:tc>
        <w:tc>
          <w:tcPr>
            <w:tcW w:w="120" w:type="dxa"/>
            <w:vAlign w:val="bottom"/>
            <w:shd w:val="clear" w:color="auto" w:fill="DBE5F1"/>
          </w:tcPr>
          <w:p>
            <w:pPr>
              <w:spacing w:after="0"/>
              <w:rPr>
                <w:sz w:val="24"/>
                <w:szCs w:val="24"/>
                <w:color w:val="auto"/>
              </w:rPr>
            </w:pPr>
          </w:p>
        </w:tc>
        <w:tc>
          <w:tcPr>
            <w:tcW w:w="1040" w:type="dxa"/>
            <w:vAlign w:val="bottom"/>
            <w:shd w:val="clear" w:color="auto" w:fill="DBE5F1"/>
          </w:tcPr>
          <w:p>
            <w:pPr>
              <w:jc w:val="right"/>
              <w:spacing w:after="0"/>
              <w:rPr>
                <w:sz w:val="20"/>
                <w:szCs w:val="20"/>
                <w:color w:val="auto"/>
              </w:rPr>
            </w:pPr>
            <w:r>
              <w:rPr>
                <w:rFonts w:ascii="Arial" w:cs="Arial" w:eastAsia="Arial" w:hAnsi="Arial"/>
                <w:sz w:val="14"/>
                <w:szCs w:val="14"/>
                <w:color w:val="auto"/>
              </w:rPr>
              <w:t>3/4/2025</w:t>
            </w:r>
          </w:p>
        </w:tc>
        <w:tc>
          <w:tcPr>
            <w:tcW w:w="1240" w:type="dxa"/>
            <w:vAlign w:val="bottom"/>
            <w:shd w:val="clear" w:color="auto" w:fill="DBE5F1"/>
          </w:tcPr>
          <w:p>
            <w:pPr>
              <w:spacing w:after="0"/>
              <w:rPr>
                <w:sz w:val="24"/>
                <w:szCs w:val="24"/>
                <w:color w:val="auto"/>
              </w:rPr>
            </w:pPr>
          </w:p>
        </w:tc>
        <w:tc>
          <w:tcPr>
            <w:tcW w:w="1040" w:type="dxa"/>
            <w:vAlign w:val="bottom"/>
            <w:shd w:val="clear" w:color="auto" w:fill="DBE5F1"/>
          </w:tcPr>
          <w:p>
            <w:pPr>
              <w:spacing w:after="0"/>
              <w:rPr>
                <w:sz w:val="24"/>
                <w:szCs w:val="24"/>
                <w:color w:val="auto"/>
              </w:rPr>
            </w:pPr>
          </w:p>
        </w:tc>
        <w:tc>
          <w:tcPr>
            <w:tcW w:w="1160" w:type="dxa"/>
            <w:vAlign w:val="bottom"/>
            <w:shd w:val="clear" w:color="auto" w:fill="DBE5F1"/>
          </w:tcPr>
          <w:p>
            <w:pPr>
              <w:spacing w:after="0"/>
              <w:rPr>
                <w:sz w:val="24"/>
                <w:szCs w:val="24"/>
                <w:color w:val="auto"/>
              </w:rPr>
            </w:pPr>
          </w:p>
        </w:tc>
        <w:tc>
          <w:tcPr>
            <w:tcW w:w="1080" w:type="dxa"/>
            <w:vAlign w:val="bottom"/>
            <w:shd w:val="clear" w:color="auto" w:fill="DBE5F1"/>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1500" w:type="dxa"/>
            <w:vAlign w:val="bottom"/>
            <w:shd w:val="clear" w:color="auto" w:fill="DBE5F1"/>
          </w:tcPr>
          <w:p>
            <w:pPr>
              <w:spacing w:after="0"/>
              <w:rPr>
                <w:sz w:val="24"/>
                <w:szCs w:val="24"/>
                <w:color w:val="auto"/>
              </w:rPr>
            </w:pPr>
          </w:p>
        </w:tc>
        <w:tc>
          <w:tcPr>
            <w:tcW w:w="920" w:type="dxa"/>
            <w:vAlign w:val="bottom"/>
            <w:shd w:val="clear" w:color="auto" w:fill="DBE5F1"/>
          </w:tcPr>
          <w:p>
            <w:pPr>
              <w:spacing w:after="0"/>
              <w:rPr>
                <w:sz w:val="24"/>
                <w:szCs w:val="24"/>
                <w:color w:val="auto"/>
              </w:rPr>
            </w:pPr>
          </w:p>
        </w:tc>
        <w:tc>
          <w:tcPr>
            <w:tcW w:w="1120" w:type="dxa"/>
            <w:vAlign w:val="bottom"/>
            <w:shd w:val="clear" w:color="auto" w:fill="DBE5F1"/>
          </w:tcPr>
          <w:p>
            <w:pPr>
              <w:spacing w:after="0"/>
              <w:rPr>
                <w:sz w:val="24"/>
                <w:szCs w:val="24"/>
                <w:color w:val="auto"/>
              </w:rPr>
            </w:pPr>
          </w:p>
        </w:tc>
        <w:tc>
          <w:tcPr>
            <w:tcW w:w="1400" w:type="dxa"/>
            <w:vAlign w:val="bottom"/>
            <w:shd w:val="clear" w:color="auto" w:fill="DBE5F1"/>
          </w:tcPr>
          <w:p>
            <w:pPr>
              <w:spacing w:after="0"/>
              <w:rPr>
                <w:sz w:val="24"/>
                <w:szCs w:val="24"/>
                <w:color w:val="auto"/>
              </w:rPr>
            </w:pPr>
          </w:p>
        </w:tc>
        <w:tc>
          <w:tcPr>
            <w:tcW w:w="120" w:type="dxa"/>
            <w:vAlign w:val="bottom"/>
            <w:shd w:val="clear" w:color="auto" w:fill="DBE5F1"/>
          </w:tcPr>
          <w:p>
            <w:pPr>
              <w:spacing w:after="0"/>
              <w:rPr>
                <w:sz w:val="24"/>
                <w:szCs w:val="24"/>
                <w:color w:val="auto"/>
              </w:rPr>
            </w:pPr>
          </w:p>
        </w:tc>
        <w:tc>
          <w:tcPr>
            <w:tcW w:w="680" w:type="dxa"/>
            <w:vAlign w:val="bottom"/>
            <w:shd w:val="clear" w:color="auto" w:fill="DBE5F1"/>
          </w:tcPr>
          <w:p>
            <w:pPr>
              <w:spacing w:after="0"/>
              <w:rPr>
                <w:sz w:val="24"/>
                <w:szCs w:val="24"/>
                <w:color w:val="auto"/>
              </w:rPr>
            </w:pPr>
          </w:p>
        </w:tc>
        <w:tc>
          <w:tcPr>
            <w:tcW w:w="120" w:type="dxa"/>
            <w:vAlign w:val="bottom"/>
            <w:shd w:val="clear" w:color="auto" w:fill="DBE5F1"/>
          </w:tcPr>
          <w:p>
            <w:pPr>
              <w:spacing w:after="0"/>
              <w:rPr>
                <w:sz w:val="24"/>
                <w:szCs w:val="24"/>
                <w:color w:val="auto"/>
              </w:rPr>
            </w:pPr>
          </w:p>
        </w:tc>
        <w:tc>
          <w:tcPr>
            <w:tcW w:w="1040" w:type="dxa"/>
            <w:vAlign w:val="bottom"/>
            <w:shd w:val="clear" w:color="auto" w:fill="DBE5F1"/>
          </w:tcPr>
          <w:p>
            <w:pPr>
              <w:spacing w:after="0"/>
              <w:rPr>
                <w:sz w:val="24"/>
                <w:szCs w:val="24"/>
                <w:color w:val="auto"/>
              </w:rPr>
            </w:pPr>
          </w:p>
        </w:tc>
        <w:tc>
          <w:tcPr>
            <w:tcW w:w="1240" w:type="dxa"/>
            <w:vAlign w:val="bottom"/>
            <w:shd w:val="clear" w:color="auto" w:fill="DBE5F1"/>
          </w:tcPr>
          <w:p>
            <w:pPr>
              <w:jc w:val="right"/>
              <w:ind w:right="48"/>
              <w:spacing w:after="0"/>
              <w:rPr>
                <w:sz w:val="20"/>
                <w:szCs w:val="20"/>
                <w:color w:val="auto"/>
              </w:rPr>
            </w:pPr>
            <w:r>
              <w:rPr>
                <w:rFonts w:ascii="Arial" w:cs="Arial" w:eastAsia="Arial" w:hAnsi="Arial"/>
                <w:sz w:val="14"/>
                <w:szCs w:val="14"/>
                <w:color w:val="auto"/>
              </w:rPr>
              <w:t>40,367</w:t>
            </w:r>
            <w:r>
              <w:rPr>
                <w:rFonts w:ascii="Arial" w:cs="Arial" w:eastAsia="Arial" w:hAnsi="Arial"/>
                <w:sz w:val="8"/>
                <w:szCs w:val="8"/>
                <w:color w:val="auto"/>
              </w:rPr>
              <w:t>(4a)</w:t>
            </w:r>
          </w:p>
        </w:tc>
        <w:tc>
          <w:tcPr>
            <w:tcW w:w="1040" w:type="dxa"/>
            <w:vAlign w:val="bottom"/>
            <w:shd w:val="clear" w:color="auto" w:fill="DBE5F1"/>
          </w:tcPr>
          <w:p>
            <w:pPr>
              <w:jc w:val="right"/>
              <w:ind w:right="47"/>
              <w:spacing w:after="0"/>
              <w:rPr>
                <w:sz w:val="20"/>
                <w:szCs w:val="20"/>
                <w:color w:val="auto"/>
              </w:rPr>
            </w:pPr>
            <w:r>
              <w:rPr>
                <w:rFonts w:ascii="Arial" w:cs="Arial" w:eastAsia="Arial" w:hAnsi="Arial"/>
                <w:sz w:val="14"/>
                <w:szCs w:val="14"/>
                <w:color w:val="auto"/>
              </w:rPr>
              <w:t>$8,343,455</w:t>
            </w:r>
          </w:p>
        </w:tc>
        <w:tc>
          <w:tcPr>
            <w:tcW w:w="1160" w:type="dxa"/>
            <w:vAlign w:val="bottom"/>
            <w:shd w:val="clear" w:color="auto" w:fill="DBE5F1"/>
          </w:tcPr>
          <w:p>
            <w:pPr>
              <w:spacing w:after="0"/>
              <w:rPr>
                <w:sz w:val="24"/>
                <w:szCs w:val="24"/>
                <w:color w:val="auto"/>
              </w:rPr>
            </w:pPr>
          </w:p>
        </w:tc>
        <w:tc>
          <w:tcPr>
            <w:tcW w:w="1080" w:type="dxa"/>
            <w:vAlign w:val="bottom"/>
            <w:shd w:val="clear" w:color="auto" w:fill="DBE5F1"/>
          </w:tcPr>
          <w:p>
            <w:pPr>
              <w:spacing w:after="0"/>
              <w:rPr>
                <w:sz w:val="24"/>
                <w:szCs w:val="24"/>
                <w:color w:val="auto"/>
              </w:rPr>
            </w:pPr>
          </w:p>
        </w:tc>
        <w:tc>
          <w:tcPr>
            <w:tcW w:w="0" w:type="dxa"/>
            <w:vAlign w:val="bottom"/>
          </w:tcPr>
          <w:p>
            <w:pPr>
              <w:spacing w:after="0"/>
              <w:rPr>
                <w:sz w:val="1"/>
                <w:szCs w:val="1"/>
                <w:color w:val="auto"/>
              </w:rPr>
            </w:pPr>
          </w:p>
        </w:tc>
      </w:tr>
      <w:tr>
        <w:trPr>
          <w:trHeight w:val="316"/>
        </w:trPr>
        <w:tc>
          <w:tcPr>
            <w:tcW w:w="1500" w:type="dxa"/>
            <w:vAlign w:val="bottom"/>
            <w:tcBorders>
              <w:bottom w:val="single" w:sz="8" w:color="DBE5F1"/>
            </w:tcBorders>
            <w:shd w:val="clear" w:color="auto" w:fill="DBE5F1"/>
          </w:tcPr>
          <w:p>
            <w:pPr>
              <w:spacing w:after="0"/>
              <w:rPr>
                <w:sz w:val="24"/>
                <w:szCs w:val="24"/>
                <w:color w:val="auto"/>
              </w:rPr>
            </w:pPr>
          </w:p>
        </w:tc>
        <w:tc>
          <w:tcPr>
            <w:tcW w:w="920" w:type="dxa"/>
            <w:vAlign w:val="bottom"/>
            <w:tcBorders>
              <w:bottom w:val="single" w:sz="8" w:color="DBE5F1"/>
            </w:tcBorders>
            <w:shd w:val="clear" w:color="auto" w:fill="DBE5F1"/>
          </w:tcPr>
          <w:p>
            <w:pPr>
              <w:spacing w:after="0"/>
              <w:rPr>
                <w:sz w:val="24"/>
                <w:szCs w:val="24"/>
                <w:color w:val="auto"/>
              </w:rPr>
            </w:pPr>
          </w:p>
        </w:tc>
        <w:tc>
          <w:tcPr>
            <w:tcW w:w="1120" w:type="dxa"/>
            <w:vAlign w:val="bottom"/>
            <w:tcBorders>
              <w:bottom w:val="single" w:sz="8" w:color="DBE5F1"/>
            </w:tcBorders>
            <w:shd w:val="clear" w:color="auto" w:fill="DBE5F1"/>
          </w:tcPr>
          <w:p>
            <w:pPr>
              <w:spacing w:after="0"/>
              <w:rPr>
                <w:sz w:val="24"/>
                <w:szCs w:val="24"/>
                <w:color w:val="auto"/>
              </w:rPr>
            </w:pPr>
          </w:p>
        </w:tc>
        <w:tc>
          <w:tcPr>
            <w:tcW w:w="1400" w:type="dxa"/>
            <w:vAlign w:val="bottom"/>
            <w:tcBorders>
              <w:bottom w:val="single" w:sz="8" w:color="DBE5F1"/>
            </w:tcBorders>
            <w:shd w:val="clear" w:color="auto" w:fill="DBE5F1"/>
          </w:tcPr>
          <w:p>
            <w:pPr>
              <w:spacing w:after="0"/>
              <w:rPr>
                <w:sz w:val="24"/>
                <w:szCs w:val="24"/>
                <w:color w:val="auto"/>
              </w:rPr>
            </w:pPr>
          </w:p>
        </w:tc>
        <w:tc>
          <w:tcPr>
            <w:tcW w:w="120" w:type="dxa"/>
            <w:vAlign w:val="bottom"/>
            <w:tcBorders>
              <w:bottom w:val="single" w:sz="8" w:color="DBE5F1"/>
            </w:tcBorders>
            <w:shd w:val="clear" w:color="auto" w:fill="DBE5F1"/>
          </w:tcPr>
          <w:p>
            <w:pPr>
              <w:spacing w:after="0"/>
              <w:rPr>
                <w:sz w:val="24"/>
                <w:szCs w:val="24"/>
                <w:color w:val="auto"/>
              </w:rPr>
            </w:pPr>
          </w:p>
        </w:tc>
        <w:tc>
          <w:tcPr>
            <w:tcW w:w="680" w:type="dxa"/>
            <w:vAlign w:val="bottom"/>
            <w:tcBorders>
              <w:bottom w:val="single" w:sz="8" w:color="DBE5F1"/>
            </w:tcBorders>
            <w:shd w:val="clear" w:color="auto" w:fill="DBE5F1"/>
          </w:tcPr>
          <w:p>
            <w:pPr>
              <w:spacing w:after="0"/>
              <w:rPr>
                <w:sz w:val="24"/>
                <w:szCs w:val="24"/>
                <w:color w:val="auto"/>
              </w:rPr>
            </w:pPr>
          </w:p>
        </w:tc>
        <w:tc>
          <w:tcPr>
            <w:tcW w:w="120" w:type="dxa"/>
            <w:vAlign w:val="bottom"/>
            <w:tcBorders>
              <w:bottom w:val="single" w:sz="8" w:color="DBE5F1"/>
            </w:tcBorders>
            <w:shd w:val="clear" w:color="auto" w:fill="DBE5F1"/>
          </w:tcPr>
          <w:p>
            <w:pPr>
              <w:spacing w:after="0"/>
              <w:rPr>
                <w:sz w:val="24"/>
                <w:szCs w:val="24"/>
                <w:color w:val="auto"/>
              </w:rPr>
            </w:pPr>
          </w:p>
        </w:tc>
        <w:tc>
          <w:tcPr>
            <w:tcW w:w="1040" w:type="dxa"/>
            <w:vAlign w:val="bottom"/>
            <w:tcBorders>
              <w:bottom w:val="single" w:sz="8" w:color="DBE5F1"/>
            </w:tcBorders>
            <w:shd w:val="clear" w:color="auto" w:fill="DBE5F1"/>
          </w:tcPr>
          <w:p>
            <w:pPr>
              <w:spacing w:after="0"/>
              <w:rPr>
                <w:sz w:val="24"/>
                <w:szCs w:val="24"/>
                <w:color w:val="auto"/>
              </w:rPr>
            </w:pPr>
          </w:p>
        </w:tc>
        <w:tc>
          <w:tcPr>
            <w:tcW w:w="1240" w:type="dxa"/>
            <w:vAlign w:val="bottom"/>
            <w:tcBorders>
              <w:bottom w:val="single" w:sz="8" w:color="DBE5F1"/>
            </w:tcBorders>
            <w:shd w:val="clear" w:color="auto" w:fill="DBE5F1"/>
          </w:tcPr>
          <w:p>
            <w:pPr>
              <w:spacing w:after="0"/>
              <w:rPr>
                <w:sz w:val="24"/>
                <w:szCs w:val="24"/>
                <w:color w:val="auto"/>
              </w:rPr>
            </w:pPr>
          </w:p>
        </w:tc>
        <w:tc>
          <w:tcPr>
            <w:tcW w:w="1040" w:type="dxa"/>
            <w:vAlign w:val="bottom"/>
            <w:tcBorders>
              <w:bottom w:val="single" w:sz="8" w:color="DBE5F1"/>
            </w:tcBorders>
            <w:shd w:val="clear" w:color="auto" w:fill="DBE5F1"/>
          </w:tcPr>
          <w:p>
            <w:pPr>
              <w:spacing w:after="0"/>
              <w:rPr>
                <w:sz w:val="24"/>
                <w:szCs w:val="24"/>
                <w:color w:val="auto"/>
              </w:rPr>
            </w:pPr>
          </w:p>
        </w:tc>
        <w:tc>
          <w:tcPr>
            <w:tcW w:w="1160" w:type="dxa"/>
            <w:vAlign w:val="bottom"/>
            <w:tcBorders>
              <w:bottom w:val="single" w:sz="8" w:color="DBE5F1"/>
            </w:tcBorders>
            <w:shd w:val="clear" w:color="auto" w:fill="DBE5F1"/>
          </w:tcPr>
          <w:p>
            <w:pPr>
              <w:jc w:val="right"/>
              <w:spacing w:after="0"/>
              <w:rPr>
                <w:sz w:val="20"/>
                <w:szCs w:val="20"/>
                <w:color w:val="auto"/>
              </w:rPr>
            </w:pPr>
            <w:r>
              <w:rPr>
                <w:rFonts w:ascii="Arial" w:cs="Arial" w:eastAsia="Arial" w:hAnsi="Arial"/>
                <w:sz w:val="14"/>
                <w:szCs w:val="14"/>
                <w:color w:val="auto"/>
              </w:rPr>
              <w:t>20,880</w:t>
            </w:r>
          </w:p>
        </w:tc>
        <w:tc>
          <w:tcPr>
            <w:tcW w:w="1080" w:type="dxa"/>
            <w:vAlign w:val="bottom"/>
            <w:tcBorders>
              <w:bottom w:val="single" w:sz="8" w:color="DBE5F1"/>
            </w:tcBorders>
            <w:shd w:val="clear" w:color="auto" w:fill="DBE5F1"/>
          </w:tcPr>
          <w:p>
            <w:pPr>
              <w:jc w:val="right"/>
              <w:ind w:right="28"/>
              <w:spacing w:after="0"/>
              <w:rPr>
                <w:sz w:val="20"/>
                <w:szCs w:val="20"/>
                <w:color w:val="auto"/>
              </w:rPr>
            </w:pPr>
            <w:r>
              <w:rPr>
                <w:rFonts w:ascii="Arial" w:cs="Arial" w:eastAsia="Arial" w:hAnsi="Arial"/>
                <w:sz w:val="14"/>
                <w:szCs w:val="14"/>
                <w:color w:val="auto"/>
              </w:rPr>
              <w:t>$4,315,687</w:t>
            </w:r>
          </w:p>
        </w:tc>
        <w:tc>
          <w:tcPr>
            <w:tcW w:w="0" w:type="dxa"/>
            <w:vAlign w:val="bottom"/>
          </w:tcPr>
          <w:p>
            <w:pPr>
              <w:spacing w:after="0"/>
              <w:rPr>
                <w:sz w:val="1"/>
                <w:szCs w:val="1"/>
                <w:color w:val="auto"/>
              </w:rPr>
            </w:pPr>
          </w:p>
        </w:tc>
      </w:tr>
      <w:tr>
        <w:trPr>
          <w:trHeight w:val="203"/>
        </w:trPr>
        <w:tc>
          <w:tcPr>
            <w:tcW w:w="1500" w:type="dxa"/>
            <w:vAlign w:val="bottom"/>
            <w:shd w:val="clear" w:color="auto" w:fill="F2F2F2"/>
          </w:tcPr>
          <w:p>
            <w:pPr>
              <w:spacing w:after="0"/>
              <w:rPr>
                <w:sz w:val="17"/>
                <w:szCs w:val="17"/>
                <w:color w:val="auto"/>
              </w:rPr>
            </w:pPr>
          </w:p>
        </w:tc>
        <w:tc>
          <w:tcPr>
            <w:tcW w:w="920" w:type="dxa"/>
            <w:vAlign w:val="bottom"/>
            <w:shd w:val="clear" w:color="auto" w:fill="F2F2F2"/>
          </w:tcPr>
          <w:p>
            <w:pPr>
              <w:spacing w:after="0"/>
              <w:rPr>
                <w:sz w:val="17"/>
                <w:szCs w:val="17"/>
                <w:color w:val="auto"/>
              </w:rPr>
            </w:pPr>
          </w:p>
        </w:tc>
        <w:tc>
          <w:tcPr>
            <w:tcW w:w="1120" w:type="dxa"/>
            <w:vAlign w:val="bottom"/>
            <w:shd w:val="clear" w:color="auto" w:fill="F2F2F2"/>
          </w:tcPr>
          <w:p>
            <w:pPr>
              <w:spacing w:after="0"/>
              <w:rPr>
                <w:sz w:val="17"/>
                <w:szCs w:val="17"/>
                <w:color w:val="auto"/>
              </w:rPr>
            </w:pPr>
          </w:p>
        </w:tc>
        <w:tc>
          <w:tcPr>
            <w:tcW w:w="1400" w:type="dxa"/>
            <w:vAlign w:val="bottom"/>
            <w:shd w:val="clear" w:color="auto" w:fill="F2F2F2"/>
          </w:tcPr>
          <w:p>
            <w:pPr>
              <w:spacing w:after="0"/>
              <w:rPr>
                <w:sz w:val="17"/>
                <w:szCs w:val="17"/>
                <w:color w:val="auto"/>
              </w:rPr>
            </w:pPr>
          </w:p>
        </w:tc>
        <w:tc>
          <w:tcPr>
            <w:tcW w:w="120" w:type="dxa"/>
            <w:vAlign w:val="bottom"/>
            <w:shd w:val="clear" w:color="auto" w:fill="F2F2F2"/>
          </w:tcPr>
          <w:p>
            <w:pPr>
              <w:spacing w:after="0"/>
              <w:rPr>
                <w:sz w:val="17"/>
                <w:szCs w:val="17"/>
                <w:color w:val="auto"/>
              </w:rPr>
            </w:pPr>
          </w:p>
        </w:tc>
        <w:tc>
          <w:tcPr>
            <w:tcW w:w="680" w:type="dxa"/>
            <w:vAlign w:val="bottom"/>
            <w:shd w:val="clear" w:color="auto" w:fill="F2F2F2"/>
          </w:tcPr>
          <w:p>
            <w:pPr>
              <w:spacing w:after="0"/>
              <w:rPr>
                <w:sz w:val="17"/>
                <w:szCs w:val="17"/>
                <w:color w:val="auto"/>
              </w:rPr>
            </w:pPr>
          </w:p>
        </w:tc>
        <w:tc>
          <w:tcPr>
            <w:tcW w:w="120" w:type="dxa"/>
            <w:vAlign w:val="bottom"/>
            <w:shd w:val="clear" w:color="auto" w:fill="F2F2F2"/>
          </w:tcPr>
          <w:p>
            <w:pPr>
              <w:spacing w:after="0"/>
              <w:rPr>
                <w:sz w:val="17"/>
                <w:szCs w:val="17"/>
                <w:color w:val="auto"/>
              </w:rPr>
            </w:pPr>
          </w:p>
        </w:tc>
        <w:tc>
          <w:tcPr>
            <w:tcW w:w="1040" w:type="dxa"/>
            <w:vAlign w:val="bottom"/>
            <w:shd w:val="clear" w:color="auto" w:fill="F2F2F2"/>
          </w:tcPr>
          <w:p>
            <w:pPr>
              <w:spacing w:after="0"/>
              <w:rPr>
                <w:sz w:val="17"/>
                <w:szCs w:val="17"/>
                <w:color w:val="auto"/>
              </w:rPr>
            </w:pPr>
          </w:p>
        </w:tc>
        <w:tc>
          <w:tcPr>
            <w:tcW w:w="1240" w:type="dxa"/>
            <w:vAlign w:val="bottom"/>
            <w:shd w:val="clear" w:color="auto" w:fill="F2F2F2"/>
          </w:tcPr>
          <w:p>
            <w:pPr>
              <w:spacing w:after="0"/>
              <w:rPr>
                <w:sz w:val="17"/>
                <w:szCs w:val="17"/>
                <w:color w:val="auto"/>
              </w:rPr>
            </w:pPr>
          </w:p>
        </w:tc>
        <w:tc>
          <w:tcPr>
            <w:tcW w:w="1040" w:type="dxa"/>
            <w:vAlign w:val="bottom"/>
            <w:shd w:val="clear" w:color="auto" w:fill="F2F2F2"/>
          </w:tcPr>
          <w:p>
            <w:pPr>
              <w:spacing w:after="0"/>
              <w:rPr>
                <w:sz w:val="17"/>
                <w:szCs w:val="17"/>
                <w:color w:val="auto"/>
              </w:rPr>
            </w:pPr>
          </w:p>
        </w:tc>
        <w:tc>
          <w:tcPr>
            <w:tcW w:w="1160" w:type="dxa"/>
            <w:vAlign w:val="bottom"/>
            <w:shd w:val="clear" w:color="auto" w:fill="F2F2F2"/>
          </w:tcPr>
          <w:p>
            <w:pPr>
              <w:spacing w:after="0"/>
              <w:rPr>
                <w:sz w:val="17"/>
                <w:szCs w:val="17"/>
                <w:color w:val="auto"/>
              </w:rPr>
            </w:pPr>
          </w:p>
        </w:tc>
        <w:tc>
          <w:tcPr>
            <w:tcW w:w="1080" w:type="dxa"/>
            <w:vAlign w:val="bottom"/>
            <w:shd w:val="clear" w:color="auto" w:fill="F2F2F2"/>
          </w:tcPr>
          <w:p>
            <w:pPr>
              <w:spacing w:after="0"/>
              <w:rPr>
                <w:sz w:val="17"/>
                <w:szCs w:val="17"/>
                <w:color w:val="auto"/>
              </w:rPr>
            </w:pPr>
          </w:p>
        </w:tc>
        <w:tc>
          <w:tcPr>
            <w:tcW w:w="0" w:type="dxa"/>
            <w:vAlign w:val="bottom"/>
          </w:tcPr>
          <w:p>
            <w:pPr>
              <w:spacing w:after="0"/>
              <w:rPr>
                <w:sz w:val="1"/>
                <w:szCs w:val="1"/>
                <w:color w:val="auto"/>
              </w:rPr>
            </w:pPr>
          </w:p>
        </w:tc>
      </w:tr>
      <w:tr>
        <w:trPr>
          <w:trHeight w:val="272"/>
        </w:trPr>
        <w:tc>
          <w:tcPr>
            <w:tcW w:w="1500" w:type="dxa"/>
            <w:vAlign w:val="bottom"/>
            <w:shd w:val="clear" w:color="auto" w:fill="DBE5F1"/>
          </w:tcPr>
          <w:p>
            <w:pPr>
              <w:spacing w:after="0"/>
              <w:rPr>
                <w:sz w:val="23"/>
                <w:szCs w:val="23"/>
                <w:color w:val="auto"/>
              </w:rPr>
            </w:pPr>
          </w:p>
        </w:tc>
        <w:tc>
          <w:tcPr>
            <w:tcW w:w="920" w:type="dxa"/>
            <w:vAlign w:val="bottom"/>
            <w:vMerge w:val="restart"/>
            <w:shd w:val="clear" w:color="auto" w:fill="DBE5F1"/>
          </w:tcPr>
          <w:p>
            <w:pPr>
              <w:jc w:val="right"/>
              <w:spacing w:after="0"/>
              <w:rPr>
                <w:sz w:val="20"/>
                <w:szCs w:val="20"/>
                <w:color w:val="auto"/>
              </w:rPr>
            </w:pPr>
            <w:r>
              <w:rPr>
                <w:rFonts w:ascii="Arial" w:cs="Arial" w:eastAsia="Arial" w:hAnsi="Arial"/>
                <w:sz w:val="14"/>
                <w:szCs w:val="14"/>
                <w:color w:val="auto"/>
              </w:rPr>
              <w:t>3/11/2013</w:t>
            </w:r>
          </w:p>
        </w:tc>
        <w:tc>
          <w:tcPr>
            <w:tcW w:w="1120" w:type="dxa"/>
            <w:vAlign w:val="bottom"/>
            <w:shd w:val="clear" w:color="auto" w:fill="DBE5F1"/>
          </w:tcPr>
          <w:p>
            <w:pPr>
              <w:spacing w:after="0"/>
              <w:rPr>
                <w:sz w:val="23"/>
                <w:szCs w:val="23"/>
                <w:color w:val="auto"/>
              </w:rPr>
            </w:pPr>
          </w:p>
        </w:tc>
        <w:tc>
          <w:tcPr>
            <w:tcW w:w="1400" w:type="dxa"/>
            <w:vAlign w:val="bottom"/>
            <w:shd w:val="clear" w:color="auto" w:fill="DBE5F1"/>
          </w:tcPr>
          <w:p>
            <w:pPr>
              <w:jc w:val="right"/>
              <w:spacing w:after="0"/>
              <w:rPr>
                <w:sz w:val="20"/>
                <w:szCs w:val="20"/>
                <w:color w:val="auto"/>
              </w:rPr>
            </w:pPr>
            <w:r>
              <w:rPr>
                <w:rFonts w:ascii="Arial" w:cs="Arial" w:eastAsia="Arial" w:hAnsi="Arial"/>
                <w:sz w:val="14"/>
                <w:szCs w:val="14"/>
                <w:color w:val="auto"/>
              </w:rPr>
              <w:t>4,500</w:t>
            </w:r>
          </w:p>
        </w:tc>
        <w:tc>
          <w:tcPr>
            <w:tcW w:w="920" w:type="dxa"/>
            <w:vAlign w:val="bottom"/>
            <w:gridSpan w:val="3"/>
            <w:vMerge w:val="restart"/>
            <w:shd w:val="clear" w:color="auto" w:fill="DBE5F1"/>
          </w:tcPr>
          <w:p>
            <w:pPr>
              <w:jc w:val="right"/>
              <w:ind w:right="120"/>
              <w:spacing w:after="0"/>
              <w:rPr>
                <w:sz w:val="20"/>
                <w:szCs w:val="20"/>
                <w:color w:val="auto"/>
              </w:rPr>
            </w:pPr>
            <w:r>
              <w:rPr>
                <w:rFonts w:ascii="Arial" w:cs="Arial" w:eastAsia="Arial" w:hAnsi="Arial"/>
                <w:sz w:val="14"/>
                <w:szCs w:val="14"/>
                <w:color w:val="auto"/>
              </w:rPr>
              <w:t>$102.16</w:t>
            </w:r>
          </w:p>
        </w:tc>
        <w:tc>
          <w:tcPr>
            <w:tcW w:w="1040" w:type="dxa"/>
            <w:vAlign w:val="bottom"/>
            <w:vMerge w:val="restart"/>
            <w:shd w:val="clear" w:color="auto" w:fill="DBE5F1"/>
          </w:tcPr>
          <w:p>
            <w:pPr>
              <w:jc w:val="right"/>
              <w:spacing w:after="0"/>
              <w:rPr>
                <w:sz w:val="20"/>
                <w:szCs w:val="20"/>
                <w:color w:val="auto"/>
              </w:rPr>
            </w:pPr>
            <w:r>
              <w:rPr>
                <w:rFonts w:ascii="Arial" w:cs="Arial" w:eastAsia="Arial" w:hAnsi="Arial"/>
                <w:sz w:val="14"/>
                <w:szCs w:val="14"/>
                <w:color w:val="auto"/>
              </w:rPr>
              <w:t>3/10/2023</w:t>
            </w:r>
          </w:p>
        </w:tc>
        <w:tc>
          <w:tcPr>
            <w:tcW w:w="1240" w:type="dxa"/>
            <w:vAlign w:val="bottom"/>
            <w:shd w:val="clear" w:color="auto" w:fill="DBE5F1"/>
          </w:tcPr>
          <w:p>
            <w:pPr>
              <w:spacing w:after="0"/>
              <w:rPr>
                <w:sz w:val="23"/>
                <w:szCs w:val="23"/>
                <w:color w:val="auto"/>
              </w:rPr>
            </w:pPr>
          </w:p>
        </w:tc>
        <w:tc>
          <w:tcPr>
            <w:tcW w:w="1040" w:type="dxa"/>
            <w:vAlign w:val="bottom"/>
            <w:shd w:val="clear" w:color="auto" w:fill="DBE5F1"/>
          </w:tcPr>
          <w:p>
            <w:pPr>
              <w:spacing w:after="0"/>
              <w:rPr>
                <w:sz w:val="23"/>
                <w:szCs w:val="23"/>
                <w:color w:val="auto"/>
              </w:rPr>
            </w:pPr>
          </w:p>
        </w:tc>
        <w:tc>
          <w:tcPr>
            <w:tcW w:w="1160" w:type="dxa"/>
            <w:vAlign w:val="bottom"/>
            <w:shd w:val="clear" w:color="auto" w:fill="DBE5F1"/>
          </w:tcPr>
          <w:p>
            <w:pPr>
              <w:spacing w:after="0"/>
              <w:rPr>
                <w:sz w:val="23"/>
                <w:szCs w:val="23"/>
                <w:color w:val="auto"/>
              </w:rPr>
            </w:pPr>
          </w:p>
        </w:tc>
        <w:tc>
          <w:tcPr>
            <w:tcW w:w="1080" w:type="dxa"/>
            <w:vAlign w:val="bottom"/>
            <w:shd w:val="clear" w:color="auto" w:fill="DBE5F1"/>
          </w:tcPr>
          <w:p>
            <w:pPr>
              <w:spacing w:after="0"/>
              <w:rPr>
                <w:sz w:val="23"/>
                <w:szCs w:val="23"/>
                <w:color w:val="auto"/>
              </w:rPr>
            </w:pPr>
          </w:p>
        </w:tc>
        <w:tc>
          <w:tcPr>
            <w:tcW w:w="0" w:type="dxa"/>
            <w:vAlign w:val="bottom"/>
          </w:tcPr>
          <w:p>
            <w:pPr>
              <w:spacing w:after="0"/>
              <w:rPr>
                <w:sz w:val="1"/>
                <w:szCs w:val="1"/>
                <w:color w:val="auto"/>
              </w:rPr>
            </w:pPr>
          </w:p>
        </w:tc>
      </w:tr>
      <w:tr>
        <w:trPr>
          <w:trHeight w:val="81"/>
        </w:trPr>
        <w:tc>
          <w:tcPr>
            <w:tcW w:w="1500" w:type="dxa"/>
            <w:vAlign w:val="bottom"/>
            <w:shd w:val="clear" w:color="auto" w:fill="DBE5F1"/>
          </w:tcPr>
          <w:p>
            <w:pPr>
              <w:spacing w:after="0"/>
              <w:rPr>
                <w:sz w:val="7"/>
                <w:szCs w:val="7"/>
                <w:color w:val="auto"/>
              </w:rPr>
            </w:pPr>
          </w:p>
        </w:tc>
        <w:tc>
          <w:tcPr>
            <w:tcW w:w="920" w:type="dxa"/>
            <w:vAlign w:val="bottom"/>
            <w:vMerge w:val="continue"/>
            <w:shd w:val="clear" w:color="auto" w:fill="DBE5F1"/>
          </w:tcPr>
          <w:p>
            <w:pPr>
              <w:spacing w:after="0"/>
              <w:rPr>
                <w:sz w:val="7"/>
                <w:szCs w:val="7"/>
                <w:color w:val="auto"/>
              </w:rPr>
            </w:pPr>
          </w:p>
        </w:tc>
        <w:tc>
          <w:tcPr>
            <w:tcW w:w="1120" w:type="dxa"/>
            <w:vAlign w:val="bottom"/>
            <w:shd w:val="clear" w:color="auto" w:fill="DBE5F1"/>
          </w:tcPr>
          <w:p>
            <w:pPr>
              <w:spacing w:after="0"/>
              <w:rPr>
                <w:sz w:val="7"/>
                <w:szCs w:val="7"/>
                <w:color w:val="auto"/>
              </w:rPr>
            </w:pPr>
          </w:p>
        </w:tc>
        <w:tc>
          <w:tcPr>
            <w:tcW w:w="1400" w:type="dxa"/>
            <w:vAlign w:val="bottom"/>
            <w:shd w:val="clear" w:color="auto" w:fill="DBE5F1"/>
          </w:tcPr>
          <w:p>
            <w:pPr>
              <w:spacing w:after="0"/>
              <w:rPr>
                <w:sz w:val="7"/>
                <w:szCs w:val="7"/>
                <w:color w:val="auto"/>
              </w:rPr>
            </w:pPr>
          </w:p>
        </w:tc>
        <w:tc>
          <w:tcPr>
            <w:tcW w:w="920" w:type="dxa"/>
            <w:vAlign w:val="bottom"/>
            <w:gridSpan w:val="3"/>
            <w:vMerge w:val="continue"/>
            <w:shd w:val="clear" w:color="auto" w:fill="DBE5F1"/>
          </w:tcPr>
          <w:p>
            <w:pPr>
              <w:spacing w:after="0"/>
              <w:rPr>
                <w:sz w:val="7"/>
                <w:szCs w:val="7"/>
                <w:color w:val="auto"/>
              </w:rPr>
            </w:pPr>
          </w:p>
        </w:tc>
        <w:tc>
          <w:tcPr>
            <w:tcW w:w="1040" w:type="dxa"/>
            <w:vAlign w:val="bottom"/>
            <w:vMerge w:val="continue"/>
            <w:shd w:val="clear" w:color="auto" w:fill="DBE5F1"/>
          </w:tcPr>
          <w:p>
            <w:pPr>
              <w:spacing w:after="0"/>
              <w:rPr>
                <w:sz w:val="7"/>
                <w:szCs w:val="7"/>
                <w:color w:val="auto"/>
              </w:rPr>
            </w:pPr>
          </w:p>
        </w:tc>
        <w:tc>
          <w:tcPr>
            <w:tcW w:w="1240" w:type="dxa"/>
            <w:vAlign w:val="bottom"/>
            <w:shd w:val="clear" w:color="auto" w:fill="DBE5F1"/>
          </w:tcPr>
          <w:p>
            <w:pPr>
              <w:spacing w:after="0"/>
              <w:rPr>
                <w:sz w:val="7"/>
                <w:szCs w:val="7"/>
                <w:color w:val="auto"/>
              </w:rPr>
            </w:pPr>
          </w:p>
        </w:tc>
        <w:tc>
          <w:tcPr>
            <w:tcW w:w="1040" w:type="dxa"/>
            <w:vAlign w:val="bottom"/>
            <w:shd w:val="clear" w:color="auto" w:fill="DBE5F1"/>
          </w:tcPr>
          <w:p>
            <w:pPr>
              <w:spacing w:after="0"/>
              <w:rPr>
                <w:sz w:val="7"/>
                <w:szCs w:val="7"/>
                <w:color w:val="auto"/>
              </w:rPr>
            </w:pPr>
          </w:p>
        </w:tc>
        <w:tc>
          <w:tcPr>
            <w:tcW w:w="1160" w:type="dxa"/>
            <w:vAlign w:val="bottom"/>
            <w:shd w:val="clear" w:color="auto" w:fill="DBE5F1"/>
          </w:tcPr>
          <w:p>
            <w:pPr>
              <w:spacing w:after="0"/>
              <w:rPr>
                <w:sz w:val="7"/>
                <w:szCs w:val="7"/>
                <w:color w:val="auto"/>
              </w:rPr>
            </w:pPr>
          </w:p>
        </w:tc>
        <w:tc>
          <w:tcPr>
            <w:tcW w:w="1080" w:type="dxa"/>
            <w:vAlign w:val="bottom"/>
            <w:shd w:val="clear" w:color="auto" w:fill="DBE5F1"/>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1500" w:type="dxa"/>
            <w:vAlign w:val="bottom"/>
            <w:shd w:val="clear" w:color="auto" w:fill="DBE5F1"/>
          </w:tcPr>
          <w:p>
            <w:pPr>
              <w:spacing w:after="0"/>
              <w:rPr>
                <w:sz w:val="21"/>
                <w:szCs w:val="21"/>
                <w:color w:val="auto"/>
              </w:rPr>
            </w:pPr>
          </w:p>
        </w:tc>
        <w:tc>
          <w:tcPr>
            <w:tcW w:w="920" w:type="dxa"/>
            <w:vAlign w:val="bottom"/>
            <w:shd w:val="clear" w:color="auto" w:fill="DBE5F1"/>
          </w:tcPr>
          <w:p>
            <w:pPr>
              <w:jc w:val="right"/>
              <w:spacing w:after="0"/>
              <w:rPr>
                <w:sz w:val="20"/>
                <w:szCs w:val="20"/>
                <w:color w:val="auto"/>
              </w:rPr>
            </w:pPr>
            <w:r>
              <w:rPr>
                <w:rFonts w:ascii="Arial" w:cs="Arial" w:eastAsia="Arial" w:hAnsi="Arial"/>
                <w:sz w:val="14"/>
                <w:szCs w:val="14"/>
                <w:color w:val="auto"/>
              </w:rPr>
              <w:t>2/28/2014</w:t>
            </w:r>
          </w:p>
        </w:tc>
        <w:tc>
          <w:tcPr>
            <w:tcW w:w="1120" w:type="dxa"/>
            <w:vAlign w:val="bottom"/>
            <w:shd w:val="clear" w:color="auto" w:fill="DBE5F1"/>
          </w:tcPr>
          <w:p>
            <w:pPr>
              <w:spacing w:after="0"/>
              <w:rPr>
                <w:sz w:val="21"/>
                <w:szCs w:val="21"/>
                <w:color w:val="auto"/>
              </w:rPr>
            </w:pPr>
          </w:p>
        </w:tc>
        <w:tc>
          <w:tcPr>
            <w:tcW w:w="1400" w:type="dxa"/>
            <w:vAlign w:val="bottom"/>
            <w:shd w:val="clear" w:color="auto" w:fill="DBE5F1"/>
          </w:tcPr>
          <w:p>
            <w:pPr>
              <w:jc w:val="right"/>
              <w:spacing w:after="0"/>
              <w:rPr>
                <w:sz w:val="20"/>
                <w:szCs w:val="20"/>
                <w:color w:val="auto"/>
              </w:rPr>
            </w:pPr>
            <w:r>
              <w:rPr>
                <w:rFonts w:ascii="Arial" w:cs="Arial" w:eastAsia="Arial" w:hAnsi="Arial"/>
                <w:sz w:val="14"/>
                <w:szCs w:val="14"/>
                <w:color w:val="auto"/>
              </w:rPr>
              <w:t>7,400</w:t>
            </w:r>
          </w:p>
        </w:tc>
        <w:tc>
          <w:tcPr>
            <w:tcW w:w="920" w:type="dxa"/>
            <w:vAlign w:val="bottom"/>
            <w:gridSpan w:val="3"/>
            <w:shd w:val="clear" w:color="auto" w:fill="DBE5F1"/>
          </w:tcPr>
          <w:p>
            <w:pPr>
              <w:jc w:val="right"/>
              <w:ind w:right="120"/>
              <w:spacing w:after="0"/>
              <w:rPr>
                <w:sz w:val="20"/>
                <w:szCs w:val="20"/>
                <w:color w:val="auto"/>
              </w:rPr>
            </w:pPr>
            <w:r>
              <w:rPr>
                <w:rFonts w:ascii="Arial" w:cs="Arial" w:eastAsia="Arial" w:hAnsi="Arial"/>
                <w:sz w:val="14"/>
                <w:szCs w:val="14"/>
                <w:color w:val="auto"/>
              </w:rPr>
              <w:t>$201.04</w:t>
            </w:r>
          </w:p>
        </w:tc>
        <w:tc>
          <w:tcPr>
            <w:tcW w:w="1040" w:type="dxa"/>
            <w:vAlign w:val="bottom"/>
            <w:shd w:val="clear" w:color="auto" w:fill="DBE5F1"/>
          </w:tcPr>
          <w:p>
            <w:pPr>
              <w:jc w:val="right"/>
              <w:spacing w:after="0"/>
              <w:rPr>
                <w:sz w:val="20"/>
                <w:szCs w:val="20"/>
                <w:color w:val="auto"/>
              </w:rPr>
            </w:pPr>
            <w:r>
              <w:rPr>
                <w:rFonts w:ascii="Arial" w:cs="Arial" w:eastAsia="Arial" w:hAnsi="Arial"/>
                <w:sz w:val="14"/>
                <w:szCs w:val="14"/>
                <w:color w:val="auto"/>
              </w:rPr>
              <w:t>2/27/2024</w:t>
            </w:r>
          </w:p>
        </w:tc>
        <w:tc>
          <w:tcPr>
            <w:tcW w:w="1240" w:type="dxa"/>
            <w:vAlign w:val="bottom"/>
            <w:shd w:val="clear" w:color="auto" w:fill="DBE5F1"/>
          </w:tcPr>
          <w:p>
            <w:pPr>
              <w:spacing w:after="0"/>
              <w:rPr>
                <w:sz w:val="21"/>
                <w:szCs w:val="21"/>
                <w:color w:val="auto"/>
              </w:rPr>
            </w:pPr>
          </w:p>
        </w:tc>
        <w:tc>
          <w:tcPr>
            <w:tcW w:w="1040" w:type="dxa"/>
            <w:vAlign w:val="bottom"/>
            <w:shd w:val="clear" w:color="auto" w:fill="DBE5F1"/>
          </w:tcPr>
          <w:p>
            <w:pPr>
              <w:spacing w:after="0"/>
              <w:rPr>
                <w:sz w:val="21"/>
                <w:szCs w:val="21"/>
                <w:color w:val="auto"/>
              </w:rPr>
            </w:pPr>
          </w:p>
        </w:tc>
        <w:tc>
          <w:tcPr>
            <w:tcW w:w="1160" w:type="dxa"/>
            <w:vAlign w:val="bottom"/>
            <w:shd w:val="clear" w:color="auto" w:fill="DBE5F1"/>
          </w:tcPr>
          <w:p>
            <w:pPr>
              <w:spacing w:after="0"/>
              <w:rPr>
                <w:sz w:val="21"/>
                <w:szCs w:val="21"/>
                <w:color w:val="auto"/>
              </w:rPr>
            </w:pPr>
          </w:p>
        </w:tc>
        <w:tc>
          <w:tcPr>
            <w:tcW w:w="1080" w:type="dxa"/>
            <w:vAlign w:val="bottom"/>
            <w:shd w:val="clear" w:color="auto" w:fill="DBE5F1"/>
          </w:tcPr>
          <w:p>
            <w:pPr>
              <w:spacing w:after="0"/>
              <w:rPr>
                <w:sz w:val="21"/>
                <w:szCs w:val="21"/>
                <w:color w:val="auto"/>
              </w:rPr>
            </w:pPr>
          </w:p>
        </w:tc>
        <w:tc>
          <w:tcPr>
            <w:tcW w:w="0" w:type="dxa"/>
            <w:vAlign w:val="bottom"/>
          </w:tcPr>
          <w:p>
            <w:pPr>
              <w:spacing w:after="0"/>
              <w:rPr>
                <w:sz w:val="1"/>
                <w:szCs w:val="1"/>
                <w:color w:val="auto"/>
              </w:rPr>
            </w:pPr>
          </w:p>
        </w:tc>
      </w:tr>
      <w:tr>
        <w:trPr>
          <w:trHeight w:val="284"/>
        </w:trPr>
        <w:tc>
          <w:tcPr>
            <w:tcW w:w="1500" w:type="dxa"/>
            <w:vAlign w:val="bottom"/>
            <w:shd w:val="clear" w:color="auto" w:fill="DBE5F1"/>
          </w:tcPr>
          <w:p>
            <w:pPr>
              <w:ind w:left="40"/>
              <w:spacing w:after="0"/>
              <w:rPr>
                <w:sz w:val="20"/>
                <w:szCs w:val="20"/>
                <w:color w:val="auto"/>
              </w:rPr>
            </w:pPr>
            <w:r>
              <w:rPr>
                <w:rFonts w:ascii="Arial" w:cs="Arial" w:eastAsia="Arial" w:hAnsi="Arial"/>
                <w:sz w:val="16"/>
                <w:szCs w:val="16"/>
                <w:b w:val="1"/>
                <w:bCs w:val="1"/>
                <w:color w:val="auto"/>
              </w:rPr>
              <w:t>Brian J. Radecki</w:t>
            </w:r>
          </w:p>
        </w:tc>
        <w:tc>
          <w:tcPr>
            <w:tcW w:w="920" w:type="dxa"/>
            <w:vAlign w:val="bottom"/>
            <w:shd w:val="clear" w:color="auto" w:fill="DBE5F1"/>
          </w:tcPr>
          <w:p>
            <w:pPr>
              <w:jc w:val="right"/>
              <w:spacing w:after="0"/>
              <w:rPr>
                <w:sz w:val="20"/>
                <w:szCs w:val="20"/>
                <w:color w:val="auto"/>
              </w:rPr>
            </w:pPr>
            <w:r>
              <w:rPr>
                <w:rFonts w:ascii="Arial" w:cs="Arial" w:eastAsia="Arial" w:hAnsi="Arial"/>
                <w:sz w:val="14"/>
                <w:szCs w:val="14"/>
                <w:color w:val="auto"/>
              </w:rPr>
              <w:t>3/5/2015</w:t>
            </w:r>
          </w:p>
        </w:tc>
        <w:tc>
          <w:tcPr>
            <w:tcW w:w="1120" w:type="dxa"/>
            <w:vAlign w:val="bottom"/>
            <w:shd w:val="clear" w:color="auto" w:fill="DBE5F1"/>
          </w:tcPr>
          <w:p>
            <w:pPr>
              <w:spacing w:after="0"/>
              <w:rPr>
                <w:sz w:val="24"/>
                <w:szCs w:val="24"/>
                <w:color w:val="auto"/>
              </w:rPr>
            </w:pPr>
          </w:p>
        </w:tc>
        <w:tc>
          <w:tcPr>
            <w:tcW w:w="1400" w:type="dxa"/>
            <w:vAlign w:val="bottom"/>
            <w:shd w:val="clear" w:color="auto" w:fill="DBE5F1"/>
          </w:tcPr>
          <w:p>
            <w:pPr>
              <w:jc w:val="right"/>
              <w:spacing w:after="0"/>
              <w:rPr>
                <w:sz w:val="20"/>
                <w:szCs w:val="20"/>
                <w:color w:val="auto"/>
              </w:rPr>
            </w:pPr>
            <w:r>
              <w:rPr>
                <w:rFonts w:ascii="Arial" w:cs="Arial" w:eastAsia="Arial" w:hAnsi="Arial"/>
                <w:sz w:val="14"/>
                <w:szCs w:val="14"/>
                <w:color w:val="auto"/>
              </w:rPr>
              <w:t>14,000</w:t>
            </w:r>
          </w:p>
        </w:tc>
        <w:tc>
          <w:tcPr>
            <w:tcW w:w="920" w:type="dxa"/>
            <w:vAlign w:val="bottom"/>
            <w:gridSpan w:val="3"/>
            <w:shd w:val="clear" w:color="auto" w:fill="DBE5F1"/>
          </w:tcPr>
          <w:p>
            <w:pPr>
              <w:jc w:val="right"/>
              <w:ind w:right="120"/>
              <w:spacing w:after="0"/>
              <w:rPr>
                <w:sz w:val="20"/>
                <w:szCs w:val="20"/>
                <w:color w:val="auto"/>
              </w:rPr>
            </w:pPr>
            <w:r>
              <w:rPr>
                <w:rFonts w:ascii="Arial" w:cs="Arial" w:eastAsia="Arial" w:hAnsi="Arial"/>
                <w:sz w:val="14"/>
                <w:szCs w:val="14"/>
                <w:color w:val="auto"/>
              </w:rPr>
              <w:t>$193.69</w:t>
            </w:r>
          </w:p>
        </w:tc>
        <w:tc>
          <w:tcPr>
            <w:tcW w:w="1040" w:type="dxa"/>
            <w:vAlign w:val="bottom"/>
            <w:shd w:val="clear" w:color="auto" w:fill="DBE5F1"/>
          </w:tcPr>
          <w:p>
            <w:pPr>
              <w:jc w:val="right"/>
              <w:spacing w:after="0"/>
              <w:rPr>
                <w:sz w:val="20"/>
                <w:szCs w:val="20"/>
                <w:color w:val="auto"/>
              </w:rPr>
            </w:pPr>
            <w:r>
              <w:rPr>
                <w:rFonts w:ascii="Arial" w:cs="Arial" w:eastAsia="Arial" w:hAnsi="Arial"/>
                <w:sz w:val="14"/>
                <w:szCs w:val="14"/>
                <w:color w:val="auto"/>
              </w:rPr>
              <w:t>3/4/2025</w:t>
            </w:r>
          </w:p>
        </w:tc>
        <w:tc>
          <w:tcPr>
            <w:tcW w:w="1240" w:type="dxa"/>
            <w:vAlign w:val="bottom"/>
            <w:shd w:val="clear" w:color="auto" w:fill="DBE5F1"/>
          </w:tcPr>
          <w:p>
            <w:pPr>
              <w:spacing w:after="0"/>
              <w:rPr>
                <w:sz w:val="24"/>
                <w:szCs w:val="24"/>
                <w:color w:val="auto"/>
              </w:rPr>
            </w:pPr>
          </w:p>
        </w:tc>
        <w:tc>
          <w:tcPr>
            <w:tcW w:w="1040" w:type="dxa"/>
            <w:vAlign w:val="bottom"/>
            <w:shd w:val="clear" w:color="auto" w:fill="DBE5F1"/>
          </w:tcPr>
          <w:p>
            <w:pPr>
              <w:spacing w:after="0"/>
              <w:rPr>
                <w:sz w:val="24"/>
                <w:szCs w:val="24"/>
                <w:color w:val="auto"/>
              </w:rPr>
            </w:pPr>
          </w:p>
        </w:tc>
        <w:tc>
          <w:tcPr>
            <w:tcW w:w="1160" w:type="dxa"/>
            <w:vAlign w:val="bottom"/>
            <w:shd w:val="clear" w:color="auto" w:fill="DBE5F1"/>
          </w:tcPr>
          <w:p>
            <w:pPr>
              <w:spacing w:after="0"/>
              <w:rPr>
                <w:sz w:val="24"/>
                <w:szCs w:val="24"/>
                <w:color w:val="auto"/>
              </w:rPr>
            </w:pPr>
          </w:p>
        </w:tc>
        <w:tc>
          <w:tcPr>
            <w:tcW w:w="1080" w:type="dxa"/>
            <w:vAlign w:val="bottom"/>
            <w:shd w:val="clear" w:color="auto" w:fill="DBE5F1"/>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1500" w:type="dxa"/>
            <w:vAlign w:val="bottom"/>
            <w:shd w:val="clear" w:color="auto" w:fill="DBE5F1"/>
          </w:tcPr>
          <w:p>
            <w:pPr>
              <w:spacing w:after="0"/>
              <w:rPr>
                <w:sz w:val="24"/>
                <w:szCs w:val="24"/>
                <w:color w:val="auto"/>
              </w:rPr>
            </w:pPr>
          </w:p>
        </w:tc>
        <w:tc>
          <w:tcPr>
            <w:tcW w:w="920" w:type="dxa"/>
            <w:vAlign w:val="bottom"/>
            <w:shd w:val="clear" w:color="auto" w:fill="DBE5F1"/>
          </w:tcPr>
          <w:p>
            <w:pPr>
              <w:spacing w:after="0"/>
              <w:rPr>
                <w:sz w:val="24"/>
                <w:szCs w:val="24"/>
                <w:color w:val="auto"/>
              </w:rPr>
            </w:pPr>
          </w:p>
        </w:tc>
        <w:tc>
          <w:tcPr>
            <w:tcW w:w="1120" w:type="dxa"/>
            <w:vAlign w:val="bottom"/>
            <w:shd w:val="clear" w:color="auto" w:fill="DBE5F1"/>
          </w:tcPr>
          <w:p>
            <w:pPr>
              <w:spacing w:after="0"/>
              <w:rPr>
                <w:sz w:val="24"/>
                <w:szCs w:val="24"/>
                <w:color w:val="auto"/>
              </w:rPr>
            </w:pPr>
          </w:p>
        </w:tc>
        <w:tc>
          <w:tcPr>
            <w:tcW w:w="1400" w:type="dxa"/>
            <w:vAlign w:val="bottom"/>
            <w:shd w:val="clear" w:color="auto" w:fill="DBE5F1"/>
          </w:tcPr>
          <w:p>
            <w:pPr>
              <w:spacing w:after="0"/>
              <w:rPr>
                <w:sz w:val="24"/>
                <w:szCs w:val="24"/>
                <w:color w:val="auto"/>
              </w:rPr>
            </w:pPr>
          </w:p>
        </w:tc>
        <w:tc>
          <w:tcPr>
            <w:tcW w:w="120" w:type="dxa"/>
            <w:vAlign w:val="bottom"/>
            <w:shd w:val="clear" w:color="auto" w:fill="DBE5F1"/>
          </w:tcPr>
          <w:p>
            <w:pPr>
              <w:spacing w:after="0"/>
              <w:rPr>
                <w:sz w:val="24"/>
                <w:szCs w:val="24"/>
                <w:color w:val="auto"/>
              </w:rPr>
            </w:pPr>
          </w:p>
        </w:tc>
        <w:tc>
          <w:tcPr>
            <w:tcW w:w="680" w:type="dxa"/>
            <w:vAlign w:val="bottom"/>
            <w:shd w:val="clear" w:color="auto" w:fill="DBE5F1"/>
          </w:tcPr>
          <w:p>
            <w:pPr>
              <w:spacing w:after="0"/>
              <w:rPr>
                <w:sz w:val="24"/>
                <w:szCs w:val="24"/>
                <w:color w:val="auto"/>
              </w:rPr>
            </w:pPr>
          </w:p>
        </w:tc>
        <w:tc>
          <w:tcPr>
            <w:tcW w:w="120" w:type="dxa"/>
            <w:vAlign w:val="bottom"/>
            <w:shd w:val="clear" w:color="auto" w:fill="DBE5F1"/>
          </w:tcPr>
          <w:p>
            <w:pPr>
              <w:spacing w:after="0"/>
              <w:rPr>
                <w:sz w:val="24"/>
                <w:szCs w:val="24"/>
                <w:color w:val="auto"/>
              </w:rPr>
            </w:pPr>
          </w:p>
        </w:tc>
        <w:tc>
          <w:tcPr>
            <w:tcW w:w="1040" w:type="dxa"/>
            <w:vAlign w:val="bottom"/>
            <w:shd w:val="clear" w:color="auto" w:fill="DBE5F1"/>
          </w:tcPr>
          <w:p>
            <w:pPr>
              <w:spacing w:after="0"/>
              <w:rPr>
                <w:sz w:val="24"/>
                <w:szCs w:val="24"/>
                <w:color w:val="auto"/>
              </w:rPr>
            </w:pPr>
          </w:p>
        </w:tc>
        <w:tc>
          <w:tcPr>
            <w:tcW w:w="1240" w:type="dxa"/>
            <w:vAlign w:val="bottom"/>
            <w:shd w:val="clear" w:color="auto" w:fill="DBE5F1"/>
          </w:tcPr>
          <w:p>
            <w:pPr>
              <w:jc w:val="right"/>
              <w:ind w:right="48"/>
              <w:spacing w:after="0"/>
              <w:rPr>
                <w:sz w:val="20"/>
                <w:szCs w:val="20"/>
                <w:color w:val="auto"/>
              </w:rPr>
            </w:pPr>
            <w:r>
              <w:rPr>
                <w:rFonts w:ascii="Arial" w:cs="Arial" w:eastAsia="Arial" w:hAnsi="Arial"/>
                <w:sz w:val="14"/>
                <w:szCs w:val="14"/>
                <w:color w:val="auto"/>
              </w:rPr>
              <w:t>14,300</w:t>
            </w:r>
            <w:r>
              <w:rPr>
                <w:rFonts w:ascii="Arial" w:cs="Arial" w:eastAsia="Arial" w:hAnsi="Arial"/>
                <w:sz w:val="8"/>
                <w:szCs w:val="8"/>
                <w:color w:val="auto"/>
              </w:rPr>
              <w:t>(4b)</w:t>
            </w:r>
          </w:p>
        </w:tc>
        <w:tc>
          <w:tcPr>
            <w:tcW w:w="1040" w:type="dxa"/>
            <w:vAlign w:val="bottom"/>
            <w:shd w:val="clear" w:color="auto" w:fill="DBE5F1"/>
          </w:tcPr>
          <w:p>
            <w:pPr>
              <w:jc w:val="right"/>
              <w:ind w:right="47"/>
              <w:spacing w:after="0"/>
              <w:rPr>
                <w:sz w:val="20"/>
                <w:szCs w:val="20"/>
                <w:color w:val="auto"/>
              </w:rPr>
            </w:pPr>
            <w:r>
              <w:rPr>
                <w:rFonts w:ascii="Arial" w:cs="Arial" w:eastAsia="Arial" w:hAnsi="Arial"/>
                <w:sz w:val="14"/>
                <w:szCs w:val="14"/>
                <w:color w:val="auto"/>
              </w:rPr>
              <w:t>$2,955,667</w:t>
            </w:r>
          </w:p>
        </w:tc>
        <w:tc>
          <w:tcPr>
            <w:tcW w:w="1160" w:type="dxa"/>
            <w:vAlign w:val="bottom"/>
            <w:shd w:val="clear" w:color="auto" w:fill="DBE5F1"/>
          </w:tcPr>
          <w:p>
            <w:pPr>
              <w:spacing w:after="0"/>
              <w:rPr>
                <w:sz w:val="24"/>
                <w:szCs w:val="24"/>
                <w:color w:val="auto"/>
              </w:rPr>
            </w:pPr>
          </w:p>
        </w:tc>
        <w:tc>
          <w:tcPr>
            <w:tcW w:w="1080" w:type="dxa"/>
            <w:vAlign w:val="bottom"/>
            <w:shd w:val="clear" w:color="auto" w:fill="DBE5F1"/>
          </w:tcPr>
          <w:p>
            <w:pPr>
              <w:spacing w:after="0"/>
              <w:rPr>
                <w:sz w:val="24"/>
                <w:szCs w:val="24"/>
                <w:color w:val="auto"/>
              </w:rPr>
            </w:pPr>
          </w:p>
        </w:tc>
        <w:tc>
          <w:tcPr>
            <w:tcW w:w="0" w:type="dxa"/>
            <w:vAlign w:val="bottom"/>
          </w:tcPr>
          <w:p>
            <w:pPr>
              <w:spacing w:after="0"/>
              <w:rPr>
                <w:sz w:val="1"/>
                <w:szCs w:val="1"/>
                <w:color w:val="auto"/>
              </w:rPr>
            </w:pPr>
          </w:p>
        </w:tc>
      </w:tr>
      <w:tr>
        <w:trPr>
          <w:trHeight w:val="316"/>
        </w:trPr>
        <w:tc>
          <w:tcPr>
            <w:tcW w:w="1500" w:type="dxa"/>
            <w:vAlign w:val="bottom"/>
            <w:tcBorders>
              <w:bottom w:val="single" w:sz="8" w:color="DBE5F1"/>
            </w:tcBorders>
            <w:shd w:val="clear" w:color="auto" w:fill="DBE5F1"/>
          </w:tcPr>
          <w:p>
            <w:pPr>
              <w:spacing w:after="0"/>
              <w:rPr>
                <w:sz w:val="24"/>
                <w:szCs w:val="24"/>
                <w:color w:val="auto"/>
              </w:rPr>
            </w:pPr>
          </w:p>
        </w:tc>
        <w:tc>
          <w:tcPr>
            <w:tcW w:w="920" w:type="dxa"/>
            <w:vAlign w:val="bottom"/>
            <w:tcBorders>
              <w:bottom w:val="single" w:sz="8" w:color="DBE5F1"/>
            </w:tcBorders>
            <w:shd w:val="clear" w:color="auto" w:fill="DBE5F1"/>
          </w:tcPr>
          <w:p>
            <w:pPr>
              <w:spacing w:after="0"/>
              <w:rPr>
                <w:sz w:val="24"/>
                <w:szCs w:val="24"/>
                <w:color w:val="auto"/>
              </w:rPr>
            </w:pPr>
          </w:p>
        </w:tc>
        <w:tc>
          <w:tcPr>
            <w:tcW w:w="1120" w:type="dxa"/>
            <w:vAlign w:val="bottom"/>
            <w:tcBorders>
              <w:bottom w:val="single" w:sz="8" w:color="DBE5F1"/>
            </w:tcBorders>
            <w:shd w:val="clear" w:color="auto" w:fill="DBE5F1"/>
          </w:tcPr>
          <w:p>
            <w:pPr>
              <w:spacing w:after="0"/>
              <w:rPr>
                <w:sz w:val="24"/>
                <w:szCs w:val="24"/>
                <w:color w:val="auto"/>
              </w:rPr>
            </w:pPr>
          </w:p>
        </w:tc>
        <w:tc>
          <w:tcPr>
            <w:tcW w:w="1400" w:type="dxa"/>
            <w:vAlign w:val="bottom"/>
            <w:tcBorders>
              <w:bottom w:val="single" w:sz="8" w:color="DBE5F1"/>
            </w:tcBorders>
            <w:shd w:val="clear" w:color="auto" w:fill="DBE5F1"/>
          </w:tcPr>
          <w:p>
            <w:pPr>
              <w:spacing w:after="0"/>
              <w:rPr>
                <w:sz w:val="24"/>
                <w:szCs w:val="24"/>
                <w:color w:val="auto"/>
              </w:rPr>
            </w:pPr>
          </w:p>
        </w:tc>
        <w:tc>
          <w:tcPr>
            <w:tcW w:w="120" w:type="dxa"/>
            <w:vAlign w:val="bottom"/>
            <w:tcBorders>
              <w:bottom w:val="single" w:sz="8" w:color="DBE5F1"/>
            </w:tcBorders>
            <w:shd w:val="clear" w:color="auto" w:fill="DBE5F1"/>
          </w:tcPr>
          <w:p>
            <w:pPr>
              <w:spacing w:after="0"/>
              <w:rPr>
                <w:sz w:val="24"/>
                <w:szCs w:val="24"/>
                <w:color w:val="auto"/>
              </w:rPr>
            </w:pPr>
          </w:p>
        </w:tc>
        <w:tc>
          <w:tcPr>
            <w:tcW w:w="680" w:type="dxa"/>
            <w:vAlign w:val="bottom"/>
            <w:tcBorders>
              <w:bottom w:val="single" w:sz="8" w:color="DBE5F1"/>
            </w:tcBorders>
            <w:shd w:val="clear" w:color="auto" w:fill="DBE5F1"/>
          </w:tcPr>
          <w:p>
            <w:pPr>
              <w:spacing w:after="0"/>
              <w:rPr>
                <w:sz w:val="24"/>
                <w:szCs w:val="24"/>
                <w:color w:val="auto"/>
              </w:rPr>
            </w:pPr>
          </w:p>
        </w:tc>
        <w:tc>
          <w:tcPr>
            <w:tcW w:w="120" w:type="dxa"/>
            <w:vAlign w:val="bottom"/>
            <w:tcBorders>
              <w:bottom w:val="single" w:sz="8" w:color="DBE5F1"/>
            </w:tcBorders>
            <w:shd w:val="clear" w:color="auto" w:fill="DBE5F1"/>
          </w:tcPr>
          <w:p>
            <w:pPr>
              <w:spacing w:after="0"/>
              <w:rPr>
                <w:sz w:val="24"/>
                <w:szCs w:val="24"/>
                <w:color w:val="auto"/>
              </w:rPr>
            </w:pPr>
          </w:p>
        </w:tc>
        <w:tc>
          <w:tcPr>
            <w:tcW w:w="1040" w:type="dxa"/>
            <w:vAlign w:val="bottom"/>
            <w:tcBorders>
              <w:bottom w:val="single" w:sz="8" w:color="DBE5F1"/>
            </w:tcBorders>
            <w:shd w:val="clear" w:color="auto" w:fill="DBE5F1"/>
          </w:tcPr>
          <w:p>
            <w:pPr>
              <w:spacing w:after="0"/>
              <w:rPr>
                <w:sz w:val="24"/>
                <w:szCs w:val="24"/>
                <w:color w:val="auto"/>
              </w:rPr>
            </w:pPr>
          </w:p>
        </w:tc>
        <w:tc>
          <w:tcPr>
            <w:tcW w:w="1240" w:type="dxa"/>
            <w:vAlign w:val="bottom"/>
            <w:tcBorders>
              <w:bottom w:val="single" w:sz="8" w:color="DBE5F1"/>
            </w:tcBorders>
            <w:shd w:val="clear" w:color="auto" w:fill="DBE5F1"/>
          </w:tcPr>
          <w:p>
            <w:pPr>
              <w:spacing w:after="0"/>
              <w:rPr>
                <w:sz w:val="24"/>
                <w:szCs w:val="24"/>
                <w:color w:val="auto"/>
              </w:rPr>
            </w:pPr>
          </w:p>
        </w:tc>
        <w:tc>
          <w:tcPr>
            <w:tcW w:w="1040" w:type="dxa"/>
            <w:vAlign w:val="bottom"/>
            <w:tcBorders>
              <w:bottom w:val="single" w:sz="8" w:color="DBE5F1"/>
            </w:tcBorders>
            <w:shd w:val="clear" w:color="auto" w:fill="DBE5F1"/>
          </w:tcPr>
          <w:p>
            <w:pPr>
              <w:spacing w:after="0"/>
              <w:rPr>
                <w:sz w:val="24"/>
                <w:szCs w:val="24"/>
                <w:color w:val="auto"/>
              </w:rPr>
            </w:pPr>
          </w:p>
        </w:tc>
        <w:tc>
          <w:tcPr>
            <w:tcW w:w="1160" w:type="dxa"/>
            <w:vAlign w:val="bottom"/>
            <w:tcBorders>
              <w:bottom w:val="single" w:sz="8" w:color="DBE5F1"/>
            </w:tcBorders>
            <w:shd w:val="clear" w:color="auto" w:fill="DBE5F1"/>
          </w:tcPr>
          <w:p>
            <w:pPr>
              <w:jc w:val="right"/>
              <w:spacing w:after="0"/>
              <w:rPr>
                <w:sz w:val="20"/>
                <w:szCs w:val="20"/>
                <w:color w:val="auto"/>
              </w:rPr>
            </w:pPr>
            <w:r>
              <w:rPr>
                <w:rFonts w:ascii="Arial" w:cs="Arial" w:eastAsia="Arial" w:hAnsi="Arial"/>
                <w:sz w:val="14"/>
                <w:szCs w:val="14"/>
                <w:color w:val="auto"/>
              </w:rPr>
              <w:t>8,160</w:t>
            </w:r>
          </w:p>
        </w:tc>
        <w:tc>
          <w:tcPr>
            <w:tcW w:w="1080" w:type="dxa"/>
            <w:vAlign w:val="bottom"/>
            <w:tcBorders>
              <w:bottom w:val="single" w:sz="8" w:color="DBE5F1"/>
            </w:tcBorders>
            <w:shd w:val="clear" w:color="auto" w:fill="DBE5F1"/>
          </w:tcPr>
          <w:p>
            <w:pPr>
              <w:jc w:val="right"/>
              <w:ind w:right="28"/>
              <w:spacing w:after="0"/>
              <w:rPr>
                <w:sz w:val="20"/>
                <w:szCs w:val="20"/>
                <w:color w:val="auto"/>
              </w:rPr>
            </w:pPr>
            <w:r>
              <w:rPr>
                <w:rFonts w:ascii="Arial" w:cs="Arial" w:eastAsia="Arial" w:hAnsi="Arial"/>
                <w:sz w:val="14"/>
                <w:szCs w:val="14"/>
                <w:color w:val="auto"/>
              </w:rPr>
              <w:t>$1,686,590</w:t>
            </w:r>
          </w:p>
        </w:tc>
        <w:tc>
          <w:tcPr>
            <w:tcW w:w="0" w:type="dxa"/>
            <w:vAlign w:val="bottom"/>
          </w:tcPr>
          <w:p>
            <w:pPr>
              <w:spacing w:after="0"/>
              <w:rPr>
                <w:sz w:val="1"/>
                <w:szCs w:val="1"/>
                <w:color w:val="auto"/>
              </w:rPr>
            </w:pPr>
          </w:p>
        </w:tc>
      </w:tr>
      <w:tr>
        <w:trPr>
          <w:trHeight w:val="230"/>
        </w:trPr>
        <w:tc>
          <w:tcPr>
            <w:tcW w:w="1500" w:type="dxa"/>
            <w:vAlign w:val="bottom"/>
            <w:shd w:val="clear" w:color="auto" w:fill="F2F2F2"/>
          </w:tcPr>
          <w:p>
            <w:pPr>
              <w:spacing w:after="0"/>
              <w:rPr>
                <w:sz w:val="19"/>
                <w:szCs w:val="19"/>
                <w:color w:val="auto"/>
              </w:rPr>
            </w:pPr>
          </w:p>
        </w:tc>
        <w:tc>
          <w:tcPr>
            <w:tcW w:w="920" w:type="dxa"/>
            <w:vAlign w:val="bottom"/>
            <w:shd w:val="clear" w:color="auto" w:fill="F2F2F2"/>
          </w:tcPr>
          <w:p>
            <w:pPr>
              <w:spacing w:after="0"/>
              <w:rPr>
                <w:sz w:val="19"/>
                <w:szCs w:val="19"/>
                <w:color w:val="auto"/>
              </w:rPr>
            </w:pPr>
          </w:p>
        </w:tc>
        <w:tc>
          <w:tcPr>
            <w:tcW w:w="1120" w:type="dxa"/>
            <w:vAlign w:val="bottom"/>
            <w:shd w:val="clear" w:color="auto" w:fill="F2F2F2"/>
          </w:tcPr>
          <w:p>
            <w:pPr>
              <w:spacing w:after="0"/>
              <w:rPr>
                <w:sz w:val="19"/>
                <w:szCs w:val="19"/>
                <w:color w:val="auto"/>
              </w:rPr>
            </w:pPr>
          </w:p>
        </w:tc>
        <w:tc>
          <w:tcPr>
            <w:tcW w:w="1400" w:type="dxa"/>
            <w:vAlign w:val="bottom"/>
            <w:shd w:val="clear" w:color="auto" w:fill="F2F2F2"/>
          </w:tcPr>
          <w:p>
            <w:pPr>
              <w:spacing w:after="0"/>
              <w:rPr>
                <w:sz w:val="19"/>
                <w:szCs w:val="19"/>
                <w:color w:val="auto"/>
              </w:rPr>
            </w:pPr>
          </w:p>
        </w:tc>
        <w:tc>
          <w:tcPr>
            <w:tcW w:w="120" w:type="dxa"/>
            <w:vAlign w:val="bottom"/>
            <w:shd w:val="clear" w:color="auto" w:fill="F2F2F2"/>
          </w:tcPr>
          <w:p>
            <w:pPr>
              <w:spacing w:after="0"/>
              <w:rPr>
                <w:sz w:val="19"/>
                <w:szCs w:val="19"/>
                <w:color w:val="auto"/>
              </w:rPr>
            </w:pPr>
          </w:p>
        </w:tc>
        <w:tc>
          <w:tcPr>
            <w:tcW w:w="680" w:type="dxa"/>
            <w:vAlign w:val="bottom"/>
            <w:shd w:val="clear" w:color="auto" w:fill="F2F2F2"/>
          </w:tcPr>
          <w:p>
            <w:pPr>
              <w:spacing w:after="0"/>
              <w:rPr>
                <w:sz w:val="19"/>
                <w:szCs w:val="19"/>
                <w:color w:val="auto"/>
              </w:rPr>
            </w:pPr>
          </w:p>
        </w:tc>
        <w:tc>
          <w:tcPr>
            <w:tcW w:w="120" w:type="dxa"/>
            <w:vAlign w:val="bottom"/>
            <w:shd w:val="clear" w:color="auto" w:fill="F2F2F2"/>
          </w:tcPr>
          <w:p>
            <w:pPr>
              <w:spacing w:after="0"/>
              <w:rPr>
                <w:sz w:val="19"/>
                <w:szCs w:val="19"/>
                <w:color w:val="auto"/>
              </w:rPr>
            </w:pPr>
          </w:p>
        </w:tc>
        <w:tc>
          <w:tcPr>
            <w:tcW w:w="1040" w:type="dxa"/>
            <w:vAlign w:val="bottom"/>
            <w:shd w:val="clear" w:color="auto" w:fill="F2F2F2"/>
          </w:tcPr>
          <w:p>
            <w:pPr>
              <w:spacing w:after="0"/>
              <w:rPr>
                <w:sz w:val="19"/>
                <w:szCs w:val="19"/>
                <w:color w:val="auto"/>
              </w:rPr>
            </w:pPr>
          </w:p>
        </w:tc>
        <w:tc>
          <w:tcPr>
            <w:tcW w:w="1240" w:type="dxa"/>
            <w:vAlign w:val="bottom"/>
            <w:shd w:val="clear" w:color="auto" w:fill="F2F2F2"/>
          </w:tcPr>
          <w:p>
            <w:pPr>
              <w:spacing w:after="0"/>
              <w:rPr>
                <w:sz w:val="19"/>
                <w:szCs w:val="19"/>
                <w:color w:val="auto"/>
              </w:rPr>
            </w:pPr>
          </w:p>
        </w:tc>
        <w:tc>
          <w:tcPr>
            <w:tcW w:w="1040" w:type="dxa"/>
            <w:vAlign w:val="bottom"/>
            <w:shd w:val="clear" w:color="auto" w:fill="F2F2F2"/>
          </w:tcPr>
          <w:p>
            <w:pPr>
              <w:spacing w:after="0"/>
              <w:rPr>
                <w:sz w:val="19"/>
                <w:szCs w:val="19"/>
                <w:color w:val="auto"/>
              </w:rPr>
            </w:pPr>
          </w:p>
        </w:tc>
        <w:tc>
          <w:tcPr>
            <w:tcW w:w="1160" w:type="dxa"/>
            <w:vAlign w:val="bottom"/>
            <w:shd w:val="clear" w:color="auto" w:fill="F2F2F2"/>
          </w:tcPr>
          <w:p>
            <w:pPr>
              <w:spacing w:after="0"/>
              <w:rPr>
                <w:sz w:val="19"/>
                <w:szCs w:val="19"/>
                <w:color w:val="auto"/>
              </w:rPr>
            </w:pPr>
          </w:p>
        </w:tc>
        <w:tc>
          <w:tcPr>
            <w:tcW w:w="1080" w:type="dxa"/>
            <w:vAlign w:val="bottom"/>
            <w:shd w:val="clear" w:color="auto" w:fill="F2F2F2"/>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1500" w:type="dxa"/>
            <w:vAlign w:val="bottom"/>
            <w:shd w:val="clear" w:color="auto" w:fill="DBE5F1"/>
          </w:tcPr>
          <w:p>
            <w:pPr>
              <w:ind w:left="40"/>
              <w:spacing w:after="0"/>
              <w:rPr>
                <w:sz w:val="20"/>
                <w:szCs w:val="20"/>
                <w:color w:val="auto"/>
              </w:rPr>
            </w:pPr>
            <w:r>
              <w:rPr>
                <w:rFonts w:ascii="Arial" w:cs="Arial" w:eastAsia="Arial" w:hAnsi="Arial"/>
                <w:sz w:val="16"/>
                <w:szCs w:val="16"/>
                <w:b w:val="1"/>
                <w:bCs w:val="1"/>
                <w:color w:val="auto"/>
              </w:rPr>
              <w:t>Scott L. Yinger</w:t>
            </w:r>
          </w:p>
        </w:tc>
        <w:tc>
          <w:tcPr>
            <w:tcW w:w="920" w:type="dxa"/>
            <w:vAlign w:val="bottom"/>
            <w:shd w:val="clear" w:color="auto" w:fill="DBE5F1"/>
          </w:tcPr>
          <w:p>
            <w:pPr>
              <w:spacing w:after="0"/>
              <w:rPr>
                <w:sz w:val="20"/>
                <w:szCs w:val="20"/>
                <w:color w:val="auto"/>
              </w:rPr>
            </w:pPr>
          </w:p>
        </w:tc>
        <w:tc>
          <w:tcPr>
            <w:tcW w:w="1120" w:type="dxa"/>
            <w:vAlign w:val="bottom"/>
            <w:shd w:val="clear" w:color="auto" w:fill="DBE5F1"/>
          </w:tcPr>
          <w:p>
            <w:pPr>
              <w:spacing w:after="0"/>
              <w:rPr>
                <w:sz w:val="20"/>
                <w:szCs w:val="20"/>
                <w:color w:val="auto"/>
              </w:rPr>
            </w:pPr>
          </w:p>
        </w:tc>
        <w:tc>
          <w:tcPr>
            <w:tcW w:w="1400" w:type="dxa"/>
            <w:vAlign w:val="bottom"/>
            <w:shd w:val="clear" w:color="auto" w:fill="DBE5F1"/>
          </w:tcPr>
          <w:p>
            <w:pPr>
              <w:spacing w:after="0"/>
              <w:rPr>
                <w:sz w:val="20"/>
                <w:szCs w:val="20"/>
                <w:color w:val="auto"/>
              </w:rPr>
            </w:pPr>
          </w:p>
        </w:tc>
        <w:tc>
          <w:tcPr>
            <w:tcW w:w="120" w:type="dxa"/>
            <w:vAlign w:val="bottom"/>
            <w:shd w:val="clear" w:color="auto" w:fill="DBE5F1"/>
          </w:tcPr>
          <w:p>
            <w:pPr>
              <w:spacing w:after="0"/>
              <w:rPr>
                <w:sz w:val="20"/>
                <w:szCs w:val="20"/>
                <w:color w:val="auto"/>
              </w:rPr>
            </w:pPr>
          </w:p>
        </w:tc>
        <w:tc>
          <w:tcPr>
            <w:tcW w:w="680" w:type="dxa"/>
            <w:vAlign w:val="bottom"/>
            <w:shd w:val="clear" w:color="auto" w:fill="DBE5F1"/>
          </w:tcPr>
          <w:p>
            <w:pPr>
              <w:spacing w:after="0"/>
              <w:rPr>
                <w:sz w:val="20"/>
                <w:szCs w:val="20"/>
                <w:color w:val="auto"/>
              </w:rPr>
            </w:pPr>
          </w:p>
        </w:tc>
        <w:tc>
          <w:tcPr>
            <w:tcW w:w="120" w:type="dxa"/>
            <w:vAlign w:val="bottom"/>
            <w:shd w:val="clear" w:color="auto" w:fill="DBE5F1"/>
          </w:tcPr>
          <w:p>
            <w:pPr>
              <w:spacing w:after="0"/>
              <w:rPr>
                <w:sz w:val="20"/>
                <w:szCs w:val="20"/>
                <w:color w:val="auto"/>
              </w:rPr>
            </w:pPr>
          </w:p>
        </w:tc>
        <w:tc>
          <w:tcPr>
            <w:tcW w:w="1040" w:type="dxa"/>
            <w:vAlign w:val="bottom"/>
            <w:shd w:val="clear" w:color="auto" w:fill="DBE5F1"/>
          </w:tcPr>
          <w:p>
            <w:pPr>
              <w:spacing w:after="0"/>
              <w:rPr>
                <w:sz w:val="20"/>
                <w:szCs w:val="20"/>
                <w:color w:val="auto"/>
              </w:rPr>
            </w:pPr>
          </w:p>
        </w:tc>
        <w:tc>
          <w:tcPr>
            <w:tcW w:w="1240" w:type="dxa"/>
            <w:vAlign w:val="bottom"/>
            <w:vMerge w:val="restart"/>
            <w:shd w:val="clear" w:color="auto" w:fill="DBE5F1"/>
          </w:tcPr>
          <w:p>
            <w:pPr>
              <w:jc w:val="right"/>
              <w:ind w:right="48"/>
              <w:spacing w:after="0"/>
              <w:rPr>
                <w:sz w:val="20"/>
                <w:szCs w:val="20"/>
                <w:color w:val="auto"/>
              </w:rPr>
            </w:pPr>
            <w:r>
              <w:rPr>
                <w:rFonts w:ascii="Arial" w:cs="Arial" w:eastAsia="Arial" w:hAnsi="Arial"/>
                <w:sz w:val="14"/>
                <w:szCs w:val="14"/>
                <w:color w:val="auto"/>
              </w:rPr>
              <w:t>2,797</w:t>
            </w:r>
            <w:r>
              <w:rPr>
                <w:rFonts w:ascii="Arial" w:cs="Arial" w:eastAsia="Arial" w:hAnsi="Arial"/>
                <w:sz w:val="8"/>
                <w:szCs w:val="8"/>
                <w:color w:val="auto"/>
              </w:rPr>
              <w:t>(4c)</w:t>
            </w:r>
          </w:p>
        </w:tc>
        <w:tc>
          <w:tcPr>
            <w:tcW w:w="1040" w:type="dxa"/>
            <w:vAlign w:val="bottom"/>
            <w:vMerge w:val="restart"/>
            <w:shd w:val="clear" w:color="auto" w:fill="DBE5F1"/>
          </w:tcPr>
          <w:p>
            <w:pPr>
              <w:jc w:val="right"/>
              <w:ind w:right="47"/>
              <w:spacing w:after="0"/>
              <w:rPr>
                <w:sz w:val="20"/>
                <w:szCs w:val="20"/>
                <w:color w:val="auto"/>
              </w:rPr>
            </w:pPr>
            <w:r>
              <w:rPr>
                <w:rFonts w:ascii="Arial" w:cs="Arial" w:eastAsia="Arial" w:hAnsi="Arial"/>
                <w:sz w:val="14"/>
                <w:szCs w:val="14"/>
                <w:color w:val="auto"/>
              </w:rPr>
              <w:t>$578,112</w:t>
            </w:r>
          </w:p>
        </w:tc>
        <w:tc>
          <w:tcPr>
            <w:tcW w:w="1160" w:type="dxa"/>
            <w:vAlign w:val="bottom"/>
            <w:shd w:val="clear" w:color="auto" w:fill="DBE5F1"/>
          </w:tcPr>
          <w:p>
            <w:pPr>
              <w:spacing w:after="0"/>
              <w:rPr>
                <w:sz w:val="20"/>
                <w:szCs w:val="20"/>
                <w:color w:val="auto"/>
              </w:rPr>
            </w:pPr>
          </w:p>
        </w:tc>
        <w:tc>
          <w:tcPr>
            <w:tcW w:w="1080" w:type="dxa"/>
            <w:vAlign w:val="bottom"/>
            <w:shd w:val="clear" w:color="auto" w:fill="DBE5F1"/>
          </w:tcPr>
          <w:p>
            <w:pPr>
              <w:spacing w:after="0"/>
              <w:rPr>
                <w:sz w:val="20"/>
                <w:szCs w:val="20"/>
                <w:color w:val="auto"/>
              </w:rPr>
            </w:pPr>
          </w:p>
        </w:tc>
        <w:tc>
          <w:tcPr>
            <w:tcW w:w="0" w:type="dxa"/>
            <w:vAlign w:val="bottom"/>
          </w:tcPr>
          <w:p>
            <w:pPr>
              <w:spacing w:after="0"/>
              <w:rPr>
                <w:sz w:val="1"/>
                <w:szCs w:val="1"/>
                <w:color w:val="auto"/>
              </w:rPr>
            </w:pPr>
          </w:p>
        </w:tc>
      </w:tr>
      <w:tr>
        <w:trPr>
          <w:trHeight w:val="128"/>
        </w:trPr>
        <w:tc>
          <w:tcPr>
            <w:tcW w:w="1500" w:type="dxa"/>
            <w:vAlign w:val="bottom"/>
            <w:shd w:val="clear" w:color="auto" w:fill="DBE5F1"/>
          </w:tcPr>
          <w:p>
            <w:pPr>
              <w:spacing w:after="0"/>
              <w:rPr>
                <w:sz w:val="11"/>
                <w:szCs w:val="11"/>
                <w:color w:val="auto"/>
              </w:rPr>
            </w:pPr>
          </w:p>
        </w:tc>
        <w:tc>
          <w:tcPr>
            <w:tcW w:w="920" w:type="dxa"/>
            <w:vAlign w:val="bottom"/>
            <w:shd w:val="clear" w:color="auto" w:fill="DBE5F1"/>
          </w:tcPr>
          <w:p>
            <w:pPr>
              <w:spacing w:after="0"/>
              <w:rPr>
                <w:sz w:val="11"/>
                <w:szCs w:val="11"/>
                <w:color w:val="auto"/>
              </w:rPr>
            </w:pPr>
          </w:p>
        </w:tc>
        <w:tc>
          <w:tcPr>
            <w:tcW w:w="1120" w:type="dxa"/>
            <w:vAlign w:val="bottom"/>
            <w:shd w:val="clear" w:color="auto" w:fill="DBE5F1"/>
          </w:tcPr>
          <w:p>
            <w:pPr>
              <w:spacing w:after="0"/>
              <w:rPr>
                <w:sz w:val="11"/>
                <w:szCs w:val="11"/>
                <w:color w:val="auto"/>
              </w:rPr>
            </w:pPr>
          </w:p>
        </w:tc>
        <w:tc>
          <w:tcPr>
            <w:tcW w:w="1400" w:type="dxa"/>
            <w:vAlign w:val="bottom"/>
            <w:shd w:val="clear" w:color="auto" w:fill="DBE5F1"/>
          </w:tcPr>
          <w:p>
            <w:pPr>
              <w:spacing w:after="0"/>
              <w:rPr>
                <w:sz w:val="11"/>
                <w:szCs w:val="11"/>
                <w:color w:val="auto"/>
              </w:rPr>
            </w:pPr>
          </w:p>
        </w:tc>
        <w:tc>
          <w:tcPr>
            <w:tcW w:w="120" w:type="dxa"/>
            <w:vAlign w:val="bottom"/>
            <w:shd w:val="clear" w:color="auto" w:fill="DBE5F1"/>
          </w:tcPr>
          <w:p>
            <w:pPr>
              <w:spacing w:after="0"/>
              <w:rPr>
                <w:sz w:val="11"/>
                <w:szCs w:val="11"/>
                <w:color w:val="auto"/>
              </w:rPr>
            </w:pPr>
          </w:p>
        </w:tc>
        <w:tc>
          <w:tcPr>
            <w:tcW w:w="680" w:type="dxa"/>
            <w:vAlign w:val="bottom"/>
            <w:shd w:val="clear" w:color="auto" w:fill="DBE5F1"/>
          </w:tcPr>
          <w:p>
            <w:pPr>
              <w:spacing w:after="0"/>
              <w:rPr>
                <w:sz w:val="11"/>
                <w:szCs w:val="11"/>
                <w:color w:val="auto"/>
              </w:rPr>
            </w:pPr>
          </w:p>
        </w:tc>
        <w:tc>
          <w:tcPr>
            <w:tcW w:w="120" w:type="dxa"/>
            <w:vAlign w:val="bottom"/>
            <w:shd w:val="clear" w:color="auto" w:fill="DBE5F1"/>
          </w:tcPr>
          <w:p>
            <w:pPr>
              <w:spacing w:after="0"/>
              <w:rPr>
                <w:sz w:val="11"/>
                <w:szCs w:val="11"/>
                <w:color w:val="auto"/>
              </w:rPr>
            </w:pPr>
          </w:p>
        </w:tc>
        <w:tc>
          <w:tcPr>
            <w:tcW w:w="1040" w:type="dxa"/>
            <w:vAlign w:val="bottom"/>
            <w:shd w:val="clear" w:color="auto" w:fill="DBE5F1"/>
          </w:tcPr>
          <w:p>
            <w:pPr>
              <w:spacing w:after="0"/>
              <w:rPr>
                <w:sz w:val="11"/>
                <w:szCs w:val="11"/>
                <w:color w:val="auto"/>
              </w:rPr>
            </w:pPr>
          </w:p>
        </w:tc>
        <w:tc>
          <w:tcPr>
            <w:tcW w:w="1240" w:type="dxa"/>
            <w:vAlign w:val="bottom"/>
            <w:vMerge w:val="continue"/>
            <w:shd w:val="clear" w:color="auto" w:fill="DBE5F1"/>
          </w:tcPr>
          <w:p>
            <w:pPr>
              <w:spacing w:after="0"/>
              <w:rPr>
                <w:sz w:val="11"/>
                <w:szCs w:val="11"/>
                <w:color w:val="auto"/>
              </w:rPr>
            </w:pPr>
          </w:p>
        </w:tc>
        <w:tc>
          <w:tcPr>
            <w:tcW w:w="1040" w:type="dxa"/>
            <w:vAlign w:val="bottom"/>
            <w:vMerge w:val="continue"/>
            <w:shd w:val="clear" w:color="auto" w:fill="DBE5F1"/>
          </w:tcPr>
          <w:p>
            <w:pPr>
              <w:spacing w:after="0"/>
              <w:rPr>
                <w:sz w:val="11"/>
                <w:szCs w:val="11"/>
                <w:color w:val="auto"/>
              </w:rPr>
            </w:pPr>
          </w:p>
        </w:tc>
        <w:tc>
          <w:tcPr>
            <w:tcW w:w="1160" w:type="dxa"/>
            <w:vAlign w:val="bottom"/>
            <w:shd w:val="clear" w:color="auto" w:fill="DBE5F1"/>
          </w:tcPr>
          <w:p>
            <w:pPr>
              <w:spacing w:after="0"/>
              <w:rPr>
                <w:sz w:val="11"/>
                <w:szCs w:val="11"/>
                <w:color w:val="auto"/>
              </w:rPr>
            </w:pPr>
          </w:p>
        </w:tc>
        <w:tc>
          <w:tcPr>
            <w:tcW w:w="1080" w:type="dxa"/>
            <w:vAlign w:val="bottom"/>
            <w:shd w:val="clear" w:color="auto" w:fill="DBE5F1"/>
          </w:tcPr>
          <w:p>
            <w:pPr>
              <w:spacing w:after="0"/>
              <w:rPr>
                <w:sz w:val="11"/>
                <w:szCs w:val="11"/>
                <w:color w:val="auto"/>
              </w:rPr>
            </w:pPr>
          </w:p>
        </w:tc>
        <w:tc>
          <w:tcPr>
            <w:tcW w:w="0" w:type="dxa"/>
            <w:vAlign w:val="bottom"/>
          </w:tcPr>
          <w:p>
            <w:pPr>
              <w:spacing w:after="0"/>
              <w:rPr>
                <w:sz w:val="1"/>
                <w:szCs w:val="1"/>
                <w:color w:val="auto"/>
              </w:rPr>
            </w:pPr>
          </w:p>
        </w:tc>
      </w:tr>
      <w:tr>
        <w:trPr>
          <w:trHeight w:val="230"/>
        </w:trPr>
        <w:tc>
          <w:tcPr>
            <w:tcW w:w="1500" w:type="dxa"/>
            <w:vAlign w:val="bottom"/>
            <w:shd w:val="clear" w:color="auto" w:fill="F2F2F2"/>
          </w:tcPr>
          <w:p>
            <w:pPr>
              <w:spacing w:after="0"/>
              <w:rPr>
                <w:sz w:val="19"/>
                <w:szCs w:val="19"/>
                <w:color w:val="auto"/>
              </w:rPr>
            </w:pPr>
          </w:p>
        </w:tc>
        <w:tc>
          <w:tcPr>
            <w:tcW w:w="920" w:type="dxa"/>
            <w:vAlign w:val="bottom"/>
            <w:shd w:val="clear" w:color="auto" w:fill="F2F2F2"/>
          </w:tcPr>
          <w:p>
            <w:pPr>
              <w:spacing w:after="0"/>
              <w:rPr>
                <w:sz w:val="19"/>
                <w:szCs w:val="19"/>
                <w:color w:val="auto"/>
              </w:rPr>
            </w:pPr>
          </w:p>
        </w:tc>
        <w:tc>
          <w:tcPr>
            <w:tcW w:w="1120" w:type="dxa"/>
            <w:vAlign w:val="bottom"/>
            <w:shd w:val="clear" w:color="auto" w:fill="F2F2F2"/>
          </w:tcPr>
          <w:p>
            <w:pPr>
              <w:spacing w:after="0"/>
              <w:rPr>
                <w:sz w:val="19"/>
                <w:szCs w:val="19"/>
                <w:color w:val="auto"/>
              </w:rPr>
            </w:pPr>
          </w:p>
        </w:tc>
        <w:tc>
          <w:tcPr>
            <w:tcW w:w="1400" w:type="dxa"/>
            <w:vAlign w:val="bottom"/>
            <w:shd w:val="clear" w:color="auto" w:fill="F2F2F2"/>
          </w:tcPr>
          <w:p>
            <w:pPr>
              <w:spacing w:after="0"/>
              <w:rPr>
                <w:sz w:val="19"/>
                <w:szCs w:val="19"/>
                <w:color w:val="auto"/>
              </w:rPr>
            </w:pPr>
          </w:p>
        </w:tc>
        <w:tc>
          <w:tcPr>
            <w:tcW w:w="920" w:type="dxa"/>
            <w:vAlign w:val="bottom"/>
            <w:gridSpan w:val="3"/>
            <w:shd w:val="clear" w:color="auto" w:fill="F2F2F2"/>
          </w:tcPr>
          <w:p>
            <w:pPr>
              <w:spacing w:after="0"/>
              <w:rPr>
                <w:sz w:val="19"/>
                <w:szCs w:val="19"/>
                <w:color w:val="auto"/>
              </w:rPr>
            </w:pPr>
          </w:p>
        </w:tc>
        <w:tc>
          <w:tcPr>
            <w:tcW w:w="1040" w:type="dxa"/>
            <w:vAlign w:val="bottom"/>
            <w:shd w:val="clear" w:color="auto" w:fill="F2F2F2"/>
          </w:tcPr>
          <w:p>
            <w:pPr>
              <w:spacing w:after="0"/>
              <w:rPr>
                <w:sz w:val="19"/>
                <w:szCs w:val="19"/>
                <w:color w:val="auto"/>
              </w:rPr>
            </w:pPr>
          </w:p>
        </w:tc>
        <w:tc>
          <w:tcPr>
            <w:tcW w:w="1240" w:type="dxa"/>
            <w:vAlign w:val="bottom"/>
            <w:shd w:val="clear" w:color="auto" w:fill="F2F2F2"/>
          </w:tcPr>
          <w:p>
            <w:pPr>
              <w:spacing w:after="0"/>
              <w:rPr>
                <w:sz w:val="19"/>
                <w:szCs w:val="19"/>
                <w:color w:val="auto"/>
              </w:rPr>
            </w:pPr>
          </w:p>
        </w:tc>
        <w:tc>
          <w:tcPr>
            <w:tcW w:w="1040" w:type="dxa"/>
            <w:vAlign w:val="bottom"/>
            <w:shd w:val="clear" w:color="auto" w:fill="F2F2F2"/>
          </w:tcPr>
          <w:p>
            <w:pPr>
              <w:spacing w:after="0"/>
              <w:rPr>
                <w:sz w:val="19"/>
                <w:szCs w:val="19"/>
                <w:color w:val="auto"/>
              </w:rPr>
            </w:pPr>
          </w:p>
        </w:tc>
        <w:tc>
          <w:tcPr>
            <w:tcW w:w="1160" w:type="dxa"/>
            <w:vAlign w:val="bottom"/>
            <w:shd w:val="clear" w:color="auto" w:fill="F2F2F2"/>
          </w:tcPr>
          <w:p>
            <w:pPr>
              <w:spacing w:after="0"/>
              <w:rPr>
                <w:sz w:val="19"/>
                <w:szCs w:val="19"/>
                <w:color w:val="auto"/>
              </w:rPr>
            </w:pPr>
          </w:p>
        </w:tc>
        <w:tc>
          <w:tcPr>
            <w:tcW w:w="1080" w:type="dxa"/>
            <w:vAlign w:val="bottom"/>
            <w:shd w:val="clear" w:color="auto" w:fill="F2F2F2"/>
          </w:tcPr>
          <w:p>
            <w:pPr>
              <w:spacing w:after="0"/>
              <w:rPr>
                <w:sz w:val="19"/>
                <w:szCs w:val="19"/>
                <w:color w:val="auto"/>
              </w:rPr>
            </w:pPr>
          </w:p>
        </w:tc>
        <w:tc>
          <w:tcPr>
            <w:tcW w:w="0" w:type="dxa"/>
            <w:vAlign w:val="bottom"/>
          </w:tcPr>
          <w:p>
            <w:pPr>
              <w:spacing w:after="0"/>
              <w:rPr>
                <w:sz w:val="1"/>
                <w:szCs w:val="1"/>
                <w:color w:val="auto"/>
              </w:rPr>
            </w:pPr>
          </w:p>
        </w:tc>
      </w:tr>
      <w:tr>
        <w:trPr>
          <w:trHeight w:val="353"/>
        </w:trPr>
        <w:tc>
          <w:tcPr>
            <w:tcW w:w="1500" w:type="dxa"/>
            <w:vAlign w:val="bottom"/>
            <w:shd w:val="clear" w:color="auto" w:fill="DBE5F1"/>
          </w:tcPr>
          <w:p>
            <w:pPr>
              <w:spacing w:after="0"/>
              <w:rPr>
                <w:sz w:val="24"/>
                <w:szCs w:val="24"/>
                <w:color w:val="auto"/>
              </w:rPr>
            </w:pPr>
          </w:p>
        </w:tc>
        <w:tc>
          <w:tcPr>
            <w:tcW w:w="920" w:type="dxa"/>
            <w:vAlign w:val="bottom"/>
            <w:shd w:val="clear" w:color="auto" w:fill="DBE5F1"/>
          </w:tcPr>
          <w:p>
            <w:pPr>
              <w:jc w:val="right"/>
              <w:spacing w:after="0"/>
              <w:rPr>
                <w:sz w:val="20"/>
                <w:szCs w:val="20"/>
                <w:color w:val="auto"/>
              </w:rPr>
            </w:pPr>
            <w:r>
              <w:rPr>
                <w:rFonts w:ascii="Arial" w:cs="Arial" w:eastAsia="Arial" w:hAnsi="Arial"/>
                <w:sz w:val="14"/>
                <w:szCs w:val="14"/>
                <w:color w:val="auto"/>
              </w:rPr>
              <w:t>7/16/2009</w:t>
            </w:r>
          </w:p>
        </w:tc>
        <w:tc>
          <w:tcPr>
            <w:tcW w:w="1120" w:type="dxa"/>
            <w:vAlign w:val="bottom"/>
            <w:shd w:val="clear" w:color="auto" w:fill="DBE5F1"/>
          </w:tcPr>
          <w:p>
            <w:pPr>
              <w:jc w:val="right"/>
              <w:spacing w:after="0"/>
              <w:rPr>
                <w:sz w:val="20"/>
                <w:szCs w:val="20"/>
                <w:color w:val="auto"/>
              </w:rPr>
            </w:pPr>
            <w:r>
              <w:rPr>
                <w:rFonts w:ascii="Arial" w:cs="Arial" w:eastAsia="Arial" w:hAnsi="Arial"/>
                <w:sz w:val="14"/>
                <w:szCs w:val="14"/>
                <w:color w:val="auto"/>
              </w:rPr>
              <w:t>10,000</w:t>
            </w:r>
          </w:p>
        </w:tc>
        <w:tc>
          <w:tcPr>
            <w:tcW w:w="1400" w:type="dxa"/>
            <w:vAlign w:val="bottom"/>
            <w:shd w:val="clear" w:color="auto" w:fill="DBE5F1"/>
          </w:tcPr>
          <w:p>
            <w:pPr>
              <w:spacing w:after="0"/>
              <w:rPr>
                <w:sz w:val="24"/>
                <w:szCs w:val="24"/>
                <w:color w:val="auto"/>
              </w:rPr>
            </w:pPr>
          </w:p>
        </w:tc>
        <w:tc>
          <w:tcPr>
            <w:tcW w:w="920" w:type="dxa"/>
            <w:vAlign w:val="bottom"/>
            <w:gridSpan w:val="3"/>
            <w:shd w:val="clear" w:color="auto" w:fill="DBE5F1"/>
          </w:tcPr>
          <w:p>
            <w:pPr>
              <w:jc w:val="right"/>
              <w:ind w:right="120"/>
              <w:spacing w:after="0"/>
              <w:rPr>
                <w:sz w:val="20"/>
                <w:szCs w:val="20"/>
                <w:color w:val="auto"/>
              </w:rPr>
            </w:pPr>
            <w:r>
              <w:rPr>
                <w:rFonts w:ascii="Arial" w:cs="Arial" w:eastAsia="Arial" w:hAnsi="Arial"/>
                <w:sz w:val="14"/>
                <w:szCs w:val="14"/>
                <w:color w:val="auto"/>
              </w:rPr>
              <w:t>$37.42</w:t>
            </w:r>
          </w:p>
        </w:tc>
        <w:tc>
          <w:tcPr>
            <w:tcW w:w="1040" w:type="dxa"/>
            <w:vAlign w:val="bottom"/>
            <w:shd w:val="clear" w:color="auto" w:fill="DBE5F1"/>
          </w:tcPr>
          <w:p>
            <w:pPr>
              <w:jc w:val="right"/>
              <w:spacing w:after="0"/>
              <w:rPr>
                <w:sz w:val="20"/>
                <w:szCs w:val="20"/>
                <w:color w:val="auto"/>
              </w:rPr>
            </w:pPr>
            <w:r>
              <w:rPr>
                <w:rFonts w:ascii="Arial" w:cs="Arial" w:eastAsia="Arial" w:hAnsi="Arial"/>
                <w:sz w:val="14"/>
                <w:szCs w:val="14"/>
                <w:color w:val="auto"/>
              </w:rPr>
              <w:t>7/15/2019</w:t>
            </w:r>
          </w:p>
        </w:tc>
        <w:tc>
          <w:tcPr>
            <w:tcW w:w="1240" w:type="dxa"/>
            <w:vAlign w:val="bottom"/>
            <w:shd w:val="clear" w:color="auto" w:fill="DBE5F1"/>
          </w:tcPr>
          <w:p>
            <w:pPr>
              <w:spacing w:after="0"/>
              <w:rPr>
                <w:sz w:val="24"/>
                <w:szCs w:val="24"/>
                <w:color w:val="auto"/>
              </w:rPr>
            </w:pPr>
          </w:p>
        </w:tc>
        <w:tc>
          <w:tcPr>
            <w:tcW w:w="1040" w:type="dxa"/>
            <w:vAlign w:val="bottom"/>
            <w:shd w:val="clear" w:color="auto" w:fill="DBE5F1"/>
          </w:tcPr>
          <w:p>
            <w:pPr>
              <w:spacing w:after="0"/>
              <w:rPr>
                <w:sz w:val="24"/>
                <w:szCs w:val="24"/>
                <w:color w:val="auto"/>
              </w:rPr>
            </w:pPr>
          </w:p>
        </w:tc>
        <w:tc>
          <w:tcPr>
            <w:tcW w:w="1160" w:type="dxa"/>
            <w:vAlign w:val="bottom"/>
            <w:shd w:val="clear" w:color="auto" w:fill="DBE5F1"/>
          </w:tcPr>
          <w:p>
            <w:pPr>
              <w:spacing w:after="0"/>
              <w:rPr>
                <w:sz w:val="24"/>
                <w:szCs w:val="24"/>
                <w:color w:val="auto"/>
              </w:rPr>
            </w:pPr>
          </w:p>
        </w:tc>
        <w:tc>
          <w:tcPr>
            <w:tcW w:w="1080" w:type="dxa"/>
            <w:vAlign w:val="bottom"/>
            <w:shd w:val="clear" w:color="auto" w:fill="DBE5F1"/>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1500" w:type="dxa"/>
            <w:vAlign w:val="bottom"/>
            <w:shd w:val="clear" w:color="auto" w:fill="DBE5F1"/>
          </w:tcPr>
          <w:p>
            <w:pPr>
              <w:spacing w:after="0"/>
              <w:rPr>
                <w:sz w:val="21"/>
                <w:szCs w:val="21"/>
                <w:color w:val="auto"/>
              </w:rPr>
            </w:pPr>
          </w:p>
        </w:tc>
        <w:tc>
          <w:tcPr>
            <w:tcW w:w="920" w:type="dxa"/>
            <w:vAlign w:val="bottom"/>
            <w:shd w:val="clear" w:color="auto" w:fill="DBE5F1"/>
          </w:tcPr>
          <w:p>
            <w:pPr>
              <w:jc w:val="right"/>
              <w:spacing w:after="0"/>
              <w:rPr>
                <w:sz w:val="20"/>
                <w:szCs w:val="20"/>
                <w:color w:val="auto"/>
              </w:rPr>
            </w:pPr>
            <w:r>
              <w:rPr>
                <w:rFonts w:ascii="Arial" w:cs="Arial" w:eastAsia="Arial" w:hAnsi="Arial"/>
                <w:sz w:val="14"/>
                <w:szCs w:val="14"/>
                <w:color w:val="auto"/>
              </w:rPr>
              <w:t>3/11/2013</w:t>
            </w:r>
          </w:p>
        </w:tc>
        <w:tc>
          <w:tcPr>
            <w:tcW w:w="1120" w:type="dxa"/>
            <w:vAlign w:val="bottom"/>
            <w:shd w:val="clear" w:color="auto" w:fill="DBE5F1"/>
          </w:tcPr>
          <w:p>
            <w:pPr>
              <w:jc w:val="right"/>
              <w:spacing w:after="0"/>
              <w:rPr>
                <w:sz w:val="20"/>
                <w:szCs w:val="20"/>
                <w:color w:val="auto"/>
              </w:rPr>
            </w:pPr>
            <w:r>
              <w:rPr>
                <w:rFonts w:ascii="Arial" w:cs="Arial" w:eastAsia="Arial" w:hAnsi="Arial"/>
                <w:sz w:val="14"/>
                <w:szCs w:val="14"/>
                <w:color w:val="auto"/>
              </w:rPr>
              <w:t>8,066</w:t>
            </w:r>
          </w:p>
        </w:tc>
        <w:tc>
          <w:tcPr>
            <w:tcW w:w="1400" w:type="dxa"/>
            <w:vAlign w:val="bottom"/>
            <w:shd w:val="clear" w:color="auto" w:fill="DBE5F1"/>
          </w:tcPr>
          <w:p>
            <w:pPr>
              <w:jc w:val="right"/>
              <w:spacing w:after="0"/>
              <w:rPr>
                <w:sz w:val="20"/>
                <w:szCs w:val="20"/>
                <w:color w:val="auto"/>
              </w:rPr>
            </w:pPr>
            <w:r>
              <w:rPr>
                <w:rFonts w:ascii="Arial" w:cs="Arial" w:eastAsia="Arial" w:hAnsi="Arial"/>
                <w:sz w:val="14"/>
                <w:szCs w:val="14"/>
                <w:color w:val="auto"/>
              </w:rPr>
              <w:t>4,034</w:t>
            </w:r>
          </w:p>
        </w:tc>
        <w:tc>
          <w:tcPr>
            <w:tcW w:w="920" w:type="dxa"/>
            <w:vAlign w:val="bottom"/>
            <w:gridSpan w:val="3"/>
            <w:shd w:val="clear" w:color="auto" w:fill="DBE5F1"/>
          </w:tcPr>
          <w:p>
            <w:pPr>
              <w:jc w:val="right"/>
              <w:ind w:right="120"/>
              <w:spacing w:after="0"/>
              <w:rPr>
                <w:sz w:val="20"/>
                <w:szCs w:val="20"/>
                <w:color w:val="auto"/>
              </w:rPr>
            </w:pPr>
            <w:r>
              <w:rPr>
                <w:rFonts w:ascii="Arial" w:cs="Arial" w:eastAsia="Arial" w:hAnsi="Arial"/>
                <w:sz w:val="14"/>
                <w:szCs w:val="14"/>
                <w:color w:val="auto"/>
              </w:rPr>
              <w:t>$102.16</w:t>
            </w:r>
          </w:p>
        </w:tc>
        <w:tc>
          <w:tcPr>
            <w:tcW w:w="1040" w:type="dxa"/>
            <w:vAlign w:val="bottom"/>
            <w:shd w:val="clear" w:color="auto" w:fill="DBE5F1"/>
          </w:tcPr>
          <w:p>
            <w:pPr>
              <w:jc w:val="right"/>
              <w:spacing w:after="0"/>
              <w:rPr>
                <w:sz w:val="20"/>
                <w:szCs w:val="20"/>
                <w:color w:val="auto"/>
              </w:rPr>
            </w:pPr>
            <w:r>
              <w:rPr>
                <w:rFonts w:ascii="Arial" w:cs="Arial" w:eastAsia="Arial" w:hAnsi="Arial"/>
                <w:sz w:val="14"/>
                <w:szCs w:val="14"/>
                <w:color w:val="auto"/>
              </w:rPr>
              <w:t>3/10/2023</w:t>
            </w:r>
          </w:p>
        </w:tc>
        <w:tc>
          <w:tcPr>
            <w:tcW w:w="1240" w:type="dxa"/>
            <w:vAlign w:val="bottom"/>
            <w:shd w:val="clear" w:color="auto" w:fill="DBE5F1"/>
          </w:tcPr>
          <w:p>
            <w:pPr>
              <w:spacing w:after="0"/>
              <w:rPr>
                <w:sz w:val="21"/>
                <w:szCs w:val="21"/>
                <w:color w:val="auto"/>
              </w:rPr>
            </w:pPr>
          </w:p>
        </w:tc>
        <w:tc>
          <w:tcPr>
            <w:tcW w:w="1040" w:type="dxa"/>
            <w:vAlign w:val="bottom"/>
            <w:shd w:val="clear" w:color="auto" w:fill="DBE5F1"/>
          </w:tcPr>
          <w:p>
            <w:pPr>
              <w:spacing w:after="0"/>
              <w:rPr>
                <w:sz w:val="21"/>
                <w:szCs w:val="21"/>
                <w:color w:val="auto"/>
              </w:rPr>
            </w:pPr>
          </w:p>
        </w:tc>
        <w:tc>
          <w:tcPr>
            <w:tcW w:w="1160" w:type="dxa"/>
            <w:vAlign w:val="bottom"/>
            <w:shd w:val="clear" w:color="auto" w:fill="DBE5F1"/>
          </w:tcPr>
          <w:p>
            <w:pPr>
              <w:spacing w:after="0"/>
              <w:rPr>
                <w:sz w:val="21"/>
                <w:szCs w:val="21"/>
                <w:color w:val="auto"/>
              </w:rPr>
            </w:pPr>
          </w:p>
        </w:tc>
        <w:tc>
          <w:tcPr>
            <w:tcW w:w="1080" w:type="dxa"/>
            <w:vAlign w:val="bottom"/>
            <w:shd w:val="clear" w:color="auto" w:fill="DBE5F1"/>
          </w:tcPr>
          <w:p>
            <w:pPr>
              <w:spacing w:after="0"/>
              <w:rPr>
                <w:sz w:val="21"/>
                <w:szCs w:val="21"/>
                <w:color w:val="auto"/>
              </w:rPr>
            </w:pPr>
          </w:p>
        </w:tc>
        <w:tc>
          <w:tcPr>
            <w:tcW w:w="0" w:type="dxa"/>
            <w:vAlign w:val="bottom"/>
          </w:tcPr>
          <w:p>
            <w:pPr>
              <w:spacing w:after="0"/>
              <w:rPr>
                <w:sz w:val="1"/>
                <w:szCs w:val="1"/>
                <w:color w:val="auto"/>
              </w:rPr>
            </w:pPr>
          </w:p>
        </w:tc>
      </w:tr>
      <w:tr>
        <w:trPr>
          <w:trHeight w:val="284"/>
        </w:trPr>
        <w:tc>
          <w:tcPr>
            <w:tcW w:w="1500" w:type="dxa"/>
            <w:vAlign w:val="bottom"/>
            <w:vMerge w:val="restart"/>
            <w:shd w:val="clear" w:color="auto" w:fill="DBE5F1"/>
          </w:tcPr>
          <w:p>
            <w:pPr>
              <w:ind w:left="40"/>
              <w:spacing w:after="0"/>
              <w:rPr>
                <w:sz w:val="20"/>
                <w:szCs w:val="20"/>
                <w:color w:val="auto"/>
              </w:rPr>
            </w:pPr>
            <w:r>
              <w:rPr>
                <w:rFonts w:ascii="Arial" w:cs="Arial" w:eastAsia="Arial" w:hAnsi="Arial"/>
                <w:sz w:val="16"/>
                <w:szCs w:val="16"/>
                <w:b w:val="1"/>
                <w:bCs w:val="1"/>
                <w:color w:val="auto"/>
                <w:w w:val="98"/>
              </w:rPr>
              <w:t>Francis A Carchedi</w:t>
            </w:r>
          </w:p>
        </w:tc>
        <w:tc>
          <w:tcPr>
            <w:tcW w:w="920" w:type="dxa"/>
            <w:vAlign w:val="bottom"/>
            <w:shd w:val="clear" w:color="auto" w:fill="DBE5F1"/>
          </w:tcPr>
          <w:p>
            <w:pPr>
              <w:jc w:val="right"/>
              <w:spacing w:after="0"/>
              <w:rPr>
                <w:sz w:val="20"/>
                <w:szCs w:val="20"/>
                <w:color w:val="auto"/>
              </w:rPr>
            </w:pPr>
            <w:r>
              <w:rPr>
                <w:rFonts w:ascii="Arial" w:cs="Arial" w:eastAsia="Arial" w:hAnsi="Arial"/>
                <w:sz w:val="14"/>
                <w:szCs w:val="14"/>
                <w:color w:val="auto"/>
              </w:rPr>
              <w:t>2/28/2014</w:t>
            </w:r>
          </w:p>
        </w:tc>
        <w:tc>
          <w:tcPr>
            <w:tcW w:w="1120" w:type="dxa"/>
            <w:vAlign w:val="bottom"/>
            <w:shd w:val="clear" w:color="auto" w:fill="DBE5F1"/>
          </w:tcPr>
          <w:p>
            <w:pPr>
              <w:jc w:val="right"/>
              <w:spacing w:after="0"/>
              <w:rPr>
                <w:sz w:val="20"/>
                <w:szCs w:val="20"/>
                <w:color w:val="auto"/>
              </w:rPr>
            </w:pPr>
            <w:r>
              <w:rPr>
                <w:rFonts w:ascii="Arial" w:cs="Arial" w:eastAsia="Arial" w:hAnsi="Arial"/>
                <w:sz w:val="14"/>
                <w:szCs w:val="14"/>
                <w:color w:val="auto"/>
              </w:rPr>
              <w:t>3,700</w:t>
            </w:r>
          </w:p>
        </w:tc>
        <w:tc>
          <w:tcPr>
            <w:tcW w:w="1400" w:type="dxa"/>
            <w:vAlign w:val="bottom"/>
            <w:shd w:val="clear" w:color="auto" w:fill="DBE5F1"/>
          </w:tcPr>
          <w:p>
            <w:pPr>
              <w:jc w:val="right"/>
              <w:spacing w:after="0"/>
              <w:rPr>
                <w:sz w:val="20"/>
                <w:szCs w:val="20"/>
                <w:color w:val="auto"/>
              </w:rPr>
            </w:pPr>
            <w:r>
              <w:rPr>
                <w:rFonts w:ascii="Arial" w:cs="Arial" w:eastAsia="Arial" w:hAnsi="Arial"/>
                <w:sz w:val="14"/>
                <w:szCs w:val="14"/>
                <w:color w:val="auto"/>
              </w:rPr>
              <w:t>7,400</w:t>
            </w:r>
          </w:p>
        </w:tc>
        <w:tc>
          <w:tcPr>
            <w:tcW w:w="920" w:type="dxa"/>
            <w:vAlign w:val="bottom"/>
            <w:gridSpan w:val="3"/>
            <w:shd w:val="clear" w:color="auto" w:fill="DBE5F1"/>
          </w:tcPr>
          <w:p>
            <w:pPr>
              <w:jc w:val="right"/>
              <w:ind w:right="120"/>
              <w:spacing w:after="0"/>
              <w:rPr>
                <w:sz w:val="20"/>
                <w:szCs w:val="20"/>
                <w:color w:val="auto"/>
              </w:rPr>
            </w:pPr>
            <w:r>
              <w:rPr>
                <w:rFonts w:ascii="Arial" w:cs="Arial" w:eastAsia="Arial" w:hAnsi="Arial"/>
                <w:sz w:val="14"/>
                <w:szCs w:val="14"/>
                <w:color w:val="auto"/>
              </w:rPr>
              <w:t>$201.04</w:t>
            </w:r>
          </w:p>
        </w:tc>
        <w:tc>
          <w:tcPr>
            <w:tcW w:w="1040" w:type="dxa"/>
            <w:vAlign w:val="bottom"/>
            <w:shd w:val="clear" w:color="auto" w:fill="DBE5F1"/>
          </w:tcPr>
          <w:p>
            <w:pPr>
              <w:jc w:val="right"/>
              <w:spacing w:after="0"/>
              <w:rPr>
                <w:sz w:val="20"/>
                <w:szCs w:val="20"/>
                <w:color w:val="auto"/>
              </w:rPr>
            </w:pPr>
            <w:r>
              <w:rPr>
                <w:rFonts w:ascii="Arial" w:cs="Arial" w:eastAsia="Arial" w:hAnsi="Arial"/>
                <w:sz w:val="14"/>
                <w:szCs w:val="14"/>
                <w:color w:val="auto"/>
              </w:rPr>
              <w:t>2/27/2024</w:t>
            </w:r>
          </w:p>
        </w:tc>
        <w:tc>
          <w:tcPr>
            <w:tcW w:w="1240" w:type="dxa"/>
            <w:vAlign w:val="bottom"/>
            <w:shd w:val="clear" w:color="auto" w:fill="DBE5F1"/>
          </w:tcPr>
          <w:p>
            <w:pPr>
              <w:spacing w:after="0"/>
              <w:rPr>
                <w:sz w:val="24"/>
                <w:szCs w:val="24"/>
                <w:color w:val="auto"/>
              </w:rPr>
            </w:pPr>
          </w:p>
        </w:tc>
        <w:tc>
          <w:tcPr>
            <w:tcW w:w="1040" w:type="dxa"/>
            <w:vAlign w:val="bottom"/>
            <w:shd w:val="clear" w:color="auto" w:fill="DBE5F1"/>
          </w:tcPr>
          <w:p>
            <w:pPr>
              <w:spacing w:after="0"/>
              <w:rPr>
                <w:sz w:val="24"/>
                <w:szCs w:val="24"/>
                <w:color w:val="auto"/>
              </w:rPr>
            </w:pPr>
          </w:p>
        </w:tc>
        <w:tc>
          <w:tcPr>
            <w:tcW w:w="1160" w:type="dxa"/>
            <w:vAlign w:val="bottom"/>
            <w:shd w:val="clear" w:color="auto" w:fill="DBE5F1"/>
          </w:tcPr>
          <w:p>
            <w:pPr>
              <w:spacing w:after="0"/>
              <w:rPr>
                <w:sz w:val="24"/>
                <w:szCs w:val="24"/>
                <w:color w:val="auto"/>
              </w:rPr>
            </w:pPr>
          </w:p>
        </w:tc>
        <w:tc>
          <w:tcPr>
            <w:tcW w:w="1080" w:type="dxa"/>
            <w:vAlign w:val="bottom"/>
            <w:shd w:val="clear" w:color="auto" w:fill="DBE5F1"/>
          </w:tcPr>
          <w:p>
            <w:pPr>
              <w:spacing w:after="0"/>
              <w:rPr>
                <w:sz w:val="24"/>
                <w:szCs w:val="24"/>
                <w:color w:val="auto"/>
              </w:rPr>
            </w:pPr>
          </w:p>
        </w:tc>
        <w:tc>
          <w:tcPr>
            <w:tcW w:w="0" w:type="dxa"/>
            <w:vAlign w:val="bottom"/>
          </w:tcPr>
          <w:p>
            <w:pPr>
              <w:spacing w:after="0"/>
              <w:rPr>
                <w:sz w:val="1"/>
                <w:szCs w:val="1"/>
                <w:color w:val="auto"/>
              </w:rPr>
            </w:pPr>
          </w:p>
        </w:tc>
      </w:tr>
      <w:tr>
        <w:trPr>
          <w:trHeight w:val="114"/>
        </w:trPr>
        <w:tc>
          <w:tcPr>
            <w:tcW w:w="1500" w:type="dxa"/>
            <w:vAlign w:val="bottom"/>
            <w:vMerge w:val="continue"/>
            <w:shd w:val="clear" w:color="auto" w:fill="DBE5F1"/>
          </w:tcPr>
          <w:p>
            <w:pPr>
              <w:spacing w:after="0"/>
              <w:rPr>
                <w:sz w:val="9"/>
                <w:szCs w:val="9"/>
                <w:color w:val="auto"/>
              </w:rPr>
            </w:pPr>
          </w:p>
        </w:tc>
        <w:tc>
          <w:tcPr>
            <w:tcW w:w="920" w:type="dxa"/>
            <w:vAlign w:val="bottom"/>
            <w:vMerge w:val="restart"/>
            <w:shd w:val="clear" w:color="auto" w:fill="DBE5F1"/>
          </w:tcPr>
          <w:p>
            <w:pPr>
              <w:jc w:val="right"/>
              <w:spacing w:after="0"/>
              <w:rPr>
                <w:sz w:val="20"/>
                <w:szCs w:val="20"/>
                <w:color w:val="auto"/>
              </w:rPr>
            </w:pPr>
            <w:r>
              <w:rPr>
                <w:rFonts w:ascii="Arial" w:cs="Arial" w:eastAsia="Arial" w:hAnsi="Arial"/>
                <w:sz w:val="14"/>
                <w:szCs w:val="14"/>
                <w:color w:val="auto"/>
              </w:rPr>
              <w:t>3/5/2015</w:t>
            </w:r>
          </w:p>
        </w:tc>
        <w:tc>
          <w:tcPr>
            <w:tcW w:w="1120" w:type="dxa"/>
            <w:vAlign w:val="bottom"/>
            <w:shd w:val="clear" w:color="auto" w:fill="DBE5F1"/>
          </w:tcPr>
          <w:p>
            <w:pPr>
              <w:spacing w:after="0"/>
              <w:rPr>
                <w:sz w:val="9"/>
                <w:szCs w:val="9"/>
                <w:color w:val="auto"/>
              </w:rPr>
            </w:pPr>
          </w:p>
        </w:tc>
        <w:tc>
          <w:tcPr>
            <w:tcW w:w="1400" w:type="dxa"/>
            <w:vAlign w:val="bottom"/>
            <w:vMerge w:val="restart"/>
            <w:shd w:val="clear" w:color="auto" w:fill="DBE5F1"/>
          </w:tcPr>
          <w:p>
            <w:pPr>
              <w:jc w:val="right"/>
              <w:spacing w:after="0"/>
              <w:rPr>
                <w:sz w:val="20"/>
                <w:szCs w:val="20"/>
                <w:color w:val="auto"/>
              </w:rPr>
            </w:pPr>
            <w:r>
              <w:rPr>
                <w:rFonts w:ascii="Arial" w:cs="Arial" w:eastAsia="Arial" w:hAnsi="Arial"/>
                <w:sz w:val="14"/>
                <w:szCs w:val="14"/>
                <w:color w:val="auto"/>
              </w:rPr>
              <w:t>8,500</w:t>
            </w:r>
          </w:p>
        </w:tc>
        <w:tc>
          <w:tcPr>
            <w:tcW w:w="920" w:type="dxa"/>
            <w:vAlign w:val="bottom"/>
            <w:gridSpan w:val="3"/>
            <w:vMerge w:val="restart"/>
            <w:shd w:val="clear" w:color="auto" w:fill="DBE5F1"/>
          </w:tcPr>
          <w:p>
            <w:pPr>
              <w:jc w:val="right"/>
              <w:ind w:right="120"/>
              <w:spacing w:after="0"/>
              <w:rPr>
                <w:sz w:val="20"/>
                <w:szCs w:val="20"/>
                <w:color w:val="auto"/>
              </w:rPr>
            </w:pPr>
            <w:r>
              <w:rPr>
                <w:rFonts w:ascii="Arial" w:cs="Arial" w:eastAsia="Arial" w:hAnsi="Arial"/>
                <w:sz w:val="14"/>
                <w:szCs w:val="14"/>
                <w:color w:val="auto"/>
              </w:rPr>
              <w:t>$193.69</w:t>
            </w:r>
          </w:p>
        </w:tc>
        <w:tc>
          <w:tcPr>
            <w:tcW w:w="1040" w:type="dxa"/>
            <w:vAlign w:val="bottom"/>
            <w:vMerge w:val="restart"/>
            <w:shd w:val="clear" w:color="auto" w:fill="DBE5F1"/>
          </w:tcPr>
          <w:p>
            <w:pPr>
              <w:jc w:val="right"/>
              <w:spacing w:after="0"/>
              <w:rPr>
                <w:sz w:val="20"/>
                <w:szCs w:val="20"/>
                <w:color w:val="auto"/>
              </w:rPr>
            </w:pPr>
            <w:r>
              <w:rPr>
                <w:rFonts w:ascii="Arial" w:cs="Arial" w:eastAsia="Arial" w:hAnsi="Arial"/>
                <w:sz w:val="14"/>
                <w:szCs w:val="14"/>
                <w:color w:val="auto"/>
              </w:rPr>
              <w:t>3/4/2025</w:t>
            </w:r>
          </w:p>
        </w:tc>
        <w:tc>
          <w:tcPr>
            <w:tcW w:w="1240" w:type="dxa"/>
            <w:vAlign w:val="bottom"/>
            <w:shd w:val="clear" w:color="auto" w:fill="DBE5F1"/>
          </w:tcPr>
          <w:p>
            <w:pPr>
              <w:spacing w:after="0"/>
              <w:rPr>
                <w:sz w:val="9"/>
                <w:szCs w:val="9"/>
                <w:color w:val="auto"/>
              </w:rPr>
            </w:pPr>
          </w:p>
        </w:tc>
        <w:tc>
          <w:tcPr>
            <w:tcW w:w="1040" w:type="dxa"/>
            <w:vAlign w:val="bottom"/>
            <w:shd w:val="clear" w:color="auto" w:fill="DBE5F1"/>
          </w:tcPr>
          <w:p>
            <w:pPr>
              <w:spacing w:after="0"/>
              <w:rPr>
                <w:sz w:val="9"/>
                <w:szCs w:val="9"/>
                <w:color w:val="auto"/>
              </w:rPr>
            </w:pPr>
          </w:p>
        </w:tc>
        <w:tc>
          <w:tcPr>
            <w:tcW w:w="1160" w:type="dxa"/>
            <w:vAlign w:val="bottom"/>
            <w:shd w:val="clear" w:color="auto" w:fill="DBE5F1"/>
          </w:tcPr>
          <w:p>
            <w:pPr>
              <w:spacing w:after="0"/>
              <w:rPr>
                <w:sz w:val="9"/>
                <w:szCs w:val="9"/>
                <w:color w:val="auto"/>
              </w:rPr>
            </w:pPr>
          </w:p>
        </w:tc>
        <w:tc>
          <w:tcPr>
            <w:tcW w:w="1080" w:type="dxa"/>
            <w:vAlign w:val="bottom"/>
            <w:shd w:val="clear" w:color="auto" w:fill="DBE5F1"/>
          </w:tcPr>
          <w:p>
            <w:pPr>
              <w:spacing w:after="0"/>
              <w:rPr>
                <w:sz w:val="9"/>
                <w:szCs w:val="9"/>
                <w:color w:val="auto"/>
              </w:rPr>
            </w:pPr>
          </w:p>
        </w:tc>
        <w:tc>
          <w:tcPr>
            <w:tcW w:w="0" w:type="dxa"/>
            <w:vAlign w:val="bottom"/>
          </w:tcPr>
          <w:p>
            <w:pPr>
              <w:spacing w:after="0"/>
              <w:rPr>
                <w:sz w:val="1"/>
                <w:szCs w:val="1"/>
                <w:color w:val="auto"/>
              </w:rPr>
            </w:pPr>
          </w:p>
        </w:tc>
      </w:tr>
      <w:tr>
        <w:trPr>
          <w:trHeight w:val="170"/>
        </w:trPr>
        <w:tc>
          <w:tcPr>
            <w:tcW w:w="1500" w:type="dxa"/>
            <w:vAlign w:val="bottom"/>
            <w:shd w:val="clear" w:color="auto" w:fill="DBE5F1"/>
          </w:tcPr>
          <w:p>
            <w:pPr>
              <w:spacing w:after="0"/>
              <w:rPr>
                <w:sz w:val="14"/>
                <w:szCs w:val="14"/>
                <w:color w:val="auto"/>
              </w:rPr>
            </w:pPr>
          </w:p>
        </w:tc>
        <w:tc>
          <w:tcPr>
            <w:tcW w:w="920" w:type="dxa"/>
            <w:vAlign w:val="bottom"/>
            <w:vMerge w:val="continue"/>
            <w:shd w:val="clear" w:color="auto" w:fill="DBE5F1"/>
          </w:tcPr>
          <w:p>
            <w:pPr>
              <w:spacing w:after="0"/>
              <w:rPr>
                <w:sz w:val="14"/>
                <w:szCs w:val="14"/>
                <w:color w:val="auto"/>
              </w:rPr>
            </w:pPr>
          </w:p>
        </w:tc>
        <w:tc>
          <w:tcPr>
            <w:tcW w:w="1120" w:type="dxa"/>
            <w:vAlign w:val="bottom"/>
            <w:shd w:val="clear" w:color="auto" w:fill="DBE5F1"/>
          </w:tcPr>
          <w:p>
            <w:pPr>
              <w:spacing w:after="0"/>
              <w:rPr>
                <w:sz w:val="14"/>
                <w:szCs w:val="14"/>
                <w:color w:val="auto"/>
              </w:rPr>
            </w:pPr>
          </w:p>
        </w:tc>
        <w:tc>
          <w:tcPr>
            <w:tcW w:w="1400" w:type="dxa"/>
            <w:vAlign w:val="bottom"/>
            <w:vMerge w:val="continue"/>
            <w:shd w:val="clear" w:color="auto" w:fill="DBE5F1"/>
          </w:tcPr>
          <w:p>
            <w:pPr>
              <w:spacing w:after="0"/>
              <w:rPr>
                <w:sz w:val="14"/>
                <w:szCs w:val="14"/>
                <w:color w:val="auto"/>
              </w:rPr>
            </w:pPr>
          </w:p>
        </w:tc>
        <w:tc>
          <w:tcPr>
            <w:tcW w:w="920" w:type="dxa"/>
            <w:vAlign w:val="bottom"/>
            <w:gridSpan w:val="3"/>
            <w:vMerge w:val="continue"/>
            <w:shd w:val="clear" w:color="auto" w:fill="DBE5F1"/>
          </w:tcPr>
          <w:p>
            <w:pPr>
              <w:spacing w:after="0"/>
              <w:rPr>
                <w:sz w:val="14"/>
                <w:szCs w:val="14"/>
                <w:color w:val="auto"/>
              </w:rPr>
            </w:pPr>
          </w:p>
        </w:tc>
        <w:tc>
          <w:tcPr>
            <w:tcW w:w="1040" w:type="dxa"/>
            <w:vAlign w:val="bottom"/>
            <w:vMerge w:val="continue"/>
            <w:shd w:val="clear" w:color="auto" w:fill="DBE5F1"/>
          </w:tcPr>
          <w:p>
            <w:pPr>
              <w:spacing w:after="0"/>
              <w:rPr>
                <w:sz w:val="14"/>
                <w:szCs w:val="14"/>
                <w:color w:val="auto"/>
              </w:rPr>
            </w:pPr>
          </w:p>
        </w:tc>
        <w:tc>
          <w:tcPr>
            <w:tcW w:w="1240" w:type="dxa"/>
            <w:vAlign w:val="bottom"/>
            <w:shd w:val="clear" w:color="auto" w:fill="DBE5F1"/>
          </w:tcPr>
          <w:p>
            <w:pPr>
              <w:spacing w:after="0"/>
              <w:rPr>
                <w:sz w:val="14"/>
                <w:szCs w:val="14"/>
                <w:color w:val="auto"/>
              </w:rPr>
            </w:pPr>
          </w:p>
        </w:tc>
        <w:tc>
          <w:tcPr>
            <w:tcW w:w="1040" w:type="dxa"/>
            <w:vAlign w:val="bottom"/>
            <w:shd w:val="clear" w:color="auto" w:fill="DBE5F1"/>
          </w:tcPr>
          <w:p>
            <w:pPr>
              <w:spacing w:after="0"/>
              <w:rPr>
                <w:sz w:val="14"/>
                <w:szCs w:val="14"/>
                <w:color w:val="auto"/>
              </w:rPr>
            </w:pPr>
          </w:p>
        </w:tc>
        <w:tc>
          <w:tcPr>
            <w:tcW w:w="1160" w:type="dxa"/>
            <w:vAlign w:val="bottom"/>
            <w:shd w:val="clear" w:color="auto" w:fill="DBE5F1"/>
          </w:tcPr>
          <w:p>
            <w:pPr>
              <w:spacing w:after="0"/>
              <w:rPr>
                <w:sz w:val="14"/>
                <w:szCs w:val="14"/>
                <w:color w:val="auto"/>
              </w:rPr>
            </w:pPr>
          </w:p>
        </w:tc>
        <w:tc>
          <w:tcPr>
            <w:tcW w:w="1080" w:type="dxa"/>
            <w:vAlign w:val="bottom"/>
            <w:shd w:val="clear" w:color="auto" w:fill="DBE5F1"/>
          </w:tcPr>
          <w:p>
            <w:pPr>
              <w:spacing w:after="0"/>
              <w:rPr>
                <w:sz w:val="14"/>
                <w:szCs w:val="14"/>
                <w:color w:val="auto"/>
              </w:rPr>
            </w:pPr>
          </w:p>
        </w:tc>
        <w:tc>
          <w:tcPr>
            <w:tcW w:w="0" w:type="dxa"/>
            <w:vAlign w:val="bottom"/>
          </w:tcPr>
          <w:p>
            <w:pPr>
              <w:spacing w:after="0"/>
              <w:rPr>
                <w:sz w:val="1"/>
                <w:szCs w:val="1"/>
                <w:color w:val="auto"/>
              </w:rPr>
            </w:pPr>
          </w:p>
        </w:tc>
      </w:tr>
      <w:tr>
        <w:trPr>
          <w:trHeight w:val="284"/>
        </w:trPr>
        <w:tc>
          <w:tcPr>
            <w:tcW w:w="1500" w:type="dxa"/>
            <w:vAlign w:val="bottom"/>
            <w:shd w:val="clear" w:color="auto" w:fill="DBE5F1"/>
          </w:tcPr>
          <w:p>
            <w:pPr>
              <w:spacing w:after="0"/>
              <w:rPr>
                <w:sz w:val="24"/>
                <w:szCs w:val="24"/>
                <w:color w:val="auto"/>
              </w:rPr>
            </w:pPr>
          </w:p>
        </w:tc>
        <w:tc>
          <w:tcPr>
            <w:tcW w:w="920" w:type="dxa"/>
            <w:vAlign w:val="bottom"/>
            <w:shd w:val="clear" w:color="auto" w:fill="DBE5F1"/>
          </w:tcPr>
          <w:p>
            <w:pPr>
              <w:spacing w:after="0"/>
              <w:rPr>
                <w:sz w:val="24"/>
                <w:szCs w:val="24"/>
                <w:color w:val="auto"/>
              </w:rPr>
            </w:pPr>
          </w:p>
        </w:tc>
        <w:tc>
          <w:tcPr>
            <w:tcW w:w="1120" w:type="dxa"/>
            <w:vAlign w:val="bottom"/>
            <w:shd w:val="clear" w:color="auto" w:fill="DBE5F1"/>
          </w:tcPr>
          <w:p>
            <w:pPr>
              <w:spacing w:after="0"/>
              <w:rPr>
                <w:sz w:val="24"/>
                <w:szCs w:val="24"/>
                <w:color w:val="auto"/>
              </w:rPr>
            </w:pPr>
          </w:p>
        </w:tc>
        <w:tc>
          <w:tcPr>
            <w:tcW w:w="1400" w:type="dxa"/>
            <w:vAlign w:val="bottom"/>
            <w:shd w:val="clear" w:color="auto" w:fill="DBE5F1"/>
          </w:tcPr>
          <w:p>
            <w:pPr>
              <w:spacing w:after="0"/>
              <w:rPr>
                <w:sz w:val="24"/>
                <w:szCs w:val="24"/>
                <w:color w:val="auto"/>
              </w:rPr>
            </w:pPr>
          </w:p>
        </w:tc>
        <w:tc>
          <w:tcPr>
            <w:tcW w:w="120" w:type="dxa"/>
            <w:vAlign w:val="bottom"/>
            <w:shd w:val="clear" w:color="auto" w:fill="DBE5F1"/>
          </w:tcPr>
          <w:p>
            <w:pPr>
              <w:spacing w:after="0"/>
              <w:rPr>
                <w:sz w:val="24"/>
                <w:szCs w:val="24"/>
                <w:color w:val="auto"/>
              </w:rPr>
            </w:pPr>
          </w:p>
        </w:tc>
        <w:tc>
          <w:tcPr>
            <w:tcW w:w="680" w:type="dxa"/>
            <w:vAlign w:val="bottom"/>
            <w:shd w:val="clear" w:color="auto" w:fill="DBE5F1"/>
          </w:tcPr>
          <w:p>
            <w:pPr>
              <w:spacing w:after="0"/>
              <w:rPr>
                <w:sz w:val="24"/>
                <w:szCs w:val="24"/>
                <w:color w:val="auto"/>
              </w:rPr>
            </w:pPr>
          </w:p>
        </w:tc>
        <w:tc>
          <w:tcPr>
            <w:tcW w:w="120" w:type="dxa"/>
            <w:vAlign w:val="bottom"/>
            <w:shd w:val="clear" w:color="auto" w:fill="DBE5F1"/>
          </w:tcPr>
          <w:p>
            <w:pPr>
              <w:spacing w:after="0"/>
              <w:rPr>
                <w:sz w:val="24"/>
                <w:szCs w:val="24"/>
                <w:color w:val="auto"/>
              </w:rPr>
            </w:pPr>
          </w:p>
        </w:tc>
        <w:tc>
          <w:tcPr>
            <w:tcW w:w="1040" w:type="dxa"/>
            <w:vAlign w:val="bottom"/>
            <w:shd w:val="clear" w:color="auto" w:fill="DBE5F1"/>
          </w:tcPr>
          <w:p>
            <w:pPr>
              <w:spacing w:after="0"/>
              <w:rPr>
                <w:sz w:val="24"/>
                <w:szCs w:val="24"/>
                <w:color w:val="auto"/>
              </w:rPr>
            </w:pPr>
          </w:p>
        </w:tc>
        <w:tc>
          <w:tcPr>
            <w:tcW w:w="1240" w:type="dxa"/>
            <w:vAlign w:val="bottom"/>
            <w:shd w:val="clear" w:color="auto" w:fill="DBE5F1"/>
          </w:tcPr>
          <w:p>
            <w:pPr>
              <w:jc w:val="right"/>
              <w:ind w:right="48"/>
              <w:spacing w:after="0"/>
              <w:rPr>
                <w:sz w:val="20"/>
                <w:szCs w:val="20"/>
                <w:color w:val="auto"/>
              </w:rPr>
            </w:pPr>
            <w:r>
              <w:rPr>
                <w:rFonts w:ascii="Arial" w:cs="Arial" w:eastAsia="Arial" w:hAnsi="Arial"/>
                <w:sz w:val="14"/>
                <w:szCs w:val="14"/>
                <w:color w:val="auto"/>
              </w:rPr>
              <w:t>10,800</w:t>
            </w:r>
            <w:r>
              <w:rPr>
                <w:rFonts w:ascii="Arial" w:cs="Arial" w:eastAsia="Arial" w:hAnsi="Arial"/>
                <w:sz w:val="8"/>
                <w:szCs w:val="8"/>
                <w:color w:val="auto"/>
              </w:rPr>
              <w:t>(4d)</w:t>
            </w:r>
          </w:p>
        </w:tc>
        <w:tc>
          <w:tcPr>
            <w:tcW w:w="1040" w:type="dxa"/>
            <w:vAlign w:val="bottom"/>
            <w:shd w:val="clear" w:color="auto" w:fill="DBE5F1"/>
          </w:tcPr>
          <w:p>
            <w:pPr>
              <w:jc w:val="right"/>
              <w:ind w:right="47"/>
              <w:spacing w:after="0"/>
              <w:rPr>
                <w:sz w:val="20"/>
                <w:szCs w:val="20"/>
                <w:color w:val="auto"/>
              </w:rPr>
            </w:pPr>
            <w:r>
              <w:rPr>
                <w:rFonts w:ascii="Arial" w:cs="Arial" w:eastAsia="Arial" w:hAnsi="Arial"/>
                <w:sz w:val="14"/>
                <w:szCs w:val="14"/>
                <w:color w:val="auto"/>
              </w:rPr>
              <w:t>$2,232,252</w:t>
            </w:r>
          </w:p>
        </w:tc>
        <w:tc>
          <w:tcPr>
            <w:tcW w:w="1160" w:type="dxa"/>
            <w:vAlign w:val="bottom"/>
            <w:shd w:val="clear" w:color="auto" w:fill="DBE5F1"/>
          </w:tcPr>
          <w:p>
            <w:pPr>
              <w:spacing w:after="0"/>
              <w:rPr>
                <w:sz w:val="24"/>
                <w:szCs w:val="24"/>
                <w:color w:val="auto"/>
              </w:rPr>
            </w:pPr>
          </w:p>
        </w:tc>
        <w:tc>
          <w:tcPr>
            <w:tcW w:w="1080" w:type="dxa"/>
            <w:vAlign w:val="bottom"/>
            <w:shd w:val="clear" w:color="auto" w:fill="DBE5F1"/>
          </w:tcPr>
          <w:p>
            <w:pPr>
              <w:spacing w:after="0"/>
              <w:rPr>
                <w:sz w:val="24"/>
                <w:szCs w:val="24"/>
                <w:color w:val="auto"/>
              </w:rPr>
            </w:pPr>
          </w:p>
        </w:tc>
        <w:tc>
          <w:tcPr>
            <w:tcW w:w="0" w:type="dxa"/>
            <w:vAlign w:val="bottom"/>
          </w:tcPr>
          <w:p>
            <w:pPr>
              <w:spacing w:after="0"/>
              <w:rPr>
                <w:sz w:val="1"/>
                <w:szCs w:val="1"/>
                <w:color w:val="auto"/>
              </w:rPr>
            </w:pPr>
          </w:p>
        </w:tc>
      </w:tr>
      <w:tr>
        <w:trPr>
          <w:trHeight w:val="316"/>
        </w:trPr>
        <w:tc>
          <w:tcPr>
            <w:tcW w:w="1500" w:type="dxa"/>
            <w:vAlign w:val="bottom"/>
            <w:tcBorders>
              <w:bottom w:val="single" w:sz="8" w:color="DBE5F1"/>
            </w:tcBorders>
            <w:shd w:val="clear" w:color="auto" w:fill="DBE5F1"/>
          </w:tcPr>
          <w:p>
            <w:pPr>
              <w:spacing w:after="0"/>
              <w:rPr>
                <w:sz w:val="24"/>
                <w:szCs w:val="24"/>
                <w:color w:val="auto"/>
              </w:rPr>
            </w:pPr>
          </w:p>
        </w:tc>
        <w:tc>
          <w:tcPr>
            <w:tcW w:w="920" w:type="dxa"/>
            <w:vAlign w:val="bottom"/>
            <w:tcBorders>
              <w:bottom w:val="single" w:sz="8" w:color="DBE5F1"/>
            </w:tcBorders>
            <w:shd w:val="clear" w:color="auto" w:fill="DBE5F1"/>
          </w:tcPr>
          <w:p>
            <w:pPr>
              <w:spacing w:after="0"/>
              <w:rPr>
                <w:sz w:val="24"/>
                <w:szCs w:val="24"/>
                <w:color w:val="auto"/>
              </w:rPr>
            </w:pPr>
          </w:p>
        </w:tc>
        <w:tc>
          <w:tcPr>
            <w:tcW w:w="1120" w:type="dxa"/>
            <w:vAlign w:val="bottom"/>
            <w:tcBorders>
              <w:bottom w:val="single" w:sz="8" w:color="DBE5F1"/>
            </w:tcBorders>
            <w:shd w:val="clear" w:color="auto" w:fill="DBE5F1"/>
          </w:tcPr>
          <w:p>
            <w:pPr>
              <w:spacing w:after="0"/>
              <w:rPr>
                <w:sz w:val="24"/>
                <w:szCs w:val="24"/>
                <w:color w:val="auto"/>
              </w:rPr>
            </w:pPr>
          </w:p>
        </w:tc>
        <w:tc>
          <w:tcPr>
            <w:tcW w:w="1400" w:type="dxa"/>
            <w:vAlign w:val="bottom"/>
            <w:tcBorders>
              <w:bottom w:val="single" w:sz="8" w:color="DBE5F1"/>
            </w:tcBorders>
            <w:shd w:val="clear" w:color="auto" w:fill="DBE5F1"/>
          </w:tcPr>
          <w:p>
            <w:pPr>
              <w:spacing w:after="0"/>
              <w:rPr>
                <w:sz w:val="24"/>
                <w:szCs w:val="24"/>
                <w:color w:val="auto"/>
              </w:rPr>
            </w:pPr>
          </w:p>
        </w:tc>
        <w:tc>
          <w:tcPr>
            <w:tcW w:w="120" w:type="dxa"/>
            <w:vAlign w:val="bottom"/>
            <w:tcBorders>
              <w:bottom w:val="single" w:sz="8" w:color="DBE5F1"/>
            </w:tcBorders>
            <w:shd w:val="clear" w:color="auto" w:fill="DBE5F1"/>
          </w:tcPr>
          <w:p>
            <w:pPr>
              <w:spacing w:after="0"/>
              <w:rPr>
                <w:sz w:val="24"/>
                <w:szCs w:val="24"/>
                <w:color w:val="auto"/>
              </w:rPr>
            </w:pPr>
          </w:p>
        </w:tc>
        <w:tc>
          <w:tcPr>
            <w:tcW w:w="680" w:type="dxa"/>
            <w:vAlign w:val="bottom"/>
            <w:tcBorders>
              <w:bottom w:val="single" w:sz="8" w:color="DBE5F1"/>
            </w:tcBorders>
            <w:shd w:val="clear" w:color="auto" w:fill="DBE5F1"/>
          </w:tcPr>
          <w:p>
            <w:pPr>
              <w:spacing w:after="0"/>
              <w:rPr>
                <w:sz w:val="24"/>
                <w:szCs w:val="24"/>
                <w:color w:val="auto"/>
              </w:rPr>
            </w:pPr>
          </w:p>
        </w:tc>
        <w:tc>
          <w:tcPr>
            <w:tcW w:w="120" w:type="dxa"/>
            <w:vAlign w:val="bottom"/>
            <w:tcBorders>
              <w:bottom w:val="single" w:sz="8" w:color="DBE5F1"/>
            </w:tcBorders>
            <w:shd w:val="clear" w:color="auto" w:fill="DBE5F1"/>
          </w:tcPr>
          <w:p>
            <w:pPr>
              <w:spacing w:after="0"/>
              <w:rPr>
                <w:sz w:val="24"/>
                <w:szCs w:val="24"/>
                <w:color w:val="auto"/>
              </w:rPr>
            </w:pPr>
          </w:p>
        </w:tc>
        <w:tc>
          <w:tcPr>
            <w:tcW w:w="1040" w:type="dxa"/>
            <w:vAlign w:val="bottom"/>
            <w:tcBorders>
              <w:bottom w:val="single" w:sz="8" w:color="DBE5F1"/>
            </w:tcBorders>
            <w:shd w:val="clear" w:color="auto" w:fill="DBE5F1"/>
          </w:tcPr>
          <w:p>
            <w:pPr>
              <w:spacing w:after="0"/>
              <w:rPr>
                <w:sz w:val="24"/>
                <w:szCs w:val="24"/>
                <w:color w:val="auto"/>
              </w:rPr>
            </w:pPr>
          </w:p>
        </w:tc>
        <w:tc>
          <w:tcPr>
            <w:tcW w:w="1240" w:type="dxa"/>
            <w:vAlign w:val="bottom"/>
            <w:tcBorders>
              <w:bottom w:val="single" w:sz="8" w:color="DBE5F1"/>
            </w:tcBorders>
            <w:shd w:val="clear" w:color="auto" w:fill="DBE5F1"/>
          </w:tcPr>
          <w:p>
            <w:pPr>
              <w:spacing w:after="0"/>
              <w:rPr>
                <w:sz w:val="24"/>
                <w:szCs w:val="24"/>
                <w:color w:val="auto"/>
              </w:rPr>
            </w:pPr>
          </w:p>
        </w:tc>
        <w:tc>
          <w:tcPr>
            <w:tcW w:w="1040" w:type="dxa"/>
            <w:vAlign w:val="bottom"/>
            <w:tcBorders>
              <w:bottom w:val="single" w:sz="8" w:color="DBE5F1"/>
            </w:tcBorders>
            <w:shd w:val="clear" w:color="auto" w:fill="DBE5F1"/>
          </w:tcPr>
          <w:p>
            <w:pPr>
              <w:spacing w:after="0"/>
              <w:rPr>
                <w:sz w:val="24"/>
                <w:szCs w:val="24"/>
                <w:color w:val="auto"/>
              </w:rPr>
            </w:pPr>
          </w:p>
        </w:tc>
        <w:tc>
          <w:tcPr>
            <w:tcW w:w="1160" w:type="dxa"/>
            <w:vAlign w:val="bottom"/>
            <w:tcBorders>
              <w:bottom w:val="single" w:sz="8" w:color="DBE5F1"/>
            </w:tcBorders>
            <w:shd w:val="clear" w:color="auto" w:fill="DBE5F1"/>
          </w:tcPr>
          <w:p>
            <w:pPr>
              <w:jc w:val="right"/>
              <w:spacing w:after="0"/>
              <w:rPr>
                <w:sz w:val="20"/>
                <w:szCs w:val="20"/>
                <w:color w:val="auto"/>
              </w:rPr>
            </w:pPr>
            <w:r>
              <w:rPr>
                <w:rFonts w:ascii="Arial" w:cs="Arial" w:eastAsia="Arial" w:hAnsi="Arial"/>
                <w:sz w:val="14"/>
                <w:szCs w:val="14"/>
                <w:color w:val="auto"/>
              </w:rPr>
              <w:t>6,240</w:t>
            </w:r>
          </w:p>
        </w:tc>
        <w:tc>
          <w:tcPr>
            <w:tcW w:w="1080" w:type="dxa"/>
            <w:vAlign w:val="bottom"/>
            <w:tcBorders>
              <w:bottom w:val="single" w:sz="8" w:color="DBE5F1"/>
            </w:tcBorders>
            <w:shd w:val="clear" w:color="auto" w:fill="DBE5F1"/>
          </w:tcPr>
          <w:p>
            <w:pPr>
              <w:jc w:val="right"/>
              <w:ind w:right="28"/>
              <w:spacing w:after="0"/>
              <w:rPr>
                <w:sz w:val="20"/>
                <w:szCs w:val="20"/>
                <w:color w:val="auto"/>
              </w:rPr>
            </w:pPr>
            <w:r>
              <w:rPr>
                <w:rFonts w:ascii="Arial" w:cs="Arial" w:eastAsia="Arial" w:hAnsi="Arial"/>
                <w:sz w:val="14"/>
                <w:szCs w:val="14"/>
                <w:color w:val="auto"/>
              </w:rPr>
              <w:t>$1,289,746</w:t>
            </w:r>
          </w:p>
        </w:tc>
        <w:tc>
          <w:tcPr>
            <w:tcW w:w="0" w:type="dxa"/>
            <w:vAlign w:val="bottom"/>
          </w:tcPr>
          <w:p>
            <w:pPr>
              <w:spacing w:after="0"/>
              <w:rPr>
                <w:sz w:val="1"/>
                <w:szCs w:val="1"/>
                <w:color w:val="auto"/>
              </w:rPr>
            </w:pPr>
          </w:p>
        </w:tc>
      </w:tr>
      <w:tr>
        <w:trPr>
          <w:trHeight w:val="189"/>
        </w:trPr>
        <w:tc>
          <w:tcPr>
            <w:tcW w:w="1500" w:type="dxa"/>
            <w:vAlign w:val="bottom"/>
            <w:shd w:val="clear" w:color="auto" w:fill="F2F2F2"/>
          </w:tcPr>
          <w:p>
            <w:pPr>
              <w:spacing w:after="0"/>
              <w:rPr>
                <w:sz w:val="16"/>
                <w:szCs w:val="16"/>
                <w:color w:val="auto"/>
              </w:rPr>
            </w:pPr>
          </w:p>
        </w:tc>
        <w:tc>
          <w:tcPr>
            <w:tcW w:w="920" w:type="dxa"/>
            <w:vAlign w:val="bottom"/>
            <w:shd w:val="clear" w:color="auto" w:fill="F2F2F2"/>
          </w:tcPr>
          <w:p>
            <w:pPr>
              <w:spacing w:after="0"/>
              <w:rPr>
                <w:sz w:val="16"/>
                <w:szCs w:val="16"/>
                <w:color w:val="auto"/>
              </w:rPr>
            </w:pPr>
          </w:p>
        </w:tc>
        <w:tc>
          <w:tcPr>
            <w:tcW w:w="1120" w:type="dxa"/>
            <w:vAlign w:val="bottom"/>
            <w:shd w:val="clear" w:color="auto" w:fill="F2F2F2"/>
          </w:tcPr>
          <w:p>
            <w:pPr>
              <w:spacing w:after="0"/>
              <w:rPr>
                <w:sz w:val="16"/>
                <w:szCs w:val="16"/>
                <w:color w:val="auto"/>
              </w:rPr>
            </w:pPr>
          </w:p>
        </w:tc>
        <w:tc>
          <w:tcPr>
            <w:tcW w:w="1400" w:type="dxa"/>
            <w:vAlign w:val="bottom"/>
            <w:shd w:val="clear" w:color="auto" w:fill="F2F2F2"/>
          </w:tcPr>
          <w:p>
            <w:pPr>
              <w:spacing w:after="0"/>
              <w:rPr>
                <w:sz w:val="16"/>
                <w:szCs w:val="16"/>
                <w:color w:val="auto"/>
              </w:rPr>
            </w:pPr>
          </w:p>
        </w:tc>
        <w:tc>
          <w:tcPr>
            <w:tcW w:w="920" w:type="dxa"/>
            <w:vAlign w:val="bottom"/>
            <w:gridSpan w:val="3"/>
            <w:shd w:val="clear" w:color="auto" w:fill="F2F2F2"/>
          </w:tcPr>
          <w:p>
            <w:pPr>
              <w:spacing w:after="0"/>
              <w:rPr>
                <w:sz w:val="16"/>
                <w:szCs w:val="16"/>
                <w:color w:val="auto"/>
              </w:rPr>
            </w:pPr>
          </w:p>
        </w:tc>
        <w:tc>
          <w:tcPr>
            <w:tcW w:w="1040" w:type="dxa"/>
            <w:vAlign w:val="bottom"/>
            <w:shd w:val="clear" w:color="auto" w:fill="F2F2F2"/>
          </w:tcPr>
          <w:p>
            <w:pPr>
              <w:spacing w:after="0"/>
              <w:rPr>
                <w:sz w:val="16"/>
                <w:szCs w:val="16"/>
                <w:color w:val="auto"/>
              </w:rPr>
            </w:pPr>
          </w:p>
        </w:tc>
        <w:tc>
          <w:tcPr>
            <w:tcW w:w="1240" w:type="dxa"/>
            <w:vAlign w:val="bottom"/>
            <w:shd w:val="clear" w:color="auto" w:fill="F2F2F2"/>
          </w:tcPr>
          <w:p>
            <w:pPr>
              <w:spacing w:after="0"/>
              <w:rPr>
                <w:sz w:val="16"/>
                <w:szCs w:val="16"/>
                <w:color w:val="auto"/>
              </w:rPr>
            </w:pPr>
          </w:p>
        </w:tc>
        <w:tc>
          <w:tcPr>
            <w:tcW w:w="1040" w:type="dxa"/>
            <w:vAlign w:val="bottom"/>
            <w:shd w:val="clear" w:color="auto" w:fill="F2F2F2"/>
          </w:tcPr>
          <w:p>
            <w:pPr>
              <w:spacing w:after="0"/>
              <w:rPr>
                <w:sz w:val="16"/>
                <w:szCs w:val="16"/>
                <w:color w:val="auto"/>
              </w:rPr>
            </w:pPr>
          </w:p>
        </w:tc>
        <w:tc>
          <w:tcPr>
            <w:tcW w:w="1160" w:type="dxa"/>
            <w:vAlign w:val="bottom"/>
            <w:shd w:val="clear" w:color="auto" w:fill="F2F2F2"/>
          </w:tcPr>
          <w:p>
            <w:pPr>
              <w:spacing w:after="0"/>
              <w:rPr>
                <w:sz w:val="16"/>
                <w:szCs w:val="16"/>
                <w:color w:val="auto"/>
              </w:rPr>
            </w:pPr>
          </w:p>
        </w:tc>
        <w:tc>
          <w:tcPr>
            <w:tcW w:w="1080" w:type="dxa"/>
            <w:vAlign w:val="bottom"/>
            <w:shd w:val="clear" w:color="auto" w:fill="F2F2F2"/>
          </w:tcPr>
          <w:p>
            <w:pPr>
              <w:spacing w:after="0"/>
              <w:rPr>
                <w:sz w:val="16"/>
                <w:szCs w:val="16"/>
                <w:color w:val="auto"/>
              </w:rPr>
            </w:pPr>
          </w:p>
        </w:tc>
        <w:tc>
          <w:tcPr>
            <w:tcW w:w="0" w:type="dxa"/>
            <w:vAlign w:val="bottom"/>
          </w:tcPr>
          <w:p>
            <w:pPr>
              <w:spacing w:after="0"/>
              <w:rPr>
                <w:sz w:val="1"/>
                <w:szCs w:val="1"/>
                <w:color w:val="auto"/>
              </w:rPr>
            </w:pPr>
          </w:p>
        </w:tc>
      </w:tr>
      <w:tr>
        <w:trPr>
          <w:trHeight w:val="231"/>
        </w:trPr>
        <w:tc>
          <w:tcPr>
            <w:tcW w:w="1500" w:type="dxa"/>
            <w:vAlign w:val="bottom"/>
            <w:vMerge w:val="restart"/>
            <w:shd w:val="clear" w:color="auto" w:fill="DBE5F1"/>
          </w:tcPr>
          <w:p>
            <w:pPr>
              <w:ind w:left="40"/>
              <w:spacing w:after="0"/>
              <w:rPr>
                <w:sz w:val="20"/>
                <w:szCs w:val="20"/>
                <w:color w:val="auto"/>
              </w:rPr>
            </w:pPr>
            <w:r>
              <w:rPr>
                <w:rFonts w:ascii="Arial" w:cs="Arial" w:eastAsia="Arial" w:hAnsi="Arial"/>
                <w:sz w:val="16"/>
                <w:szCs w:val="16"/>
                <w:b w:val="1"/>
                <w:bCs w:val="1"/>
                <w:color w:val="auto"/>
              </w:rPr>
              <w:t>Matthew F.W.</w:t>
            </w:r>
          </w:p>
        </w:tc>
        <w:tc>
          <w:tcPr>
            <w:tcW w:w="920" w:type="dxa"/>
            <w:vAlign w:val="bottom"/>
            <w:shd w:val="clear" w:color="auto" w:fill="DBE5F1"/>
          </w:tcPr>
          <w:p>
            <w:pPr>
              <w:jc w:val="right"/>
              <w:spacing w:after="0"/>
              <w:rPr>
                <w:sz w:val="20"/>
                <w:szCs w:val="20"/>
                <w:color w:val="auto"/>
              </w:rPr>
            </w:pPr>
            <w:r>
              <w:rPr>
                <w:rFonts w:ascii="Arial" w:cs="Arial" w:eastAsia="Arial" w:hAnsi="Arial"/>
                <w:sz w:val="14"/>
                <w:szCs w:val="14"/>
                <w:color w:val="auto"/>
              </w:rPr>
              <w:t>3/5/2015</w:t>
            </w:r>
          </w:p>
        </w:tc>
        <w:tc>
          <w:tcPr>
            <w:tcW w:w="1120" w:type="dxa"/>
            <w:vAlign w:val="bottom"/>
            <w:shd w:val="clear" w:color="auto" w:fill="DBE5F1"/>
          </w:tcPr>
          <w:p>
            <w:pPr>
              <w:spacing w:after="0"/>
              <w:rPr>
                <w:sz w:val="20"/>
                <w:szCs w:val="20"/>
                <w:color w:val="auto"/>
              </w:rPr>
            </w:pPr>
          </w:p>
        </w:tc>
        <w:tc>
          <w:tcPr>
            <w:tcW w:w="1400" w:type="dxa"/>
            <w:vAlign w:val="bottom"/>
            <w:shd w:val="clear" w:color="auto" w:fill="DBE5F1"/>
          </w:tcPr>
          <w:p>
            <w:pPr>
              <w:jc w:val="right"/>
              <w:spacing w:after="0"/>
              <w:rPr>
                <w:sz w:val="20"/>
                <w:szCs w:val="20"/>
                <w:color w:val="auto"/>
              </w:rPr>
            </w:pPr>
            <w:r>
              <w:rPr>
                <w:rFonts w:ascii="Arial" w:cs="Arial" w:eastAsia="Arial" w:hAnsi="Arial"/>
                <w:sz w:val="14"/>
                <w:szCs w:val="14"/>
                <w:color w:val="auto"/>
              </w:rPr>
              <w:t>7,200</w:t>
            </w:r>
          </w:p>
        </w:tc>
        <w:tc>
          <w:tcPr>
            <w:tcW w:w="920" w:type="dxa"/>
            <w:vAlign w:val="bottom"/>
            <w:gridSpan w:val="3"/>
            <w:shd w:val="clear" w:color="auto" w:fill="DBE5F1"/>
          </w:tcPr>
          <w:p>
            <w:pPr>
              <w:jc w:val="right"/>
              <w:ind w:right="120"/>
              <w:spacing w:after="0"/>
              <w:rPr>
                <w:sz w:val="20"/>
                <w:szCs w:val="20"/>
                <w:color w:val="auto"/>
              </w:rPr>
            </w:pPr>
            <w:r>
              <w:rPr>
                <w:rFonts w:ascii="Arial" w:cs="Arial" w:eastAsia="Arial" w:hAnsi="Arial"/>
                <w:sz w:val="14"/>
                <w:szCs w:val="14"/>
                <w:color w:val="auto"/>
              </w:rPr>
              <w:t>$193.69</w:t>
            </w:r>
          </w:p>
        </w:tc>
        <w:tc>
          <w:tcPr>
            <w:tcW w:w="1040" w:type="dxa"/>
            <w:vAlign w:val="bottom"/>
            <w:shd w:val="clear" w:color="auto" w:fill="DBE5F1"/>
          </w:tcPr>
          <w:p>
            <w:pPr>
              <w:jc w:val="right"/>
              <w:spacing w:after="0"/>
              <w:rPr>
                <w:sz w:val="20"/>
                <w:szCs w:val="20"/>
                <w:color w:val="auto"/>
              </w:rPr>
            </w:pPr>
            <w:r>
              <w:rPr>
                <w:rFonts w:ascii="Arial" w:cs="Arial" w:eastAsia="Arial" w:hAnsi="Arial"/>
                <w:sz w:val="14"/>
                <w:szCs w:val="14"/>
                <w:color w:val="auto"/>
              </w:rPr>
              <w:t>3/4/2025</w:t>
            </w:r>
          </w:p>
        </w:tc>
        <w:tc>
          <w:tcPr>
            <w:tcW w:w="1240" w:type="dxa"/>
            <w:vAlign w:val="bottom"/>
            <w:shd w:val="clear" w:color="auto" w:fill="DBE5F1"/>
          </w:tcPr>
          <w:p>
            <w:pPr>
              <w:spacing w:after="0"/>
              <w:rPr>
                <w:sz w:val="20"/>
                <w:szCs w:val="20"/>
                <w:color w:val="auto"/>
              </w:rPr>
            </w:pPr>
          </w:p>
        </w:tc>
        <w:tc>
          <w:tcPr>
            <w:tcW w:w="1040" w:type="dxa"/>
            <w:vAlign w:val="bottom"/>
            <w:shd w:val="clear" w:color="auto" w:fill="DBE5F1"/>
          </w:tcPr>
          <w:p>
            <w:pPr>
              <w:spacing w:after="0"/>
              <w:rPr>
                <w:sz w:val="20"/>
                <w:szCs w:val="20"/>
                <w:color w:val="auto"/>
              </w:rPr>
            </w:pPr>
          </w:p>
        </w:tc>
        <w:tc>
          <w:tcPr>
            <w:tcW w:w="1160" w:type="dxa"/>
            <w:vAlign w:val="bottom"/>
            <w:shd w:val="clear" w:color="auto" w:fill="DBE5F1"/>
          </w:tcPr>
          <w:p>
            <w:pPr>
              <w:spacing w:after="0"/>
              <w:rPr>
                <w:sz w:val="20"/>
                <w:szCs w:val="20"/>
                <w:color w:val="auto"/>
              </w:rPr>
            </w:pPr>
          </w:p>
        </w:tc>
        <w:tc>
          <w:tcPr>
            <w:tcW w:w="1080" w:type="dxa"/>
            <w:vAlign w:val="bottom"/>
            <w:shd w:val="clear" w:color="auto" w:fill="DBE5F1"/>
          </w:tcPr>
          <w:p>
            <w:pPr>
              <w:spacing w:after="0"/>
              <w:rPr>
                <w:sz w:val="20"/>
                <w:szCs w:val="20"/>
                <w:color w:val="auto"/>
              </w:rPr>
            </w:pPr>
          </w:p>
        </w:tc>
        <w:tc>
          <w:tcPr>
            <w:tcW w:w="0" w:type="dxa"/>
            <w:vAlign w:val="bottom"/>
          </w:tcPr>
          <w:p>
            <w:pPr>
              <w:spacing w:after="0"/>
              <w:rPr>
                <w:sz w:val="1"/>
                <w:szCs w:val="1"/>
                <w:color w:val="auto"/>
              </w:rPr>
            </w:pPr>
          </w:p>
        </w:tc>
      </w:tr>
      <w:tr>
        <w:trPr>
          <w:trHeight w:val="187"/>
        </w:trPr>
        <w:tc>
          <w:tcPr>
            <w:tcW w:w="1500" w:type="dxa"/>
            <w:vAlign w:val="bottom"/>
            <w:vMerge w:val="continue"/>
            <w:shd w:val="clear" w:color="auto" w:fill="DBE5F1"/>
          </w:tcPr>
          <w:p>
            <w:pPr>
              <w:spacing w:after="0"/>
              <w:rPr>
                <w:sz w:val="16"/>
                <w:szCs w:val="16"/>
                <w:color w:val="auto"/>
              </w:rPr>
            </w:pPr>
          </w:p>
        </w:tc>
        <w:tc>
          <w:tcPr>
            <w:tcW w:w="920" w:type="dxa"/>
            <w:vAlign w:val="bottom"/>
            <w:shd w:val="clear" w:color="auto" w:fill="DBE5F1"/>
          </w:tcPr>
          <w:p>
            <w:pPr>
              <w:spacing w:after="0"/>
              <w:rPr>
                <w:sz w:val="16"/>
                <w:szCs w:val="16"/>
                <w:color w:val="auto"/>
              </w:rPr>
            </w:pPr>
          </w:p>
        </w:tc>
        <w:tc>
          <w:tcPr>
            <w:tcW w:w="1120" w:type="dxa"/>
            <w:vAlign w:val="bottom"/>
            <w:shd w:val="clear" w:color="auto" w:fill="DBE5F1"/>
          </w:tcPr>
          <w:p>
            <w:pPr>
              <w:spacing w:after="0"/>
              <w:rPr>
                <w:sz w:val="16"/>
                <w:szCs w:val="16"/>
                <w:color w:val="auto"/>
              </w:rPr>
            </w:pPr>
          </w:p>
        </w:tc>
        <w:tc>
          <w:tcPr>
            <w:tcW w:w="1400" w:type="dxa"/>
            <w:vAlign w:val="bottom"/>
            <w:shd w:val="clear" w:color="auto" w:fill="DBE5F1"/>
          </w:tcPr>
          <w:p>
            <w:pPr>
              <w:spacing w:after="0"/>
              <w:rPr>
                <w:sz w:val="16"/>
                <w:szCs w:val="16"/>
                <w:color w:val="auto"/>
              </w:rPr>
            </w:pPr>
          </w:p>
        </w:tc>
        <w:tc>
          <w:tcPr>
            <w:tcW w:w="120" w:type="dxa"/>
            <w:vAlign w:val="bottom"/>
            <w:shd w:val="clear" w:color="auto" w:fill="DBE5F1"/>
          </w:tcPr>
          <w:p>
            <w:pPr>
              <w:spacing w:after="0"/>
              <w:rPr>
                <w:sz w:val="16"/>
                <w:szCs w:val="16"/>
                <w:color w:val="auto"/>
              </w:rPr>
            </w:pPr>
          </w:p>
        </w:tc>
        <w:tc>
          <w:tcPr>
            <w:tcW w:w="680" w:type="dxa"/>
            <w:vAlign w:val="bottom"/>
            <w:shd w:val="clear" w:color="auto" w:fill="DBE5F1"/>
          </w:tcPr>
          <w:p>
            <w:pPr>
              <w:spacing w:after="0"/>
              <w:rPr>
                <w:sz w:val="16"/>
                <w:szCs w:val="16"/>
                <w:color w:val="auto"/>
              </w:rPr>
            </w:pPr>
          </w:p>
        </w:tc>
        <w:tc>
          <w:tcPr>
            <w:tcW w:w="120" w:type="dxa"/>
            <w:vAlign w:val="bottom"/>
            <w:shd w:val="clear" w:color="auto" w:fill="DBE5F1"/>
          </w:tcPr>
          <w:p>
            <w:pPr>
              <w:spacing w:after="0"/>
              <w:rPr>
                <w:sz w:val="16"/>
                <w:szCs w:val="16"/>
                <w:color w:val="auto"/>
              </w:rPr>
            </w:pPr>
          </w:p>
        </w:tc>
        <w:tc>
          <w:tcPr>
            <w:tcW w:w="1040" w:type="dxa"/>
            <w:vAlign w:val="bottom"/>
            <w:shd w:val="clear" w:color="auto" w:fill="DBE5F1"/>
          </w:tcPr>
          <w:p>
            <w:pPr>
              <w:spacing w:after="0"/>
              <w:rPr>
                <w:sz w:val="16"/>
                <w:szCs w:val="16"/>
                <w:color w:val="auto"/>
              </w:rPr>
            </w:pPr>
          </w:p>
        </w:tc>
        <w:tc>
          <w:tcPr>
            <w:tcW w:w="1240" w:type="dxa"/>
            <w:vAlign w:val="bottom"/>
            <w:vMerge w:val="restart"/>
            <w:shd w:val="clear" w:color="auto" w:fill="DBE5F1"/>
          </w:tcPr>
          <w:p>
            <w:pPr>
              <w:jc w:val="right"/>
              <w:ind w:right="48"/>
              <w:spacing w:after="0"/>
              <w:rPr>
                <w:sz w:val="20"/>
                <w:szCs w:val="20"/>
                <w:color w:val="auto"/>
              </w:rPr>
            </w:pPr>
            <w:r>
              <w:rPr>
                <w:rFonts w:ascii="Arial" w:cs="Arial" w:eastAsia="Arial" w:hAnsi="Arial"/>
                <w:sz w:val="14"/>
                <w:szCs w:val="14"/>
                <w:color w:val="auto"/>
              </w:rPr>
              <w:t>11,423</w:t>
            </w:r>
            <w:r>
              <w:rPr>
                <w:rFonts w:ascii="Arial" w:cs="Arial" w:eastAsia="Arial" w:hAnsi="Arial"/>
                <w:sz w:val="8"/>
                <w:szCs w:val="8"/>
                <w:color w:val="auto"/>
              </w:rPr>
              <w:t>(4e)</w:t>
            </w:r>
          </w:p>
        </w:tc>
        <w:tc>
          <w:tcPr>
            <w:tcW w:w="1040" w:type="dxa"/>
            <w:vAlign w:val="bottom"/>
            <w:vMerge w:val="restart"/>
            <w:shd w:val="clear" w:color="auto" w:fill="DBE5F1"/>
          </w:tcPr>
          <w:p>
            <w:pPr>
              <w:jc w:val="right"/>
              <w:ind w:right="47"/>
              <w:spacing w:after="0"/>
              <w:rPr>
                <w:sz w:val="20"/>
                <w:szCs w:val="20"/>
                <w:color w:val="auto"/>
              </w:rPr>
            </w:pPr>
            <w:r>
              <w:rPr>
                <w:rFonts w:ascii="Arial" w:cs="Arial" w:eastAsia="Arial" w:hAnsi="Arial"/>
                <w:sz w:val="14"/>
                <w:szCs w:val="14"/>
                <w:color w:val="auto"/>
              </w:rPr>
              <w:t>$2,361,020</w:t>
            </w:r>
          </w:p>
        </w:tc>
        <w:tc>
          <w:tcPr>
            <w:tcW w:w="1160" w:type="dxa"/>
            <w:vAlign w:val="bottom"/>
            <w:shd w:val="clear" w:color="auto" w:fill="DBE5F1"/>
          </w:tcPr>
          <w:p>
            <w:pPr>
              <w:spacing w:after="0"/>
              <w:rPr>
                <w:sz w:val="16"/>
                <w:szCs w:val="16"/>
                <w:color w:val="auto"/>
              </w:rPr>
            </w:pPr>
          </w:p>
        </w:tc>
        <w:tc>
          <w:tcPr>
            <w:tcW w:w="1080" w:type="dxa"/>
            <w:vAlign w:val="bottom"/>
            <w:shd w:val="clear" w:color="auto" w:fill="DBE5F1"/>
          </w:tcPr>
          <w:p>
            <w:pPr>
              <w:spacing w:after="0"/>
              <w:rPr>
                <w:sz w:val="16"/>
                <w:szCs w:val="16"/>
                <w:color w:val="auto"/>
              </w:rPr>
            </w:pPr>
          </w:p>
        </w:tc>
        <w:tc>
          <w:tcPr>
            <w:tcW w:w="0" w:type="dxa"/>
            <w:vAlign w:val="bottom"/>
          </w:tcPr>
          <w:p>
            <w:pPr>
              <w:spacing w:after="0"/>
              <w:rPr>
                <w:sz w:val="1"/>
                <w:szCs w:val="1"/>
                <w:color w:val="auto"/>
              </w:rPr>
            </w:pPr>
          </w:p>
        </w:tc>
      </w:tr>
      <w:tr>
        <w:trPr>
          <w:trHeight w:val="96"/>
        </w:trPr>
        <w:tc>
          <w:tcPr>
            <w:tcW w:w="1500" w:type="dxa"/>
            <w:vAlign w:val="bottom"/>
            <w:vMerge w:val="restart"/>
            <w:shd w:val="clear" w:color="auto" w:fill="DBE5F1"/>
          </w:tcPr>
          <w:p>
            <w:pPr>
              <w:ind w:left="40"/>
              <w:spacing w:after="0"/>
              <w:rPr>
                <w:sz w:val="20"/>
                <w:szCs w:val="20"/>
                <w:color w:val="auto"/>
              </w:rPr>
            </w:pPr>
            <w:r>
              <w:rPr>
                <w:rFonts w:ascii="Arial" w:cs="Arial" w:eastAsia="Arial" w:hAnsi="Arial"/>
                <w:sz w:val="16"/>
                <w:szCs w:val="16"/>
                <w:b w:val="1"/>
                <w:bCs w:val="1"/>
                <w:color w:val="auto"/>
              </w:rPr>
              <w:t>Linnington</w:t>
            </w:r>
          </w:p>
        </w:tc>
        <w:tc>
          <w:tcPr>
            <w:tcW w:w="920" w:type="dxa"/>
            <w:vAlign w:val="bottom"/>
            <w:shd w:val="clear" w:color="auto" w:fill="DBE5F1"/>
          </w:tcPr>
          <w:p>
            <w:pPr>
              <w:spacing w:after="0"/>
              <w:rPr>
                <w:sz w:val="8"/>
                <w:szCs w:val="8"/>
                <w:color w:val="auto"/>
              </w:rPr>
            </w:pPr>
          </w:p>
        </w:tc>
        <w:tc>
          <w:tcPr>
            <w:tcW w:w="1120" w:type="dxa"/>
            <w:vAlign w:val="bottom"/>
            <w:shd w:val="clear" w:color="auto" w:fill="DBE5F1"/>
          </w:tcPr>
          <w:p>
            <w:pPr>
              <w:spacing w:after="0"/>
              <w:rPr>
                <w:sz w:val="8"/>
                <w:szCs w:val="8"/>
                <w:color w:val="auto"/>
              </w:rPr>
            </w:pPr>
          </w:p>
        </w:tc>
        <w:tc>
          <w:tcPr>
            <w:tcW w:w="1400" w:type="dxa"/>
            <w:vAlign w:val="bottom"/>
            <w:shd w:val="clear" w:color="auto" w:fill="DBE5F1"/>
          </w:tcPr>
          <w:p>
            <w:pPr>
              <w:spacing w:after="0"/>
              <w:rPr>
                <w:sz w:val="8"/>
                <w:szCs w:val="8"/>
                <w:color w:val="auto"/>
              </w:rPr>
            </w:pPr>
          </w:p>
        </w:tc>
        <w:tc>
          <w:tcPr>
            <w:tcW w:w="120" w:type="dxa"/>
            <w:vAlign w:val="bottom"/>
            <w:shd w:val="clear" w:color="auto" w:fill="DBE5F1"/>
          </w:tcPr>
          <w:p>
            <w:pPr>
              <w:spacing w:after="0"/>
              <w:rPr>
                <w:sz w:val="8"/>
                <w:szCs w:val="8"/>
                <w:color w:val="auto"/>
              </w:rPr>
            </w:pPr>
          </w:p>
        </w:tc>
        <w:tc>
          <w:tcPr>
            <w:tcW w:w="680" w:type="dxa"/>
            <w:vAlign w:val="bottom"/>
            <w:shd w:val="clear" w:color="auto" w:fill="DBE5F1"/>
          </w:tcPr>
          <w:p>
            <w:pPr>
              <w:spacing w:after="0"/>
              <w:rPr>
                <w:sz w:val="8"/>
                <w:szCs w:val="8"/>
                <w:color w:val="auto"/>
              </w:rPr>
            </w:pPr>
          </w:p>
        </w:tc>
        <w:tc>
          <w:tcPr>
            <w:tcW w:w="120" w:type="dxa"/>
            <w:vAlign w:val="bottom"/>
            <w:shd w:val="clear" w:color="auto" w:fill="DBE5F1"/>
          </w:tcPr>
          <w:p>
            <w:pPr>
              <w:spacing w:after="0"/>
              <w:rPr>
                <w:sz w:val="8"/>
                <w:szCs w:val="8"/>
                <w:color w:val="auto"/>
              </w:rPr>
            </w:pPr>
          </w:p>
        </w:tc>
        <w:tc>
          <w:tcPr>
            <w:tcW w:w="1040" w:type="dxa"/>
            <w:vAlign w:val="bottom"/>
            <w:shd w:val="clear" w:color="auto" w:fill="DBE5F1"/>
          </w:tcPr>
          <w:p>
            <w:pPr>
              <w:spacing w:after="0"/>
              <w:rPr>
                <w:sz w:val="8"/>
                <w:szCs w:val="8"/>
                <w:color w:val="auto"/>
              </w:rPr>
            </w:pPr>
          </w:p>
        </w:tc>
        <w:tc>
          <w:tcPr>
            <w:tcW w:w="1240" w:type="dxa"/>
            <w:vAlign w:val="bottom"/>
            <w:vMerge w:val="continue"/>
            <w:shd w:val="clear" w:color="auto" w:fill="DBE5F1"/>
          </w:tcPr>
          <w:p>
            <w:pPr>
              <w:spacing w:after="0"/>
              <w:rPr>
                <w:sz w:val="8"/>
                <w:szCs w:val="8"/>
                <w:color w:val="auto"/>
              </w:rPr>
            </w:pPr>
          </w:p>
        </w:tc>
        <w:tc>
          <w:tcPr>
            <w:tcW w:w="1040" w:type="dxa"/>
            <w:vAlign w:val="bottom"/>
            <w:vMerge w:val="continue"/>
            <w:shd w:val="clear" w:color="auto" w:fill="DBE5F1"/>
          </w:tcPr>
          <w:p>
            <w:pPr>
              <w:spacing w:after="0"/>
              <w:rPr>
                <w:sz w:val="8"/>
                <w:szCs w:val="8"/>
                <w:color w:val="auto"/>
              </w:rPr>
            </w:pPr>
          </w:p>
        </w:tc>
        <w:tc>
          <w:tcPr>
            <w:tcW w:w="1160" w:type="dxa"/>
            <w:vAlign w:val="bottom"/>
            <w:shd w:val="clear" w:color="auto" w:fill="DBE5F1"/>
          </w:tcPr>
          <w:p>
            <w:pPr>
              <w:spacing w:after="0"/>
              <w:rPr>
                <w:sz w:val="8"/>
                <w:szCs w:val="8"/>
                <w:color w:val="auto"/>
              </w:rPr>
            </w:pPr>
          </w:p>
        </w:tc>
        <w:tc>
          <w:tcPr>
            <w:tcW w:w="1080" w:type="dxa"/>
            <w:vAlign w:val="bottom"/>
            <w:shd w:val="clear" w:color="auto" w:fill="DBE5F1"/>
          </w:tcPr>
          <w:p>
            <w:pPr>
              <w:spacing w:after="0"/>
              <w:rPr>
                <w:sz w:val="8"/>
                <w:szCs w:val="8"/>
                <w:color w:val="auto"/>
              </w:rPr>
            </w:pPr>
          </w:p>
        </w:tc>
        <w:tc>
          <w:tcPr>
            <w:tcW w:w="0" w:type="dxa"/>
            <w:vAlign w:val="bottom"/>
          </w:tcPr>
          <w:p>
            <w:pPr>
              <w:spacing w:after="0"/>
              <w:rPr>
                <w:sz w:val="1"/>
                <w:szCs w:val="1"/>
                <w:color w:val="auto"/>
              </w:rPr>
            </w:pPr>
          </w:p>
        </w:tc>
      </w:tr>
      <w:tr>
        <w:trPr>
          <w:trHeight w:val="114"/>
        </w:trPr>
        <w:tc>
          <w:tcPr>
            <w:tcW w:w="1500" w:type="dxa"/>
            <w:vAlign w:val="bottom"/>
            <w:vMerge w:val="continue"/>
            <w:shd w:val="clear" w:color="auto" w:fill="DBE5F1"/>
          </w:tcPr>
          <w:p>
            <w:pPr>
              <w:spacing w:after="0"/>
              <w:rPr>
                <w:sz w:val="9"/>
                <w:szCs w:val="9"/>
                <w:color w:val="auto"/>
              </w:rPr>
            </w:pPr>
          </w:p>
        </w:tc>
        <w:tc>
          <w:tcPr>
            <w:tcW w:w="920" w:type="dxa"/>
            <w:vAlign w:val="bottom"/>
            <w:shd w:val="clear" w:color="auto" w:fill="DBE5F1"/>
          </w:tcPr>
          <w:p>
            <w:pPr>
              <w:spacing w:after="0"/>
              <w:rPr>
                <w:sz w:val="9"/>
                <w:szCs w:val="9"/>
                <w:color w:val="auto"/>
              </w:rPr>
            </w:pPr>
          </w:p>
        </w:tc>
        <w:tc>
          <w:tcPr>
            <w:tcW w:w="1120" w:type="dxa"/>
            <w:vAlign w:val="bottom"/>
            <w:shd w:val="clear" w:color="auto" w:fill="DBE5F1"/>
          </w:tcPr>
          <w:p>
            <w:pPr>
              <w:spacing w:after="0"/>
              <w:rPr>
                <w:sz w:val="9"/>
                <w:szCs w:val="9"/>
                <w:color w:val="auto"/>
              </w:rPr>
            </w:pPr>
          </w:p>
        </w:tc>
        <w:tc>
          <w:tcPr>
            <w:tcW w:w="1400" w:type="dxa"/>
            <w:vAlign w:val="bottom"/>
            <w:shd w:val="clear" w:color="auto" w:fill="DBE5F1"/>
          </w:tcPr>
          <w:p>
            <w:pPr>
              <w:spacing w:after="0"/>
              <w:rPr>
                <w:sz w:val="9"/>
                <w:szCs w:val="9"/>
                <w:color w:val="auto"/>
              </w:rPr>
            </w:pPr>
          </w:p>
        </w:tc>
        <w:tc>
          <w:tcPr>
            <w:tcW w:w="120" w:type="dxa"/>
            <w:vAlign w:val="bottom"/>
            <w:shd w:val="clear" w:color="auto" w:fill="DBE5F1"/>
          </w:tcPr>
          <w:p>
            <w:pPr>
              <w:spacing w:after="0"/>
              <w:rPr>
                <w:sz w:val="9"/>
                <w:szCs w:val="9"/>
                <w:color w:val="auto"/>
              </w:rPr>
            </w:pPr>
          </w:p>
        </w:tc>
        <w:tc>
          <w:tcPr>
            <w:tcW w:w="680" w:type="dxa"/>
            <w:vAlign w:val="bottom"/>
            <w:shd w:val="clear" w:color="auto" w:fill="DBE5F1"/>
          </w:tcPr>
          <w:p>
            <w:pPr>
              <w:spacing w:after="0"/>
              <w:rPr>
                <w:sz w:val="9"/>
                <w:szCs w:val="9"/>
                <w:color w:val="auto"/>
              </w:rPr>
            </w:pPr>
          </w:p>
        </w:tc>
        <w:tc>
          <w:tcPr>
            <w:tcW w:w="120" w:type="dxa"/>
            <w:vAlign w:val="bottom"/>
            <w:shd w:val="clear" w:color="auto" w:fill="DBE5F1"/>
          </w:tcPr>
          <w:p>
            <w:pPr>
              <w:spacing w:after="0"/>
              <w:rPr>
                <w:sz w:val="9"/>
                <w:szCs w:val="9"/>
                <w:color w:val="auto"/>
              </w:rPr>
            </w:pPr>
          </w:p>
        </w:tc>
        <w:tc>
          <w:tcPr>
            <w:tcW w:w="1040" w:type="dxa"/>
            <w:vAlign w:val="bottom"/>
            <w:shd w:val="clear" w:color="auto" w:fill="DBE5F1"/>
          </w:tcPr>
          <w:p>
            <w:pPr>
              <w:spacing w:after="0"/>
              <w:rPr>
                <w:sz w:val="9"/>
                <w:szCs w:val="9"/>
                <w:color w:val="auto"/>
              </w:rPr>
            </w:pPr>
          </w:p>
        </w:tc>
        <w:tc>
          <w:tcPr>
            <w:tcW w:w="1240" w:type="dxa"/>
            <w:vAlign w:val="bottom"/>
            <w:shd w:val="clear" w:color="auto" w:fill="DBE5F1"/>
          </w:tcPr>
          <w:p>
            <w:pPr>
              <w:spacing w:after="0"/>
              <w:rPr>
                <w:sz w:val="9"/>
                <w:szCs w:val="9"/>
                <w:color w:val="auto"/>
              </w:rPr>
            </w:pPr>
          </w:p>
        </w:tc>
        <w:tc>
          <w:tcPr>
            <w:tcW w:w="1040" w:type="dxa"/>
            <w:vAlign w:val="bottom"/>
            <w:shd w:val="clear" w:color="auto" w:fill="DBE5F1"/>
          </w:tcPr>
          <w:p>
            <w:pPr>
              <w:spacing w:after="0"/>
              <w:rPr>
                <w:sz w:val="9"/>
                <w:szCs w:val="9"/>
                <w:color w:val="auto"/>
              </w:rPr>
            </w:pPr>
          </w:p>
        </w:tc>
        <w:tc>
          <w:tcPr>
            <w:tcW w:w="1160" w:type="dxa"/>
            <w:vAlign w:val="bottom"/>
            <w:vMerge w:val="restart"/>
            <w:shd w:val="clear" w:color="auto" w:fill="DBE5F1"/>
          </w:tcPr>
          <w:p>
            <w:pPr>
              <w:jc w:val="right"/>
              <w:spacing w:after="0"/>
              <w:rPr>
                <w:sz w:val="20"/>
                <w:szCs w:val="20"/>
                <w:color w:val="auto"/>
              </w:rPr>
            </w:pPr>
            <w:r>
              <w:rPr>
                <w:rFonts w:ascii="Arial" w:cs="Arial" w:eastAsia="Arial" w:hAnsi="Arial"/>
                <w:sz w:val="14"/>
                <w:szCs w:val="14"/>
                <w:color w:val="auto"/>
              </w:rPr>
              <w:t>2,640</w:t>
            </w:r>
          </w:p>
        </w:tc>
        <w:tc>
          <w:tcPr>
            <w:tcW w:w="1080" w:type="dxa"/>
            <w:vAlign w:val="bottom"/>
            <w:vMerge w:val="restart"/>
            <w:shd w:val="clear" w:color="auto" w:fill="DBE5F1"/>
          </w:tcPr>
          <w:p>
            <w:pPr>
              <w:jc w:val="right"/>
              <w:ind w:right="28"/>
              <w:spacing w:after="0"/>
              <w:rPr>
                <w:sz w:val="20"/>
                <w:szCs w:val="20"/>
                <w:color w:val="auto"/>
              </w:rPr>
            </w:pPr>
            <w:r>
              <w:rPr>
                <w:rFonts w:ascii="Arial" w:cs="Arial" w:eastAsia="Arial" w:hAnsi="Arial"/>
                <w:sz w:val="14"/>
                <w:szCs w:val="14"/>
                <w:color w:val="auto"/>
              </w:rPr>
              <w:t>$545,662</w:t>
            </w:r>
          </w:p>
        </w:tc>
        <w:tc>
          <w:tcPr>
            <w:tcW w:w="0" w:type="dxa"/>
            <w:vAlign w:val="bottom"/>
          </w:tcPr>
          <w:p>
            <w:pPr>
              <w:spacing w:after="0"/>
              <w:rPr>
                <w:sz w:val="1"/>
                <w:szCs w:val="1"/>
                <w:color w:val="auto"/>
              </w:rPr>
            </w:pPr>
          </w:p>
        </w:tc>
      </w:tr>
      <w:tr>
        <w:trPr>
          <w:trHeight w:val="170"/>
        </w:trPr>
        <w:tc>
          <w:tcPr>
            <w:tcW w:w="1500" w:type="dxa"/>
            <w:vAlign w:val="bottom"/>
            <w:shd w:val="clear" w:color="auto" w:fill="DBE5F1"/>
          </w:tcPr>
          <w:p>
            <w:pPr>
              <w:spacing w:after="0"/>
              <w:rPr>
                <w:sz w:val="14"/>
                <w:szCs w:val="14"/>
                <w:color w:val="auto"/>
              </w:rPr>
            </w:pPr>
          </w:p>
        </w:tc>
        <w:tc>
          <w:tcPr>
            <w:tcW w:w="920" w:type="dxa"/>
            <w:vAlign w:val="bottom"/>
            <w:shd w:val="clear" w:color="auto" w:fill="DBE5F1"/>
          </w:tcPr>
          <w:p>
            <w:pPr>
              <w:spacing w:after="0"/>
              <w:rPr>
                <w:sz w:val="14"/>
                <w:szCs w:val="14"/>
                <w:color w:val="auto"/>
              </w:rPr>
            </w:pPr>
          </w:p>
        </w:tc>
        <w:tc>
          <w:tcPr>
            <w:tcW w:w="1120" w:type="dxa"/>
            <w:vAlign w:val="bottom"/>
            <w:shd w:val="clear" w:color="auto" w:fill="DBE5F1"/>
          </w:tcPr>
          <w:p>
            <w:pPr>
              <w:spacing w:after="0"/>
              <w:rPr>
                <w:sz w:val="14"/>
                <w:szCs w:val="14"/>
                <w:color w:val="auto"/>
              </w:rPr>
            </w:pPr>
          </w:p>
        </w:tc>
        <w:tc>
          <w:tcPr>
            <w:tcW w:w="1400" w:type="dxa"/>
            <w:vAlign w:val="bottom"/>
            <w:shd w:val="clear" w:color="auto" w:fill="DBE5F1"/>
          </w:tcPr>
          <w:p>
            <w:pPr>
              <w:spacing w:after="0"/>
              <w:rPr>
                <w:sz w:val="14"/>
                <w:szCs w:val="14"/>
                <w:color w:val="auto"/>
              </w:rPr>
            </w:pPr>
          </w:p>
        </w:tc>
        <w:tc>
          <w:tcPr>
            <w:tcW w:w="120" w:type="dxa"/>
            <w:vAlign w:val="bottom"/>
            <w:shd w:val="clear" w:color="auto" w:fill="DBE5F1"/>
          </w:tcPr>
          <w:p>
            <w:pPr>
              <w:spacing w:after="0"/>
              <w:rPr>
                <w:sz w:val="14"/>
                <w:szCs w:val="14"/>
                <w:color w:val="auto"/>
              </w:rPr>
            </w:pPr>
          </w:p>
        </w:tc>
        <w:tc>
          <w:tcPr>
            <w:tcW w:w="680" w:type="dxa"/>
            <w:vAlign w:val="bottom"/>
            <w:shd w:val="clear" w:color="auto" w:fill="DBE5F1"/>
          </w:tcPr>
          <w:p>
            <w:pPr>
              <w:spacing w:after="0"/>
              <w:rPr>
                <w:sz w:val="14"/>
                <w:szCs w:val="14"/>
                <w:color w:val="auto"/>
              </w:rPr>
            </w:pPr>
          </w:p>
        </w:tc>
        <w:tc>
          <w:tcPr>
            <w:tcW w:w="120" w:type="dxa"/>
            <w:vAlign w:val="bottom"/>
            <w:shd w:val="clear" w:color="auto" w:fill="DBE5F1"/>
          </w:tcPr>
          <w:p>
            <w:pPr>
              <w:spacing w:after="0"/>
              <w:rPr>
                <w:sz w:val="14"/>
                <w:szCs w:val="14"/>
                <w:color w:val="auto"/>
              </w:rPr>
            </w:pPr>
          </w:p>
        </w:tc>
        <w:tc>
          <w:tcPr>
            <w:tcW w:w="1040" w:type="dxa"/>
            <w:vAlign w:val="bottom"/>
            <w:shd w:val="clear" w:color="auto" w:fill="DBE5F1"/>
          </w:tcPr>
          <w:p>
            <w:pPr>
              <w:spacing w:after="0"/>
              <w:rPr>
                <w:sz w:val="14"/>
                <w:szCs w:val="14"/>
                <w:color w:val="auto"/>
              </w:rPr>
            </w:pPr>
          </w:p>
        </w:tc>
        <w:tc>
          <w:tcPr>
            <w:tcW w:w="1240" w:type="dxa"/>
            <w:vAlign w:val="bottom"/>
            <w:shd w:val="clear" w:color="auto" w:fill="DBE5F1"/>
          </w:tcPr>
          <w:p>
            <w:pPr>
              <w:spacing w:after="0"/>
              <w:rPr>
                <w:sz w:val="14"/>
                <w:szCs w:val="14"/>
                <w:color w:val="auto"/>
              </w:rPr>
            </w:pPr>
          </w:p>
        </w:tc>
        <w:tc>
          <w:tcPr>
            <w:tcW w:w="1040" w:type="dxa"/>
            <w:vAlign w:val="bottom"/>
            <w:shd w:val="clear" w:color="auto" w:fill="DBE5F1"/>
          </w:tcPr>
          <w:p>
            <w:pPr>
              <w:spacing w:after="0"/>
              <w:rPr>
                <w:sz w:val="14"/>
                <w:szCs w:val="14"/>
                <w:color w:val="auto"/>
              </w:rPr>
            </w:pPr>
          </w:p>
        </w:tc>
        <w:tc>
          <w:tcPr>
            <w:tcW w:w="1160" w:type="dxa"/>
            <w:vAlign w:val="bottom"/>
            <w:vMerge w:val="continue"/>
            <w:shd w:val="clear" w:color="auto" w:fill="DBE5F1"/>
          </w:tcPr>
          <w:p>
            <w:pPr>
              <w:spacing w:after="0"/>
              <w:rPr>
                <w:sz w:val="14"/>
                <w:szCs w:val="14"/>
                <w:color w:val="auto"/>
              </w:rPr>
            </w:pPr>
          </w:p>
        </w:tc>
        <w:tc>
          <w:tcPr>
            <w:tcW w:w="1080" w:type="dxa"/>
            <w:vAlign w:val="bottom"/>
            <w:vMerge w:val="continue"/>
            <w:shd w:val="clear" w:color="auto" w:fill="DBE5F1"/>
          </w:tcPr>
          <w:p>
            <w:pPr>
              <w:spacing w:after="0"/>
              <w:rPr>
                <w:sz w:val="14"/>
                <w:szCs w:val="14"/>
                <w:color w:val="auto"/>
              </w:rPr>
            </w:pPr>
          </w:p>
        </w:tc>
        <w:tc>
          <w:tcPr>
            <w:tcW w:w="0" w:type="dxa"/>
            <w:vAlign w:val="bottom"/>
          </w:tcPr>
          <w:p>
            <w:pPr>
              <w:spacing w:after="0"/>
              <w:rPr>
                <w:sz w:val="1"/>
                <w:szCs w:val="1"/>
                <w:color w:val="auto"/>
              </w:rPr>
            </w:pPr>
          </w:p>
        </w:tc>
      </w:tr>
      <w:tr>
        <w:trPr>
          <w:trHeight w:val="53"/>
        </w:trPr>
        <w:tc>
          <w:tcPr>
            <w:tcW w:w="1500" w:type="dxa"/>
            <w:vAlign w:val="bottom"/>
            <w:shd w:val="clear" w:color="auto" w:fill="DBE5F1"/>
          </w:tcPr>
          <w:p>
            <w:pPr>
              <w:spacing w:after="0"/>
              <w:rPr>
                <w:sz w:val="4"/>
                <w:szCs w:val="4"/>
                <w:color w:val="auto"/>
              </w:rPr>
            </w:pPr>
          </w:p>
        </w:tc>
        <w:tc>
          <w:tcPr>
            <w:tcW w:w="920" w:type="dxa"/>
            <w:vAlign w:val="bottom"/>
            <w:shd w:val="clear" w:color="auto" w:fill="DBE5F1"/>
          </w:tcPr>
          <w:p>
            <w:pPr>
              <w:spacing w:after="0"/>
              <w:rPr>
                <w:sz w:val="4"/>
                <w:szCs w:val="4"/>
                <w:color w:val="auto"/>
              </w:rPr>
            </w:pPr>
          </w:p>
        </w:tc>
        <w:tc>
          <w:tcPr>
            <w:tcW w:w="1120" w:type="dxa"/>
            <w:vAlign w:val="bottom"/>
            <w:shd w:val="clear" w:color="auto" w:fill="DBE5F1"/>
          </w:tcPr>
          <w:p>
            <w:pPr>
              <w:spacing w:after="0"/>
              <w:rPr>
                <w:sz w:val="4"/>
                <w:szCs w:val="4"/>
                <w:color w:val="auto"/>
              </w:rPr>
            </w:pPr>
          </w:p>
        </w:tc>
        <w:tc>
          <w:tcPr>
            <w:tcW w:w="1400" w:type="dxa"/>
            <w:vAlign w:val="bottom"/>
            <w:shd w:val="clear" w:color="auto" w:fill="DBE5F1"/>
          </w:tcPr>
          <w:p>
            <w:pPr>
              <w:spacing w:after="0"/>
              <w:rPr>
                <w:sz w:val="4"/>
                <w:szCs w:val="4"/>
                <w:color w:val="auto"/>
              </w:rPr>
            </w:pPr>
          </w:p>
        </w:tc>
        <w:tc>
          <w:tcPr>
            <w:tcW w:w="120" w:type="dxa"/>
            <w:vAlign w:val="bottom"/>
            <w:shd w:val="clear" w:color="auto" w:fill="DBE5F1"/>
          </w:tcPr>
          <w:p>
            <w:pPr>
              <w:spacing w:after="0"/>
              <w:rPr>
                <w:sz w:val="4"/>
                <w:szCs w:val="4"/>
                <w:color w:val="auto"/>
              </w:rPr>
            </w:pPr>
          </w:p>
        </w:tc>
        <w:tc>
          <w:tcPr>
            <w:tcW w:w="680" w:type="dxa"/>
            <w:vAlign w:val="bottom"/>
            <w:shd w:val="clear" w:color="auto" w:fill="DBE5F1"/>
          </w:tcPr>
          <w:p>
            <w:pPr>
              <w:spacing w:after="0"/>
              <w:rPr>
                <w:sz w:val="4"/>
                <w:szCs w:val="4"/>
                <w:color w:val="auto"/>
              </w:rPr>
            </w:pPr>
          </w:p>
        </w:tc>
        <w:tc>
          <w:tcPr>
            <w:tcW w:w="120" w:type="dxa"/>
            <w:vAlign w:val="bottom"/>
            <w:shd w:val="clear" w:color="auto" w:fill="DBE5F1"/>
          </w:tcPr>
          <w:p>
            <w:pPr>
              <w:spacing w:after="0"/>
              <w:rPr>
                <w:sz w:val="4"/>
                <w:szCs w:val="4"/>
                <w:color w:val="auto"/>
              </w:rPr>
            </w:pPr>
          </w:p>
        </w:tc>
        <w:tc>
          <w:tcPr>
            <w:tcW w:w="1040" w:type="dxa"/>
            <w:vAlign w:val="bottom"/>
            <w:shd w:val="clear" w:color="auto" w:fill="DBE5F1"/>
          </w:tcPr>
          <w:p>
            <w:pPr>
              <w:spacing w:after="0"/>
              <w:rPr>
                <w:sz w:val="4"/>
                <w:szCs w:val="4"/>
                <w:color w:val="auto"/>
              </w:rPr>
            </w:pPr>
          </w:p>
        </w:tc>
        <w:tc>
          <w:tcPr>
            <w:tcW w:w="1240" w:type="dxa"/>
            <w:vAlign w:val="bottom"/>
            <w:shd w:val="clear" w:color="auto" w:fill="DBE5F1"/>
          </w:tcPr>
          <w:p>
            <w:pPr>
              <w:spacing w:after="0"/>
              <w:rPr>
                <w:sz w:val="4"/>
                <w:szCs w:val="4"/>
                <w:color w:val="auto"/>
              </w:rPr>
            </w:pPr>
          </w:p>
        </w:tc>
        <w:tc>
          <w:tcPr>
            <w:tcW w:w="1040" w:type="dxa"/>
            <w:vAlign w:val="bottom"/>
            <w:shd w:val="clear" w:color="auto" w:fill="DBE5F1"/>
          </w:tcPr>
          <w:p>
            <w:pPr>
              <w:spacing w:after="0"/>
              <w:rPr>
                <w:sz w:val="4"/>
                <w:szCs w:val="4"/>
                <w:color w:val="auto"/>
              </w:rPr>
            </w:pPr>
          </w:p>
        </w:tc>
        <w:tc>
          <w:tcPr>
            <w:tcW w:w="1160" w:type="dxa"/>
            <w:vAlign w:val="bottom"/>
            <w:shd w:val="clear" w:color="auto" w:fill="DBE5F1"/>
          </w:tcPr>
          <w:p>
            <w:pPr>
              <w:spacing w:after="0"/>
              <w:rPr>
                <w:sz w:val="4"/>
                <w:szCs w:val="4"/>
                <w:color w:val="auto"/>
              </w:rPr>
            </w:pPr>
          </w:p>
        </w:tc>
        <w:tc>
          <w:tcPr>
            <w:tcW w:w="1080" w:type="dxa"/>
            <w:vAlign w:val="bottom"/>
            <w:shd w:val="clear" w:color="auto" w:fill="DBE5F1"/>
          </w:tcPr>
          <w:p>
            <w:pPr>
              <w:spacing w:after="0"/>
              <w:rPr>
                <w:sz w:val="4"/>
                <w:szCs w:val="4"/>
                <w:color w:val="auto"/>
              </w:rPr>
            </w:pPr>
          </w:p>
        </w:tc>
        <w:tc>
          <w:tcPr>
            <w:tcW w:w="0" w:type="dxa"/>
            <w:vAlign w:val="bottom"/>
          </w:tcPr>
          <w:p>
            <w:pPr>
              <w:spacing w:after="0"/>
              <w:rPr>
                <w:sz w:val="1"/>
                <w:szCs w:val="1"/>
                <w:color w:val="auto"/>
              </w:rPr>
            </w:pPr>
          </w:p>
        </w:tc>
      </w:tr>
    </w:tbl>
    <w:p>
      <w:pPr>
        <w:spacing w:after="0"/>
        <w:rPr>
          <w:sz w:val="20"/>
          <w:szCs w:val="20"/>
          <w:color w:val="auto"/>
        </w:rPr>
      </w:pPr>
      <w:r>
        <w:rPr>
          <w:rFonts w:ascii="Arial" w:cs="Arial" w:eastAsia="Arial" w:hAnsi="Arial"/>
          <w:sz w:val="18"/>
          <w:szCs w:val="18"/>
          <w:color w:val="auto"/>
        </w:rPr>
        <w:t>__________</w:t>
      </w:r>
    </w:p>
    <w:p>
      <w:pPr>
        <w:spacing w:after="0" w:line="53" w:lineRule="exact"/>
        <w:rPr>
          <w:sz w:val="20"/>
          <w:szCs w:val="20"/>
          <w:color w:val="auto"/>
        </w:rPr>
      </w:pPr>
    </w:p>
    <w:p>
      <w:pPr>
        <w:jc w:val="both"/>
        <w:ind w:left="340" w:hanging="318"/>
        <w:spacing w:after="0" w:line="251" w:lineRule="auto"/>
        <w:tabs>
          <w:tab w:leader="none" w:pos="340" w:val="left"/>
        </w:tabs>
        <w:numPr>
          <w:ilvl w:val="0"/>
          <w:numId w:val="55"/>
        </w:numPr>
        <w:rPr>
          <w:rFonts w:ascii="Arial" w:cs="Arial" w:eastAsia="Arial" w:hAnsi="Arial"/>
          <w:sz w:val="16"/>
          <w:szCs w:val="16"/>
          <w:color w:val="auto"/>
        </w:rPr>
      </w:pPr>
      <w:r>
        <w:rPr>
          <w:rFonts w:ascii="Arial" w:cs="Arial" w:eastAsia="Arial" w:hAnsi="Arial"/>
          <w:sz w:val="16"/>
          <w:szCs w:val="16"/>
          <w:color w:val="auto"/>
        </w:rPr>
        <w:t>The dates of grant of each named executive officer’s stock option awards outstanding as of December 31, 2015 are set forth in the table above, and the vesting dates for each stock option award can be determined based on the vesting schedules described in this footnote. The stock option granted on July 16, 2009 became exercisable in installments of 25 percent on the first four anniversaries of the date of grant. All other awards of stock options in the table above are exercisable in installments of one third on the first three anniversaries of the date of grant, assuming continued employment.</w:t>
      </w:r>
    </w:p>
    <w:p>
      <w:pPr>
        <w:ind w:left="340" w:hanging="318"/>
        <w:spacing w:after="0"/>
        <w:tabs>
          <w:tab w:leader="none" w:pos="340" w:val="left"/>
        </w:tabs>
        <w:numPr>
          <w:ilvl w:val="0"/>
          <w:numId w:val="55"/>
        </w:numPr>
        <w:rPr>
          <w:rFonts w:ascii="Arial" w:cs="Arial" w:eastAsia="Arial" w:hAnsi="Arial"/>
          <w:sz w:val="16"/>
          <w:szCs w:val="16"/>
          <w:color w:val="auto"/>
        </w:rPr>
      </w:pPr>
      <w:r>
        <w:rPr>
          <w:rFonts w:ascii="Arial" w:cs="Arial" w:eastAsia="Arial" w:hAnsi="Arial"/>
          <w:sz w:val="16"/>
          <w:szCs w:val="16"/>
          <w:color w:val="auto"/>
        </w:rPr>
        <w:t>Market value based on the closing price of the Company’s common stock as of December 31, 2015 of $206.69 per share.</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420"/>
          </w:cols>
          <w:pgMar w:left="240" w:top="368" w:right="239" w:bottom="1440" w:gutter="0" w:footer="0" w:header="0"/>
        </w:sectPr>
      </w:pPr>
    </w:p>
    <w:bookmarkStart w:id="81" w:name="page82"/>
    <w:bookmarkEnd w:id="81"/>
    <w:p>
      <w:pPr>
        <w:jc w:val="both"/>
        <w:ind w:left="340" w:hanging="318"/>
        <w:spacing w:after="0" w:line="288" w:lineRule="auto"/>
        <w:tabs>
          <w:tab w:leader="none" w:pos="340" w:val="left"/>
        </w:tabs>
        <w:numPr>
          <w:ilvl w:val="0"/>
          <w:numId w:val="56"/>
        </w:numPr>
        <w:rPr>
          <w:rFonts w:ascii="Arial" w:cs="Arial" w:eastAsia="Arial" w:hAnsi="Arial"/>
          <w:sz w:val="14"/>
          <w:szCs w:val="14"/>
          <w:color w:val="auto"/>
        </w:rPr>
      </w:pPr>
      <w:r>
        <w:rPr>
          <w:rFonts w:ascii="Arial" w:cs="Arial" w:eastAsia="Arial" w:hAnsi="Arial"/>
          <w:sz w:val="14"/>
          <w:szCs w:val="14"/>
          <w:color w:val="auto"/>
        </w:rPr>
        <w:t>Represents the maximum number of shares that could be issued pursuant to the three-year performance-based restricted stock awards, which vest based on achievement of a three-year cumulative revenue goal. The revenue goal for the grants made in 2015 are for the period from January 1, 2015 through December 31, 2017 and are subject to adjustment based on the Company’s TSR over the three-year performance period. The revenue goal for the grants made in 2014 are for the period from January 1, 2014</w:t>
      </w:r>
    </w:p>
    <w:p>
      <w:pPr>
        <w:spacing w:after="0" w:line="2"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through December 31, 2016 and are subject to adjustment based on the Company’s TSR over the three-year performance period.</w:t>
      </w:r>
    </w:p>
    <w:p>
      <w:pPr>
        <w:spacing w:after="0" w:line="5" w:lineRule="exact"/>
        <w:rPr>
          <w:sz w:val="20"/>
          <w:szCs w:val="20"/>
          <w:color w:val="auto"/>
        </w:rPr>
      </w:pPr>
    </w:p>
    <w:p>
      <w:pPr>
        <w:jc w:val="both"/>
        <w:ind w:left="340" w:hanging="310"/>
        <w:spacing w:after="0" w:line="246" w:lineRule="auto"/>
        <w:rPr>
          <w:sz w:val="20"/>
          <w:szCs w:val="20"/>
          <w:color w:val="auto"/>
        </w:rPr>
      </w:pPr>
      <w:r>
        <w:rPr>
          <w:rFonts w:ascii="Arial" w:cs="Arial" w:eastAsia="Arial" w:hAnsi="Arial"/>
          <w:sz w:val="16"/>
          <w:szCs w:val="16"/>
          <w:color w:val="auto"/>
        </w:rPr>
        <w:t>(4a) As of December 31, 2015, Mr. Florance held (i) 11,200 shares of restricted stock, which vested in their entirety on March 11, 2016, (ii) 10,267 shares of restricted stock, which vest in equal installments on February 28, 2016 and 2017, and (iii) 18,900 shares of restricted stock, which vest in equal installments on March 5, 2016, 2017 and 2018.</w:t>
      </w:r>
    </w:p>
    <w:p>
      <w:pPr>
        <w:spacing w:after="0" w:line="1" w:lineRule="exact"/>
        <w:rPr>
          <w:sz w:val="20"/>
          <w:szCs w:val="20"/>
          <w:color w:val="auto"/>
        </w:rPr>
      </w:pPr>
    </w:p>
    <w:p>
      <w:pPr>
        <w:jc w:val="both"/>
        <w:ind w:left="340" w:hanging="310"/>
        <w:spacing w:after="0" w:line="246" w:lineRule="auto"/>
        <w:rPr>
          <w:sz w:val="20"/>
          <w:szCs w:val="20"/>
          <w:color w:val="auto"/>
        </w:rPr>
      </w:pPr>
      <w:r>
        <w:rPr>
          <w:rFonts w:ascii="Arial" w:cs="Arial" w:eastAsia="Arial" w:hAnsi="Arial"/>
          <w:sz w:val="16"/>
          <w:szCs w:val="16"/>
          <w:color w:val="auto"/>
        </w:rPr>
        <w:t>(4b) As of December 31, 2015, Mr. Radecki held (i) 2,700 shares of restricted stock, which vested in their entirety on March 11, 2016, (ii) 3,400 shares of restricted stock, which vest in equal installments on February 28, 2016 and 2017, and (iii) 8,200 shares of restricted stock, which vest in equal installments on March 5, 2016, 2017 and 2018.</w:t>
      </w:r>
    </w:p>
    <w:p>
      <w:pPr>
        <w:spacing w:after="0" w:line="1" w:lineRule="exact"/>
        <w:rPr>
          <w:sz w:val="20"/>
          <w:szCs w:val="20"/>
          <w:color w:val="auto"/>
        </w:rPr>
      </w:pPr>
    </w:p>
    <w:p>
      <w:pPr>
        <w:jc w:val="both"/>
        <w:ind w:left="340" w:hanging="310"/>
        <w:spacing w:after="0" w:line="246" w:lineRule="auto"/>
        <w:rPr>
          <w:sz w:val="20"/>
          <w:szCs w:val="20"/>
          <w:color w:val="auto"/>
        </w:rPr>
      </w:pPr>
      <w:r>
        <w:rPr>
          <w:rFonts w:ascii="Arial" w:cs="Arial" w:eastAsia="Arial" w:hAnsi="Arial"/>
          <w:sz w:val="16"/>
          <w:szCs w:val="16"/>
          <w:color w:val="auto"/>
        </w:rPr>
        <w:t>(4c) As of December 31, 2015, Mr. Yinger held (i) 351 shares of restricted stock, which vest in their entirety on May 22, 2016, (ii) 555 shares of restricted stock, which vest in equal installments on May 30, 2016 and 2017, (iii) 947 shares of restricted stock, which vest in equal installments on May 31, 2016, 2017 and 2018, and (iv) 944 shares of restricted stock, which vest in equal installments on May 28, 2016, 2017, 2018 and 2019.</w:t>
      </w:r>
    </w:p>
    <w:p>
      <w:pPr>
        <w:spacing w:after="0" w:line="1" w:lineRule="exact"/>
        <w:rPr>
          <w:sz w:val="20"/>
          <w:szCs w:val="20"/>
          <w:color w:val="auto"/>
        </w:rPr>
      </w:pPr>
    </w:p>
    <w:p>
      <w:pPr>
        <w:jc w:val="both"/>
        <w:ind w:left="340" w:hanging="310"/>
        <w:spacing w:after="0" w:line="246" w:lineRule="auto"/>
        <w:rPr>
          <w:sz w:val="20"/>
          <w:szCs w:val="20"/>
          <w:color w:val="auto"/>
        </w:rPr>
      </w:pPr>
      <w:r>
        <w:rPr>
          <w:rFonts w:ascii="Arial" w:cs="Arial" w:eastAsia="Arial" w:hAnsi="Arial"/>
          <w:sz w:val="16"/>
          <w:szCs w:val="16"/>
          <w:color w:val="auto"/>
        </w:rPr>
        <w:t>(4d) As of December 31, 2015, Mr. Carchedi held (i) 2,400 shares of restricted stock, which vested in their entirety on March 11, 2016, (ii) 3,400 shares of restricted stock, which vest in equal installments on February 28, 2016 and 2017, and (iii) 5,000 shares of restricted stock, which vest in equal installments on March 5, 2016, 2017 and 2018.</w:t>
      </w:r>
    </w:p>
    <w:p>
      <w:pPr>
        <w:spacing w:after="0" w:line="1" w:lineRule="exact"/>
        <w:rPr>
          <w:sz w:val="20"/>
          <w:szCs w:val="20"/>
          <w:color w:val="auto"/>
        </w:rPr>
      </w:pPr>
    </w:p>
    <w:p>
      <w:pPr>
        <w:jc w:val="both"/>
        <w:ind w:left="340" w:right="20" w:hanging="310"/>
        <w:spacing w:after="0" w:line="257" w:lineRule="auto"/>
        <w:rPr>
          <w:sz w:val="20"/>
          <w:szCs w:val="20"/>
          <w:color w:val="auto"/>
        </w:rPr>
      </w:pPr>
      <w:r>
        <w:rPr>
          <w:rFonts w:ascii="Arial" w:cs="Arial" w:eastAsia="Arial" w:hAnsi="Arial"/>
          <w:sz w:val="16"/>
          <w:szCs w:val="16"/>
          <w:color w:val="auto"/>
        </w:rPr>
        <w:t>(4e) As of December 31, 2015, Mr. Linnington held (i) 7,123 shares of restricted stock, which vest in equal installments on September 11, 2016, 2017 and 2018, and (ii) 4,300 shares of restricted stock, which vest in equal installments on March 5, 2016, 2017 and 2018.</w:t>
      </w:r>
    </w:p>
    <w:p>
      <w:pPr>
        <w:spacing w:after="0" w:line="22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OPTION EXERCISES AND STOCK VESTED FOR FISCAL YEAR 2015</w:t>
      </w:r>
    </w:p>
    <w:p>
      <w:pPr>
        <w:spacing w:after="0" w:line="13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Option Exercises and Stock Vested table provides information about the value realized by the named executive officers on option award exercises and stock award vesting during the year ended December 31,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203200</wp:posOffset>
            </wp:positionV>
            <wp:extent cx="7237730" cy="161226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37730" cy="1612265"/>
                    </a:xfrm>
                    <a:prstGeom prst="rect">
                      <a:avLst/>
                    </a:prstGeom>
                    <a:noFill/>
                  </pic:spPr>
                </pic:pic>
              </a:graphicData>
            </a:graphic>
          </wp:anchor>
        </w:drawing>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0" w:type="dxa"/>
            <w:vAlign w:val="bottom"/>
          </w:tcPr>
          <w:p>
            <w:pPr>
              <w:spacing w:after="0"/>
              <w:rPr>
                <w:sz w:val="20"/>
                <w:szCs w:val="20"/>
                <w:color w:val="auto"/>
              </w:rPr>
            </w:pPr>
          </w:p>
        </w:tc>
        <w:tc>
          <w:tcPr>
            <w:tcW w:w="4340" w:type="dxa"/>
            <w:vAlign w:val="bottom"/>
            <w:shd w:val="clear" w:color="auto" w:fill="B8CCE4"/>
          </w:tcPr>
          <w:p>
            <w:pPr>
              <w:spacing w:after="0"/>
              <w:rPr>
                <w:sz w:val="20"/>
                <w:szCs w:val="20"/>
                <w:color w:val="auto"/>
              </w:rPr>
            </w:pPr>
          </w:p>
        </w:tc>
        <w:tc>
          <w:tcPr>
            <w:tcW w:w="3480" w:type="dxa"/>
            <w:vAlign w:val="bottom"/>
            <w:gridSpan w:val="2"/>
            <w:shd w:val="clear" w:color="auto" w:fill="B8CCE4"/>
          </w:tcPr>
          <w:p>
            <w:pPr>
              <w:jc w:val="right"/>
              <w:ind w:right="1139"/>
              <w:spacing w:after="0"/>
              <w:rPr>
                <w:sz w:val="20"/>
                <w:szCs w:val="20"/>
                <w:color w:val="auto"/>
              </w:rPr>
            </w:pPr>
            <w:r>
              <w:rPr>
                <w:rFonts w:ascii="Arial" w:cs="Arial" w:eastAsia="Arial" w:hAnsi="Arial"/>
                <w:sz w:val="16"/>
                <w:szCs w:val="16"/>
                <w:b w:val="1"/>
                <w:bCs w:val="1"/>
                <w:color w:val="auto"/>
              </w:rPr>
              <w:t>Option Awards</w:t>
            </w:r>
          </w:p>
        </w:tc>
        <w:tc>
          <w:tcPr>
            <w:tcW w:w="3560" w:type="dxa"/>
            <w:vAlign w:val="bottom"/>
            <w:gridSpan w:val="2"/>
            <w:shd w:val="clear" w:color="auto" w:fill="B8CCE4"/>
          </w:tcPr>
          <w:p>
            <w:pPr>
              <w:jc w:val="right"/>
              <w:ind w:right="1239"/>
              <w:spacing w:after="0"/>
              <w:rPr>
                <w:sz w:val="20"/>
                <w:szCs w:val="20"/>
                <w:color w:val="auto"/>
              </w:rPr>
            </w:pPr>
            <w:r>
              <w:rPr>
                <w:rFonts w:ascii="Arial" w:cs="Arial" w:eastAsia="Arial" w:hAnsi="Arial"/>
                <w:sz w:val="16"/>
                <w:szCs w:val="16"/>
                <w:b w:val="1"/>
                <w:bCs w:val="1"/>
                <w:color w:val="auto"/>
              </w:rPr>
              <w:t>Stock Awards</w:t>
            </w:r>
          </w:p>
        </w:tc>
      </w:tr>
      <w:tr>
        <w:trPr>
          <w:trHeight w:val="255"/>
        </w:trPr>
        <w:tc>
          <w:tcPr>
            <w:tcW w:w="40" w:type="dxa"/>
            <w:vAlign w:val="bottom"/>
          </w:tcPr>
          <w:p>
            <w:pPr>
              <w:spacing w:after="0"/>
              <w:rPr>
                <w:sz w:val="22"/>
                <w:szCs w:val="22"/>
                <w:color w:val="auto"/>
              </w:rPr>
            </w:pPr>
          </w:p>
        </w:tc>
        <w:tc>
          <w:tcPr>
            <w:tcW w:w="4340" w:type="dxa"/>
            <w:vAlign w:val="bottom"/>
            <w:shd w:val="clear" w:color="auto" w:fill="B8CCE4"/>
          </w:tcPr>
          <w:p>
            <w:pPr>
              <w:spacing w:after="0"/>
              <w:rPr>
                <w:sz w:val="22"/>
                <w:szCs w:val="22"/>
                <w:color w:val="auto"/>
              </w:rPr>
            </w:pPr>
          </w:p>
        </w:tc>
        <w:tc>
          <w:tcPr>
            <w:tcW w:w="1820" w:type="dxa"/>
            <w:vAlign w:val="bottom"/>
            <w:shd w:val="clear" w:color="auto" w:fill="B8CCE4"/>
          </w:tcPr>
          <w:p>
            <w:pPr>
              <w:jc w:val="center"/>
              <w:spacing w:after="0"/>
              <w:rPr>
                <w:sz w:val="20"/>
                <w:szCs w:val="20"/>
                <w:color w:val="auto"/>
              </w:rPr>
            </w:pPr>
            <w:r>
              <w:rPr>
                <w:rFonts w:ascii="Arial" w:cs="Arial" w:eastAsia="Arial" w:hAnsi="Arial"/>
                <w:sz w:val="16"/>
                <w:szCs w:val="16"/>
                <w:b w:val="1"/>
                <w:bCs w:val="1"/>
                <w:color w:val="auto"/>
                <w:w w:val="91"/>
              </w:rPr>
              <w:t>Number of Shares</w:t>
            </w:r>
          </w:p>
        </w:tc>
        <w:tc>
          <w:tcPr>
            <w:tcW w:w="1660" w:type="dxa"/>
            <w:vAlign w:val="bottom"/>
            <w:shd w:val="clear" w:color="auto" w:fill="B8CCE4"/>
          </w:tcPr>
          <w:p>
            <w:pPr>
              <w:jc w:val="center"/>
              <w:spacing w:after="0"/>
              <w:rPr>
                <w:sz w:val="20"/>
                <w:szCs w:val="20"/>
                <w:color w:val="auto"/>
              </w:rPr>
            </w:pPr>
            <w:r>
              <w:rPr>
                <w:rFonts w:ascii="Arial" w:cs="Arial" w:eastAsia="Arial" w:hAnsi="Arial"/>
                <w:sz w:val="16"/>
                <w:szCs w:val="16"/>
                <w:b w:val="1"/>
                <w:bCs w:val="1"/>
                <w:color w:val="auto"/>
                <w:w w:val="88"/>
              </w:rPr>
              <w:t>Value</w:t>
            </w:r>
          </w:p>
        </w:tc>
        <w:tc>
          <w:tcPr>
            <w:tcW w:w="1920" w:type="dxa"/>
            <w:vAlign w:val="bottom"/>
            <w:shd w:val="clear" w:color="auto" w:fill="B8CCE4"/>
          </w:tcPr>
          <w:p>
            <w:pPr>
              <w:jc w:val="center"/>
              <w:ind w:right="259"/>
              <w:spacing w:after="0"/>
              <w:rPr>
                <w:sz w:val="20"/>
                <w:szCs w:val="20"/>
                <w:color w:val="auto"/>
              </w:rPr>
            </w:pPr>
            <w:r>
              <w:rPr>
                <w:rFonts w:ascii="Arial" w:cs="Arial" w:eastAsia="Arial" w:hAnsi="Arial"/>
                <w:sz w:val="16"/>
                <w:szCs w:val="16"/>
                <w:b w:val="1"/>
                <w:bCs w:val="1"/>
                <w:color w:val="auto"/>
                <w:w w:val="91"/>
              </w:rPr>
              <w:t>Number of Shares</w:t>
            </w:r>
          </w:p>
        </w:tc>
        <w:tc>
          <w:tcPr>
            <w:tcW w:w="1640" w:type="dxa"/>
            <w:vAlign w:val="bottom"/>
            <w:shd w:val="clear" w:color="auto" w:fill="B8CCE4"/>
          </w:tcPr>
          <w:p>
            <w:pPr>
              <w:jc w:val="center"/>
              <w:ind w:right="179"/>
              <w:spacing w:after="0"/>
              <w:rPr>
                <w:sz w:val="20"/>
                <w:szCs w:val="20"/>
                <w:color w:val="auto"/>
              </w:rPr>
            </w:pPr>
            <w:r>
              <w:rPr>
                <w:rFonts w:ascii="Arial" w:cs="Arial" w:eastAsia="Arial" w:hAnsi="Arial"/>
                <w:sz w:val="16"/>
                <w:szCs w:val="16"/>
                <w:b w:val="1"/>
                <w:bCs w:val="1"/>
                <w:color w:val="auto"/>
                <w:w w:val="88"/>
              </w:rPr>
              <w:t>Value</w:t>
            </w:r>
          </w:p>
        </w:tc>
      </w:tr>
      <w:tr>
        <w:trPr>
          <w:trHeight w:val="203"/>
        </w:trPr>
        <w:tc>
          <w:tcPr>
            <w:tcW w:w="40" w:type="dxa"/>
            <w:vAlign w:val="bottom"/>
          </w:tcPr>
          <w:p>
            <w:pPr>
              <w:spacing w:after="0"/>
              <w:rPr>
                <w:sz w:val="17"/>
                <w:szCs w:val="17"/>
                <w:color w:val="auto"/>
              </w:rPr>
            </w:pPr>
          </w:p>
        </w:tc>
        <w:tc>
          <w:tcPr>
            <w:tcW w:w="4340" w:type="dxa"/>
            <w:vAlign w:val="bottom"/>
            <w:shd w:val="clear" w:color="auto" w:fill="B8CCE4"/>
          </w:tcPr>
          <w:p>
            <w:pPr>
              <w:spacing w:after="0"/>
              <w:rPr>
                <w:sz w:val="17"/>
                <w:szCs w:val="17"/>
                <w:color w:val="auto"/>
              </w:rPr>
            </w:pPr>
          </w:p>
        </w:tc>
        <w:tc>
          <w:tcPr>
            <w:tcW w:w="1820" w:type="dxa"/>
            <w:vAlign w:val="bottom"/>
            <w:shd w:val="clear" w:color="auto" w:fill="B8CCE4"/>
          </w:tcPr>
          <w:p>
            <w:pPr>
              <w:jc w:val="center"/>
              <w:spacing w:after="0"/>
              <w:rPr>
                <w:sz w:val="20"/>
                <w:szCs w:val="20"/>
                <w:color w:val="auto"/>
              </w:rPr>
            </w:pPr>
            <w:r>
              <w:rPr>
                <w:rFonts w:ascii="Arial" w:cs="Arial" w:eastAsia="Arial" w:hAnsi="Arial"/>
                <w:sz w:val="16"/>
                <w:szCs w:val="16"/>
                <w:b w:val="1"/>
                <w:bCs w:val="1"/>
                <w:color w:val="auto"/>
                <w:w w:val="92"/>
              </w:rPr>
              <w:t>Acquired on</w:t>
            </w:r>
          </w:p>
        </w:tc>
        <w:tc>
          <w:tcPr>
            <w:tcW w:w="1660" w:type="dxa"/>
            <w:vAlign w:val="bottom"/>
            <w:shd w:val="clear" w:color="auto" w:fill="B8CCE4"/>
          </w:tcPr>
          <w:p>
            <w:pPr>
              <w:jc w:val="center"/>
              <w:spacing w:after="0"/>
              <w:rPr>
                <w:sz w:val="20"/>
                <w:szCs w:val="20"/>
                <w:color w:val="auto"/>
              </w:rPr>
            </w:pPr>
            <w:r>
              <w:rPr>
                <w:rFonts w:ascii="Arial" w:cs="Arial" w:eastAsia="Arial" w:hAnsi="Arial"/>
                <w:sz w:val="16"/>
                <w:szCs w:val="16"/>
                <w:b w:val="1"/>
                <w:bCs w:val="1"/>
                <w:color w:val="auto"/>
                <w:w w:val="92"/>
              </w:rPr>
              <w:t>Realized on</w:t>
            </w:r>
          </w:p>
        </w:tc>
        <w:tc>
          <w:tcPr>
            <w:tcW w:w="1920" w:type="dxa"/>
            <w:vAlign w:val="bottom"/>
            <w:shd w:val="clear" w:color="auto" w:fill="B8CCE4"/>
          </w:tcPr>
          <w:p>
            <w:pPr>
              <w:jc w:val="center"/>
              <w:ind w:right="259"/>
              <w:spacing w:after="0"/>
              <w:rPr>
                <w:sz w:val="20"/>
                <w:szCs w:val="20"/>
                <w:color w:val="auto"/>
              </w:rPr>
            </w:pPr>
            <w:r>
              <w:rPr>
                <w:rFonts w:ascii="Arial" w:cs="Arial" w:eastAsia="Arial" w:hAnsi="Arial"/>
                <w:sz w:val="16"/>
                <w:szCs w:val="16"/>
                <w:b w:val="1"/>
                <w:bCs w:val="1"/>
                <w:color w:val="auto"/>
                <w:w w:val="92"/>
              </w:rPr>
              <w:t>Acquired on</w:t>
            </w:r>
          </w:p>
        </w:tc>
        <w:tc>
          <w:tcPr>
            <w:tcW w:w="1640" w:type="dxa"/>
            <w:vAlign w:val="bottom"/>
            <w:shd w:val="clear" w:color="auto" w:fill="B8CCE4"/>
          </w:tcPr>
          <w:p>
            <w:pPr>
              <w:jc w:val="center"/>
              <w:ind w:right="179"/>
              <w:spacing w:after="0"/>
              <w:rPr>
                <w:sz w:val="20"/>
                <w:szCs w:val="20"/>
                <w:color w:val="auto"/>
              </w:rPr>
            </w:pPr>
            <w:r>
              <w:rPr>
                <w:rFonts w:ascii="Arial" w:cs="Arial" w:eastAsia="Arial" w:hAnsi="Arial"/>
                <w:sz w:val="16"/>
                <w:szCs w:val="16"/>
                <w:b w:val="1"/>
                <w:bCs w:val="1"/>
                <w:color w:val="auto"/>
                <w:w w:val="92"/>
              </w:rPr>
              <w:t>Realized on</w:t>
            </w:r>
          </w:p>
        </w:tc>
      </w:tr>
      <w:tr>
        <w:trPr>
          <w:trHeight w:val="203"/>
        </w:trPr>
        <w:tc>
          <w:tcPr>
            <w:tcW w:w="40" w:type="dxa"/>
            <w:vAlign w:val="bottom"/>
          </w:tcPr>
          <w:p>
            <w:pPr>
              <w:spacing w:after="0"/>
              <w:rPr>
                <w:sz w:val="17"/>
                <w:szCs w:val="17"/>
                <w:color w:val="auto"/>
              </w:rPr>
            </w:pPr>
          </w:p>
        </w:tc>
        <w:tc>
          <w:tcPr>
            <w:tcW w:w="4340" w:type="dxa"/>
            <w:vAlign w:val="bottom"/>
            <w:shd w:val="clear" w:color="auto" w:fill="B8CCE4"/>
          </w:tcPr>
          <w:p>
            <w:pPr>
              <w:spacing w:after="0"/>
              <w:rPr>
                <w:sz w:val="17"/>
                <w:szCs w:val="17"/>
                <w:color w:val="auto"/>
              </w:rPr>
            </w:pPr>
          </w:p>
        </w:tc>
        <w:tc>
          <w:tcPr>
            <w:tcW w:w="1820" w:type="dxa"/>
            <w:vAlign w:val="bottom"/>
            <w:shd w:val="clear" w:color="auto" w:fill="B8CCE4"/>
          </w:tcPr>
          <w:p>
            <w:pPr>
              <w:jc w:val="center"/>
              <w:spacing w:after="0"/>
              <w:rPr>
                <w:sz w:val="20"/>
                <w:szCs w:val="20"/>
                <w:color w:val="auto"/>
              </w:rPr>
            </w:pPr>
            <w:r>
              <w:rPr>
                <w:rFonts w:ascii="Arial" w:cs="Arial" w:eastAsia="Arial" w:hAnsi="Arial"/>
                <w:sz w:val="16"/>
                <w:szCs w:val="16"/>
                <w:b w:val="1"/>
                <w:bCs w:val="1"/>
                <w:color w:val="auto"/>
                <w:w w:val="88"/>
              </w:rPr>
              <w:t>Exercise</w:t>
            </w:r>
          </w:p>
        </w:tc>
        <w:tc>
          <w:tcPr>
            <w:tcW w:w="1660" w:type="dxa"/>
            <w:vAlign w:val="bottom"/>
            <w:shd w:val="clear" w:color="auto" w:fill="B8CCE4"/>
          </w:tcPr>
          <w:p>
            <w:pPr>
              <w:jc w:val="center"/>
              <w:spacing w:after="0" w:line="203" w:lineRule="exact"/>
              <w:rPr>
                <w:sz w:val="20"/>
                <w:szCs w:val="20"/>
                <w:color w:val="auto"/>
              </w:rPr>
            </w:pPr>
            <w:r>
              <w:rPr>
                <w:rFonts w:ascii="Arial" w:cs="Arial" w:eastAsia="Arial" w:hAnsi="Arial"/>
                <w:sz w:val="16"/>
                <w:szCs w:val="16"/>
                <w:b w:val="1"/>
                <w:bCs w:val="1"/>
                <w:color w:val="auto"/>
                <w:w w:val="84"/>
              </w:rPr>
              <w:t>Exercise</w:t>
            </w:r>
            <w:r>
              <w:rPr>
                <w:rFonts w:ascii="Arial" w:cs="Arial" w:eastAsia="Arial" w:hAnsi="Arial"/>
                <w:sz w:val="21"/>
                <w:szCs w:val="21"/>
                <w:b w:val="1"/>
                <w:bCs w:val="1"/>
                <w:color w:val="auto"/>
                <w:w w:val="84"/>
                <w:vertAlign w:val="superscript"/>
              </w:rPr>
              <w:t>(1)</w:t>
            </w:r>
          </w:p>
        </w:tc>
        <w:tc>
          <w:tcPr>
            <w:tcW w:w="1920" w:type="dxa"/>
            <w:vAlign w:val="bottom"/>
            <w:shd w:val="clear" w:color="auto" w:fill="B8CCE4"/>
          </w:tcPr>
          <w:p>
            <w:pPr>
              <w:jc w:val="center"/>
              <w:ind w:right="239"/>
              <w:spacing w:after="0"/>
              <w:rPr>
                <w:sz w:val="20"/>
                <w:szCs w:val="20"/>
                <w:color w:val="auto"/>
              </w:rPr>
            </w:pPr>
            <w:r>
              <w:rPr>
                <w:rFonts w:ascii="Arial" w:cs="Arial" w:eastAsia="Arial" w:hAnsi="Arial"/>
                <w:sz w:val="16"/>
                <w:szCs w:val="16"/>
                <w:b w:val="1"/>
                <w:bCs w:val="1"/>
                <w:color w:val="auto"/>
                <w:w w:val="89"/>
              </w:rPr>
              <w:t>Vesting</w:t>
            </w:r>
          </w:p>
        </w:tc>
        <w:tc>
          <w:tcPr>
            <w:tcW w:w="1640" w:type="dxa"/>
            <w:vAlign w:val="bottom"/>
            <w:shd w:val="clear" w:color="auto" w:fill="B8CCE4"/>
          </w:tcPr>
          <w:p>
            <w:pPr>
              <w:jc w:val="center"/>
              <w:ind w:right="179"/>
              <w:spacing w:after="0" w:line="203" w:lineRule="exact"/>
              <w:rPr>
                <w:sz w:val="20"/>
                <w:szCs w:val="20"/>
                <w:color w:val="auto"/>
              </w:rPr>
            </w:pPr>
            <w:r>
              <w:rPr>
                <w:rFonts w:ascii="Arial" w:cs="Arial" w:eastAsia="Arial" w:hAnsi="Arial"/>
                <w:sz w:val="16"/>
                <w:szCs w:val="16"/>
                <w:b w:val="1"/>
                <w:bCs w:val="1"/>
                <w:color w:val="auto"/>
                <w:w w:val="82"/>
              </w:rPr>
              <w:t>Vesting</w:t>
            </w:r>
            <w:r>
              <w:rPr>
                <w:rFonts w:ascii="Arial" w:cs="Arial" w:eastAsia="Arial" w:hAnsi="Arial"/>
                <w:sz w:val="21"/>
                <w:szCs w:val="21"/>
                <w:b w:val="1"/>
                <w:bCs w:val="1"/>
                <w:color w:val="auto"/>
                <w:w w:val="82"/>
                <w:vertAlign w:val="superscript"/>
              </w:rPr>
              <w:t>(2)</w:t>
            </w:r>
          </w:p>
        </w:tc>
      </w:tr>
      <w:tr>
        <w:trPr>
          <w:trHeight w:val="223"/>
        </w:trPr>
        <w:tc>
          <w:tcPr>
            <w:tcW w:w="40" w:type="dxa"/>
            <w:vAlign w:val="bottom"/>
          </w:tcPr>
          <w:p>
            <w:pPr>
              <w:spacing w:after="0"/>
              <w:rPr>
                <w:sz w:val="19"/>
                <w:szCs w:val="19"/>
                <w:color w:val="auto"/>
              </w:rPr>
            </w:pPr>
          </w:p>
        </w:tc>
        <w:tc>
          <w:tcPr>
            <w:tcW w:w="4340" w:type="dxa"/>
            <w:vAlign w:val="bottom"/>
            <w:tcBorders>
              <w:bottom w:val="single" w:sz="8" w:color="B8CCE4"/>
            </w:tcBorders>
            <w:shd w:val="clear" w:color="auto" w:fill="B8CCE4"/>
          </w:tcPr>
          <w:p>
            <w:pPr>
              <w:ind w:left="1960"/>
              <w:spacing w:after="0"/>
              <w:rPr>
                <w:sz w:val="20"/>
                <w:szCs w:val="20"/>
                <w:color w:val="auto"/>
              </w:rPr>
            </w:pPr>
            <w:r>
              <w:rPr>
                <w:rFonts w:ascii="Arial" w:cs="Arial" w:eastAsia="Arial" w:hAnsi="Arial"/>
                <w:sz w:val="16"/>
                <w:szCs w:val="16"/>
                <w:b w:val="1"/>
                <w:bCs w:val="1"/>
                <w:color w:val="auto"/>
              </w:rPr>
              <w:t>Name</w:t>
            </w:r>
          </w:p>
        </w:tc>
        <w:tc>
          <w:tcPr>
            <w:tcW w:w="1820" w:type="dxa"/>
            <w:vAlign w:val="bottom"/>
            <w:tcBorders>
              <w:bottom w:val="single" w:sz="8" w:color="B8CCE4"/>
            </w:tcBorders>
            <w:shd w:val="clear" w:color="auto" w:fill="B8CCE4"/>
          </w:tcPr>
          <w:p>
            <w:pPr>
              <w:jc w:val="center"/>
              <w:spacing w:after="0"/>
              <w:rPr>
                <w:sz w:val="20"/>
                <w:szCs w:val="20"/>
                <w:color w:val="auto"/>
              </w:rPr>
            </w:pPr>
            <w:r>
              <w:rPr>
                <w:rFonts w:ascii="Arial" w:cs="Arial" w:eastAsia="Arial" w:hAnsi="Arial"/>
                <w:sz w:val="16"/>
                <w:szCs w:val="16"/>
                <w:b w:val="1"/>
                <w:bCs w:val="1"/>
                <w:color w:val="auto"/>
                <w:w w:val="91"/>
              </w:rPr>
              <w:t>(#)</w:t>
            </w:r>
          </w:p>
        </w:tc>
        <w:tc>
          <w:tcPr>
            <w:tcW w:w="1660" w:type="dxa"/>
            <w:vAlign w:val="bottom"/>
            <w:tcBorders>
              <w:bottom w:val="single" w:sz="8" w:color="B8CCE4"/>
            </w:tcBorders>
            <w:shd w:val="clear" w:color="auto" w:fill="B8CCE4"/>
          </w:tcPr>
          <w:p>
            <w:pPr>
              <w:jc w:val="center"/>
              <w:spacing w:after="0"/>
              <w:rPr>
                <w:sz w:val="20"/>
                <w:szCs w:val="20"/>
                <w:color w:val="auto"/>
              </w:rPr>
            </w:pPr>
            <w:r>
              <w:rPr>
                <w:rFonts w:ascii="Arial" w:cs="Arial" w:eastAsia="Arial" w:hAnsi="Arial"/>
                <w:sz w:val="16"/>
                <w:szCs w:val="16"/>
                <w:b w:val="1"/>
                <w:bCs w:val="1"/>
                <w:color w:val="auto"/>
                <w:w w:val="91"/>
              </w:rPr>
              <w:t>($)</w:t>
            </w:r>
          </w:p>
        </w:tc>
        <w:tc>
          <w:tcPr>
            <w:tcW w:w="1920" w:type="dxa"/>
            <w:vAlign w:val="bottom"/>
            <w:tcBorders>
              <w:bottom w:val="single" w:sz="8" w:color="B8CCE4"/>
            </w:tcBorders>
            <w:shd w:val="clear" w:color="auto" w:fill="B8CCE4"/>
          </w:tcPr>
          <w:p>
            <w:pPr>
              <w:jc w:val="center"/>
              <w:ind w:right="239"/>
              <w:spacing w:after="0"/>
              <w:rPr>
                <w:sz w:val="20"/>
                <w:szCs w:val="20"/>
                <w:color w:val="auto"/>
              </w:rPr>
            </w:pPr>
            <w:r>
              <w:rPr>
                <w:rFonts w:ascii="Arial" w:cs="Arial" w:eastAsia="Arial" w:hAnsi="Arial"/>
                <w:sz w:val="16"/>
                <w:szCs w:val="16"/>
                <w:b w:val="1"/>
                <w:bCs w:val="1"/>
                <w:color w:val="auto"/>
              </w:rPr>
              <w:t>(#)</w:t>
            </w:r>
          </w:p>
        </w:tc>
        <w:tc>
          <w:tcPr>
            <w:tcW w:w="1640" w:type="dxa"/>
            <w:vAlign w:val="bottom"/>
            <w:tcBorders>
              <w:bottom w:val="single" w:sz="8" w:color="B8CCE4"/>
            </w:tcBorders>
            <w:shd w:val="clear" w:color="auto" w:fill="B8CCE4"/>
          </w:tcPr>
          <w:p>
            <w:pPr>
              <w:jc w:val="center"/>
              <w:ind w:right="179"/>
              <w:spacing w:after="0"/>
              <w:rPr>
                <w:sz w:val="20"/>
                <w:szCs w:val="20"/>
                <w:color w:val="auto"/>
              </w:rPr>
            </w:pPr>
            <w:r>
              <w:rPr>
                <w:rFonts w:ascii="Arial" w:cs="Arial" w:eastAsia="Arial" w:hAnsi="Arial"/>
                <w:sz w:val="16"/>
                <w:szCs w:val="16"/>
                <w:b w:val="1"/>
                <w:bCs w:val="1"/>
                <w:color w:val="auto"/>
                <w:w w:val="91"/>
              </w:rPr>
              <w:t>($)</w:t>
            </w:r>
          </w:p>
        </w:tc>
      </w:tr>
      <w:tr>
        <w:trPr>
          <w:trHeight w:val="237"/>
        </w:trPr>
        <w:tc>
          <w:tcPr>
            <w:tcW w:w="40" w:type="dxa"/>
            <w:vAlign w:val="bottom"/>
          </w:tcPr>
          <w:p>
            <w:pPr>
              <w:spacing w:after="0"/>
              <w:rPr>
                <w:sz w:val="20"/>
                <w:szCs w:val="20"/>
                <w:color w:val="auto"/>
              </w:rPr>
            </w:pPr>
          </w:p>
        </w:tc>
        <w:tc>
          <w:tcPr>
            <w:tcW w:w="4340" w:type="dxa"/>
            <w:vAlign w:val="bottom"/>
            <w:shd w:val="clear" w:color="auto" w:fill="DBE5F1"/>
          </w:tcPr>
          <w:p>
            <w:pPr>
              <w:ind w:left="20"/>
              <w:spacing w:after="0"/>
              <w:rPr>
                <w:sz w:val="20"/>
                <w:szCs w:val="20"/>
                <w:color w:val="auto"/>
              </w:rPr>
            </w:pPr>
            <w:r>
              <w:rPr>
                <w:rFonts w:ascii="Arial" w:cs="Arial" w:eastAsia="Arial" w:hAnsi="Arial"/>
                <w:sz w:val="16"/>
                <w:szCs w:val="16"/>
                <w:b w:val="1"/>
                <w:bCs w:val="1"/>
                <w:color w:val="auto"/>
              </w:rPr>
              <w:t>Andrew C. Florance</w:t>
            </w:r>
          </w:p>
        </w:tc>
        <w:tc>
          <w:tcPr>
            <w:tcW w:w="1820" w:type="dxa"/>
            <w:vAlign w:val="bottom"/>
            <w:shd w:val="clear" w:color="auto" w:fill="DBE5F1"/>
          </w:tcPr>
          <w:p>
            <w:pPr>
              <w:jc w:val="right"/>
              <w:ind w:right="39"/>
              <w:spacing w:after="0"/>
              <w:rPr>
                <w:sz w:val="20"/>
                <w:szCs w:val="20"/>
                <w:color w:val="auto"/>
              </w:rPr>
            </w:pPr>
            <w:r>
              <w:rPr>
                <w:rFonts w:ascii="Arial" w:cs="Arial" w:eastAsia="Arial" w:hAnsi="Arial"/>
                <w:sz w:val="16"/>
                <w:szCs w:val="16"/>
                <w:color w:val="auto"/>
              </w:rPr>
              <w:t>10,086</w:t>
            </w:r>
          </w:p>
        </w:tc>
        <w:tc>
          <w:tcPr>
            <w:tcW w:w="1660" w:type="dxa"/>
            <w:vAlign w:val="bottom"/>
            <w:shd w:val="clear" w:color="auto" w:fill="DBE5F1"/>
          </w:tcPr>
          <w:p>
            <w:pPr>
              <w:jc w:val="right"/>
              <w:ind w:right="79"/>
              <w:spacing w:after="0"/>
              <w:rPr>
                <w:sz w:val="20"/>
                <w:szCs w:val="20"/>
                <w:color w:val="auto"/>
              </w:rPr>
            </w:pPr>
            <w:r>
              <w:rPr>
                <w:rFonts w:ascii="Arial" w:cs="Arial" w:eastAsia="Arial" w:hAnsi="Arial"/>
                <w:sz w:val="16"/>
                <w:szCs w:val="16"/>
                <w:color w:val="auto"/>
              </w:rPr>
              <w:t>$1,611,863</w:t>
            </w:r>
          </w:p>
        </w:tc>
        <w:tc>
          <w:tcPr>
            <w:tcW w:w="1920" w:type="dxa"/>
            <w:vAlign w:val="bottom"/>
            <w:shd w:val="clear" w:color="auto" w:fill="DBE5F1"/>
          </w:tcPr>
          <w:p>
            <w:pPr>
              <w:jc w:val="right"/>
              <w:ind w:right="219"/>
              <w:spacing w:after="0"/>
              <w:rPr>
                <w:sz w:val="20"/>
                <w:szCs w:val="20"/>
                <w:color w:val="auto"/>
              </w:rPr>
            </w:pPr>
            <w:r>
              <w:rPr>
                <w:rFonts w:ascii="Arial" w:cs="Arial" w:eastAsia="Arial" w:hAnsi="Arial"/>
                <w:sz w:val="16"/>
                <w:szCs w:val="16"/>
                <w:color w:val="auto"/>
              </w:rPr>
              <w:t>26,167</w:t>
            </w:r>
          </w:p>
        </w:tc>
        <w:tc>
          <w:tcPr>
            <w:tcW w:w="1640" w:type="dxa"/>
            <w:vAlign w:val="bottom"/>
            <w:shd w:val="clear" w:color="auto" w:fill="DBE5F1"/>
          </w:tcPr>
          <w:p>
            <w:pPr>
              <w:jc w:val="right"/>
              <w:ind w:right="19"/>
              <w:spacing w:after="0"/>
              <w:rPr>
                <w:sz w:val="20"/>
                <w:szCs w:val="20"/>
                <w:color w:val="auto"/>
              </w:rPr>
            </w:pPr>
            <w:r>
              <w:rPr>
                <w:rFonts w:ascii="Arial" w:cs="Arial" w:eastAsia="Arial" w:hAnsi="Arial"/>
                <w:sz w:val="16"/>
                <w:szCs w:val="16"/>
                <w:color w:val="auto"/>
              </w:rPr>
              <w:t>$5,042,478</w:t>
            </w:r>
          </w:p>
        </w:tc>
      </w:tr>
      <w:tr>
        <w:trPr>
          <w:trHeight w:val="284"/>
        </w:trPr>
        <w:tc>
          <w:tcPr>
            <w:tcW w:w="40" w:type="dxa"/>
            <w:vAlign w:val="bottom"/>
          </w:tcPr>
          <w:p>
            <w:pPr>
              <w:spacing w:after="0"/>
              <w:rPr>
                <w:sz w:val="24"/>
                <w:szCs w:val="24"/>
                <w:color w:val="auto"/>
              </w:rPr>
            </w:pPr>
          </w:p>
        </w:tc>
        <w:tc>
          <w:tcPr>
            <w:tcW w:w="4340" w:type="dxa"/>
            <w:vAlign w:val="bottom"/>
            <w:shd w:val="clear" w:color="auto" w:fill="DBE5F1"/>
          </w:tcPr>
          <w:p>
            <w:pPr>
              <w:ind w:left="20"/>
              <w:spacing w:after="0"/>
              <w:rPr>
                <w:sz w:val="20"/>
                <w:szCs w:val="20"/>
                <w:color w:val="auto"/>
              </w:rPr>
            </w:pPr>
            <w:r>
              <w:rPr>
                <w:rFonts w:ascii="Arial" w:cs="Arial" w:eastAsia="Arial" w:hAnsi="Arial"/>
                <w:sz w:val="16"/>
                <w:szCs w:val="16"/>
                <w:b w:val="1"/>
                <w:bCs w:val="1"/>
                <w:color w:val="auto"/>
              </w:rPr>
              <w:t>Brian J. Radecki</w:t>
            </w:r>
          </w:p>
        </w:tc>
        <w:tc>
          <w:tcPr>
            <w:tcW w:w="1820" w:type="dxa"/>
            <w:vAlign w:val="bottom"/>
            <w:shd w:val="clear" w:color="auto" w:fill="DBE5F1"/>
          </w:tcPr>
          <w:p>
            <w:pPr>
              <w:jc w:val="right"/>
              <w:ind w:right="39"/>
              <w:spacing w:after="0"/>
              <w:rPr>
                <w:sz w:val="20"/>
                <w:szCs w:val="20"/>
                <w:color w:val="auto"/>
              </w:rPr>
            </w:pPr>
            <w:r>
              <w:rPr>
                <w:rFonts w:ascii="Arial" w:cs="Arial" w:eastAsia="Arial" w:hAnsi="Arial"/>
                <w:sz w:val="16"/>
                <w:szCs w:val="16"/>
                <w:color w:val="auto"/>
              </w:rPr>
              <w:t>17,334</w:t>
            </w:r>
          </w:p>
        </w:tc>
        <w:tc>
          <w:tcPr>
            <w:tcW w:w="1660" w:type="dxa"/>
            <w:vAlign w:val="bottom"/>
            <w:shd w:val="clear" w:color="auto" w:fill="DBE5F1"/>
          </w:tcPr>
          <w:p>
            <w:pPr>
              <w:jc w:val="right"/>
              <w:ind w:right="79"/>
              <w:spacing w:after="0"/>
              <w:rPr>
                <w:sz w:val="20"/>
                <w:szCs w:val="20"/>
                <w:color w:val="auto"/>
              </w:rPr>
            </w:pPr>
            <w:r>
              <w:rPr>
                <w:rFonts w:ascii="Arial" w:cs="Arial" w:eastAsia="Arial" w:hAnsi="Arial"/>
                <w:sz w:val="16"/>
                <w:szCs w:val="16"/>
                <w:color w:val="auto"/>
              </w:rPr>
              <w:t>$1,510,707</w:t>
            </w:r>
          </w:p>
        </w:tc>
        <w:tc>
          <w:tcPr>
            <w:tcW w:w="1920" w:type="dxa"/>
            <w:vAlign w:val="bottom"/>
            <w:shd w:val="clear" w:color="auto" w:fill="DBE5F1"/>
          </w:tcPr>
          <w:p>
            <w:pPr>
              <w:jc w:val="right"/>
              <w:ind w:right="219"/>
              <w:spacing w:after="0"/>
              <w:rPr>
                <w:sz w:val="20"/>
                <w:szCs w:val="20"/>
                <w:color w:val="auto"/>
              </w:rPr>
            </w:pPr>
            <w:r>
              <w:rPr>
                <w:rFonts w:ascii="Arial" w:cs="Arial" w:eastAsia="Arial" w:hAnsi="Arial"/>
                <w:sz w:val="16"/>
                <w:szCs w:val="16"/>
                <w:color w:val="auto"/>
              </w:rPr>
              <w:t>7,700</w:t>
            </w:r>
          </w:p>
        </w:tc>
        <w:tc>
          <w:tcPr>
            <w:tcW w:w="1640" w:type="dxa"/>
            <w:vAlign w:val="bottom"/>
            <w:shd w:val="clear" w:color="auto" w:fill="DBE5F1"/>
          </w:tcPr>
          <w:p>
            <w:pPr>
              <w:jc w:val="right"/>
              <w:ind w:right="19"/>
              <w:spacing w:after="0"/>
              <w:rPr>
                <w:sz w:val="20"/>
                <w:szCs w:val="20"/>
                <w:color w:val="auto"/>
              </w:rPr>
            </w:pPr>
            <w:r>
              <w:rPr>
                <w:rFonts w:ascii="Arial" w:cs="Arial" w:eastAsia="Arial" w:hAnsi="Arial"/>
                <w:sz w:val="16"/>
                <w:szCs w:val="16"/>
                <w:color w:val="auto"/>
              </w:rPr>
              <w:t>$1,485,445</w:t>
            </w:r>
          </w:p>
        </w:tc>
      </w:tr>
      <w:tr>
        <w:trPr>
          <w:trHeight w:val="284"/>
        </w:trPr>
        <w:tc>
          <w:tcPr>
            <w:tcW w:w="40" w:type="dxa"/>
            <w:vAlign w:val="bottom"/>
          </w:tcPr>
          <w:p>
            <w:pPr>
              <w:spacing w:after="0"/>
              <w:rPr>
                <w:sz w:val="24"/>
                <w:szCs w:val="24"/>
                <w:color w:val="auto"/>
              </w:rPr>
            </w:pPr>
          </w:p>
        </w:tc>
        <w:tc>
          <w:tcPr>
            <w:tcW w:w="4340" w:type="dxa"/>
            <w:vAlign w:val="bottom"/>
            <w:shd w:val="clear" w:color="auto" w:fill="DBE5F1"/>
          </w:tcPr>
          <w:p>
            <w:pPr>
              <w:ind w:left="20"/>
              <w:spacing w:after="0"/>
              <w:rPr>
                <w:sz w:val="20"/>
                <w:szCs w:val="20"/>
                <w:color w:val="auto"/>
              </w:rPr>
            </w:pPr>
            <w:r>
              <w:rPr>
                <w:rFonts w:ascii="Arial" w:cs="Arial" w:eastAsia="Arial" w:hAnsi="Arial"/>
                <w:sz w:val="16"/>
                <w:szCs w:val="16"/>
                <w:b w:val="1"/>
                <w:bCs w:val="1"/>
                <w:color w:val="auto"/>
              </w:rPr>
              <w:t>Scott L. Yinger</w:t>
            </w:r>
          </w:p>
        </w:tc>
        <w:tc>
          <w:tcPr>
            <w:tcW w:w="1820" w:type="dxa"/>
            <w:vAlign w:val="bottom"/>
            <w:shd w:val="clear" w:color="auto" w:fill="DBE5F1"/>
          </w:tcPr>
          <w:p>
            <w:pPr>
              <w:jc w:val="right"/>
              <w:ind w:right="39"/>
              <w:spacing w:after="0"/>
              <w:rPr>
                <w:sz w:val="20"/>
                <w:szCs w:val="20"/>
                <w:color w:val="auto"/>
              </w:rPr>
            </w:pPr>
            <w:r>
              <w:rPr>
                <w:rFonts w:ascii="Arial" w:cs="Arial" w:eastAsia="Arial" w:hAnsi="Arial"/>
                <w:sz w:val="16"/>
                <w:szCs w:val="16"/>
                <w:color w:val="auto"/>
              </w:rPr>
              <w:t>—</w:t>
            </w:r>
          </w:p>
        </w:tc>
        <w:tc>
          <w:tcPr>
            <w:tcW w:w="1660" w:type="dxa"/>
            <w:vAlign w:val="bottom"/>
            <w:shd w:val="clear" w:color="auto" w:fill="DBE5F1"/>
          </w:tcPr>
          <w:p>
            <w:pPr>
              <w:jc w:val="right"/>
              <w:ind w:right="79"/>
              <w:spacing w:after="0"/>
              <w:rPr>
                <w:sz w:val="20"/>
                <w:szCs w:val="20"/>
                <w:color w:val="auto"/>
              </w:rPr>
            </w:pPr>
            <w:r>
              <w:rPr>
                <w:rFonts w:ascii="Arial" w:cs="Arial" w:eastAsia="Arial" w:hAnsi="Arial"/>
                <w:sz w:val="16"/>
                <w:szCs w:val="16"/>
                <w:color w:val="auto"/>
              </w:rPr>
              <w:t>—</w:t>
            </w:r>
          </w:p>
        </w:tc>
        <w:tc>
          <w:tcPr>
            <w:tcW w:w="1920" w:type="dxa"/>
            <w:vAlign w:val="bottom"/>
            <w:shd w:val="clear" w:color="auto" w:fill="DBE5F1"/>
          </w:tcPr>
          <w:p>
            <w:pPr>
              <w:jc w:val="right"/>
              <w:ind w:right="219"/>
              <w:spacing w:after="0"/>
              <w:rPr>
                <w:sz w:val="20"/>
                <w:szCs w:val="20"/>
                <w:color w:val="auto"/>
              </w:rPr>
            </w:pPr>
            <w:r>
              <w:rPr>
                <w:rFonts w:ascii="Arial" w:cs="Arial" w:eastAsia="Arial" w:hAnsi="Arial"/>
                <w:sz w:val="16"/>
                <w:szCs w:val="16"/>
                <w:color w:val="auto"/>
              </w:rPr>
              <w:t>1,343</w:t>
            </w:r>
          </w:p>
        </w:tc>
        <w:tc>
          <w:tcPr>
            <w:tcW w:w="1640" w:type="dxa"/>
            <w:vAlign w:val="bottom"/>
            <w:shd w:val="clear" w:color="auto" w:fill="DBE5F1"/>
          </w:tcPr>
          <w:p>
            <w:pPr>
              <w:jc w:val="right"/>
              <w:ind w:right="19"/>
              <w:spacing w:after="0"/>
              <w:rPr>
                <w:sz w:val="20"/>
                <w:szCs w:val="20"/>
                <w:color w:val="auto"/>
              </w:rPr>
            </w:pPr>
            <w:r>
              <w:rPr>
                <w:rFonts w:ascii="Arial" w:cs="Arial" w:eastAsia="Arial" w:hAnsi="Arial"/>
                <w:sz w:val="16"/>
                <w:szCs w:val="16"/>
                <w:color w:val="auto"/>
              </w:rPr>
              <w:t>$276,356</w:t>
            </w:r>
          </w:p>
        </w:tc>
      </w:tr>
      <w:tr>
        <w:trPr>
          <w:trHeight w:val="270"/>
        </w:trPr>
        <w:tc>
          <w:tcPr>
            <w:tcW w:w="40" w:type="dxa"/>
            <w:vAlign w:val="bottom"/>
          </w:tcPr>
          <w:p>
            <w:pPr>
              <w:spacing w:after="0"/>
              <w:rPr>
                <w:sz w:val="23"/>
                <w:szCs w:val="23"/>
                <w:color w:val="auto"/>
              </w:rPr>
            </w:pPr>
          </w:p>
        </w:tc>
        <w:tc>
          <w:tcPr>
            <w:tcW w:w="4340" w:type="dxa"/>
            <w:vAlign w:val="bottom"/>
            <w:shd w:val="clear" w:color="auto" w:fill="DBE5F1"/>
          </w:tcPr>
          <w:p>
            <w:pPr>
              <w:ind w:left="20"/>
              <w:spacing w:after="0"/>
              <w:rPr>
                <w:sz w:val="20"/>
                <w:szCs w:val="20"/>
                <w:color w:val="auto"/>
              </w:rPr>
            </w:pPr>
            <w:r>
              <w:rPr>
                <w:rFonts w:ascii="Arial" w:cs="Arial" w:eastAsia="Arial" w:hAnsi="Arial"/>
                <w:sz w:val="16"/>
                <w:szCs w:val="16"/>
                <w:b w:val="1"/>
                <w:bCs w:val="1"/>
                <w:color w:val="auto"/>
              </w:rPr>
              <w:t>Francis A. Carchedi</w:t>
            </w:r>
          </w:p>
        </w:tc>
        <w:tc>
          <w:tcPr>
            <w:tcW w:w="1820" w:type="dxa"/>
            <w:vAlign w:val="bottom"/>
            <w:shd w:val="clear" w:color="auto" w:fill="DBE5F1"/>
          </w:tcPr>
          <w:p>
            <w:pPr>
              <w:jc w:val="right"/>
              <w:ind w:right="39"/>
              <w:spacing w:after="0"/>
              <w:rPr>
                <w:sz w:val="20"/>
                <w:szCs w:val="20"/>
                <w:color w:val="auto"/>
              </w:rPr>
            </w:pPr>
            <w:r>
              <w:rPr>
                <w:rFonts w:ascii="Arial" w:cs="Arial" w:eastAsia="Arial" w:hAnsi="Arial"/>
                <w:sz w:val="16"/>
                <w:szCs w:val="16"/>
                <w:color w:val="auto"/>
              </w:rPr>
              <w:t>—</w:t>
            </w:r>
          </w:p>
        </w:tc>
        <w:tc>
          <w:tcPr>
            <w:tcW w:w="1660" w:type="dxa"/>
            <w:vAlign w:val="bottom"/>
            <w:shd w:val="clear" w:color="auto" w:fill="DBE5F1"/>
          </w:tcPr>
          <w:p>
            <w:pPr>
              <w:jc w:val="right"/>
              <w:ind w:right="79"/>
              <w:spacing w:after="0"/>
              <w:rPr>
                <w:sz w:val="20"/>
                <w:szCs w:val="20"/>
                <w:color w:val="auto"/>
              </w:rPr>
            </w:pPr>
            <w:r>
              <w:rPr>
                <w:rFonts w:ascii="Arial" w:cs="Arial" w:eastAsia="Arial" w:hAnsi="Arial"/>
                <w:sz w:val="16"/>
                <w:szCs w:val="16"/>
                <w:color w:val="auto"/>
              </w:rPr>
              <w:t>—</w:t>
            </w:r>
          </w:p>
        </w:tc>
        <w:tc>
          <w:tcPr>
            <w:tcW w:w="1920" w:type="dxa"/>
            <w:vAlign w:val="bottom"/>
            <w:shd w:val="clear" w:color="auto" w:fill="DBE5F1"/>
          </w:tcPr>
          <w:p>
            <w:pPr>
              <w:jc w:val="right"/>
              <w:ind w:right="219"/>
              <w:spacing w:after="0"/>
              <w:rPr>
                <w:sz w:val="20"/>
                <w:szCs w:val="20"/>
                <w:color w:val="auto"/>
              </w:rPr>
            </w:pPr>
            <w:r>
              <w:rPr>
                <w:rFonts w:ascii="Arial" w:cs="Arial" w:eastAsia="Arial" w:hAnsi="Arial"/>
                <w:sz w:val="16"/>
                <w:szCs w:val="16"/>
                <w:color w:val="auto"/>
              </w:rPr>
              <w:t>5,092</w:t>
            </w:r>
          </w:p>
        </w:tc>
        <w:tc>
          <w:tcPr>
            <w:tcW w:w="1640" w:type="dxa"/>
            <w:vAlign w:val="bottom"/>
            <w:shd w:val="clear" w:color="auto" w:fill="DBE5F1"/>
          </w:tcPr>
          <w:p>
            <w:pPr>
              <w:jc w:val="right"/>
              <w:ind w:right="19"/>
              <w:spacing w:after="0"/>
              <w:rPr>
                <w:sz w:val="20"/>
                <w:szCs w:val="20"/>
                <w:color w:val="auto"/>
              </w:rPr>
            </w:pPr>
            <w:r>
              <w:rPr>
                <w:rFonts w:ascii="Arial" w:cs="Arial" w:eastAsia="Arial" w:hAnsi="Arial"/>
                <w:sz w:val="16"/>
                <w:szCs w:val="16"/>
                <w:color w:val="auto"/>
              </w:rPr>
              <w:t>$993,123</w:t>
            </w:r>
          </w:p>
        </w:tc>
      </w:tr>
      <w:tr>
        <w:trPr>
          <w:trHeight w:val="310"/>
        </w:trPr>
        <w:tc>
          <w:tcPr>
            <w:tcW w:w="40" w:type="dxa"/>
            <w:vAlign w:val="bottom"/>
          </w:tcPr>
          <w:p>
            <w:pPr>
              <w:spacing w:after="0"/>
              <w:rPr>
                <w:sz w:val="24"/>
                <w:szCs w:val="24"/>
                <w:color w:val="auto"/>
              </w:rPr>
            </w:pPr>
          </w:p>
        </w:tc>
        <w:tc>
          <w:tcPr>
            <w:tcW w:w="4340" w:type="dxa"/>
            <w:vAlign w:val="bottom"/>
            <w:tcBorders>
              <w:bottom w:val="single" w:sz="8" w:color="DBE5F1"/>
            </w:tcBorders>
            <w:shd w:val="clear" w:color="auto" w:fill="DBE5F1"/>
          </w:tcPr>
          <w:p>
            <w:pPr>
              <w:ind w:left="20"/>
              <w:spacing w:after="0"/>
              <w:rPr>
                <w:sz w:val="20"/>
                <w:szCs w:val="20"/>
                <w:color w:val="auto"/>
              </w:rPr>
            </w:pPr>
            <w:r>
              <w:rPr>
                <w:rFonts w:ascii="Arial" w:cs="Arial" w:eastAsia="Arial" w:hAnsi="Arial"/>
                <w:sz w:val="16"/>
                <w:szCs w:val="16"/>
                <w:b w:val="1"/>
                <w:bCs w:val="1"/>
                <w:color w:val="auto"/>
              </w:rPr>
              <w:t>Matthew F.W. Linnington</w:t>
            </w:r>
          </w:p>
        </w:tc>
        <w:tc>
          <w:tcPr>
            <w:tcW w:w="1820" w:type="dxa"/>
            <w:vAlign w:val="bottom"/>
            <w:tcBorders>
              <w:bottom w:val="single" w:sz="8" w:color="DBE5F1"/>
            </w:tcBorders>
            <w:shd w:val="clear" w:color="auto" w:fill="DBE5F1"/>
          </w:tcPr>
          <w:p>
            <w:pPr>
              <w:jc w:val="right"/>
              <w:ind w:right="39"/>
              <w:spacing w:after="0"/>
              <w:rPr>
                <w:sz w:val="20"/>
                <w:szCs w:val="20"/>
                <w:color w:val="auto"/>
              </w:rPr>
            </w:pPr>
            <w:r>
              <w:rPr>
                <w:rFonts w:ascii="Arial" w:cs="Arial" w:eastAsia="Arial" w:hAnsi="Arial"/>
                <w:sz w:val="16"/>
                <w:szCs w:val="16"/>
                <w:color w:val="auto"/>
              </w:rPr>
              <w:t>—</w:t>
            </w:r>
          </w:p>
        </w:tc>
        <w:tc>
          <w:tcPr>
            <w:tcW w:w="1660" w:type="dxa"/>
            <w:vAlign w:val="bottom"/>
            <w:tcBorders>
              <w:bottom w:val="single" w:sz="8" w:color="DBE5F1"/>
            </w:tcBorders>
            <w:shd w:val="clear" w:color="auto" w:fill="DBE5F1"/>
          </w:tcPr>
          <w:p>
            <w:pPr>
              <w:jc w:val="right"/>
              <w:ind w:right="79"/>
              <w:spacing w:after="0"/>
              <w:rPr>
                <w:sz w:val="20"/>
                <w:szCs w:val="20"/>
                <w:color w:val="auto"/>
              </w:rPr>
            </w:pPr>
            <w:r>
              <w:rPr>
                <w:rFonts w:ascii="Arial" w:cs="Arial" w:eastAsia="Arial" w:hAnsi="Arial"/>
                <w:sz w:val="16"/>
                <w:szCs w:val="16"/>
                <w:color w:val="auto"/>
              </w:rPr>
              <w:t>—</w:t>
            </w:r>
          </w:p>
        </w:tc>
        <w:tc>
          <w:tcPr>
            <w:tcW w:w="1920" w:type="dxa"/>
            <w:vAlign w:val="bottom"/>
            <w:tcBorders>
              <w:bottom w:val="single" w:sz="8" w:color="DBE5F1"/>
            </w:tcBorders>
            <w:shd w:val="clear" w:color="auto" w:fill="DBE5F1"/>
          </w:tcPr>
          <w:p>
            <w:pPr>
              <w:jc w:val="right"/>
              <w:ind w:right="219"/>
              <w:spacing w:after="0"/>
              <w:rPr>
                <w:sz w:val="20"/>
                <w:szCs w:val="20"/>
                <w:color w:val="auto"/>
              </w:rPr>
            </w:pPr>
            <w:r>
              <w:rPr>
                <w:rFonts w:ascii="Arial" w:cs="Arial" w:eastAsia="Arial" w:hAnsi="Arial"/>
                <w:sz w:val="16"/>
                <w:szCs w:val="16"/>
                <w:color w:val="auto"/>
              </w:rPr>
              <w:t>2,374</w:t>
            </w:r>
          </w:p>
        </w:tc>
        <w:tc>
          <w:tcPr>
            <w:tcW w:w="1640" w:type="dxa"/>
            <w:vAlign w:val="bottom"/>
            <w:tcBorders>
              <w:bottom w:val="single" w:sz="8" w:color="DBE5F1"/>
            </w:tcBorders>
            <w:shd w:val="clear" w:color="auto" w:fill="DBE5F1"/>
          </w:tcPr>
          <w:p>
            <w:pPr>
              <w:jc w:val="right"/>
              <w:ind w:right="19"/>
              <w:spacing w:after="0"/>
              <w:rPr>
                <w:sz w:val="20"/>
                <w:szCs w:val="20"/>
                <w:color w:val="auto"/>
              </w:rPr>
            </w:pPr>
            <w:r>
              <w:rPr>
                <w:rFonts w:ascii="Arial" w:cs="Arial" w:eastAsia="Arial" w:hAnsi="Arial"/>
                <w:sz w:val="16"/>
                <w:szCs w:val="16"/>
                <w:color w:val="auto"/>
              </w:rPr>
              <w:t>$425,516</w:t>
            </w:r>
          </w:p>
        </w:tc>
      </w:tr>
      <w:tr>
        <w:trPr>
          <w:trHeight w:val="230"/>
        </w:trPr>
        <w:tc>
          <w:tcPr>
            <w:tcW w:w="40" w:type="dxa"/>
            <w:vAlign w:val="bottom"/>
          </w:tcPr>
          <w:p>
            <w:pPr>
              <w:spacing w:after="0"/>
              <w:rPr>
                <w:sz w:val="20"/>
                <w:szCs w:val="20"/>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__________</w:t>
            </w:r>
          </w:p>
        </w:tc>
        <w:tc>
          <w:tcPr>
            <w:tcW w:w="182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1640" w:type="dxa"/>
            <w:vAlign w:val="bottom"/>
          </w:tcPr>
          <w:p>
            <w:pPr>
              <w:spacing w:after="0"/>
              <w:rPr>
                <w:sz w:val="20"/>
                <w:szCs w:val="20"/>
                <w:color w:val="auto"/>
              </w:rPr>
            </w:pPr>
          </w:p>
        </w:tc>
      </w:tr>
    </w:tbl>
    <w:p>
      <w:pPr>
        <w:spacing w:after="0" w:line="84" w:lineRule="exact"/>
        <w:rPr>
          <w:sz w:val="20"/>
          <w:szCs w:val="20"/>
          <w:color w:val="auto"/>
        </w:rPr>
      </w:pPr>
    </w:p>
    <w:p>
      <w:pPr>
        <w:jc w:val="both"/>
        <w:ind w:left="340" w:hanging="318"/>
        <w:spacing w:after="0" w:line="251" w:lineRule="auto"/>
        <w:tabs>
          <w:tab w:leader="none" w:pos="340" w:val="left"/>
        </w:tabs>
        <w:numPr>
          <w:ilvl w:val="0"/>
          <w:numId w:val="57"/>
        </w:numPr>
        <w:rPr>
          <w:rFonts w:ascii="Arial" w:cs="Arial" w:eastAsia="Arial" w:hAnsi="Arial"/>
          <w:sz w:val="16"/>
          <w:szCs w:val="16"/>
          <w:color w:val="auto"/>
        </w:rPr>
      </w:pPr>
      <w:r>
        <w:rPr>
          <w:rFonts w:ascii="Arial" w:cs="Arial" w:eastAsia="Arial" w:hAnsi="Arial"/>
          <w:sz w:val="16"/>
          <w:szCs w:val="16"/>
          <w:color w:val="auto"/>
        </w:rPr>
        <w:t>With respect to shares of common stock sold upon exercise (on the date acquired), the value was calculated by multiplying the difference between the sale price per share and the exercise price per share by the number of shares sold and aggregating all such sales during 2015. With respect to shares of common stock held upon exercise, the value was calculated by multiplying the difference between the closing price of our common stock on the date of exercise and the exercise price per share by the number of shares acquired and aggregating all such exercises during 2015.</w:t>
      </w:r>
    </w:p>
    <w:p>
      <w:pPr>
        <w:ind w:left="340" w:hanging="318"/>
        <w:spacing w:after="0"/>
        <w:tabs>
          <w:tab w:leader="none" w:pos="340" w:val="left"/>
        </w:tabs>
        <w:numPr>
          <w:ilvl w:val="0"/>
          <w:numId w:val="57"/>
        </w:numPr>
        <w:rPr>
          <w:rFonts w:ascii="Arial" w:cs="Arial" w:eastAsia="Arial" w:hAnsi="Arial"/>
          <w:sz w:val="16"/>
          <w:szCs w:val="16"/>
          <w:color w:val="auto"/>
        </w:rPr>
      </w:pPr>
      <w:r>
        <w:rPr>
          <w:rFonts w:ascii="Arial" w:cs="Arial" w:eastAsia="Arial" w:hAnsi="Arial"/>
          <w:sz w:val="16"/>
          <w:szCs w:val="16"/>
          <w:color w:val="auto"/>
        </w:rPr>
        <w:t>Calculated by multiplying the number of shares acquired upon vesting by the closing price of our common stock on the vesting date.</w:t>
      </w:r>
    </w:p>
    <w:p>
      <w:pPr>
        <w:spacing w:after="0" w:line="24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POTENTIAL PAYMENTS UPON TERMINATION OR CHANGE OF CONTROL</w:t>
      </w:r>
    </w:p>
    <w:p>
      <w:pPr>
        <w:spacing w:after="0" w:line="130"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This section discusses the incremental compensation that would be payable by the Company to each named executive officer in the event of a change of control of the Company or a termination of the named executive officer’s employment with the Company for various reasons described below, sometimes referred to herein as a “triggering event.” In accordance with applicable SEC rules, the following discussion assumes that the triggering event in question — the change of control, termination of employment, death or disability — occurred on December 31, 2015, the last business day of 2015.</w:t>
      </w:r>
    </w:p>
    <w:p>
      <w:pPr>
        <w:spacing w:after="0" w:line="15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Pursuant to applicable SEC rules, the analysis contained in this section does not consider or include payments made to a named executive officer with respect to contracts, agreements, plans or arrangements to the extent they do not</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420"/>
          </w:cols>
          <w:pgMar w:left="240" w:top="373" w:right="239" w:bottom="1440" w:gutter="0" w:footer="0" w:header="0"/>
        </w:sectPr>
      </w:pPr>
    </w:p>
    <w:bookmarkStart w:id="82" w:name="page83"/>
    <w:bookmarkEnd w:id="82"/>
    <w:p>
      <w:pPr>
        <w:spacing w:after="0"/>
        <w:rPr>
          <w:sz w:val="20"/>
          <w:szCs w:val="20"/>
          <w:color w:val="auto"/>
        </w:rPr>
      </w:pPr>
      <w:r>
        <w:rPr>
          <w:rFonts w:ascii="Arial" w:cs="Arial" w:eastAsia="Arial" w:hAnsi="Arial"/>
          <w:sz w:val="17"/>
          <w:szCs w:val="17"/>
          <w:color w:val="auto"/>
        </w:rPr>
        <w:t>discriminate in scope, terms or operation, in favor of executive officers of the Company and that are available generally to all salaried employees.</w:t>
      </w:r>
    </w:p>
    <w:p>
      <w:pPr>
        <w:spacing w:after="0" w:line="23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actual amounts that would be paid upon a named executive officer’s termination of employment or change of control can only be determined at the time of the applicable event. Due to the number of factors that affect the nature and amount of any benefits provided upon the events discussed below, any actual amounts paid or distributed may be higher or lower than reported below. Factors that could affect these amounts include the timing during the year of any such event and the Company’s stock price.</w:t>
      </w:r>
    </w:p>
    <w:p>
      <w:pPr>
        <w:spacing w:after="0" w:line="17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Termination and Change of Control Provisions pursuant to Employment Agreements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5978A5"/>
        </w:rPr>
        <w:t>Mr. Florance</w:t>
      </w:r>
    </w:p>
    <w:p>
      <w:pPr>
        <w:spacing w:after="0" w:line="229"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The Company is permitted to terminate Mr. Florance’s employment at any time, without “cause”, upon 60 days written notice, and Mr. Florance may voluntarily terminate his employment for “good reason” upon at least 60 days written notice. “Cause” is defined as (a) a material failure by Mr. Florance to perform his duties, which remains uncured for 60 days after written notice of the failure is provided by the Company, (b) Mr. Florance being convicted of a felony or pleading nolo contendre to a felony, or (c) any other willful act or omission by Mr. Florance which materially harms the financial condition or business reputation of the Company. “Good reason” is defined as (a) requiring Mr. Florance to relocate more than 45 miles from his current principal office,</w:t>
      </w:r>
    </w:p>
    <w:p>
      <w:pPr>
        <w:spacing w:after="0" w:line="2" w:lineRule="exact"/>
        <w:rPr>
          <w:sz w:val="20"/>
          <w:szCs w:val="20"/>
          <w:color w:val="auto"/>
        </w:rPr>
      </w:pPr>
    </w:p>
    <w:p>
      <w:pPr>
        <w:jc w:val="both"/>
        <w:ind w:firstLine="8"/>
        <w:spacing w:after="0" w:line="268" w:lineRule="auto"/>
        <w:tabs>
          <w:tab w:leader="none" w:pos="259" w:val="left"/>
        </w:tabs>
        <w:numPr>
          <w:ilvl w:val="0"/>
          <w:numId w:val="58"/>
        </w:numPr>
        <w:rPr>
          <w:rFonts w:ascii="Arial" w:cs="Arial" w:eastAsia="Arial" w:hAnsi="Arial"/>
          <w:sz w:val="17"/>
          <w:szCs w:val="17"/>
          <w:color w:val="auto"/>
        </w:rPr>
      </w:pPr>
      <w:r>
        <w:rPr>
          <w:rFonts w:ascii="Arial" w:cs="Arial" w:eastAsia="Arial" w:hAnsi="Arial"/>
          <w:sz w:val="17"/>
          <w:szCs w:val="17"/>
          <w:color w:val="auto"/>
        </w:rPr>
        <w:t>Mr. Florance ceasing involuntarily to be Chief Executive Officer of the Company or being required to perform duties that are materially inconsistent with those normally performed by a chief executive officer, (c) the Company materially reducing the nature of his authority and duties, (d) requiring Mr. Florance to report to someone other than the Board, (e) the Company materially breaching its obligations under his employment agreement, which remain uncured for 90 days after written notice is provided by Mr. Florance to the Company, or (f) an acquisition or change of control of the Company occurring and Mr. Florance terminating his employment within one year after such event. For these purposes, an acquisition or change of control means (i) the acquisition of beneficial ownership of more than 50% of the outstanding common stock of the Company, (ii) election or appointment as directors comprising one-half or more of the Board of persons who were not nominated, recommended or appointed by the Company’s incumbent Board, (iii) the Company entering into a merger pursuant to which it is not the surviving entity, or (iv) sale by the Company of all or substantially all of its assets.</w:t>
      </w:r>
    </w:p>
    <w:p>
      <w:pPr>
        <w:spacing w:after="0" w:line="184"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In the event that the Company terminates Mr. Florance’s employment without cause or if he terminates his employment for good reason, Mr. Florance is entitled to receive his base salary for one year payable in installments in accordance with the Company’s payroll practices, his bonus for the year in which the termination occurred, the immediate vesting of all of his unvested stock options and a gross-up payment, if any, to cover any taxes assessed under Section 4999 of the Tax Code. Upon termination by the Company without cause or by Mr. Florance for good reason, all of his unvested stock options will become immediately exercisable and he will have 180 days to exercise all vested options. If all or any portion of Mr. Florance’s stock options cannot be accelerated under the terms of the applicable stock incentive plan, Mr. Florance is entitled to receive cash consideration in lieu of acceleration for each share underlying that portion of his stock options that cannot be so accelerated equal to the excess (if any) of the highest closing price of the Company’s common stock during the 180 days following the executive's date of termination (or, if the Company is no longer publicly traded as of the date of termination, the per-share price in connection with the transaction(s) that resulted in the Company no longer being publicly traded) over the exercise price of such option.</w:t>
      </w:r>
    </w:p>
    <w:p>
      <w:pPr>
        <w:spacing w:after="0" w:line="16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Mr. Florance’s employment agreement also provides that in the event of his termination due to his disability or death, he (or his estate) would be entitled to receive (i) a prorated portion of his unvested stock options due to vest during the calendar year of his disability or death, and (ii) a prorated share of his bonus for the year of his disability or death. In the event of termination due to disability or his death, Mr. Florance (or his estate) would have one year to exercise all vested options. For the purposes of this analysis, which assumes a triggering event on December 31, 2015, he (or his estate) would be entitled to the full amount of his bonus for 2015.</w:t>
      </w:r>
    </w:p>
    <w:p>
      <w:pPr>
        <w:spacing w:after="0" w:line="188"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Mr. Florance also has the right at any time to terminate his employment without good reason upon 180 days written notice to the Company, and the Company has the right at any time to terminate Mr. Florance for cause. In either such event, Mr. Florance would not be entitled to any base salary or fringe benefits for any period after termination, and he would forfeit any unvested stock options and his right to participate in the Company’s cash incentive program.</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420"/>
          </w:cols>
          <w:pgMar w:left="240" w:top="368" w:right="239" w:bottom="1440" w:gutter="0" w:footer="0" w:header="0"/>
        </w:sectPr>
      </w:pPr>
    </w:p>
    <w:bookmarkStart w:id="83" w:name="page84"/>
    <w:bookmarkEnd w:id="83"/>
    <w:p>
      <w:pPr>
        <w:spacing w:after="0"/>
        <w:rPr>
          <w:sz w:val="20"/>
          <w:szCs w:val="20"/>
          <w:color w:val="auto"/>
        </w:rPr>
      </w:pPr>
      <w:r>
        <w:rPr>
          <w:rFonts w:ascii="Arial" w:cs="Arial" w:eastAsia="Arial" w:hAnsi="Arial"/>
          <w:sz w:val="18"/>
          <w:szCs w:val="18"/>
          <w:b w:val="1"/>
          <w:bCs w:val="1"/>
          <w:color w:val="5978A5"/>
        </w:rPr>
        <w:t>Mr. Wheeler</w:t>
      </w:r>
    </w:p>
    <w:p>
      <w:pPr>
        <w:spacing w:after="0" w:line="229"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In the event that the Company terminates Mr. Wheeler’s employment without “cause” or Mr. Wheeler terminates his employment for “good reason” during the first 12 months of his employment, Mr. Wheeler’s offer letter provides for a termination payment equal to 12 months’ base salary and his prorated target annual cash incentive bonus, subject to his execution of a release. Further, Mr. Wheeler’s offer of employment provides for a termination payment equal to six months base salary and his prorated target annual cash incentive bonus if his employment is terminated by the Company for any reason other than “cause” or by Mr. Wheeler for “good reason” after the 12 month anniversary of his hire date, subject to his execution of a release. Pursuant to his offer letter, “cause” is defined as any of the following: (a) conduct involving intentional misrepresentation, fraud, embezzlement or dishonesty, (b) conviction of a felony or entry of a plea of guilty or no contest to a felony, (c) gross insubordination, willful misconduct or gross negligence, (d) disclosure of the Company’s confidential information in breach of Mr. Wheeler’s terms and conditions of employment, (e) breach of the non-competition or non-solicitation covenants in Mr. Wheeler’s terms and conditions of employment, (f) material breach of the Company’s policies, or (g) failure to perform his duties as Chief Financial Officer, which failure remains uncured for 30 days. Pursuant to Mr. Wheeler’s offer letter, “good reason” means any of the following, provided that Mr. Wheeler provides the Company notice of his intent to terminate employment within 15 days of the event and the Company fails to cure within 30 days of receipt of his notice: (a) a material adverse change or reduction in Mr. Wheeler’s duties or responsibilities that does not result from his misconduct or failure to adequately perform or another reason which would constitute grounds for his termination for cause, (b) a change in the reporting structure so that Mr. Wheeler no longer reports to the Chief Executive Officer, (c) a requirement that Mr. Wheeler relocate his principal office more than 50 miles from the current location, or (d) a resignation that is based upon a request from an authorized officer of the Company that Mr. Wheeler undertake any fraudulent or criminal activities in his role as Chief Financial Officer.</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5978A5"/>
        </w:rPr>
        <w:t>Mr. Linnington</w:t>
      </w:r>
    </w:p>
    <w:p>
      <w:pPr>
        <w:spacing w:after="0" w:line="229"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In the event that the Company terminates Mr. Linnington’s employment without cause, Mr. Linnington’s offer letter provides for a termination payment equal to six months’ base salary, subject to his execution of a release.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5978A5"/>
        </w:rPr>
        <w:t>Others</w:t>
      </w:r>
    </w:p>
    <w:p>
      <w:pPr>
        <w:spacing w:after="0" w:line="229"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Except as may be provided to all employees of the Company generally and as provided pursuant to the Company’s stock incentive plans (as described below), Mr. Radecki, Mr. Yinger, and Mr. Carchedi are not entitled to any post-employment compensation if their employment is terminated without cause.</w:t>
      </w:r>
    </w:p>
    <w:p>
      <w:pPr>
        <w:spacing w:after="0" w:line="11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Change of Control Provisions under the Company’s 1998 and 2007 Plans</w:t>
      </w:r>
    </w:p>
    <w:p>
      <w:pPr>
        <w:spacing w:after="0" w:line="224"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Pursuant to the Company’s 1998 Plan and 2007 Plan and related award agreements, upon a change of control, all options will immediately vest and all restrictions on stock grants will lapse. For purposes of the stock incentive plans, a “change of control” means: (a) acquisition by a third party of more than 80% of the undiluted total voting power of the Company's then outstanding securities eligible to vote to elect members of the Board, (b) consummation of a merger or consolidation of the Company into any other entity, unless the holders of the Company’s voting securities outstanding immediately before such transaction hold securities that represent immediately after such merger or consolidation at least 20% of the combined voting power of the then outstanding voting securities of either the Company or the other surviving entity or its parent, or (c) the stockholders of the Company approve (i) a plan of complete liquidation or dissolution of the Company or (ii) an agreement for the Company's sale or disposition of all or substantially all the Company's assets, and such liquidation, dissolution, sale, or disposition is consummated. Further, upon a substantial corporate change, if awards are not assumed, substituted or continued, the awards shall immediately vest and become exercisable before the consummation of the transaction. For purpose of the stock incentive plans, a “substantial corporate change” means: (w) dissolution or liquidation of the Company, (x) merger, consolidation, or reorganization of the Company with one or more corporations in which the Company is not the surviving corporation, (y) the sale of substantially all of the assets of the Company to another corporation, or (z) with respect to the 1998 Plan, any transaction (including a merger or reorganization in which the Company survives) approved by the Board that results in any person or entity (other than any affiliate of the Company as defined in Rule 144(a)(1) under the Securities Act) owning 100% of the combined voting power of all classes of stock of the Company, and, with respect to the 2007 Plan, a person acquires ownership of 100% of the combined voting power of all classes of stock of the Company.</w:t>
      </w:r>
    </w:p>
    <w:p>
      <w:pPr>
        <w:spacing w:after="0" w:line="18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table below summarizes the potential termination and change of control payments described above for each of the named executive officers, excluding any payments that may be available under the Company’s company-wide severance</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420"/>
          </w:cols>
          <w:pgMar w:left="240" w:top="364" w:right="239" w:bottom="1440" w:gutter="0" w:footer="0" w:header="0"/>
        </w:sectPr>
      </w:pPr>
    </w:p>
    <w:bookmarkStart w:id="84" w:name="page85"/>
    <w:bookmarkEnd w:id="84"/>
    <w:p>
      <w:pPr>
        <w:jc w:val="both"/>
        <w:spacing w:after="0" w:line="259" w:lineRule="auto"/>
        <w:rPr>
          <w:sz w:val="20"/>
          <w:szCs w:val="20"/>
          <w:color w:val="auto"/>
        </w:rPr>
      </w:pPr>
      <w:r>
        <w:rPr>
          <w:rFonts w:ascii="Arial" w:cs="Arial" w:eastAsia="Arial" w:hAnsi="Arial"/>
          <w:sz w:val="18"/>
          <w:szCs w:val="18"/>
          <w:color w:val="auto"/>
        </w:rPr>
        <w:t>plan, which provides payments that do not discriminate in scope, terms or operation, in favor of executive officers of the Company and that are available generally to all salaried employees, including the named executive officers. The terms defined above apply to those used in this table. Unless otherwise specifically noted below, all amounts assume that the triggering event in question — the termination upon a change of control, termination without cause or for good reason, death or disability — occurred on December 31, 2015, the last business day of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179070</wp:posOffset>
            </wp:positionV>
            <wp:extent cx="7229475" cy="150050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29475" cy="1500505"/>
                    </a:xfrm>
                    <a:prstGeom prst="rect">
                      <a:avLst/>
                    </a:prstGeom>
                    <a:noFill/>
                  </pic:spPr>
                </pic:pic>
              </a:graphicData>
            </a:graphic>
          </wp:anchor>
        </w:drawing>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 w:type="dxa"/>
            <w:vAlign w:val="bottom"/>
          </w:tcPr>
          <w:p>
            <w:pPr>
              <w:spacing w:after="0"/>
              <w:rPr>
                <w:sz w:val="18"/>
                <w:szCs w:val="18"/>
                <w:color w:val="auto"/>
              </w:rPr>
            </w:pPr>
          </w:p>
        </w:tc>
        <w:tc>
          <w:tcPr>
            <w:tcW w:w="2280" w:type="dxa"/>
            <w:vAlign w:val="bottom"/>
            <w:shd w:val="clear" w:color="auto" w:fill="B8CCE4"/>
          </w:tcPr>
          <w:p>
            <w:pPr>
              <w:spacing w:after="0"/>
              <w:rPr>
                <w:sz w:val="18"/>
                <w:szCs w:val="18"/>
                <w:color w:val="auto"/>
              </w:rPr>
            </w:pPr>
          </w:p>
        </w:tc>
        <w:tc>
          <w:tcPr>
            <w:tcW w:w="1840" w:type="dxa"/>
            <w:vAlign w:val="bottom"/>
            <w:shd w:val="clear" w:color="auto" w:fill="B8CCE4"/>
          </w:tcPr>
          <w:p>
            <w:pPr>
              <w:jc w:val="center"/>
              <w:spacing w:after="0"/>
              <w:rPr>
                <w:sz w:val="20"/>
                <w:szCs w:val="20"/>
                <w:color w:val="auto"/>
              </w:rPr>
            </w:pPr>
            <w:r>
              <w:rPr>
                <w:rFonts w:ascii="Arial" w:cs="Arial" w:eastAsia="Arial" w:hAnsi="Arial"/>
                <w:sz w:val="16"/>
                <w:szCs w:val="16"/>
                <w:b w:val="1"/>
                <w:bCs w:val="1"/>
                <w:color w:val="auto"/>
                <w:w w:val="94"/>
              </w:rPr>
              <w:t>Termination by</w:t>
            </w:r>
          </w:p>
        </w:tc>
        <w:tc>
          <w:tcPr>
            <w:tcW w:w="1920" w:type="dxa"/>
            <w:vAlign w:val="bottom"/>
            <w:shd w:val="clear" w:color="auto" w:fill="B8CCE4"/>
          </w:tcPr>
          <w:p>
            <w:pPr>
              <w:jc w:val="center"/>
              <w:ind w:right="4"/>
              <w:spacing w:after="0"/>
              <w:rPr>
                <w:sz w:val="20"/>
                <w:szCs w:val="20"/>
                <w:color w:val="auto"/>
              </w:rPr>
            </w:pPr>
            <w:r>
              <w:rPr>
                <w:rFonts w:ascii="Arial" w:cs="Arial" w:eastAsia="Arial" w:hAnsi="Arial"/>
                <w:sz w:val="16"/>
                <w:szCs w:val="16"/>
                <w:b w:val="1"/>
                <w:bCs w:val="1"/>
                <w:color w:val="auto"/>
                <w:w w:val="94"/>
              </w:rPr>
              <w:t>Termination by</w:t>
            </w:r>
          </w:p>
        </w:tc>
        <w:tc>
          <w:tcPr>
            <w:tcW w:w="1680" w:type="dxa"/>
            <w:vAlign w:val="bottom"/>
            <w:shd w:val="clear" w:color="auto" w:fill="B8CCE4"/>
          </w:tcPr>
          <w:p>
            <w:pPr>
              <w:spacing w:after="0"/>
              <w:rPr>
                <w:sz w:val="18"/>
                <w:szCs w:val="18"/>
                <w:color w:val="auto"/>
              </w:rPr>
            </w:pPr>
          </w:p>
        </w:tc>
        <w:tc>
          <w:tcPr>
            <w:tcW w:w="1900" w:type="dxa"/>
            <w:vAlign w:val="bottom"/>
            <w:shd w:val="clear" w:color="auto" w:fill="B8CCE4"/>
          </w:tcPr>
          <w:p>
            <w:pPr>
              <w:spacing w:after="0"/>
              <w:rPr>
                <w:sz w:val="18"/>
                <w:szCs w:val="18"/>
                <w:color w:val="auto"/>
              </w:rPr>
            </w:pPr>
          </w:p>
        </w:tc>
        <w:tc>
          <w:tcPr>
            <w:tcW w:w="1760" w:type="dxa"/>
            <w:vAlign w:val="bottom"/>
            <w:shd w:val="clear" w:color="auto" w:fill="B8CCE4"/>
          </w:tcPr>
          <w:p>
            <w:pPr>
              <w:spacing w:after="0"/>
              <w:rPr>
                <w:sz w:val="18"/>
                <w:szCs w:val="18"/>
                <w:color w:val="auto"/>
              </w:rPr>
            </w:pPr>
          </w:p>
        </w:tc>
      </w:tr>
      <w:tr>
        <w:trPr>
          <w:trHeight w:val="203"/>
        </w:trPr>
        <w:tc>
          <w:tcPr>
            <w:tcW w:w="40" w:type="dxa"/>
            <w:vAlign w:val="bottom"/>
          </w:tcPr>
          <w:p>
            <w:pPr>
              <w:spacing w:after="0"/>
              <w:rPr>
                <w:sz w:val="17"/>
                <w:szCs w:val="17"/>
                <w:color w:val="auto"/>
              </w:rPr>
            </w:pPr>
          </w:p>
        </w:tc>
        <w:tc>
          <w:tcPr>
            <w:tcW w:w="2280" w:type="dxa"/>
            <w:vAlign w:val="bottom"/>
            <w:shd w:val="clear" w:color="auto" w:fill="B8CCE4"/>
          </w:tcPr>
          <w:p>
            <w:pPr>
              <w:spacing w:after="0"/>
              <w:rPr>
                <w:sz w:val="17"/>
                <w:szCs w:val="17"/>
                <w:color w:val="auto"/>
              </w:rPr>
            </w:pPr>
          </w:p>
        </w:tc>
        <w:tc>
          <w:tcPr>
            <w:tcW w:w="1840" w:type="dxa"/>
            <w:vAlign w:val="bottom"/>
            <w:shd w:val="clear" w:color="auto" w:fill="B8CCE4"/>
          </w:tcPr>
          <w:p>
            <w:pPr>
              <w:jc w:val="center"/>
              <w:spacing w:after="0"/>
              <w:rPr>
                <w:sz w:val="20"/>
                <w:szCs w:val="20"/>
                <w:color w:val="auto"/>
              </w:rPr>
            </w:pPr>
            <w:r>
              <w:rPr>
                <w:rFonts w:ascii="Arial" w:cs="Arial" w:eastAsia="Arial" w:hAnsi="Arial"/>
                <w:sz w:val="16"/>
                <w:szCs w:val="16"/>
                <w:b w:val="1"/>
                <w:bCs w:val="1"/>
                <w:color w:val="auto"/>
                <w:w w:val="92"/>
              </w:rPr>
              <w:t>Company “without</w:t>
            </w:r>
          </w:p>
        </w:tc>
        <w:tc>
          <w:tcPr>
            <w:tcW w:w="1920" w:type="dxa"/>
            <w:vAlign w:val="bottom"/>
            <w:shd w:val="clear" w:color="auto" w:fill="B8CCE4"/>
          </w:tcPr>
          <w:p>
            <w:pPr>
              <w:jc w:val="center"/>
              <w:ind w:right="4"/>
              <w:spacing w:after="0"/>
              <w:rPr>
                <w:sz w:val="20"/>
                <w:szCs w:val="20"/>
                <w:color w:val="auto"/>
              </w:rPr>
            </w:pPr>
            <w:r>
              <w:rPr>
                <w:rFonts w:ascii="Arial" w:cs="Arial" w:eastAsia="Arial" w:hAnsi="Arial"/>
                <w:sz w:val="16"/>
                <w:szCs w:val="16"/>
                <w:b w:val="1"/>
                <w:bCs w:val="1"/>
                <w:color w:val="auto"/>
                <w:w w:val="89"/>
              </w:rPr>
              <w:t>Executive for “good</w:t>
            </w:r>
          </w:p>
        </w:tc>
        <w:tc>
          <w:tcPr>
            <w:tcW w:w="1680" w:type="dxa"/>
            <w:vAlign w:val="bottom"/>
            <w:shd w:val="clear" w:color="auto" w:fill="B8CCE4"/>
          </w:tcPr>
          <w:p>
            <w:pPr>
              <w:spacing w:after="0"/>
              <w:rPr>
                <w:sz w:val="17"/>
                <w:szCs w:val="17"/>
                <w:color w:val="auto"/>
              </w:rPr>
            </w:pPr>
          </w:p>
        </w:tc>
        <w:tc>
          <w:tcPr>
            <w:tcW w:w="1900" w:type="dxa"/>
            <w:vAlign w:val="bottom"/>
            <w:shd w:val="clear" w:color="auto" w:fill="B8CCE4"/>
          </w:tcPr>
          <w:p>
            <w:pPr>
              <w:spacing w:after="0"/>
              <w:rPr>
                <w:sz w:val="17"/>
                <w:szCs w:val="17"/>
                <w:color w:val="auto"/>
              </w:rPr>
            </w:pPr>
          </w:p>
        </w:tc>
        <w:tc>
          <w:tcPr>
            <w:tcW w:w="1760" w:type="dxa"/>
            <w:vAlign w:val="bottom"/>
            <w:shd w:val="clear" w:color="auto" w:fill="B8CCE4"/>
          </w:tcPr>
          <w:p>
            <w:pPr>
              <w:spacing w:after="0"/>
              <w:rPr>
                <w:sz w:val="17"/>
                <w:szCs w:val="17"/>
                <w:color w:val="auto"/>
              </w:rPr>
            </w:pPr>
          </w:p>
        </w:tc>
      </w:tr>
      <w:tr>
        <w:trPr>
          <w:trHeight w:val="203"/>
        </w:trPr>
        <w:tc>
          <w:tcPr>
            <w:tcW w:w="40" w:type="dxa"/>
            <w:vAlign w:val="bottom"/>
          </w:tcPr>
          <w:p>
            <w:pPr>
              <w:spacing w:after="0"/>
              <w:rPr>
                <w:sz w:val="17"/>
                <w:szCs w:val="17"/>
                <w:color w:val="auto"/>
              </w:rPr>
            </w:pPr>
          </w:p>
        </w:tc>
        <w:tc>
          <w:tcPr>
            <w:tcW w:w="2280" w:type="dxa"/>
            <w:vAlign w:val="bottom"/>
            <w:shd w:val="clear" w:color="auto" w:fill="B8CCE4"/>
          </w:tcPr>
          <w:p>
            <w:pPr>
              <w:spacing w:after="0"/>
              <w:rPr>
                <w:sz w:val="17"/>
                <w:szCs w:val="17"/>
                <w:color w:val="auto"/>
              </w:rPr>
            </w:pPr>
          </w:p>
        </w:tc>
        <w:tc>
          <w:tcPr>
            <w:tcW w:w="1840" w:type="dxa"/>
            <w:vAlign w:val="bottom"/>
            <w:shd w:val="clear" w:color="auto" w:fill="B8CCE4"/>
          </w:tcPr>
          <w:p>
            <w:pPr>
              <w:jc w:val="center"/>
              <w:spacing w:after="0"/>
              <w:rPr>
                <w:sz w:val="20"/>
                <w:szCs w:val="20"/>
                <w:color w:val="auto"/>
              </w:rPr>
            </w:pPr>
            <w:r>
              <w:rPr>
                <w:rFonts w:ascii="Arial" w:cs="Arial" w:eastAsia="Arial" w:hAnsi="Arial"/>
                <w:sz w:val="16"/>
                <w:szCs w:val="16"/>
                <w:b w:val="1"/>
                <w:bCs w:val="1"/>
                <w:color w:val="auto"/>
                <w:w w:val="90"/>
              </w:rPr>
              <w:t>cause” other than upon</w:t>
            </w:r>
          </w:p>
        </w:tc>
        <w:tc>
          <w:tcPr>
            <w:tcW w:w="1920" w:type="dxa"/>
            <w:vAlign w:val="bottom"/>
            <w:shd w:val="clear" w:color="auto" w:fill="B8CCE4"/>
          </w:tcPr>
          <w:p>
            <w:pPr>
              <w:jc w:val="center"/>
              <w:ind w:right="4"/>
              <w:spacing w:after="0"/>
              <w:rPr>
                <w:sz w:val="20"/>
                <w:szCs w:val="20"/>
                <w:color w:val="auto"/>
              </w:rPr>
            </w:pPr>
            <w:r>
              <w:rPr>
                <w:rFonts w:ascii="Arial" w:cs="Arial" w:eastAsia="Arial" w:hAnsi="Arial"/>
                <w:sz w:val="16"/>
                <w:szCs w:val="16"/>
                <w:b w:val="1"/>
                <w:bCs w:val="1"/>
                <w:color w:val="auto"/>
                <w:w w:val="89"/>
              </w:rPr>
              <w:t>reason” other than upon</w:t>
            </w:r>
          </w:p>
        </w:tc>
        <w:tc>
          <w:tcPr>
            <w:tcW w:w="1680" w:type="dxa"/>
            <w:vAlign w:val="bottom"/>
            <w:shd w:val="clear" w:color="auto" w:fill="B8CCE4"/>
          </w:tcPr>
          <w:p>
            <w:pPr>
              <w:jc w:val="right"/>
              <w:ind w:right="125"/>
              <w:spacing w:after="0"/>
              <w:rPr>
                <w:sz w:val="20"/>
                <w:szCs w:val="20"/>
                <w:color w:val="auto"/>
              </w:rPr>
            </w:pPr>
            <w:r>
              <w:rPr>
                <w:rFonts w:ascii="Arial" w:cs="Arial" w:eastAsia="Arial" w:hAnsi="Arial"/>
                <w:sz w:val="16"/>
                <w:szCs w:val="16"/>
                <w:b w:val="1"/>
                <w:bCs w:val="1"/>
                <w:color w:val="auto"/>
              </w:rPr>
              <w:t>Termination due to</w:t>
            </w:r>
          </w:p>
        </w:tc>
        <w:tc>
          <w:tcPr>
            <w:tcW w:w="1900" w:type="dxa"/>
            <w:vAlign w:val="bottom"/>
            <w:shd w:val="clear" w:color="auto" w:fill="B8CCE4"/>
          </w:tcPr>
          <w:p>
            <w:pPr>
              <w:ind w:left="80"/>
              <w:spacing w:after="0"/>
              <w:rPr>
                <w:sz w:val="20"/>
                <w:szCs w:val="20"/>
                <w:color w:val="auto"/>
              </w:rPr>
            </w:pPr>
            <w:r>
              <w:rPr>
                <w:rFonts w:ascii="Arial" w:cs="Arial" w:eastAsia="Arial" w:hAnsi="Arial"/>
                <w:sz w:val="16"/>
                <w:szCs w:val="16"/>
                <w:b w:val="1"/>
                <w:bCs w:val="1"/>
                <w:color w:val="auto"/>
              </w:rPr>
              <w:t>Termination upon</w:t>
            </w:r>
          </w:p>
        </w:tc>
        <w:tc>
          <w:tcPr>
            <w:tcW w:w="1760" w:type="dxa"/>
            <w:vAlign w:val="bottom"/>
            <w:shd w:val="clear" w:color="auto" w:fill="B8CCE4"/>
          </w:tcPr>
          <w:p>
            <w:pPr>
              <w:jc w:val="right"/>
              <w:ind w:right="205"/>
              <w:spacing w:after="0"/>
              <w:rPr>
                <w:sz w:val="20"/>
                <w:szCs w:val="20"/>
                <w:color w:val="auto"/>
              </w:rPr>
            </w:pPr>
            <w:r>
              <w:rPr>
                <w:rFonts w:ascii="Arial" w:cs="Arial" w:eastAsia="Arial" w:hAnsi="Arial"/>
                <w:sz w:val="16"/>
                <w:szCs w:val="16"/>
                <w:b w:val="1"/>
                <w:bCs w:val="1"/>
                <w:color w:val="auto"/>
              </w:rPr>
              <w:t>Change of control</w:t>
            </w:r>
          </w:p>
        </w:tc>
      </w:tr>
      <w:tr>
        <w:trPr>
          <w:trHeight w:val="243"/>
        </w:trPr>
        <w:tc>
          <w:tcPr>
            <w:tcW w:w="40" w:type="dxa"/>
            <w:vAlign w:val="bottom"/>
          </w:tcPr>
          <w:p>
            <w:pPr>
              <w:spacing w:after="0"/>
              <w:rPr>
                <w:sz w:val="21"/>
                <w:szCs w:val="21"/>
                <w:color w:val="auto"/>
              </w:rPr>
            </w:pPr>
          </w:p>
        </w:tc>
        <w:tc>
          <w:tcPr>
            <w:tcW w:w="2280" w:type="dxa"/>
            <w:vAlign w:val="bottom"/>
            <w:shd w:val="clear" w:color="auto" w:fill="B8CCE4"/>
          </w:tcPr>
          <w:p>
            <w:pPr>
              <w:ind w:left="940"/>
              <w:spacing w:after="0"/>
              <w:rPr>
                <w:sz w:val="20"/>
                <w:szCs w:val="20"/>
                <w:color w:val="auto"/>
              </w:rPr>
            </w:pPr>
            <w:r>
              <w:rPr>
                <w:rFonts w:ascii="Arial" w:cs="Arial" w:eastAsia="Arial" w:hAnsi="Arial"/>
                <w:sz w:val="16"/>
                <w:szCs w:val="16"/>
                <w:b w:val="1"/>
                <w:bCs w:val="1"/>
                <w:color w:val="auto"/>
              </w:rPr>
              <w:t>Name</w:t>
            </w:r>
          </w:p>
        </w:tc>
        <w:tc>
          <w:tcPr>
            <w:tcW w:w="1840" w:type="dxa"/>
            <w:vAlign w:val="bottom"/>
            <w:shd w:val="clear" w:color="auto" w:fill="B8CCE4"/>
          </w:tcPr>
          <w:p>
            <w:pPr>
              <w:jc w:val="center"/>
              <w:spacing w:after="0"/>
              <w:rPr>
                <w:sz w:val="20"/>
                <w:szCs w:val="20"/>
                <w:color w:val="auto"/>
              </w:rPr>
            </w:pPr>
            <w:r>
              <w:rPr>
                <w:rFonts w:ascii="Arial" w:cs="Arial" w:eastAsia="Arial" w:hAnsi="Arial"/>
                <w:sz w:val="16"/>
                <w:szCs w:val="16"/>
                <w:b w:val="1"/>
                <w:bCs w:val="1"/>
                <w:color w:val="auto"/>
                <w:w w:val="89"/>
              </w:rPr>
              <w:t>change of control</w:t>
            </w:r>
          </w:p>
        </w:tc>
        <w:tc>
          <w:tcPr>
            <w:tcW w:w="1920" w:type="dxa"/>
            <w:vAlign w:val="bottom"/>
            <w:shd w:val="clear" w:color="auto" w:fill="B8CCE4"/>
          </w:tcPr>
          <w:p>
            <w:pPr>
              <w:jc w:val="center"/>
              <w:ind w:right="4"/>
              <w:spacing w:after="0"/>
              <w:rPr>
                <w:sz w:val="20"/>
                <w:szCs w:val="20"/>
                <w:color w:val="auto"/>
              </w:rPr>
            </w:pPr>
            <w:r>
              <w:rPr>
                <w:rFonts w:ascii="Arial" w:cs="Arial" w:eastAsia="Arial" w:hAnsi="Arial"/>
                <w:sz w:val="16"/>
                <w:szCs w:val="16"/>
                <w:b w:val="1"/>
                <w:bCs w:val="1"/>
                <w:color w:val="auto"/>
                <w:w w:val="89"/>
              </w:rPr>
              <w:t>change of control</w:t>
            </w:r>
          </w:p>
        </w:tc>
        <w:tc>
          <w:tcPr>
            <w:tcW w:w="1680" w:type="dxa"/>
            <w:vAlign w:val="bottom"/>
            <w:shd w:val="clear" w:color="auto" w:fill="B8CCE4"/>
          </w:tcPr>
          <w:p>
            <w:pPr>
              <w:jc w:val="right"/>
              <w:ind w:right="145"/>
              <w:spacing w:after="0"/>
              <w:rPr>
                <w:sz w:val="20"/>
                <w:szCs w:val="20"/>
                <w:color w:val="auto"/>
              </w:rPr>
            </w:pPr>
            <w:r>
              <w:rPr>
                <w:rFonts w:ascii="Arial" w:cs="Arial" w:eastAsia="Arial" w:hAnsi="Arial"/>
                <w:sz w:val="16"/>
                <w:szCs w:val="16"/>
                <w:b w:val="1"/>
                <w:bCs w:val="1"/>
                <w:color w:val="auto"/>
              </w:rPr>
              <w:t>death or disability</w:t>
            </w:r>
          </w:p>
        </w:tc>
        <w:tc>
          <w:tcPr>
            <w:tcW w:w="1900" w:type="dxa"/>
            <w:vAlign w:val="bottom"/>
            <w:shd w:val="clear" w:color="auto" w:fill="B8CCE4"/>
          </w:tcPr>
          <w:p>
            <w:pPr>
              <w:ind w:left="80"/>
              <w:spacing w:after="0"/>
              <w:rPr>
                <w:sz w:val="20"/>
                <w:szCs w:val="20"/>
                <w:color w:val="auto"/>
              </w:rPr>
            </w:pPr>
            <w:r>
              <w:rPr>
                <w:rFonts w:ascii="Arial" w:cs="Arial" w:eastAsia="Arial" w:hAnsi="Arial"/>
                <w:sz w:val="16"/>
                <w:szCs w:val="16"/>
                <w:b w:val="1"/>
                <w:bCs w:val="1"/>
                <w:color w:val="auto"/>
              </w:rPr>
              <w:t>change of control</w:t>
            </w:r>
          </w:p>
        </w:tc>
        <w:tc>
          <w:tcPr>
            <w:tcW w:w="1760" w:type="dxa"/>
            <w:vAlign w:val="bottom"/>
            <w:shd w:val="clear" w:color="auto" w:fill="B8CCE4"/>
          </w:tcPr>
          <w:p>
            <w:pPr>
              <w:jc w:val="right"/>
              <w:ind w:right="105"/>
              <w:spacing w:after="0"/>
              <w:rPr>
                <w:sz w:val="20"/>
                <w:szCs w:val="20"/>
                <w:color w:val="auto"/>
              </w:rPr>
            </w:pPr>
            <w:r>
              <w:rPr>
                <w:rFonts w:ascii="Arial" w:cs="Arial" w:eastAsia="Arial" w:hAnsi="Arial"/>
                <w:sz w:val="16"/>
                <w:szCs w:val="16"/>
                <w:b w:val="1"/>
                <w:bCs w:val="1"/>
                <w:color w:val="auto"/>
                <w:w w:val="96"/>
              </w:rPr>
              <w:t>without termination</w:t>
            </w:r>
            <w:r>
              <w:rPr>
                <w:rFonts w:ascii="Arial" w:cs="Arial" w:eastAsia="Arial" w:hAnsi="Arial"/>
                <w:sz w:val="17"/>
                <w:szCs w:val="17"/>
                <w:color w:val="auto"/>
                <w:w w:val="96"/>
                <w:vertAlign w:val="superscript"/>
              </w:rPr>
              <w:t>(1)</w:t>
            </w:r>
          </w:p>
        </w:tc>
      </w:tr>
      <w:tr>
        <w:trPr>
          <w:trHeight w:val="231"/>
        </w:trPr>
        <w:tc>
          <w:tcPr>
            <w:tcW w:w="40" w:type="dxa"/>
            <w:vAlign w:val="bottom"/>
          </w:tcPr>
          <w:p>
            <w:pPr>
              <w:spacing w:after="0"/>
              <w:rPr>
                <w:sz w:val="20"/>
                <w:szCs w:val="20"/>
                <w:color w:val="auto"/>
              </w:rPr>
            </w:pPr>
          </w:p>
        </w:tc>
        <w:tc>
          <w:tcPr>
            <w:tcW w:w="2280" w:type="dxa"/>
            <w:vAlign w:val="bottom"/>
            <w:shd w:val="clear" w:color="auto" w:fill="DBE5F1"/>
          </w:tcPr>
          <w:p>
            <w:pPr>
              <w:ind w:left="20"/>
              <w:spacing w:after="0"/>
              <w:rPr>
                <w:sz w:val="20"/>
                <w:szCs w:val="20"/>
                <w:color w:val="auto"/>
              </w:rPr>
            </w:pPr>
            <w:r>
              <w:rPr>
                <w:rFonts w:ascii="Arial" w:cs="Arial" w:eastAsia="Arial" w:hAnsi="Arial"/>
                <w:sz w:val="14"/>
                <w:szCs w:val="14"/>
                <w:b w:val="1"/>
                <w:bCs w:val="1"/>
                <w:color w:val="auto"/>
              </w:rPr>
              <w:t>Andrew C. Florance</w:t>
            </w:r>
          </w:p>
        </w:tc>
        <w:tc>
          <w:tcPr>
            <w:tcW w:w="1840" w:type="dxa"/>
            <w:vAlign w:val="bottom"/>
            <w:shd w:val="clear" w:color="auto" w:fill="DBE5F1"/>
          </w:tcPr>
          <w:p>
            <w:pPr>
              <w:jc w:val="right"/>
              <w:ind w:right="44"/>
              <w:spacing w:after="0"/>
              <w:rPr>
                <w:sz w:val="20"/>
                <w:szCs w:val="20"/>
                <w:color w:val="auto"/>
              </w:rPr>
            </w:pPr>
            <w:r>
              <w:rPr>
                <w:rFonts w:ascii="Arial" w:cs="Arial" w:eastAsia="Arial" w:hAnsi="Arial"/>
                <w:sz w:val="14"/>
                <w:szCs w:val="14"/>
                <w:color w:val="auto"/>
              </w:rPr>
              <w:t>$4,591,875</w:t>
            </w:r>
            <w:r>
              <w:rPr>
                <w:rFonts w:ascii="Arial" w:cs="Arial" w:eastAsia="Arial" w:hAnsi="Arial"/>
                <w:sz w:val="8"/>
                <w:szCs w:val="8"/>
                <w:color w:val="auto"/>
              </w:rPr>
              <w:t>(2)</w:t>
            </w:r>
          </w:p>
        </w:tc>
        <w:tc>
          <w:tcPr>
            <w:tcW w:w="1920" w:type="dxa"/>
            <w:vAlign w:val="bottom"/>
            <w:shd w:val="clear" w:color="auto" w:fill="DBE5F1"/>
          </w:tcPr>
          <w:p>
            <w:pPr>
              <w:ind w:left="920"/>
              <w:spacing w:after="0"/>
              <w:rPr>
                <w:sz w:val="20"/>
                <w:szCs w:val="20"/>
                <w:color w:val="auto"/>
              </w:rPr>
            </w:pPr>
            <w:r>
              <w:rPr>
                <w:rFonts w:ascii="Arial" w:cs="Arial" w:eastAsia="Arial" w:hAnsi="Arial"/>
                <w:sz w:val="14"/>
                <w:szCs w:val="14"/>
                <w:color w:val="auto"/>
              </w:rPr>
              <w:t xml:space="preserve">$4,591,875 </w:t>
            </w:r>
            <w:r>
              <w:rPr>
                <w:rFonts w:ascii="Arial" w:cs="Arial" w:eastAsia="Arial" w:hAnsi="Arial"/>
                <w:sz w:val="8"/>
                <w:szCs w:val="8"/>
                <w:color w:val="auto"/>
              </w:rPr>
              <w:t>(2)</w:t>
            </w:r>
          </w:p>
        </w:tc>
        <w:tc>
          <w:tcPr>
            <w:tcW w:w="1680" w:type="dxa"/>
            <w:vAlign w:val="bottom"/>
            <w:shd w:val="clear" w:color="auto" w:fill="DBE5F1"/>
          </w:tcPr>
          <w:p>
            <w:pPr>
              <w:jc w:val="right"/>
              <w:spacing w:after="0"/>
              <w:rPr>
                <w:sz w:val="20"/>
                <w:szCs w:val="20"/>
                <w:color w:val="auto"/>
              </w:rPr>
            </w:pPr>
            <w:r>
              <w:rPr>
                <w:rFonts w:ascii="Arial" w:cs="Arial" w:eastAsia="Arial" w:hAnsi="Arial"/>
                <w:sz w:val="14"/>
                <w:szCs w:val="14"/>
                <w:color w:val="auto"/>
              </w:rPr>
              <w:t>$1,390,000</w:t>
            </w:r>
            <w:r>
              <w:rPr>
                <w:rFonts w:ascii="Arial" w:cs="Arial" w:eastAsia="Arial" w:hAnsi="Arial"/>
                <w:sz w:val="8"/>
                <w:szCs w:val="8"/>
                <w:color w:val="auto"/>
              </w:rPr>
              <w:t>(3)</w:t>
            </w:r>
          </w:p>
        </w:tc>
        <w:tc>
          <w:tcPr>
            <w:tcW w:w="1900" w:type="dxa"/>
            <w:vAlign w:val="bottom"/>
            <w:shd w:val="clear" w:color="auto" w:fill="DBE5F1"/>
          </w:tcPr>
          <w:p>
            <w:pPr>
              <w:jc w:val="right"/>
              <w:ind w:right="5"/>
              <w:spacing w:after="0"/>
              <w:rPr>
                <w:sz w:val="20"/>
                <w:szCs w:val="20"/>
                <w:color w:val="auto"/>
              </w:rPr>
            </w:pPr>
            <w:r>
              <w:rPr>
                <w:rFonts w:ascii="Arial" w:cs="Arial" w:eastAsia="Arial" w:hAnsi="Arial"/>
                <w:sz w:val="14"/>
                <w:szCs w:val="14"/>
                <w:color w:val="auto"/>
              </w:rPr>
              <w:t>$18,615,382</w:t>
            </w:r>
            <w:r>
              <w:rPr>
                <w:rFonts w:ascii="Arial" w:cs="Arial" w:eastAsia="Arial" w:hAnsi="Arial"/>
                <w:sz w:val="8"/>
                <w:szCs w:val="8"/>
                <w:color w:val="auto"/>
              </w:rPr>
              <w:t>(4)</w:t>
            </w:r>
          </w:p>
        </w:tc>
        <w:tc>
          <w:tcPr>
            <w:tcW w:w="1760" w:type="dxa"/>
            <w:vAlign w:val="bottom"/>
            <w:shd w:val="clear" w:color="auto" w:fill="DBE5F1"/>
          </w:tcPr>
          <w:p>
            <w:pPr>
              <w:jc w:val="right"/>
              <w:ind w:right="25"/>
              <w:spacing w:after="0"/>
              <w:rPr>
                <w:sz w:val="20"/>
                <w:szCs w:val="20"/>
                <w:color w:val="auto"/>
              </w:rPr>
            </w:pPr>
            <w:r>
              <w:rPr>
                <w:rFonts w:ascii="Arial" w:cs="Arial" w:eastAsia="Arial" w:hAnsi="Arial"/>
                <w:sz w:val="14"/>
                <w:szCs w:val="14"/>
                <w:color w:val="auto"/>
              </w:rPr>
              <w:t>$15,166,017</w:t>
            </w:r>
          </w:p>
        </w:tc>
      </w:tr>
      <w:tr>
        <w:trPr>
          <w:trHeight w:val="284"/>
        </w:trPr>
        <w:tc>
          <w:tcPr>
            <w:tcW w:w="40" w:type="dxa"/>
            <w:vAlign w:val="bottom"/>
          </w:tcPr>
          <w:p>
            <w:pPr>
              <w:spacing w:after="0"/>
              <w:rPr>
                <w:sz w:val="24"/>
                <w:szCs w:val="24"/>
                <w:color w:val="auto"/>
              </w:rPr>
            </w:pPr>
          </w:p>
        </w:tc>
        <w:tc>
          <w:tcPr>
            <w:tcW w:w="2280" w:type="dxa"/>
            <w:vAlign w:val="bottom"/>
            <w:shd w:val="clear" w:color="auto" w:fill="DBE5F1"/>
          </w:tcPr>
          <w:p>
            <w:pPr>
              <w:ind w:left="20"/>
              <w:spacing w:after="0"/>
              <w:rPr>
                <w:sz w:val="20"/>
                <w:szCs w:val="20"/>
                <w:color w:val="auto"/>
              </w:rPr>
            </w:pPr>
            <w:r>
              <w:rPr>
                <w:rFonts w:ascii="Arial" w:cs="Arial" w:eastAsia="Arial" w:hAnsi="Arial"/>
                <w:sz w:val="14"/>
                <w:szCs w:val="14"/>
                <w:b w:val="1"/>
                <w:bCs w:val="1"/>
                <w:color w:val="auto"/>
              </w:rPr>
              <w:t>Brian J. Radecki</w:t>
            </w:r>
          </w:p>
        </w:tc>
        <w:tc>
          <w:tcPr>
            <w:tcW w:w="1840" w:type="dxa"/>
            <w:vAlign w:val="bottom"/>
            <w:shd w:val="clear" w:color="auto" w:fill="DBE5F1"/>
          </w:tcPr>
          <w:p>
            <w:pPr>
              <w:jc w:val="right"/>
              <w:ind w:right="44"/>
              <w:spacing w:after="0"/>
              <w:rPr>
                <w:sz w:val="20"/>
                <w:szCs w:val="20"/>
                <w:color w:val="auto"/>
              </w:rPr>
            </w:pPr>
            <w:r>
              <w:rPr>
                <w:rFonts w:ascii="Arial" w:cs="Arial" w:eastAsia="Arial" w:hAnsi="Arial"/>
                <w:sz w:val="14"/>
                <w:szCs w:val="14"/>
                <w:color w:val="auto"/>
              </w:rPr>
              <w:t>—</w:t>
            </w:r>
          </w:p>
        </w:tc>
        <w:tc>
          <w:tcPr>
            <w:tcW w:w="1920" w:type="dxa"/>
            <w:vAlign w:val="bottom"/>
            <w:shd w:val="clear" w:color="auto" w:fill="DBE5F1"/>
          </w:tcPr>
          <w:p>
            <w:pPr>
              <w:ind w:left="1560"/>
              <w:spacing w:after="0"/>
              <w:rPr>
                <w:sz w:val="20"/>
                <w:szCs w:val="20"/>
                <w:color w:val="auto"/>
              </w:rPr>
            </w:pPr>
            <w:r>
              <w:rPr>
                <w:rFonts w:ascii="Arial" w:cs="Arial" w:eastAsia="Arial" w:hAnsi="Arial"/>
                <w:sz w:val="14"/>
                <w:szCs w:val="14"/>
                <w:color w:val="auto"/>
              </w:rPr>
              <w:t>—</w:t>
            </w:r>
          </w:p>
        </w:tc>
        <w:tc>
          <w:tcPr>
            <w:tcW w:w="1680" w:type="dxa"/>
            <w:vAlign w:val="bottom"/>
            <w:shd w:val="clear" w:color="auto" w:fill="DBE5F1"/>
          </w:tcPr>
          <w:p>
            <w:pPr>
              <w:jc w:val="right"/>
              <w:spacing w:after="0"/>
              <w:rPr>
                <w:sz w:val="20"/>
                <w:szCs w:val="20"/>
                <w:color w:val="auto"/>
              </w:rPr>
            </w:pPr>
            <w:r>
              <w:rPr>
                <w:rFonts w:ascii="Arial" w:cs="Arial" w:eastAsia="Arial" w:hAnsi="Arial"/>
                <w:sz w:val="14"/>
                <w:szCs w:val="14"/>
                <w:color w:val="auto"/>
              </w:rPr>
              <w:t>—</w:t>
            </w:r>
          </w:p>
        </w:tc>
        <w:tc>
          <w:tcPr>
            <w:tcW w:w="1900" w:type="dxa"/>
            <w:vAlign w:val="bottom"/>
            <w:shd w:val="clear" w:color="auto" w:fill="DBE5F1"/>
          </w:tcPr>
          <w:p>
            <w:pPr>
              <w:jc w:val="right"/>
              <w:ind w:right="5"/>
              <w:spacing w:after="0"/>
              <w:rPr>
                <w:sz w:val="20"/>
                <w:szCs w:val="20"/>
                <w:color w:val="auto"/>
              </w:rPr>
            </w:pPr>
            <w:r>
              <w:rPr>
                <w:rFonts w:ascii="Arial" w:cs="Arial" w:eastAsia="Arial" w:hAnsi="Arial"/>
                <w:sz w:val="14"/>
                <w:szCs w:val="14"/>
                <w:color w:val="auto"/>
              </w:rPr>
              <w:t>$5,336,452</w:t>
            </w:r>
            <w:r>
              <w:rPr>
                <w:rFonts w:ascii="Arial" w:cs="Arial" w:eastAsia="Arial" w:hAnsi="Arial"/>
                <w:sz w:val="8"/>
                <w:szCs w:val="8"/>
                <w:color w:val="auto"/>
              </w:rPr>
              <w:t>(1)</w:t>
            </w:r>
          </w:p>
        </w:tc>
        <w:tc>
          <w:tcPr>
            <w:tcW w:w="1760" w:type="dxa"/>
            <w:vAlign w:val="bottom"/>
            <w:shd w:val="clear" w:color="auto" w:fill="DBE5F1"/>
          </w:tcPr>
          <w:p>
            <w:pPr>
              <w:jc w:val="right"/>
              <w:ind w:right="25"/>
              <w:spacing w:after="0"/>
              <w:rPr>
                <w:sz w:val="20"/>
                <w:szCs w:val="20"/>
                <w:color w:val="auto"/>
              </w:rPr>
            </w:pPr>
            <w:r>
              <w:rPr>
                <w:rFonts w:ascii="Arial" w:cs="Arial" w:eastAsia="Arial" w:hAnsi="Arial"/>
                <w:sz w:val="14"/>
                <w:szCs w:val="14"/>
                <w:color w:val="auto"/>
              </w:rPr>
              <w:t>$5,336,452</w:t>
            </w:r>
          </w:p>
        </w:tc>
      </w:tr>
      <w:tr>
        <w:trPr>
          <w:trHeight w:val="284"/>
        </w:trPr>
        <w:tc>
          <w:tcPr>
            <w:tcW w:w="40" w:type="dxa"/>
            <w:vAlign w:val="bottom"/>
          </w:tcPr>
          <w:p>
            <w:pPr>
              <w:spacing w:after="0"/>
              <w:rPr>
                <w:sz w:val="24"/>
                <w:szCs w:val="24"/>
                <w:color w:val="auto"/>
              </w:rPr>
            </w:pPr>
          </w:p>
        </w:tc>
        <w:tc>
          <w:tcPr>
            <w:tcW w:w="2280" w:type="dxa"/>
            <w:vAlign w:val="bottom"/>
            <w:shd w:val="clear" w:color="auto" w:fill="DBE5F1"/>
          </w:tcPr>
          <w:p>
            <w:pPr>
              <w:ind w:left="20"/>
              <w:spacing w:after="0"/>
              <w:rPr>
                <w:sz w:val="20"/>
                <w:szCs w:val="20"/>
                <w:color w:val="auto"/>
              </w:rPr>
            </w:pPr>
            <w:r>
              <w:rPr>
                <w:rFonts w:ascii="Arial" w:cs="Arial" w:eastAsia="Arial" w:hAnsi="Arial"/>
                <w:sz w:val="14"/>
                <w:szCs w:val="14"/>
                <w:b w:val="1"/>
                <w:bCs w:val="1"/>
                <w:color w:val="auto"/>
              </w:rPr>
              <w:t>Scott L. Yinger</w:t>
            </w:r>
          </w:p>
        </w:tc>
        <w:tc>
          <w:tcPr>
            <w:tcW w:w="1840" w:type="dxa"/>
            <w:vAlign w:val="bottom"/>
            <w:shd w:val="clear" w:color="auto" w:fill="DBE5F1"/>
          </w:tcPr>
          <w:p>
            <w:pPr>
              <w:jc w:val="right"/>
              <w:ind w:right="44"/>
              <w:spacing w:after="0"/>
              <w:rPr>
                <w:sz w:val="20"/>
                <w:szCs w:val="20"/>
                <w:color w:val="auto"/>
              </w:rPr>
            </w:pPr>
            <w:r>
              <w:rPr>
                <w:rFonts w:ascii="Arial" w:cs="Arial" w:eastAsia="Arial" w:hAnsi="Arial"/>
                <w:sz w:val="14"/>
                <w:szCs w:val="14"/>
                <w:color w:val="auto"/>
              </w:rPr>
              <w:t>—</w:t>
            </w:r>
          </w:p>
        </w:tc>
        <w:tc>
          <w:tcPr>
            <w:tcW w:w="1920" w:type="dxa"/>
            <w:vAlign w:val="bottom"/>
            <w:shd w:val="clear" w:color="auto" w:fill="DBE5F1"/>
          </w:tcPr>
          <w:p>
            <w:pPr>
              <w:ind w:left="1560"/>
              <w:spacing w:after="0"/>
              <w:rPr>
                <w:sz w:val="20"/>
                <w:szCs w:val="20"/>
                <w:color w:val="auto"/>
              </w:rPr>
            </w:pPr>
            <w:r>
              <w:rPr>
                <w:rFonts w:ascii="Arial" w:cs="Arial" w:eastAsia="Arial" w:hAnsi="Arial"/>
                <w:sz w:val="14"/>
                <w:szCs w:val="14"/>
                <w:color w:val="auto"/>
              </w:rPr>
              <w:t>—</w:t>
            </w:r>
          </w:p>
        </w:tc>
        <w:tc>
          <w:tcPr>
            <w:tcW w:w="1680" w:type="dxa"/>
            <w:vAlign w:val="bottom"/>
            <w:shd w:val="clear" w:color="auto" w:fill="DBE5F1"/>
          </w:tcPr>
          <w:p>
            <w:pPr>
              <w:jc w:val="right"/>
              <w:spacing w:after="0"/>
              <w:rPr>
                <w:sz w:val="20"/>
                <w:szCs w:val="20"/>
                <w:color w:val="auto"/>
              </w:rPr>
            </w:pPr>
            <w:r>
              <w:rPr>
                <w:rFonts w:ascii="Arial" w:cs="Arial" w:eastAsia="Arial" w:hAnsi="Arial"/>
                <w:sz w:val="14"/>
                <w:szCs w:val="14"/>
                <w:color w:val="auto"/>
              </w:rPr>
              <w:t>—</w:t>
            </w:r>
          </w:p>
        </w:tc>
        <w:tc>
          <w:tcPr>
            <w:tcW w:w="1900" w:type="dxa"/>
            <w:vAlign w:val="bottom"/>
            <w:shd w:val="clear" w:color="auto" w:fill="DBE5F1"/>
          </w:tcPr>
          <w:p>
            <w:pPr>
              <w:jc w:val="right"/>
              <w:ind w:right="65"/>
              <w:spacing w:after="0"/>
              <w:rPr>
                <w:sz w:val="20"/>
                <w:szCs w:val="20"/>
                <w:color w:val="auto"/>
              </w:rPr>
            </w:pPr>
            <w:r>
              <w:rPr>
                <w:rFonts w:ascii="Arial" w:cs="Arial" w:eastAsia="Arial" w:hAnsi="Arial"/>
                <w:sz w:val="14"/>
                <w:szCs w:val="14"/>
                <w:color w:val="auto"/>
              </w:rPr>
              <w:t>$578,112</w:t>
            </w:r>
            <w:r>
              <w:rPr>
                <w:rFonts w:ascii="Arial" w:cs="Arial" w:eastAsia="Arial" w:hAnsi="Arial"/>
                <w:sz w:val="8"/>
                <w:szCs w:val="8"/>
                <w:color w:val="auto"/>
              </w:rPr>
              <w:t>(1)</w:t>
            </w:r>
          </w:p>
        </w:tc>
        <w:tc>
          <w:tcPr>
            <w:tcW w:w="1760" w:type="dxa"/>
            <w:vAlign w:val="bottom"/>
            <w:shd w:val="clear" w:color="auto" w:fill="DBE5F1"/>
          </w:tcPr>
          <w:p>
            <w:pPr>
              <w:jc w:val="right"/>
              <w:ind w:right="25"/>
              <w:spacing w:after="0"/>
              <w:rPr>
                <w:sz w:val="20"/>
                <w:szCs w:val="20"/>
                <w:color w:val="auto"/>
              </w:rPr>
            </w:pPr>
            <w:r>
              <w:rPr>
                <w:rFonts w:ascii="Arial" w:cs="Arial" w:eastAsia="Arial" w:hAnsi="Arial"/>
                <w:sz w:val="14"/>
                <w:szCs w:val="14"/>
                <w:color w:val="auto"/>
              </w:rPr>
              <w:t>$578,112</w:t>
            </w:r>
          </w:p>
        </w:tc>
      </w:tr>
      <w:tr>
        <w:trPr>
          <w:trHeight w:val="284"/>
        </w:trPr>
        <w:tc>
          <w:tcPr>
            <w:tcW w:w="40" w:type="dxa"/>
            <w:vAlign w:val="bottom"/>
          </w:tcPr>
          <w:p>
            <w:pPr>
              <w:spacing w:after="0"/>
              <w:rPr>
                <w:sz w:val="24"/>
                <w:szCs w:val="24"/>
                <w:color w:val="auto"/>
              </w:rPr>
            </w:pPr>
          </w:p>
        </w:tc>
        <w:tc>
          <w:tcPr>
            <w:tcW w:w="2280" w:type="dxa"/>
            <w:vAlign w:val="bottom"/>
            <w:shd w:val="clear" w:color="auto" w:fill="DBE5F1"/>
          </w:tcPr>
          <w:p>
            <w:pPr>
              <w:ind w:left="20"/>
              <w:spacing w:after="0"/>
              <w:rPr>
                <w:sz w:val="20"/>
                <w:szCs w:val="20"/>
                <w:color w:val="auto"/>
              </w:rPr>
            </w:pPr>
            <w:r>
              <w:rPr>
                <w:rFonts w:ascii="Arial" w:cs="Arial" w:eastAsia="Arial" w:hAnsi="Arial"/>
                <w:sz w:val="14"/>
                <w:szCs w:val="14"/>
                <w:b w:val="1"/>
                <w:bCs w:val="1"/>
                <w:color w:val="auto"/>
              </w:rPr>
              <w:t>Francis A. Carchedi</w:t>
            </w:r>
          </w:p>
        </w:tc>
        <w:tc>
          <w:tcPr>
            <w:tcW w:w="1840" w:type="dxa"/>
            <w:vAlign w:val="bottom"/>
            <w:shd w:val="clear" w:color="auto" w:fill="DBE5F1"/>
          </w:tcPr>
          <w:p>
            <w:pPr>
              <w:jc w:val="right"/>
              <w:ind w:right="44"/>
              <w:spacing w:after="0"/>
              <w:rPr>
                <w:sz w:val="20"/>
                <w:szCs w:val="20"/>
                <w:color w:val="auto"/>
              </w:rPr>
            </w:pPr>
            <w:r>
              <w:rPr>
                <w:rFonts w:ascii="Arial" w:cs="Arial" w:eastAsia="Arial" w:hAnsi="Arial"/>
                <w:sz w:val="14"/>
                <w:szCs w:val="14"/>
                <w:color w:val="auto"/>
              </w:rPr>
              <w:t>—</w:t>
            </w:r>
          </w:p>
        </w:tc>
        <w:tc>
          <w:tcPr>
            <w:tcW w:w="1920" w:type="dxa"/>
            <w:vAlign w:val="bottom"/>
            <w:shd w:val="clear" w:color="auto" w:fill="DBE5F1"/>
          </w:tcPr>
          <w:p>
            <w:pPr>
              <w:ind w:left="1560"/>
              <w:spacing w:after="0"/>
              <w:rPr>
                <w:sz w:val="20"/>
                <w:szCs w:val="20"/>
                <w:color w:val="auto"/>
              </w:rPr>
            </w:pPr>
            <w:r>
              <w:rPr>
                <w:rFonts w:ascii="Arial" w:cs="Arial" w:eastAsia="Arial" w:hAnsi="Arial"/>
                <w:sz w:val="14"/>
                <w:szCs w:val="14"/>
                <w:color w:val="auto"/>
              </w:rPr>
              <w:t>—</w:t>
            </w:r>
          </w:p>
        </w:tc>
        <w:tc>
          <w:tcPr>
            <w:tcW w:w="1680" w:type="dxa"/>
            <w:vAlign w:val="bottom"/>
            <w:shd w:val="clear" w:color="auto" w:fill="DBE5F1"/>
          </w:tcPr>
          <w:p>
            <w:pPr>
              <w:jc w:val="right"/>
              <w:spacing w:after="0"/>
              <w:rPr>
                <w:sz w:val="20"/>
                <w:szCs w:val="20"/>
                <w:color w:val="auto"/>
              </w:rPr>
            </w:pPr>
            <w:r>
              <w:rPr>
                <w:rFonts w:ascii="Arial" w:cs="Arial" w:eastAsia="Arial" w:hAnsi="Arial"/>
                <w:sz w:val="14"/>
                <w:szCs w:val="14"/>
                <w:color w:val="auto"/>
              </w:rPr>
              <w:t>—</w:t>
            </w:r>
          </w:p>
        </w:tc>
        <w:tc>
          <w:tcPr>
            <w:tcW w:w="1900" w:type="dxa"/>
            <w:vAlign w:val="bottom"/>
            <w:shd w:val="clear" w:color="auto" w:fill="DBE5F1"/>
          </w:tcPr>
          <w:p>
            <w:pPr>
              <w:jc w:val="right"/>
              <w:ind w:right="65"/>
              <w:spacing w:after="0"/>
              <w:rPr>
                <w:sz w:val="20"/>
                <w:szCs w:val="20"/>
                <w:color w:val="auto"/>
              </w:rPr>
            </w:pPr>
            <w:r>
              <w:rPr>
                <w:rFonts w:ascii="Arial" w:cs="Arial" w:eastAsia="Arial" w:hAnsi="Arial"/>
                <w:sz w:val="14"/>
                <w:szCs w:val="14"/>
                <w:color w:val="auto"/>
              </w:rPr>
              <w:t>$4,095,982</w:t>
            </w:r>
            <w:r>
              <w:rPr>
                <w:rFonts w:ascii="Arial" w:cs="Arial" w:eastAsia="Arial" w:hAnsi="Arial"/>
                <w:sz w:val="8"/>
                <w:szCs w:val="8"/>
                <w:color w:val="auto"/>
              </w:rPr>
              <w:t>(1)</w:t>
            </w:r>
          </w:p>
        </w:tc>
        <w:tc>
          <w:tcPr>
            <w:tcW w:w="1760" w:type="dxa"/>
            <w:vAlign w:val="bottom"/>
            <w:shd w:val="clear" w:color="auto" w:fill="DBE5F1"/>
          </w:tcPr>
          <w:p>
            <w:pPr>
              <w:jc w:val="right"/>
              <w:ind w:right="25"/>
              <w:spacing w:after="0"/>
              <w:rPr>
                <w:sz w:val="20"/>
                <w:szCs w:val="20"/>
                <w:color w:val="auto"/>
              </w:rPr>
            </w:pPr>
            <w:r>
              <w:rPr>
                <w:rFonts w:ascii="Arial" w:cs="Arial" w:eastAsia="Arial" w:hAnsi="Arial"/>
                <w:sz w:val="14"/>
                <w:szCs w:val="14"/>
                <w:color w:val="auto"/>
              </w:rPr>
              <w:t>$4,095,982</w:t>
            </w:r>
          </w:p>
        </w:tc>
      </w:tr>
      <w:tr>
        <w:trPr>
          <w:trHeight w:val="282"/>
        </w:trPr>
        <w:tc>
          <w:tcPr>
            <w:tcW w:w="40" w:type="dxa"/>
            <w:vAlign w:val="bottom"/>
          </w:tcPr>
          <w:p>
            <w:pPr>
              <w:spacing w:after="0"/>
              <w:rPr>
                <w:sz w:val="24"/>
                <w:szCs w:val="24"/>
                <w:color w:val="auto"/>
              </w:rPr>
            </w:pPr>
          </w:p>
        </w:tc>
        <w:tc>
          <w:tcPr>
            <w:tcW w:w="2280" w:type="dxa"/>
            <w:vAlign w:val="bottom"/>
            <w:shd w:val="clear" w:color="auto" w:fill="DBE5F1"/>
          </w:tcPr>
          <w:p>
            <w:pPr>
              <w:ind w:left="20"/>
              <w:spacing w:after="0"/>
              <w:rPr>
                <w:sz w:val="20"/>
                <w:szCs w:val="20"/>
                <w:color w:val="auto"/>
              </w:rPr>
            </w:pPr>
            <w:r>
              <w:rPr>
                <w:rFonts w:ascii="Arial" w:cs="Arial" w:eastAsia="Arial" w:hAnsi="Arial"/>
                <w:sz w:val="14"/>
                <w:szCs w:val="14"/>
                <w:b w:val="1"/>
                <w:bCs w:val="1"/>
                <w:color w:val="auto"/>
              </w:rPr>
              <w:t>Matthew</w:t>
            </w:r>
          </w:p>
        </w:tc>
        <w:tc>
          <w:tcPr>
            <w:tcW w:w="1840" w:type="dxa"/>
            <w:vAlign w:val="bottom"/>
            <w:shd w:val="clear" w:color="auto" w:fill="DBE5F1"/>
          </w:tcPr>
          <w:p>
            <w:pPr>
              <w:jc w:val="right"/>
              <w:ind w:right="44"/>
              <w:spacing w:after="0"/>
              <w:rPr>
                <w:sz w:val="20"/>
                <w:szCs w:val="20"/>
                <w:color w:val="auto"/>
              </w:rPr>
            </w:pPr>
            <w:r>
              <w:rPr>
                <w:rFonts w:ascii="Arial" w:cs="Arial" w:eastAsia="Arial" w:hAnsi="Arial"/>
                <w:sz w:val="14"/>
                <w:szCs w:val="14"/>
                <w:color w:val="auto"/>
              </w:rPr>
              <w:t>$170,000</w:t>
            </w:r>
            <w:r>
              <w:rPr>
                <w:rFonts w:ascii="Arial" w:cs="Arial" w:eastAsia="Arial" w:hAnsi="Arial"/>
                <w:sz w:val="8"/>
                <w:szCs w:val="8"/>
                <w:color w:val="auto"/>
              </w:rPr>
              <w:t>(5)</w:t>
            </w:r>
          </w:p>
        </w:tc>
        <w:tc>
          <w:tcPr>
            <w:tcW w:w="1920" w:type="dxa"/>
            <w:vAlign w:val="bottom"/>
            <w:shd w:val="clear" w:color="auto" w:fill="DBE5F1"/>
          </w:tcPr>
          <w:p>
            <w:pPr>
              <w:ind w:left="1560"/>
              <w:spacing w:after="0"/>
              <w:rPr>
                <w:sz w:val="20"/>
                <w:szCs w:val="20"/>
                <w:color w:val="auto"/>
              </w:rPr>
            </w:pPr>
            <w:r>
              <w:rPr>
                <w:rFonts w:ascii="Arial" w:cs="Arial" w:eastAsia="Arial" w:hAnsi="Arial"/>
                <w:sz w:val="14"/>
                <w:szCs w:val="14"/>
                <w:color w:val="auto"/>
              </w:rPr>
              <w:t>—</w:t>
            </w:r>
          </w:p>
        </w:tc>
        <w:tc>
          <w:tcPr>
            <w:tcW w:w="1680" w:type="dxa"/>
            <w:vAlign w:val="bottom"/>
            <w:shd w:val="clear" w:color="auto" w:fill="DBE5F1"/>
          </w:tcPr>
          <w:p>
            <w:pPr>
              <w:jc w:val="right"/>
              <w:spacing w:after="0"/>
              <w:rPr>
                <w:sz w:val="20"/>
                <w:szCs w:val="20"/>
                <w:color w:val="auto"/>
              </w:rPr>
            </w:pPr>
            <w:r>
              <w:rPr>
                <w:rFonts w:ascii="Arial" w:cs="Arial" w:eastAsia="Arial" w:hAnsi="Arial"/>
                <w:sz w:val="14"/>
                <w:szCs w:val="14"/>
                <w:color w:val="auto"/>
              </w:rPr>
              <w:t>—</w:t>
            </w:r>
          </w:p>
        </w:tc>
        <w:tc>
          <w:tcPr>
            <w:tcW w:w="1900" w:type="dxa"/>
            <w:vAlign w:val="bottom"/>
            <w:shd w:val="clear" w:color="auto" w:fill="DBE5F1"/>
          </w:tcPr>
          <w:p>
            <w:pPr>
              <w:jc w:val="right"/>
              <w:ind w:right="65"/>
              <w:spacing w:after="0"/>
              <w:rPr>
                <w:sz w:val="20"/>
                <w:szCs w:val="20"/>
                <w:color w:val="auto"/>
              </w:rPr>
            </w:pPr>
            <w:r>
              <w:rPr>
                <w:rFonts w:ascii="Arial" w:cs="Arial" w:eastAsia="Arial" w:hAnsi="Arial"/>
                <w:sz w:val="14"/>
                <w:szCs w:val="14"/>
                <w:color w:val="auto"/>
              </w:rPr>
              <w:t>$3,000,281</w:t>
            </w:r>
            <w:r>
              <w:rPr>
                <w:rFonts w:ascii="Arial" w:cs="Arial" w:eastAsia="Arial" w:hAnsi="Arial"/>
                <w:sz w:val="8"/>
                <w:szCs w:val="8"/>
                <w:color w:val="auto"/>
              </w:rPr>
              <w:t>(1)</w:t>
            </w:r>
          </w:p>
        </w:tc>
        <w:tc>
          <w:tcPr>
            <w:tcW w:w="1760" w:type="dxa"/>
            <w:vAlign w:val="bottom"/>
            <w:shd w:val="clear" w:color="auto" w:fill="DBE5F1"/>
          </w:tcPr>
          <w:p>
            <w:pPr>
              <w:jc w:val="right"/>
              <w:ind w:right="25"/>
              <w:spacing w:after="0"/>
              <w:rPr>
                <w:sz w:val="20"/>
                <w:szCs w:val="20"/>
                <w:color w:val="auto"/>
              </w:rPr>
            </w:pPr>
            <w:r>
              <w:rPr>
                <w:rFonts w:ascii="Arial" w:cs="Arial" w:eastAsia="Arial" w:hAnsi="Arial"/>
                <w:sz w:val="14"/>
                <w:szCs w:val="14"/>
                <w:color w:val="auto"/>
              </w:rPr>
              <w:t>$3,000,281</w:t>
            </w:r>
          </w:p>
        </w:tc>
      </w:tr>
      <w:tr>
        <w:trPr>
          <w:trHeight w:val="135"/>
        </w:trPr>
        <w:tc>
          <w:tcPr>
            <w:tcW w:w="40" w:type="dxa"/>
            <w:vAlign w:val="bottom"/>
          </w:tcPr>
          <w:p>
            <w:pPr>
              <w:spacing w:after="0"/>
              <w:rPr>
                <w:sz w:val="11"/>
                <w:szCs w:val="11"/>
                <w:color w:val="auto"/>
              </w:rPr>
            </w:pPr>
          </w:p>
        </w:tc>
        <w:tc>
          <w:tcPr>
            <w:tcW w:w="2280" w:type="dxa"/>
            <w:vAlign w:val="bottom"/>
            <w:shd w:val="clear" w:color="auto" w:fill="DBE5F1"/>
          </w:tcPr>
          <w:p>
            <w:pPr>
              <w:ind w:left="20"/>
              <w:spacing w:after="0" w:line="135" w:lineRule="exact"/>
              <w:rPr>
                <w:sz w:val="20"/>
                <w:szCs w:val="20"/>
                <w:color w:val="auto"/>
              </w:rPr>
            </w:pPr>
            <w:r>
              <w:rPr>
                <w:rFonts w:ascii="Arial" w:cs="Arial" w:eastAsia="Arial" w:hAnsi="Arial"/>
                <w:sz w:val="14"/>
                <w:szCs w:val="14"/>
                <w:b w:val="1"/>
                <w:bCs w:val="1"/>
                <w:color w:val="auto"/>
              </w:rPr>
              <w:t>F.W. Linnington</w:t>
            </w:r>
          </w:p>
        </w:tc>
        <w:tc>
          <w:tcPr>
            <w:tcW w:w="1840" w:type="dxa"/>
            <w:vAlign w:val="bottom"/>
            <w:shd w:val="clear" w:color="auto" w:fill="DBE5F1"/>
          </w:tcPr>
          <w:p>
            <w:pPr>
              <w:spacing w:after="0"/>
              <w:rPr>
                <w:sz w:val="11"/>
                <w:szCs w:val="11"/>
                <w:color w:val="auto"/>
              </w:rPr>
            </w:pPr>
          </w:p>
        </w:tc>
        <w:tc>
          <w:tcPr>
            <w:tcW w:w="1920" w:type="dxa"/>
            <w:vAlign w:val="bottom"/>
            <w:shd w:val="clear" w:color="auto" w:fill="DBE5F1"/>
          </w:tcPr>
          <w:p>
            <w:pPr>
              <w:spacing w:after="0"/>
              <w:rPr>
                <w:sz w:val="11"/>
                <w:szCs w:val="11"/>
                <w:color w:val="auto"/>
              </w:rPr>
            </w:pPr>
          </w:p>
        </w:tc>
        <w:tc>
          <w:tcPr>
            <w:tcW w:w="1680" w:type="dxa"/>
            <w:vAlign w:val="bottom"/>
            <w:shd w:val="clear" w:color="auto" w:fill="DBE5F1"/>
          </w:tcPr>
          <w:p>
            <w:pPr>
              <w:spacing w:after="0"/>
              <w:rPr>
                <w:sz w:val="11"/>
                <w:szCs w:val="11"/>
                <w:color w:val="auto"/>
              </w:rPr>
            </w:pPr>
          </w:p>
        </w:tc>
        <w:tc>
          <w:tcPr>
            <w:tcW w:w="1900" w:type="dxa"/>
            <w:vAlign w:val="bottom"/>
            <w:shd w:val="clear" w:color="auto" w:fill="DBE5F1"/>
          </w:tcPr>
          <w:p>
            <w:pPr>
              <w:spacing w:after="0"/>
              <w:rPr>
                <w:sz w:val="11"/>
                <w:szCs w:val="11"/>
                <w:color w:val="auto"/>
              </w:rPr>
            </w:pPr>
          </w:p>
        </w:tc>
        <w:tc>
          <w:tcPr>
            <w:tcW w:w="1760" w:type="dxa"/>
            <w:vAlign w:val="bottom"/>
            <w:shd w:val="clear" w:color="auto" w:fill="DBE5F1"/>
          </w:tcPr>
          <w:p>
            <w:pPr>
              <w:spacing w:after="0"/>
              <w:rPr>
                <w:sz w:val="11"/>
                <w:szCs w:val="11"/>
                <w:color w:val="auto"/>
              </w:rPr>
            </w:pPr>
          </w:p>
        </w:tc>
      </w:tr>
      <w:tr>
        <w:trPr>
          <w:trHeight w:val="166"/>
        </w:trPr>
        <w:tc>
          <w:tcPr>
            <w:tcW w:w="40" w:type="dxa"/>
            <w:vAlign w:val="bottom"/>
          </w:tcPr>
          <w:p>
            <w:pPr>
              <w:spacing w:after="0"/>
              <w:rPr>
                <w:sz w:val="14"/>
                <w:szCs w:val="14"/>
                <w:color w:val="auto"/>
              </w:rPr>
            </w:pPr>
          </w:p>
        </w:tc>
        <w:tc>
          <w:tcPr>
            <w:tcW w:w="2280" w:type="dxa"/>
            <w:vAlign w:val="bottom"/>
          </w:tcPr>
          <w:p>
            <w:pPr>
              <w:spacing w:after="0"/>
              <w:rPr>
                <w:sz w:val="20"/>
                <w:szCs w:val="20"/>
                <w:color w:val="auto"/>
              </w:rPr>
            </w:pPr>
            <w:r>
              <w:rPr>
                <w:rFonts w:ascii="Arial" w:cs="Arial" w:eastAsia="Arial" w:hAnsi="Arial"/>
                <w:sz w:val="14"/>
                <w:szCs w:val="14"/>
                <w:color w:val="auto"/>
              </w:rPr>
              <w:t>____________</w:t>
            </w:r>
          </w:p>
        </w:tc>
        <w:tc>
          <w:tcPr>
            <w:tcW w:w="184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1760" w:type="dxa"/>
            <w:vAlign w:val="bottom"/>
          </w:tcPr>
          <w:p>
            <w:pPr>
              <w:spacing w:after="0"/>
              <w:rPr>
                <w:sz w:val="14"/>
                <w:szCs w:val="14"/>
                <w:color w:val="auto"/>
              </w:rPr>
            </w:pPr>
          </w:p>
        </w:tc>
      </w:tr>
    </w:tbl>
    <w:p>
      <w:pPr>
        <w:jc w:val="both"/>
        <w:ind w:left="340" w:hanging="318"/>
        <w:spacing w:after="0" w:line="248" w:lineRule="auto"/>
        <w:tabs>
          <w:tab w:leader="none" w:pos="340" w:val="left"/>
        </w:tabs>
        <w:numPr>
          <w:ilvl w:val="0"/>
          <w:numId w:val="59"/>
        </w:numPr>
        <w:rPr>
          <w:rFonts w:ascii="Arial" w:cs="Arial" w:eastAsia="Arial" w:hAnsi="Arial"/>
          <w:sz w:val="16"/>
          <w:szCs w:val="16"/>
          <w:color w:val="auto"/>
        </w:rPr>
      </w:pPr>
      <w:r>
        <w:rPr>
          <w:rFonts w:ascii="Arial" w:cs="Arial" w:eastAsia="Arial" w:hAnsi="Arial"/>
          <w:sz w:val="16"/>
          <w:szCs w:val="16"/>
          <w:color w:val="auto"/>
        </w:rPr>
        <w:t>Consists of the values realizable by the named executive officers with respect to unvested stock options (that are in-the-money) and restricted stock under the Company’s 1998 and 2007 Plans in the event of a change of control or substantial corporate change, as defined in the plans and described above, as of December 31, 2015, which values are summarized in the table below. The intrinsic value of the stock options was calculated by multiplying the number of shares underlying the unvested options by the difference between the exercise price of each unvested option and the closing price of the Company’s common stock ($206.69) on December 31, 2015, excluding options with an exercise price greater than the closing price on December 31, 2015. The intrinsic value of the restricted stock was calculated using the closing price of the Company’s common stock on December 31, 2015 ($206.69).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227965</wp:posOffset>
            </wp:positionH>
            <wp:positionV relativeFrom="paragraph">
              <wp:posOffset>79375</wp:posOffset>
            </wp:positionV>
            <wp:extent cx="6508750" cy="121793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508750" cy="1217930"/>
                    </a:xfrm>
                    <a:prstGeom prst="rect">
                      <a:avLst/>
                    </a:prstGeom>
                    <a:noFill/>
                  </pic:spPr>
                </pic:pic>
              </a:graphicData>
            </a:graphic>
          </wp:anchor>
        </w:drawing>
      </w:r>
    </w:p>
    <w:p>
      <w:pPr>
        <w:spacing w:after="0" w:line="96" w:lineRule="exact"/>
        <w:rPr>
          <w:sz w:val="20"/>
          <w:szCs w:val="20"/>
          <w:color w:val="auto"/>
        </w:rPr>
      </w:pPr>
    </w:p>
    <w:tbl>
      <w:tblPr>
        <w:tblLayout w:type="fixed"/>
        <w:tblInd w:w="360" w:type="dxa"/>
        <w:tblCellMar>
          <w:top w:w="0" w:type="dxa"/>
          <w:left w:w="0" w:type="dxa"/>
          <w:bottom w:w="0" w:type="dxa"/>
          <w:right w:w="0" w:type="dxa"/>
        </w:tblCellMar>
      </w:tblPr>
      <w:tr>
        <w:trPr>
          <w:trHeight w:val="161"/>
        </w:trPr>
        <w:tc>
          <w:tcPr>
            <w:tcW w:w="1960" w:type="dxa"/>
            <w:vAlign w:val="bottom"/>
            <w:shd w:val="clear" w:color="auto" w:fill="B8CCE4"/>
          </w:tcPr>
          <w:p>
            <w:pPr>
              <w:spacing w:after="0"/>
              <w:rPr>
                <w:sz w:val="14"/>
                <w:szCs w:val="14"/>
                <w:color w:val="auto"/>
              </w:rPr>
            </w:pPr>
          </w:p>
        </w:tc>
        <w:tc>
          <w:tcPr>
            <w:tcW w:w="1760" w:type="dxa"/>
            <w:vAlign w:val="bottom"/>
            <w:shd w:val="clear" w:color="auto" w:fill="B8CCE4"/>
          </w:tcPr>
          <w:p>
            <w:pPr>
              <w:jc w:val="center"/>
              <w:spacing w:after="0"/>
              <w:rPr>
                <w:sz w:val="20"/>
                <w:szCs w:val="20"/>
                <w:color w:val="auto"/>
              </w:rPr>
            </w:pPr>
            <w:r>
              <w:rPr>
                <w:rFonts w:ascii="Arial" w:cs="Arial" w:eastAsia="Arial" w:hAnsi="Arial"/>
                <w:sz w:val="14"/>
                <w:szCs w:val="14"/>
                <w:b w:val="1"/>
                <w:bCs w:val="1"/>
                <w:color w:val="auto"/>
                <w:w w:val="92"/>
              </w:rPr>
              <w:t>Unvested (in-the-money)</w:t>
            </w:r>
          </w:p>
        </w:tc>
        <w:tc>
          <w:tcPr>
            <w:tcW w:w="100" w:type="dxa"/>
            <w:vAlign w:val="bottom"/>
            <w:shd w:val="clear" w:color="auto" w:fill="B8CCE4"/>
          </w:tcPr>
          <w:p>
            <w:pPr>
              <w:spacing w:after="0"/>
              <w:rPr>
                <w:sz w:val="14"/>
                <w:szCs w:val="14"/>
                <w:color w:val="auto"/>
              </w:rPr>
            </w:pPr>
          </w:p>
        </w:tc>
        <w:tc>
          <w:tcPr>
            <w:tcW w:w="1600" w:type="dxa"/>
            <w:vAlign w:val="bottom"/>
            <w:shd w:val="clear" w:color="auto" w:fill="B8CCE4"/>
          </w:tcPr>
          <w:p>
            <w:pPr>
              <w:spacing w:after="0"/>
              <w:rPr>
                <w:sz w:val="14"/>
                <w:szCs w:val="14"/>
                <w:color w:val="auto"/>
              </w:rPr>
            </w:pPr>
          </w:p>
        </w:tc>
        <w:tc>
          <w:tcPr>
            <w:tcW w:w="1760" w:type="dxa"/>
            <w:vAlign w:val="bottom"/>
            <w:vMerge w:val="restart"/>
            <w:shd w:val="clear" w:color="auto" w:fill="B8CCE4"/>
          </w:tcPr>
          <w:p>
            <w:pPr>
              <w:jc w:val="right"/>
              <w:ind w:right="288"/>
              <w:spacing w:after="0"/>
              <w:rPr>
                <w:sz w:val="20"/>
                <w:szCs w:val="20"/>
                <w:color w:val="auto"/>
              </w:rPr>
            </w:pPr>
            <w:r>
              <w:rPr>
                <w:rFonts w:ascii="Arial" w:cs="Arial" w:eastAsia="Arial" w:hAnsi="Arial"/>
                <w:sz w:val="14"/>
                <w:szCs w:val="14"/>
                <w:b w:val="1"/>
                <w:bCs w:val="1"/>
                <w:color w:val="auto"/>
              </w:rPr>
              <w:t>Unvested Restricted</w:t>
            </w:r>
          </w:p>
        </w:tc>
        <w:tc>
          <w:tcPr>
            <w:tcW w:w="1740" w:type="dxa"/>
            <w:vAlign w:val="bottom"/>
            <w:shd w:val="clear" w:color="auto" w:fill="B8CCE4"/>
          </w:tcPr>
          <w:p>
            <w:pPr>
              <w:spacing w:after="0"/>
              <w:rPr>
                <w:sz w:val="14"/>
                <w:szCs w:val="14"/>
                <w:color w:val="auto"/>
              </w:rPr>
            </w:pPr>
          </w:p>
        </w:tc>
        <w:tc>
          <w:tcPr>
            <w:tcW w:w="1320" w:type="dxa"/>
            <w:vAlign w:val="bottom"/>
            <w:shd w:val="clear" w:color="auto" w:fill="B8CCE4"/>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960" w:type="dxa"/>
            <w:vAlign w:val="bottom"/>
            <w:vMerge w:val="restart"/>
            <w:shd w:val="clear" w:color="auto" w:fill="B8CCE4"/>
          </w:tcPr>
          <w:p>
            <w:pPr>
              <w:ind w:left="800"/>
              <w:spacing w:after="0"/>
              <w:rPr>
                <w:sz w:val="20"/>
                <w:szCs w:val="20"/>
                <w:color w:val="auto"/>
              </w:rPr>
            </w:pPr>
            <w:r>
              <w:rPr>
                <w:rFonts w:ascii="Arial" w:cs="Arial" w:eastAsia="Arial" w:hAnsi="Arial"/>
                <w:sz w:val="14"/>
                <w:szCs w:val="14"/>
                <w:b w:val="1"/>
                <w:bCs w:val="1"/>
                <w:color w:val="auto"/>
              </w:rPr>
              <w:t>Name</w:t>
            </w:r>
          </w:p>
        </w:tc>
        <w:tc>
          <w:tcPr>
            <w:tcW w:w="1760" w:type="dxa"/>
            <w:vAlign w:val="bottom"/>
            <w:shd w:val="clear" w:color="auto" w:fill="B8CCE4"/>
          </w:tcPr>
          <w:p>
            <w:pPr>
              <w:jc w:val="center"/>
              <w:spacing w:after="0" w:line="149" w:lineRule="exact"/>
              <w:rPr>
                <w:sz w:val="20"/>
                <w:szCs w:val="20"/>
                <w:color w:val="auto"/>
              </w:rPr>
            </w:pPr>
            <w:r>
              <w:rPr>
                <w:rFonts w:ascii="Arial" w:cs="Arial" w:eastAsia="Arial" w:hAnsi="Arial"/>
                <w:sz w:val="14"/>
                <w:szCs w:val="14"/>
                <w:b w:val="1"/>
                <w:bCs w:val="1"/>
                <w:color w:val="auto"/>
                <w:w w:val="90"/>
              </w:rPr>
              <w:t>Options</w:t>
            </w:r>
          </w:p>
        </w:tc>
        <w:tc>
          <w:tcPr>
            <w:tcW w:w="100" w:type="dxa"/>
            <w:vAlign w:val="bottom"/>
            <w:shd w:val="clear" w:color="auto" w:fill="B8CCE4"/>
          </w:tcPr>
          <w:p>
            <w:pPr>
              <w:spacing w:after="0"/>
              <w:rPr>
                <w:sz w:val="12"/>
                <w:szCs w:val="12"/>
                <w:color w:val="auto"/>
              </w:rPr>
            </w:pPr>
          </w:p>
        </w:tc>
        <w:tc>
          <w:tcPr>
            <w:tcW w:w="1600" w:type="dxa"/>
            <w:vAlign w:val="bottom"/>
            <w:vMerge w:val="restart"/>
            <w:shd w:val="clear" w:color="auto" w:fill="B8CCE4"/>
          </w:tcPr>
          <w:p>
            <w:pPr>
              <w:jc w:val="right"/>
              <w:ind w:right="348"/>
              <w:spacing w:after="0"/>
              <w:rPr>
                <w:sz w:val="20"/>
                <w:szCs w:val="20"/>
                <w:color w:val="auto"/>
              </w:rPr>
            </w:pPr>
            <w:r>
              <w:rPr>
                <w:rFonts w:ascii="Arial" w:cs="Arial" w:eastAsia="Arial" w:hAnsi="Arial"/>
                <w:sz w:val="14"/>
                <w:szCs w:val="14"/>
                <w:b w:val="1"/>
                <w:bCs w:val="1"/>
                <w:color w:val="auto"/>
              </w:rPr>
              <w:t>Intrinsic Value</w:t>
            </w:r>
          </w:p>
        </w:tc>
        <w:tc>
          <w:tcPr>
            <w:tcW w:w="1760" w:type="dxa"/>
            <w:vAlign w:val="bottom"/>
            <w:vMerge w:val="continue"/>
            <w:shd w:val="clear" w:color="auto" w:fill="B8CCE4"/>
          </w:tcPr>
          <w:p>
            <w:pPr>
              <w:spacing w:after="0"/>
              <w:rPr>
                <w:sz w:val="12"/>
                <w:szCs w:val="12"/>
                <w:color w:val="auto"/>
              </w:rPr>
            </w:pPr>
          </w:p>
        </w:tc>
        <w:tc>
          <w:tcPr>
            <w:tcW w:w="1740" w:type="dxa"/>
            <w:vAlign w:val="bottom"/>
            <w:vMerge w:val="restart"/>
            <w:shd w:val="clear" w:color="auto" w:fill="B8CCE4"/>
          </w:tcPr>
          <w:p>
            <w:pPr>
              <w:jc w:val="right"/>
              <w:ind w:right="568"/>
              <w:spacing w:after="0"/>
              <w:rPr>
                <w:sz w:val="20"/>
                <w:szCs w:val="20"/>
                <w:color w:val="auto"/>
              </w:rPr>
            </w:pPr>
            <w:r>
              <w:rPr>
                <w:rFonts w:ascii="Arial" w:cs="Arial" w:eastAsia="Arial" w:hAnsi="Arial"/>
                <w:sz w:val="14"/>
                <w:szCs w:val="14"/>
                <w:b w:val="1"/>
                <w:bCs w:val="1"/>
                <w:color w:val="auto"/>
              </w:rPr>
              <w:t>Intrinsic Value</w:t>
            </w:r>
          </w:p>
        </w:tc>
        <w:tc>
          <w:tcPr>
            <w:tcW w:w="1320" w:type="dxa"/>
            <w:vAlign w:val="bottom"/>
            <w:vMerge w:val="restart"/>
            <w:shd w:val="clear" w:color="auto" w:fill="B8CCE4"/>
          </w:tcPr>
          <w:p>
            <w:pPr>
              <w:jc w:val="right"/>
              <w:ind w:right="56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8"/>
        </w:trPr>
        <w:tc>
          <w:tcPr>
            <w:tcW w:w="1960" w:type="dxa"/>
            <w:vAlign w:val="bottom"/>
            <w:vMerge w:val="continue"/>
            <w:shd w:val="clear" w:color="auto" w:fill="B8CCE4"/>
          </w:tcPr>
          <w:p>
            <w:pPr>
              <w:spacing w:after="0"/>
              <w:rPr>
                <w:sz w:val="17"/>
                <w:szCs w:val="17"/>
                <w:color w:val="auto"/>
              </w:rPr>
            </w:pPr>
          </w:p>
        </w:tc>
        <w:tc>
          <w:tcPr>
            <w:tcW w:w="1760" w:type="dxa"/>
            <w:vAlign w:val="bottom"/>
            <w:shd w:val="clear" w:color="auto" w:fill="B8CCE4"/>
          </w:tcPr>
          <w:p>
            <w:pPr>
              <w:jc w:val="center"/>
              <w:spacing w:after="0"/>
              <w:rPr>
                <w:sz w:val="20"/>
                <w:szCs w:val="20"/>
                <w:color w:val="auto"/>
              </w:rPr>
            </w:pPr>
            <w:r>
              <w:rPr>
                <w:rFonts w:ascii="Arial" w:cs="Arial" w:eastAsia="Arial" w:hAnsi="Arial"/>
                <w:sz w:val="14"/>
                <w:szCs w:val="14"/>
                <w:b w:val="1"/>
                <w:bCs w:val="1"/>
                <w:color w:val="auto"/>
                <w:w w:val="90"/>
              </w:rPr>
              <w:t>(# shares)</w:t>
            </w:r>
          </w:p>
        </w:tc>
        <w:tc>
          <w:tcPr>
            <w:tcW w:w="100" w:type="dxa"/>
            <w:vAlign w:val="bottom"/>
            <w:shd w:val="clear" w:color="auto" w:fill="B8CCE4"/>
          </w:tcPr>
          <w:p>
            <w:pPr>
              <w:spacing w:after="0"/>
              <w:rPr>
                <w:sz w:val="17"/>
                <w:szCs w:val="17"/>
                <w:color w:val="auto"/>
              </w:rPr>
            </w:pPr>
          </w:p>
        </w:tc>
        <w:tc>
          <w:tcPr>
            <w:tcW w:w="1600" w:type="dxa"/>
            <w:vAlign w:val="bottom"/>
            <w:vMerge w:val="continue"/>
            <w:shd w:val="clear" w:color="auto" w:fill="B8CCE4"/>
          </w:tcPr>
          <w:p>
            <w:pPr>
              <w:spacing w:after="0"/>
              <w:rPr>
                <w:sz w:val="17"/>
                <w:szCs w:val="17"/>
                <w:color w:val="auto"/>
              </w:rPr>
            </w:pPr>
          </w:p>
        </w:tc>
        <w:tc>
          <w:tcPr>
            <w:tcW w:w="1760" w:type="dxa"/>
            <w:vAlign w:val="bottom"/>
            <w:shd w:val="clear" w:color="auto" w:fill="B8CCE4"/>
          </w:tcPr>
          <w:p>
            <w:pPr>
              <w:jc w:val="right"/>
              <w:ind w:right="428"/>
              <w:spacing w:after="0"/>
              <w:rPr>
                <w:sz w:val="20"/>
                <w:szCs w:val="20"/>
                <w:color w:val="auto"/>
              </w:rPr>
            </w:pPr>
            <w:r>
              <w:rPr>
                <w:rFonts w:ascii="Arial" w:cs="Arial" w:eastAsia="Arial" w:hAnsi="Arial"/>
                <w:sz w:val="14"/>
                <w:szCs w:val="14"/>
                <w:b w:val="1"/>
                <w:bCs w:val="1"/>
                <w:color w:val="auto"/>
              </w:rPr>
              <w:t>Stock (# shares)</w:t>
            </w:r>
          </w:p>
        </w:tc>
        <w:tc>
          <w:tcPr>
            <w:tcW w:w="1740" w:type="dxa"/>
            <w:vAlign w:val="bottom"/>
            <w:vMerge w:val="continue"/>
            <w:shd w:val="clear" w:color="auto" w:fill="B8CCE4"/>
          </w:tcPr>
          <w:p>
            <w:pPr>
              <w:spacing w:after="0"/>
              <w:rPr>
                <w:sz w:val="17"/>
                <w:szCs w:val="17"/>
                <w:color w:val="auto"/>
              </w:rPr>
            </w:pPr>
          </w:p>
        </w:tc>
        <w:tc>
          <w:tcPr>
            <w:tcW w:w="1320" w:type="dxa"/>
            <w:vAlign w:val="bottom"/>
            <w:vMerge w:val="continue"/>
            <w:shd w:val="clear" w:color="auto" w:fill="B8CCE4"/>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1960" w:type="dxa"/>
            <w:vAlign w:val="bottom"/>
            <w:shd w:val="clear" w:color="auto" w:fill="DBE5F1"/>
          </w:tcPr>
          <w:p>
            <w:pPr>
              <w:ind w:left="20"/>
              <w:spacing w:after="0"/>
              <w:rPr>
                <w:sz w:val="20"/>
                <w:szCs w:val="20"/>
                <w:color w:val="auto"/>
              </w:rPr>
            </w:pPr>
            <w:r>
              <w:rPr>
                <w:rFonts w:ascii="Arial" w:cs="Arial" w:eastAsia="Arial" w:hAnsi="Arial"/>
                <w:sz w:val="14"/>
                <w:szCs w:val="14"/>
                <w:color w:val="auto"/>
              </w:rPr>
              <w:t>Andrew C. Florance</w:t>
            </w:r>
          </w:p>
        </w:tc>
        <w:tc>
          <w:tcPr>
            <w:tcW w:w="1760" w:type="dxa"/>
            <w:vAlign w:val="bottom"/>
            <w:shd w:val="clear" w:color="auto" w:fill="DBE5F1"/>
          </w:tcPr>
          <w:p>
            <w:pPr>
              <w:jc w:val="right"/>
              <w:ind w:right="48"/>
              <w:spacing w:after="0"/>
              <w:rPr>
                <w:sz w:val="20"/>
                <w:szCs w:val="20"/>
                <w:color w:val="auto"/>
              </w:rPr>
            </w:pPr>
            <w:r>
              <w:rPr>
                <w:rFonts w:ascii="Arial" w:cs="Arial" w:eastAsia="Arial" w:hAnsi="Arial"/>
                <w:sz w:val="14"/>
                <w:szCs w:val="14"/>
                <w:color w:val="auto"/>
              </w:rPr>
              <w:t>73,367</w:t>
            </w:r>
          </w:p>
        </w:tc>
        <w:tc>
          <w:tcPr>
            <w:tcW w:w="1700" w:type="dxa"/>
            <w:vAlign w:val="bottom"/>
            <w:gridSpan w:val="2"/>
            <w:shd w:val="clear" w:color="auto" w:fill="DBE5F1"/>
          </w:tcPr>
          <w:p>
            <w:pPr>
              <w:jc w:val="right"/>
              <w:ind w:right="88"/>
              <w:spacing w:after="0"/>
              <w:rPr>
                <w:sz w:val="20"/>
                <w:szCs w:val="20"/>
                <w:color w:val="auto"/>
              </w:rPr>
            </w:pPr>
            <w:r>
              <w:rPr>
                <w:rFonts w:ascii="Arial" w:cs="Arial" w:eastAsia="Arial" w:hAnsi="Arial"/>
                <w:sz w:val="14"/>
                <w:szCs w:val="14"/>
                <w:color w:val="auto"/>
              </w:rPr>
              <w:t>$2,506,875</w:t>
            </w:r>
          </w:p>
        </w:tc>
        <w:tc>
          <w:tcPr>
            <w:tcW w:w="1760" w:type="dxa"/>
            <w:vAlign w:val="bottom"/>
            <w:shd w:val="clear" w:color="auto" w:fill="DBE5F1"/>
          </w:tcPr>
          <w:p>
            <w:pPr>
              <w:jc w:val="right"/>
              <w:ind w:right="128"/>
              <w:spacing w:after="0"/>
              <w:rPr>
                <w:sz w:val="20"/>
                <w:szCs w:val="20"/>
                <w:color w:val="auto"/>
              </w:rPr>
            </w:pPr>
            <w:r>
              <w:rPr>
                <w:rFonts w:ascii="Arial" w:cs="Arial" w:eastAsia="Arial" w:hAnsi="Arial"/>
                <w:sz w:val="14"/>
                <w:szCs w:val="14"/>
                <w:color w:val="auto"/>
              </w:rPr>
              <w:t>61,247</w:t>
            </w:r>
          </w:p>
        </w:tc>
        <w:tc>
          <w:tcPr>
            <w:tcW w:w="1740" w:type="dxa"/>
            <w:vAlign w:val="bottom"/>
            <w:shd w:val="clear" w:color="auto" w:fill="DBE5F1"/>
          </w:tcPr>
          <w:p>
            <w:pPr>
              <w:jc w:val="right"/>
              <w:ind w:right="308"/>
              <w:spacing w:after="0"/>
              <w:rPr>
                <w:sz w:val="20"/>
                <w:szCs w:val="20"/>
                <w:color w:val="auto"/>
              </w:rPr>
            </w:pPr>
            <w:r>
              <w:rPr>
                <w:rFonts w:ascii="Arial" w:cs="Arial" w:eastAsia="Arial" w:hAnsi="Arial"/>
                <w:sz w:val="14"/>
                <w:szCs w:val="14"/>
                <w:color w:val="auto"/>
              </w:rPr>
              <w:t>$12,659,142</w:t>
            </w:r>
          </w:p>
        </w:tc>
        <w:tc>
          <w:tcPr>
            <w:tcW w:w="1320" w:type="dxa"/>
            <w:vAlign w:val="bottom"/>
            <w:shd w:val="clear" w:color="auto" w:fill="DBE5F1"/>
          </w:tcPr>
          <w:p>
            <w:pPr>
              <w:jc w:val="right"/>
              <w:ind w:right="8"/>
              <w:spacing w:after="0"/>
              <w:rPr>
                <w:sz w:val="20"/>
                <w:szCs w:val="20"/>
                <w:color w:val="auto"/>
              </w:rPr>
            </w:pPr>
            <w:r>
              <w:rPr>
                <w:rFonts w:ascii="Arial" w:cs="Arial" w:eastAsia="Arial" w:hAnsi="Arial"/>
                <w:sz w:val="14"/>
                <w:szCs w:val="14"/>
                <w:color w:val="auto"/>
              </w:rPr>
              <w:t>$15,166,017</w:t>
            </w:r>
          </w:p>
        </w:tc>
        <w:tc>
          <w:tcPr>
            <w:tcW w:w="0" w:type="dxa"/>
            <w:vAlign w:val="bottom"/>
          </w:tcPr>
          <w:p>
            <w:pPr>
              <w:spacing w:after="0"/>
              <w:rPr>
                <w:sz w:val="1"/>
                <w:szCs w:val="1"/>
                <w:color w:val="auto"/>
              </w:rPr>
            </w:pPr>
          </w:p>
        </w:tc>
      </w:tr>
      <w:tr>
        <w:trPr>
          <w:trHeight w:val="284"/>
        </w:trPr>
        <w:tc>
          <w:tcPr>
            <w:tcW w:w="1960" w:type="dxa"/>
            <w:vAlign w:val="bottom"/>
            <w:shd w:val="clear" w:color="auto" w:fill="DBE5F1"/>
          </w:tcPr>
          <w:p>
            <w:pPr>
              <w:ind w:left="20"/>
              <w:spacing w:after="0"/>
              <w:rPr>
                <w:sz w:val="20"/>
                <w:szCs w:val="20"/>
                <w:color w:val="auto"/>
              </w:rPr>
            </w:pPr>
            <w:r>
              <w:rPr>
                <w:rFonts w:ascii="Arial" w:cs="Arial" w:eastAsia="Arial" w:hAnsi="Arial"/>
                <w:sz w:val="14"/>
                <w:szCs w:val="14"/>
                <w:color w:val="auto"/>
              </w:rPr>
              <w:t>Brian J. Radecki</w:t>
            </w:r>
          </w:p>
        </w:tc>
        <w:tc>
          <w:tcPr>
            <w:tcW w:w="1760" w:type="dxa"/>
            <w:vAlign w:val="bottom"/>
            <w:shd w:val="clear" w:color="auto" w:fill="DBE5F1"/>
          </w:tcPr>
          <w:p>
            <w:pPr>
              <w:jc w:val="right"/>
              <w:ind w:right="48"/>
              <w:spacing w:after="0"/>
              <w:rPr>
                <w:sz w:val="20"/>
                <w:szCs w:val="20"/>
                <w:color w:val="auto"/>
              </w:rPr>
            </w:pPr>
            <w:r>
              <w:rPr>
                <w:rFonts w:ascii="Arial" w:cs="Arial" w:eastAsia="Arial" w:hAnsi="Arial"/>
                <w:sz w:val="14"/>
                <w:szCs w:val="14"/>
                <w:color w:val="auto"/>
              </w:rPr>
              <w:t>25,900</w:t>
            </w:r>
          </w:p>
        </w:tc>
        <w:tc>
          <w:tcPr>
            <w:tcW w:w="1700" w:type="dxa"/>
            <w:vAlign w:val="bottom"/>
            <w:gridSpan w:val="2"/>
            <w:shd w:val="clear" w:color="auto" w:fill="DBE5F1"/>
          </w:tcPr>
          <w:p>
            <w:pPr>
              <w:jc w:val="right"/>
              <w:ind w:right="88"/>
              <w:spacing w:after="0"/>
              <w:rPr>
                <w:sz w:val="20"/>
                <w:szCs w:val="20"/>
                <w:color w:val="auto"/>
              </w:rPr>
            </w:pPr>
            <w:r>
              <w:rPr>
                <w:rFonts w:ascii="Arial" w:cs="Arial" w:eastAsia="Arial" w:hAnsi="Arial"/>
                <w:sz w:val="14"/>
                <w:szCs w:val="14"/>
                <w:color w:val="auto"/>
              </w:rPr>
              <w:t>$694,195</w:t>
            </w:r>
          </w:p>
        </w:tc>
        <w:tc>
          <w:tcPr>
            <w:tcW w:w="1760" w:type="dxa"/>
            <w:vAlign w:val="bottom"/>
            <w:shd w:val="clear" w:color="auto" w:fill="DBE5F1"/>
          </w:tcPr>
          <w:p>
            <w:pPr>
              <w:jc w:val="right"/>
              <w:ind w:right="128"/>
              <w:spacing w:after="0"/>
              <w:rPr>
                <w:sz w:val="20"/>
                <w:szCs w:val="20"/>
                <w:color w:val="auto"/>
              </w:rPr>
            </w:pPr>
            <w:r>
              <w:rPr>
                <w:rFonts w:ascii="Arial" w:cs="Arial" w:eastAsia="Arial" w:hAnsi="Arial"/>
                <w:sz w:val="14"/>
                <w:szCs w:val="14"/>
                <w:color w:val="auto"/>
              </w:rPr>
              <w:t>22,460</w:t>
            </w:r>
          </w:p>
        </w:tc>
        <w:tc>
          <w:tcPr>
            <w:tcW w:w="1740" w:type="dxa"/>
            <w:vAlign w:val="bottom"/>
            <w:shd w:val="clear" w:color="auto" w:fill="DBE5F1"/>
          </w:tcPr>
          <w:p>
            <w:pPr>
              <w:jc w:val="right"/>
              <w:ind w:right="308"/>
              <w:spacing w:after="0"/>
              <w:rPr>
                <w:sz w:val="20"/>
                <w:szCs w:val="20"/>
                <w:color w:val="auto"/>
              </w:rPr>
            </w:pPr>
            <w:r>
              <w:rPr>
                <w:rFonts w:ascii="Arial" w:cs="Arial" w:eastAsia="Arial" w:hAnsi="Arial"/>
                <w:sz w:val="14"/>
                <w:szCs w:val="14"/>
                <w:color w:val="auto"/>
              </w:rPr>
              <w:t>$4,642,257</w:t>
            </w:r>
          </w:p>
        </w:tc>
        <w:tc>
          <w:tcPr>
            <w:tcW w:w="1320" w:type="dxa"/>
            <w:vAlign w:val="bottom"/>
            <w:shd w:val="clear" w:color="auto" w:fill="DBE5F1"/>
          </w:tcPr>
          <w:p>
            <w:pPr>
              <w:jc w:val="right"/>
              <w:ind w:right="8"/>
              <w:spacing w:after="0"/>
              <w:rPr>
                <w:sz w:val="20"/>
                <w:szCs w:val="20"/>
                <w:color w:val="auto"/>
              </w:rPr>
            </w:pPr>
            <w:r>
              <w:rPr>
                <w:rFonts w:ascii="Arial" w:cs="Arial" w:eastAsia="Arial" w:hAnsi="Arial"/>
                <w:sz w:val="14"/>
                <w:szCs w:val="14"/>
                <w:color w:val="auto"/>
              </w:rPr>
              <w:t>$5,336,452</w:t>
            </w:r>
          </w:p>
        </w:tc>
        <w:tc>
          <w:tcPr>
            <w:tcW w:w="0" w:type="dxa"/>
            <w:vAlign w:val="bottom"/>
          </w:tcPr>
          <w:p>
            <w:pPr>
              <w:spacing w:after="0"/>
              <w:rPr>
                <w:sz w:val="1"/>
                <w:szCs w:val="1"/>
                <w:color w:val="auto"/>
              </w:rPr>
            </w:pPr>
          </w:p>
        </w:tc>
      </w:tr>
      <w:tr>
        <w:trPr>
          <w:trHeight w:val="311"/>
        </w:trPr>
        <w:tc>
          <w:tcPr>
            <w:tcW w:w="1960" w:type="dxa"/>
            <w:vAlign w:val="bottom"/>
            <w:shd w:val="clear" w:color="auto" w:fill="DBE5F1"/>
          </w:tcPr>
          <w:p>
            <w:pPr>
              <w:ind w:left="20"/>
              <w:spacing w:after="0"/>
              <w:rPr>
                <w:sz w:val="20"/>
                <w:szCs w:val="20"/>
                <w:color w:val="auto"/>
              </w:rPr>
            </w:pPr>
            <w:r>
              <w:rPr>
                <w:rFonts w:ascii="Arial" w:cs="Arial" w:eastAsia="Arial" w:hAnsi="Arial"/>
                <w:sz w:val="14"/>
                <w:szCs w:val="14"/>
                <w:color w:val="auto"/>
              </w:rPr>
              <w:t>Scott L. Yinger</w:t>
            </w:r>
          </w:p>
        </w:tc>
        <w:tc>
          <w:tcPr>
            <w:tcW w:w="1760" w:type="dxa"/>
            <w:vAlign w:val="bottom"/>
            <w:shd w:val="clear" w:color="auto" w:fill="DBE5F1"/>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shd w:val="clear" w:color="auto" w:fill="DBE5F1"/>
          </w:tcPr>
          <w:p>
            <w:pPr>
              <w:spacing w:after="0"/>
              <w:rPr>
                <w:sz w:val="24"/>
                <w:szCs w:val="24"/>
                <w:color w:val="auto"/>
              </w:rPr>
            </w:pPr>
          </w:p>
        </w:tc>
        <w:tc>
          <w:tcPr>
            <w:tcW w:w="1600" w:type="dxa"/>
            <w:vAlign w:val="bottom"/>
            <w:shd w:val="clear" w:color="auto" w:fill="DBE5F1"/>
          </w:tcPr>
          <w:p>
            <w:pPr>
              <w:jc w:val="right"/>
              <w:ind w:right="88"/>
              <w:spacing w:after="0"/>
              <w:rPr>
                <w:sz w:val="20"/>
                <w:szCs w:val="20"/>
                <w:color w:val="auto"/>
              </w:rPr>
            </w:pPr>
            <w:r>
              <w:rPr>
                <w:rFonts w:ascii="Arial" w:cs="Arial" w:eastAsia="Arial" w:hAnsi="Arial"/>
                <w:sz w:val="14"/>
                <w:szCs w:val="14"/>
                <w:color w:val="auto"/>
              </w:rPr>
              <w:t>—</w:t>
            </w:r>
          </w:p>
        </w:tc>
        <w:tc>
          <w:tcPr>
            <w:tcW w:w="1760" w:type="dxa"/>
            <w:vAlign w:val="bottom"/>
            <w:shd w:val="clear" w:color="auto" w:fill="DBE5F1"/>
          </w:tcPr>
          <w:p>
            <w:pPr>
              <w:jc w:val="right"/>
              <w:ind w:right="128"/>
              <w:spacing w:after="0"/>
              <w:rPr>
                <w:sz w:val="20"/>
                <w:szCs w:val="20"/>
                <w:color w:val="auto"/>
              </w:rPr>
            </w:pPr>
            <w:r>
              <w:rPr>
                <w:rFonts w:ascii="Arial" w:cs="Arial" w:eastAsia="Arial" w:hAnsi="Arial"/>
                <w:sz w:val="14"/>
                <w:szCs w:val="14"/>
                <w:color w:val="auto"/>
              </w:rPr>
              <w:t>2,797</w:t>
            </w:r>
          </w:p>
        </w:tc>
        <w:tc>
          <w:tcPr>
            <w:tcW w:w="1740" w:type="dxa"/>
            <w:vAlign w:val="bottom"/>
            <w:shd w:val="clear" w:color="auto" w:fill="DBE5F1"/>
          </w:tcPr>
          <w:p>
            <w:pPr>
              <w:jc w:val="right"/>
              <w:ind w:right="308"/>
              <w:spacing w:after="0"/>
              <w:rPr>
                <w:sz w:val="20"/>
                <w:szCs w:val="20"/>
                <w:color w:val="auto"/>
              </w:rPr>
            </w:pPr>
            <w:r>
              <w:rPr>
                <w:rFonts w:ascii="Arial" w:cs="Arial" w:eastAsia="Arial" w:hAnsi="Arial"/>
                <w:sz w:val="14"/>
                <w:szCs w:val="14"/>
                <w:color w:val="auto"/>
              </w:rPr>
              <w:t>$578,112</w:t>
            </w:r>
          </w:p>
        </w:tc>
        <w:tc>
          <w:tcPr>
            <w:tcW w:w="1320" w:type="dxa"/>
            <w:vAlign w:val="bottom"/>
            <w:shd w:val="clear" w:color="auto" w:fill="DBE5F1"/>
          </w:tcPr>
          <w:p>
            <w:pPr>
              <w:jc w:val="right"/>
              <w:ind w:right="8"/>
              <w:spacing w:after="0"/>
              <w:rPr>
                <w:sz w:val="20"/>
                <w:szCs w:val="20"/>
                <w:color w:val="auto"/>
              </w:rPr>
            </w:pPr>
            <w:r>
              <w:rPr>
                <w:rFonts w:ascii="Arial" w:cs="Arial" w:eastAsia="Arial" w:hAnsi="Arial"/>
                <w:sz w:val="14"/>
                <w:szCs w:val="14"/>
                <w:color w:val="auto"/>
              </w:rPr>
              <w:t>$578,112</w:t>
            </w:r>
          </w:p>
        </w:tc>
        <w:tc>
          <w:tcPr>
            <w:tcW w:w="0" w:type="dxa"/>
            <w:vAlign w:val="bottom"/>
          </w:tcPr>
          <w:p>
            <w:pPr>
              <w:spacing w:after="0"/>
              <w:rPr>
                <w:sz w:val="1"/>
                <w:szCs w:val="1"/>
                <w:color w:val="auto"/>
              </w:rPr>
            </w:pPr>
          </w:p>
        </w:tc>
      </w:tr>
      <w:tr>
        <w:trPr>
          <w:trHeight w:val="257"/>
        </w:trPr>
        <w:tc>
          <w:tcPr>
            <w:tcW w:w="1960" w:type="dxa"/>
            <w:vAlign w:val="bottom"/>
            <w:shd w:val="clear" w:color="auto" w:fill="DBE5F1"/>
          </w:tcPr>
          <w:p>
            <w:pPr>
              <w:ind w:left="20"/>
              <w:spacing w:after="0"/>
              <w:rPr>
                <w:sz w:val="20"/>
                <w:szCs w:val="20"/>
                <w:color w:val="auto"/>
              </w:rPr>
            </w:pPr>
            <w:r>
              <w:rPr>
                <w:rFonts w:ascii="Arial" w:cs="Arial" w:eastAsia="Arial" w:hAnsi="Arial"/>
                <w:sz w:val="14"/>
                <w:szCs w:val="14"/>
                <w:color w:val="auto"/>
              </w:rPr>
              <w:t>Francis A. Carchedi</w:t>
            </w:r>
          </w:p>
        </w:tc>
        <w:tc>
          <w:tcPr>
            <w:tcW w:w="1760" w:type="dxa"/>
            <w:vAlign w:val="bottom"/>
            <w:shd w:val="clear" w:color="auto" w:fill="DBE5F1"/>
          </w:tcPr>
          <w:p>
            <w:pPr>
              <w:jc w:val="right"/>
              <w:ind w:right="48"/>
              <w:spacing w:after="0"/>
              <w:rPr>
                <w:sz w:val="20"/>
                <w:szCs w:val="20"/>
                <w:color w:val="auto"/>
              </w:rPr>
            </w:pPr>
            <w:r>
              <w:rPr>
                <w:rFonts w:ascii="Arial" w:cs="Arial" w:eastAsia="Arial" w:hAnsi="Arial"/>
                <w:sz w:val="14"/>
                <w:szCs w:val="14"/>
                <w:color w:val="auto"/>
              </w:rPr>
              <w:t>19,934</w:t>
            </w:r>
          </w:p>
        </w:tc>
        <w:tc>
          <w:tcPr>
            <w:tcW w:w="100" w:type="dxa"/>
            <w:vAlign w:val="bottom"/>
            <w:shd w:val="clear" w:color="auto" w:fill="DBE5F1"/>
          </w:tcPr>
          <w:p>
            <w:pPr>
              <w:spacing w:after="0"/>
              <w:rPr>
                <w:sz w:val="22"/>
                <w:szCs w:val="22"/>
                <w:color w:val="auto"/>
              </w:rPr>
            </w:pPr>
          </w:p>
        </w:tc>
        <w:tc>
          <w:tcPr>
            <w:tcW w:w="1600" w:type="dxa"/>
            <w:vAlign w:val="bottom"/>
            <w:shd w:val="clear" w:color="auto" w:fill="DBE5F1"/>
          </w:tcPr>
          <w:p>
            <w:pPr>
              <w:jc w:val="right"/>
              <w:ind w:right="88"/>
              <w:spacing w:after="0"/>
              <w:rPr>
                <w:sz w:val="20"/>
                <w:szCs w:val="20"/>
                <w:color w:val="auto"/>
              </w:rPr>
            </w:pPr>
            <w:r>
              <w:rPr>
                <w:rFonts w:ascii="Arial" w:cs="Arial" w:eastAsia="Arial" w:hAnsi="Arial"/>
                <w:sz w:val="14"/>
                <w:szCs w:val="14"/>
                <w:color w:val="auto"/>
              </w:rPr>
              <w:t>$573,984</w:t>
            </w:r>
          </w:p>
        </w:tc>
        <w:tc>
          <w:tcPr>
            <w:tcW w:w="1760" w:type="dxa"/>
            <w:vAlign w:val="bottom"/>
            <w:shd w:val="clear" w:color="auto" w:fill="DBE5F1"/>
          </w:tcPr>
          <w:p>
            <w:pPr>
              <w:jc w:val="right"/>
              <w:ind w:right="128"/>
              <w:spacing w:after="0"/>
              <w:rPr>
                <w:sz w:val="20"/>
                <w:szCs w:val="20"/>
                <w:color w:val="auto"/>
              </w:rPr>
            </w:pPr>
            <w:r>
              <w:rPr>
                <w:rFonts w:ascii="Arial" w:cs="Arial" w:eastAsia="Arial" w:hAnsi="Arial"/>
                <w:sz w:val="14"/>
                <w:szCs w:val="14"/>
                <w:color w:val="auto"/>
              </w:rPr>
              <w:t>17,040</w:t>
            </w:r>
          </w:p>
        </w:tc>
        <w:tc>
          <w:tcPr>
            <w:tcW w:w="1740" w:type="dxa"/>
            <w:vAlign w:val="bottom"/>
            <w:shd w:val="clear" w:color="auto" w:fill="DBE5F1"/>
          </w:tcPr>
          <w:p>
            <w:pPr>
              <w:jc w:val="right"/>
              <w:ind w:right="308"/>
              <w:spacing w:after="0"/>
              <w:rPr>
                <w:sz w:val="20"/>
                <w:szCs w:val="20"/>
                <w:color w:val="auto"/>
              </w:rPr>
            </w:pPr>
            <w:r>
              <w:rPr>
                <w:rFonts w:ascii="Arial" w:cs="Arial" w:eastAsia="Arial" w:hAnsi="Arial"/>
                <w:sz w:val="14"/>
                <w:szCs w:val="14"/>
                <w:color w:val="auto"/>
              </w:rPr>
              <w:t>$3,521,998</w:t>
            </w:r>
          </w:p>
        </w:tc>
        <w:tc>
          <w:tcPr>
            <w:tcW w:w="1320" w:type="dxa"/>
            <w:vAlign w:val="bottom"/>
            <w:shd w:val="clear" w:color="auto" w:fill="DBE5F1"/>
          </w:tcPr>
          <w:p>
            <w:pPr>
              <w:jc w:val="right"/>
              <w:ind w:right="8"/>
              <w:spacing w:after="0"/>
              <w:rPr>
                <w:sz w:val="20"/>
                <w:szCs w:val="20"/>
                <w:color w:val="auto"/>
              </w:rPr>
            </w:pPr>
            <w:r>
              <w:rPr>
                <w:rFonts w:ascii="Arial" w:cs="Arial" w:eastAsia="Arial" w:hAnsi="Arial"/>
                <w:sz w:val="14"/>
                <w:szCs w:val="14"/>
                <w:color w:val="auto"/>
              </w:rPr>
              <w:t>$4,095,982</w:t>
            </w:r>
          </w:p>
        </w:tc>
        <w:tc>
          <w:tcPr>
            <w:tcW w:w="0" w:type="dxa"/>
            <w:vAlign w:val="bottom"/>
          </w:tcPr>
          <w:p>
            <w:pPr>
              <w:spacing w:after="0"/>
              <w:rPr>
                <w:sz w:val="1"/>
                <w:szCs w:val="1"/>
                <w:color w:val="auto"/>
              </w:rPr>
            </w:pPr>
          </w:p>
        </w:tc>
      </w:tr>
      <w:tr>
        <w:trPr>
          <w:trHeight w:val="284"/>
        </w:trPr>
        <w:tc>
          <w:tcPr>
            <w:tcW w:w="1960" w:type="dxa"/>
            <w:vAlign w:val="bottom"/>
            <w:shd w:val="clear" w:color="auto" w:fill="DBE5F1"/>
          </w:tcPr>
          <w:p>
            <w:pPr>
              <w:ind w:left="20"/>
              <w:spacing w:after="0"/>
              <w:rPr>
                <w:sz w:val="20"/>
                <w:szCs w:val="20"/>
                <w:color w:val="auto"/>
              </w:rPr>
            </w:pPr>
            <w:r>
              <w:rPr>
                <w:rFonts w:ascii="Arial" w:cs="Arial" w:eastAsia="Arial" w:hAnsi="Arial"/>
                <w:sz w:val="14"/>
                <w:szCs w:val="14"/>
                <w:color w:val="auto"/>
              </w:rPr>
              <w:t>Matthew F.W. Linnington</w:t>
            </w:r>
          </w:p>
        </w:tc>
        <w:tc>
          <w:tcPr>
            <w:tcW w:w="1760" w:type="dxa"/>
            <w:vAlign w:val="bottom"/>
            <w:shd w:val="clear" w:color="auto" w:fill="DBE5F1"/>
          </w:tcPr>
          <w:p>
            <w:pPr>
              <w:jc w:val="right"/>
              <w:ind w:right="48"/>
              <w:spacing w:after="0"/>
              <w:rPr>
                <w:sz w:val="20"/>
                <w:szCs w:val="20"/>
                <w:color w:val="auto"/>
              </w:rPr>
            </w:pPr>
            <w:r>
              <w:rPr>
                <w:rFonts w:ascii="Arial" w:cs="Arial" w:eastAsia="Arial" w:hAnsi="Arial"/>
                <w:sz w:val="14"/>
                <w:szCs w:val="14"/>
                <w:color w:val="auto"/>
              </w:rPr>
              <w:t>7,200</w:t>
            </w:r>
          </w:p>
        </w:tc>
        <w:tc>
          <w:tcPr>
            <w:tcW w:w="100" w:type="dxa"/>
            <w:vAlign w:val="bottom"/>
            <w:shd w:val="clear" w:color="auto" w:fill="DBE5F1"/>
          </w:tcPr>
          <w:p>
            <w:pPr>
              <w:spacing w:after="0"/>
              <w:rPr>
                <w:sz w:val="24"/>
                <w:szCs w:val="24"/>
                <w:color w:val="auto"/>
              </w:rPr>
            </w:pPr>
          </w:p>
        </w:tc>
        <w:tc>
          <w:tcPr>
            <w:tcW w:w="1600" w:type="dxa"/>
            <w:vAlign w:val="bottom"/>
            <w:shd w:val="clear" w:color="auto" w:fill="DBE5F1"/>
          </w:tcPr>
          <w:p>
            <w:pPr>
              <w:jc w:val="right"/>
              <w:ind w:right="88"/>
              <w:spacing w:after="0"/>
              <w:rPr>
                <w:sz w:val="20"/>
                <w:szCs w:val="20"/>
                <w:color w:val="auto"/>
              </w:rPr>
            </w:pPr>
            <w:r>
              <w:rPr>
                <w:rFonts w:ascii="Arial" w:cs="Arial" w:eastAsia="Arial" w:hAnsi="Arial"/>
                <w:sz w:val="14"/>
                <w:szCs w:val="14"/>
                <w:color w:val="auto"/>
              </w:rPr>
              <w:t>$93,600</w:t>
            </w:r>
          </w:p>
        </w:tc>
        <w:tc>
          <w:tcPr>
            <w:tcW w:w="1760" w:type="dxa"/>
            <w:vAlign w:val="bottom"/>
            <w:shd w:val="clear" w:color="auto" w:fill="DBE5F1"/>
          </w:tcPr>
          <w:p>
            <w:pPr>
              <w:jc w:val="right"/>
              <w:ind w:right="128"/>
              <w:spacing w:after="0"/>
              <w:rPr>
                <w:sz w:val="20"/>
                <w:szCs w:val="20"/>
                <w:color w:val="auto"/>
              </w:rPr>
            </w:pPr>
            <w:r>
              <w:rPr>
                <w:rFonts w:ascii="Arial" w:cs="Arial" w:eastAsia="Arial" w:hAnsi="Arial"/>
                <w:sz w:val="14"/>
                <w:szCs w:val="14"/>
                <w:color w:val="auto"/>
              </w:rPr>
              <w:t>14,063</w:t>
            </w:r>
          </w:p>
        </w:tc>
        <w:tc>
          <w:tcPr>
            <w:tcW w:w="1740" w:type="dxa"/>
            <w:vAlign w:val="bottom"/>
            <w:shd w:val="clear" w:color="auto" w:fill="DBE5F1"/>
          </w:tcPr>
          <w:p>
            <w:pPr>
              <w:jc w:val="right"/>
              <w:ind w:right="308"/>
              <w:spacing w:after="0"/>
              <w:rPr>
                <w:sz w:val="20"/>
                <w:szCs w:val="20"/>
                <w:color w:val="auto"/>
              </w:rPr>
            </w:pPr>
            <w:r>
              <w:rPr>
                <w:rFonts w:ascii="Arial" w:cs="Arial" w:eastAsia="Arial" w:hAnsi="Arial"/>
                <w:sz w:val="14"/>
                <w:szCs w:val="14"/>
                <w:color w:val="auto"/>
              </w:rPr>
              <w:t>$2,906,681</w:t>
            </w:r>
          </w:p>
        </w:tc>
        <w:tc>
          <w:tcPr>
            <w:tcW w:w="1320" w:type="dxa"/>
            <w:vAlign w:val="bottom"/>
            <w:shd w:val="clear" w:color="auto" w:fill="DBE5F1"/>
          </w:tcPr>
          <w:p>
            <w:pPr>
              <w:jc w:val="right"/>
              <w:ind w:right="8"/>
              <w:spacing w:after="0"/>
              <w:rPr>
                <w:sz w:val="20"/>
                <w:szCs w:val="20"/>
                <w:color w:val="auto"/>
              </w:rPr>
            </w:pPr>
            <w:r>
              <w:rPr>
                <w:rFonts w:ascii="Arial" w:cs="Arial" w:eastAsia="Arial" w:hAnsi="Arial"/>
                <w:sz w:val="14"/>
                <w:szCs w:val="14"/>
                <w:color w:val="auto"/>
              </w:rPr>
              <w:t>$3,000,281</w:t>
            </w:r>
          </w:p>
        </w:tc>
        <w:tc>
          <w:tcPr>
            <w:tcW w:w="0" w:type="dxa"/>
            <w:vAlign w:val="bottom"/>
          </w:tcPr>
          <w:p>
            <w:pPr>
              <w:spacing w:after="0"/>
              <w:rPr>
                <w:sz w:val="1"/>
                <w:szCs w:val="1"/>
                <w:color w:val="auto"/>
              </w:rPr>
            </w:pPr>
          </w:p>
        </w:tc>
      </w:tr>
      <w:tr>
        <w:trPr>
          <w:trHeight w:val="80"/>
        </w:trPr>
        <w:tc>
          <w:tcPr>
            <w:tcW w:w="1960" w:type="dxa"/>
            <w:vAlign w:val="bottom"/>
            <w:shd w:val="clear" w:color="auto" w:fill="DBE5F1"/>
          </w:tcPr>
          <w:p>
            <w:pPr>
              <w:spacing w:after="0"/>
              <w:rPr>
                <w:sz w:val="6"/>
                <w:szCs w:val="6"/>
                <w:color w:val="auto"/>
              </w:rPr>
            </w:pPr>
          </w:p>
        </w:tc>
        <w:tc>
          <w:tcPr>
            <w:tcW w:w="1760" w:type="dxa"/>
            <w:vAlign w:val="bottom"/>
            <w:shd w:val="clear" w:color="auto" w:fill="DBE5F1"/>
          </w:tcPr>
          <w:p>
            <w:pPr>
              <w:spacing w:after="0"/>
              <w:rPr>
                <w:sz w:val="6"/>
                <w:szCs w:val="6"/>
                <w:color w:val="auto"/>
              </w:rPr>
            </w:pPr>
          </w:p>
        </w:tc>
        <w:tc>
          <w:tcPr>
            <w:tcW w:w="100" w:type="dxa"/>
            <w:vAlign w:val="bottom"/>
            <w:shd w:val="clear" w:color="auto" w:fill="DBE5F1"/>
          </w:tcPr>
          <w:p>
            <w:pPr>
              <w:spacing w:after="0"/>
              <w:rPr>
                <w:sz w:val="6"/>
                <w:szCs w:val="6"/>
                <w:color w:val="auto"/>
              </w:rPr>
            </w:pPr>
          </w:p>
        </w:tc>
        <w:tc>
          <w:tcPr>
            <w:tcW w:w="1600" w:type="dxa"/>
            <w:vAlign w:val="bottom"/>
            <w:shd w:val="clear" w:color="auto" w:fill="DBE5F1"/>
          </w:tcPr>
          <w:p>
            <w:pPr>
              <w:spacing w:after="0"/>
              <w:rPr>
                <w:sz w:val="6"/>
                <w:szCs w:val="6"/>
                <w:color w:val="auto"/>
              </w:rPr>
            </w:pPr>
          </w:p>
        </w:tc>
        <w:tc>
          <w:tcPr>
            <w:tcW w:w="1760" w:type="dxa"/>
            <w:vAlign w:val="bottom"/>
            <w:shd w:val="clear" w:color="auto" w:fill="DBE5F1"/>
          </w:tcPr>
          <w:p>
            <w:pPr>
              <w:spacing w:after="0"/>
              <w:rPr>
                <w:sz w:val="6"/>
                <w:szCs w:val="6"/>
                <w:color w:val="auto"/>
              </w:rPr>
            </w:pPr>
          </w:p>
        </w:tc>
        <w:tc>
          <w:tcPr>
            <w:tcW w:w="1740" w:type="dxa"/>
            <w:vAlign w:val="bottom"/>
            <w:shd w:val="clear" w:color="auto" w:fill="DBE5F1"/>
          </w:tcPr>
          <w:p>
            <w:pPr>
              <w:spacing w:after="0"/>
              <w:rPr>
                <w:sz w:val="6"/>
                <w:szCs w:val="6"/>
                <w:color w:val="auto"/>
              </w:rPr>
            </w:pPr>
          </w:p>
        </w:tc>
        <w:tc>
          <w:tcPr>
            <w:tcW w:w="1320" w:type="dxa"/>
            <w:vAlign w:val="bottom"/>
            <w:shd w:val="clear" w:color="auto" w:fill="DBE5F1"/>
          </w:tcPr>
          <w:p>
            <w:pPr>
              <w:spacing w:after="0"/>
              <w:rPr>
                <w:sz w:val="6"/>
                <w:szCs w:val="6"/>
                <w:color w:val="auto"/>
              </w:rPr>
            </w:pPr>
          </w:p>
        </w:tc>
        <w:tc>
          <w:tcPr>
            <w:tcW w:w="0" w:type="dxa"/>
            <w:vAlign w:val="bottom"/>
          </w:tcPr>
          <w:p>
            <w:pPr>
              <w:spacing w:after="0"/>
              <w:rPr>
                <w:sz w:val="1"/>
                <w:szCs w:val="1"/>
                <w:color w:val="auto"/>
              </w:rPr>
            </w:pPr>
          </w:p>
        </w:tc>
      </w:tr>
    </w:tbl>
    <w:p>
      <w:pPr>
        <w:spacing w:after="0" w:line="206" w:lineRule="exact"/>
        <w:rPr>
          <w:sz w:val="20"/>
          <w:szCs w:val="20"/>
          <w:color w:val="auto"/>
        </w:rPr>
      </w:pPr>
    </w:p>
    <w:p>
      <w:pPr>
        <w:jc w:val="both"/>
        <w:ind w:left="340" w:hanging="318"/>
        <w:spacing w:after="0" w:line="251" w:lineRule="auto"/>
        <w:tabs>
          <w:tab w:leader="none" w:pos="340" w:val="left"/>
        </w:tabs>
        <w:numPr>
          <w:ilvl w:val="0"/>
          <w:numId w:val="60"/>
        </w:numPr>
        <w:rPr>
          <w:rFonts w:ascii="Arial" w:cs="Arial" w:eastAsia="Arial" w:hAnsi="Arial"/>
          <w:sz w:val="16"/>
          <w:szCs w:val="16"/>
          <w:color w:val="auto"/>
        </w:rPr>
      </w:pPr>
      <w:r>
        <w:rPr>
          <w:rFonts w:ascii="Arial" w:cs="Arial" w:eastAsia="Arial" w:hAnsi="Arial"/>
          <w:sz w:val="16"/>
          <w:szCs w:val="16"/>
          <w:color w:val="auto"/>
        </w:rPr>
        <w:t>Includes base salary for one year ($695,000), bonus for 2015 ($1,390,000), and the immediate vesting of all unvested stock options ($2,506,875). The value of stock option vesting included in this amount was calculated by multiplying the number of unvested options by the difference between the exercise price of each unvested option and the closing price of the Company’s common stock ($206.69) on December 31, 2015, excluding options with an exercise price greater than the closing price on December 31, 2015.</w:t>
      </w:r>
    </w:p>
    <w:p>
      <w:pPr>
        <w:ind w:left="340" w:hanging="318"/>
        <w:spacing w:after="0"/>
        <w:tabs>
          <w:tab w:leader="none" w:pos="340" w:val="left"/>
        </w:tabs>
        <w:numPr>
          <w:ilvl w:val="0"/>
          <w:numId w:val="60"/>
        </w:numPr>
        <w:rPr>
          <w:rFonts w:ascii="Arial" w:cs="Arial" w:eastAsia="Arial" w:hAnsi="Arial"/>
          <w:sz w:val="16"/>
          <w:szCs w:val="16"/>
          <w:color w:val="auto"/>
        </w:rPr>
      </w:pPr>
      <w:r>
        <w:rPr>
          <w:rFonts w:ascii="Arial" w:cs="Arial" w:eastAsia="Arial" w:hAnsi="Arial"/>
          <w:sz w:val="16"/>
          <w:szCs w:val="16"/>
          <w:color w:val="auto"/>
        </w:rPr>
        <w:t>Consists of the cash incentive bonus for 2015.</w:t>
      </w:r>
    </w:p>
    <w:p>
      <w:pPr>
        <w:spacing w:after="0" w:line="5" w:lineRule="exact"/>
        <w:rPr>
          <w:rFonts w:ascii="Arial" w:cs="Arial" w:eastAsia="Arial" w:hAnsi="Arial"/>
          <w:sz w:val="16"/>
          <w:szCs w:val="16"/>
          <w:color w:val="auto"/>
        </w:rPr>
      </w:pPr>
    </w:p>
    <w:p>
      <w:pPr>
        <w:jc w:val="both"/>
        <w:ind w:left="340" w:hanging="318"/>
        <w:spacing w:after="0" w:line="263" w:lineRule="auto"/>
        <w:tabs>
          <w:tab w:leader="none" w:pos="340" w:val="left"/>
        </w:tabs>
        <w:numPr>
          <w:ilvl w:val="0"/>
          <w:numId w:val="60"/>
        </w:numPr>
        <w:rPr>
          <w:rFonts w:ascii="Arial" w:cs="Arial" w:eastAsia="Arial" w:hAnsi="Arial"/>
          <w:sz w:val="15"/>
          <w:szCs w:val="15"/>
          <w:color w:val="auto"/>
        </w:rPr>
      </w:pPr>
      <w:r>
        <w:rPr>
          <w:rFonts w:ascii="Arial" w:cs="Arial" w:eastAsia="Arial" w:hAnsi="Arial"/>
          <w:sz w:val="15"/>
          <w:szCs w:val="15"/>
          <w:color w:val="auto"/>
        </w:rPr>
        <w:t>Mr. Florance’s employment agreement provides for a termination payment if there is an acquisition or change of control of the Company and Mr. Florance terminates his employment within one year after that event. Assuming, for these purposes, that those conditions are met as of December 31, 2015, Mr. Florance would be entitled to the amount set forth, which includes base salary for one year ($695,000), his cash incentive bonus for 2015 ($1,390,000), the immediate vesting of all unvested stock options ($2,506,875) and all unvested restricted stock ($12,659,142) under the respective stock incentive plans, and an estimated gross-up payment to cover taxes assessed under Section 4999 of the Tax Code ($1,364,365). The value of stock option vesting included in this amount was calculated by multiplying the number of unvested options by the difference between the exercise price of each unvested option and the closing price of the Company’s common stock ($206.69) on December 31, 2015, excluding options with an exercise price greater than the closing price on December 31, 2015. The value of the restricted stock was calculated by multiplying the number of outstanding restricted shares by the closing price of the Company’s common stock on December 31, 2015 ($206.69).</w:t>
      </w:r>
    </w:p>
    <w:p>
      <w:pPr>
        <w:ind w:left="340" w:hanging="318"/>
        <w:spacing w:after="0" w:line="257" w:lineRule="auto"/>
        <w:tabs>
          <w:tab w:leader="none" w:pos="340" w:val="left"/>
        </w:tabs>
        <w:numPr>
          <w:ilvl w:val="0"/>
          <w:numId w:val="60"/>
        </w:numPr>
        <w:rPr>
          <w:rFonts w:ascii="Arial" w:cs="Arial" w:eastAsia="Arial" w:hAnsi="Arial"/>
          <w:sz w:val="16"/>
          <w:szCs w:val="16"/>
          <w:color w:val="auto"/>
        </w:rPr>
      </w:pPr>
      <w:r>
        <w:rPr>
          <w:rFonts w:ascii="Arial" w:cs="Arial" w:eastAsia="Arial" w:hAnsi="Arial"/>
          <w:sz w:val="16"/>
          <w:szCs w:val="16"/>
          <w:color w:val="auto"/>
        </w:rPr>
        <w:t>Mr. Linnington’s offer of employment provides for a termination payment equal to six months base salary if his employment is involuntarily terminated by the Company for any reason other than cause, subject to his execution of a release.</w:t>
      </w:r>
    </w:p>
    <w:p>
      <w:pPr>
        <w:spacing w:after="0" w:line="14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Company-Wide Severance Policy</w:t>
      </w:r>
    </w:p>
    <w:p>
      <w:pPr>
        <w:spacing w:after="0" w:line="22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As described above under “Termination and Change of Control Payments,” in 2008, the Company adopted a company-wide severance plan that provides payments that do not discriminate in scope, terms or operation in favor of executive officers of the Company and that are available generally to all salaried employees, including the named executive officers. Pursuant to the company-wide severance policy, full-time staff who are part of a position reduction may receive severance pay equal to two weeks current base pay for the first year or less of employment, plus one week</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420"/>
          </w:cols>
          <w:pgMar w:left="240" w:top="368" w:right="239" w:bottom="1440" w:gutter="0" w:footer="0" w:header="0"/>
        </w:sectPr>
      </w:pPr>
    </w:p>
    <w:bookmarkStart w:id="85" w:name="page86"/>
    <w:bookmarkEnd w:id="85"/>
    <w:p>
      <w:pPr>
        <w:jc w:val="both"/>
        <w:spacing w:after="0" w:line="297" w:lineRule="auto"/>
        <w:rPr>
          <w:sz w:val="20"/>
          <w:szCs w:val="20"/>
          <w:color w:val="auto"/>
        </w:rPr>
      </w:pPr>
      <w:r>
        <w:rPr>
          <w:rFonts w:ascii="Arial" w:cs="Arial" w:eastAsia="Arial" w:hAnsi="Arial"/>
          <w:sz w:val="16"/>
          <w:szCs w:val="16"/>
          <w:color w:val="auto"/>
        </w:rPr>
        <w:t>current base pay for each completed additional year of continuous service (up to a 16-week maximum payout) in exchange for a full release of claims. In the event of termination of employment as a result of a position reduction, under the Company-wide severance policy as of December 31, 2015, Mr. Radecki would be entitled to $121,538 (based on his base salary in effect while Chief Financial Officer), Mr. Yinger would be entitled to $40,711 (based on his base salary in effect while Interim Chief Financial Officer), and Mr. Carchedi would be entitled to $50,481. Mr. Florance would be entitled to the payments set forth in his employment agreement and Mr. Linnington would be entitled to the payment set forth in his offer letter, each of which are described above.</w:t>
      </w:r>
    </w:p>
    <w:p>
      <w:pPr>
        <w:spacing w:after="0" w:line="25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CERTAIN RELATIONSHIPS AND RELATED TRANSACTIONS</w:t>
      </w:r>
    </w:p>
    <w:p>
      <w:pPr>
        <w:spacing w:after="0" w:line="13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None of our executive officers or directors engaged in or had a direct or indirect interest in any transactions with us during fiscal year 2015 that are required by SEC rules to be disclosed in this Proxy Statement.</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Board recognizes that Interested Transactions (as defined below) can present potential or actual conflicts of interest and create the appearance that Company decisions are based on considerations other than the best interests of the Company and its stockholders. In April 2006, the Board delegated authority to the Audit Committee to review and approve Interested Transactions, and the Audit Committee has adopted written procedures as detailed below for the review, approval, or ratification of Interested Transactions.</w:t>
      </w:r>
    </w:p>
    <w:p>
      <w:pPr>
        <w:spacing w:after="0" w:line="187"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Pursuant to the Audit Committee’s procedures, an “Interested Transaction” is any transaction, arrangement or relationship (including any indebtedness or guarantee of indebtedness), or any series of similar transactions, arrangements or relationships, in which (a) the aggregate amount involved will or may be expected to exceed $100,000 in any calendar year, (b) the Company is a participant, and (c) any Related Party (as defined below) has or will have a direct or indirect interest (other than solely as a result of being a director or trustee (or any similar position) or a less than 10 percent beneficial owner of another entity). A “Related Party” is any (a) person who is or was (since the beginning of the last year for which the Company has filed an annual report on Form 10-K and proxy statement, even if they do not presently serve in that role) an executive officer, director or nominee for election as a director of the Company,</w:t>
      </w:r>
    </w:p>
    <w:p>
      <w:pPr>
        <w:spacing w:after="0" w:line="5" w:lineRule="exact"/>
        <w:rPr>
          <w:sz w:val="20"/>
          <w:szCs w:val="20"/>
          <w:color w:val="auto"/>
        </w:rPr>
      </w:pPr>
    </w:p>
    <w:p>
      <w:pPr>
        <w:jc w:val="both"/>
        <w:ind w:firstLine="8"/>
        <w:spacing w:after="0" w:line="255" w:lineRule="auto"/>
        <w:tabs>
          <w:tab w:leader="none" w:pos="257" w:val="left"/>
        </w:tabs>
        <w:numPr>
          <w:ilvl w:val="0"/>
          <w:numId w:val="61"/>
        </w:numPr>
        <w:rPr>
          <w:rFonts w:ascii="Arial" w:cs="Arial" w:eastAsia="Arial" w:hAnsi="Arial"/>
          <w:sz w:val="18"/>
          <w:szCs w:val="18"/>
          <w:color w:val="auto"/>
        </w:rPr>
      </w:pPr>
      <w:r>
        <w:rPr>
          <w:rFonts w:ascii="Arial" w:cs="Arial" w:eastAsia="Arial" w:hAnsi="Arial"/>
          <w:sz w:val="18"/>
          <w:szCs w:val="18"/>
          <w:color w:val="auto"/>
        </w:rPr>
        <w:t>greater than 5% beneficial owner of the Company’s outstanding common stock, or (c) Immediate Family Member of any of the foregoing. An “Immediate Family Member” is any child, stepchild, parent, stepparent, spouse, sibling, mother-in-law, father-in-law, son-in-law, daughter-in-law, brother-in-law or sister-in-law and any person (other than a tenant or employee) sharing the household of a person.</w:t>
      </w:r>
    </w:p>
    <w:p>
      <w:pPr>
        <w:spacing w:after="0" w:line="19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Audit Committee will review all of the relevant facts and circumstances of all Interested Transactions and either approve or disapprove of the entry into the Interested Transaction, subject to a limited list of enumerated transactions which are deemed to be pre-approved as described in the Interested Transactions policy. In determining whether to approve an Interested Transaction, the Audit Committee will take into account, among other factors it deems appropriate, whether the Interested Transaction is on terms no less favorable than terms generally available to an unaffiliated third-party under the same or similar circumstances and the extent of the Related Party’s interest in the transaction.</w:t>
      </w:r>
    </w:p>
    <w:p>
      <w:pPr>
        <w:spacing w:after="0" w:line="23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SECTION 16(a) BENEFICIAL OWNERSHIP REPORTING COMPLIANCE</w:t>
      </w:r>
    </w:p>
    <w:p>
      <w:pPr>
        <w:spacing w:after="0" w:line="13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Section 16(a) of the Exchange Act requires that our directors and executive officers, and anyone who beneficially owns more than 10% of our common stock, file with the SEC reports of initial ownership and reports of changes in ownership of our common stock, and to furnish us with copies of those reports. Based solely on a review of the reports furnished to us and on written representations from reporting persons, we believe that during 2015, our directors, executive officers and 10% stockholders filed the required reports under Section 16(a) on a timely basis.</w:t>
      </w:r>
    </w:p>
    <w:p>
      <w:pPr>
        <w:spacing w:after="0" w:line="23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OTHER INFORMATION</w:t>
      </w:r>
    </w:p>
    <w:p>
      <w:pPr>
        <w:spacing w:after="0" w:line="126" w:lineRule="exact"/>
        <w:rPr>
          <w:sz w:val="20"/>
          <w:szCs w:val="20"/>
          <w:color w:val="auto"/>
        </w:rPr>
      </w:pPr>
    </w:p>
    <w:p>
      <w:pPr>
        <w:jc w:val="both"/>
        <w:spacing w:after="0" w:line="314" w:lineRule="auto"/>
        <w:rPr>
          <w:sz w:val="20"/>
          <w:szCs w:val="20"/>
          <w:color w:val="auto"/>
        </w:rPr>
      </w:pPr>
      <w:r>
        <w:rPr>
          <w:rFonts w:ascii="Arial" w:cs="Arial" w:eastAsia="Arial" w:hAnsi="Arial"/>
          <w:sz w:val="16"/>
          <w:szCs w:val="16"/>
          <w:color w:val="auto"/>
        </w:rPr>
        <w:t xml:space="preserve">We have made available a copy of our annual report on Form 10-K for the year ended December 31, 2015 with this Proxy Statement. </w:t>
      </w:r>
      <w:r>
        <w:rPr>
          <w:rFonts w:ascii="Arial" w:cs="Arial" w:eastAsia="Arial" w:hAnsi="Arial"/>
          <w:sz w:val="16"/>
          <w:szCs w:val="16"/>
          <w:b w:val="1"/>
          <w:bCs w:val="1"/>
          <w:color w:val="auto"/>
        </w:rPr>
        <w:t>In addition, you may</w:t>
      </w:r>
      <w:r>
        <w:rPr>
          <w:rFonts w:ascii="Arial" w:cs="Arial" w:eastAsia="Arial" w:hAnsi="Arial"/>
          <w:sz w:val="16"/>
          <w:szCs w:val="16"/>
          <w:color w:val="auto"/>
        </w:rPr>
        <w:t xml:space="preserve"> </w:t>
      </w:r>
      <w:r>
        <w:rPr>
          <w:rFonts w:ascii="Arial" w:cs="Arial" w:eastAsia="Arial" w:hAnsi="Arial"/>
          <w:sz w:val="16"/>
          <w:szCs w:val="16"/>
          <w:b w:val="1"/>
          <w:bCs w:val="1"/>
          <w:color w:val="auto"/>
        </w:rPr>
        <w:t>obtain a copy of our annual report on Form 10-K, including the financial statements and financial statement schedules, without charge by sending a written request to Rich Simonelli, Vice President of Investor Relations, CoStar Group, Inc., 1331 L Street N.W., Washington, DC 20005.</w:t>
      </w:r>
    </w:p>
    <w:p>
      <w:pPr>
        <w:spacing w:after="0" w:line="146"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If you and others who share your mailing address own common stock in street name, meaning through bank or brokerage accounts, you may have received a notice that your household will receive only one set of proxy materials from each company whose stock is held in such accounts. This practice, known as “householding,” is designed to reduce the volume of duplicate information and reduce printing and postage costs. Unless you responded that you did not want to participate in householding, you were deemed to have consented to it and a single copy of the Notice of Availability</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420"/>
          </w:cols>
          <w:pgMar w:left="240" w:top="368" w:right="239" w:bottom="1440" w:gutter="0" w:footer="0" w:header="0"/>
        </w:sectPr>
      </w:pPr>
    </w:p>
    <w:bookmarkStart w:id="86" w:name="page87"/>
    <w:bookmarkEnd w:id="86"/>
    <w:p>
      <w:pPr>
        <w:jc w:val="both"/>
        <w:spacing w:after="0" w:line="271" w:lineRule="auto"/>
        <w:rPr>
          <w:sz w:val="20"/>
          <w:szCs w:val="20"/>
          <w:color w:val="auto"/>
        </w:rPr>
      </w:pPr>
      <w:r>
        <w:rPr>
          <w:rFonts w:ascii="Arial" w:cs="Arial" w:eastAsia="Arial" w:hAnsi="Arial"/>
          <w:sz w:val="17"/>
          <w:szCs w:val="17"/>
          <w:color w:val="auto"/>
        </w:rPr>
        <w:t>of Proxy Materials has been sent to your address. Each stockholder will continue to receive a separate voting instruction form. If you would like to revoke your consent to householding and in the future receive your own Notice of Availability of Proxy Materials or your own set of proxy materials, as applicable, or if your household is currently receiving multiple copies of the same items and you would like in the future to receive only a single copy at your address, please contact Broadridge Financial Services, Inc. either by calling 1-800-542-1061 or by writing to Broadridge Householding Department, 51 Mercedes Way, Edgewood NY 11717. A revocation of consent to householding will be effective 30 days following its receipt. We will deliver promptly, upon written or oral request, a separate copy of the proxy materials for the Annual Meeting to a stockholder at a shared address to which a single copy of the materials was delivered. This request should be made by sending a written request to Rich Simonelli, Vice President of Investor Relations, CoStar Group, Inc., 1331 L Street N.W., Washington, DC 20005 or by calling Mr. Simonelli at (202) 346-6500.</w:t>
      </w:r>
    </w:p>
    <w:p>
      <w:pPr>
        <w:spacing w:after="0" w:line="17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This Proxy is solicited on behalf of the Board of Directors. The Company will bear all expenses in connection with the Annual Meeting and this proxy solicitation. We have also retained Innisfree M&amp;A Incorporated to assist in distribution of these proxy materials and soliciting proxy voting instructions, at an estimated cost not to exceed $20,000, plus reasonable expenses. Proxies may be solicited by certain of our directors, officers and employees, without additional compensation, in person, by telephone, by mail, telegram, facsimile, or other electronic or other means. Innisfree M&amp;A Incorporated will request that brokerage houses, banks and other custodians forward proxy material to beneficial owners of our common stock. We will reimburse brokerage houses, banks, and other custodians for their reasonable expenses for forwarding these materials to beneficial owners. Broadridge Financial Services, Inc. will act as proxy tabulator.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420"/>
          </w:cols>
          <w:pgMar w:left="240" w:top="368" w:right="239" w:bottom="1440" w:gutter="0" w:footer="0" w:header="0"/>
        </w:sectPr>
      </w:pPr>
    </w:p>
    <w:bookmarkStart w:id="87" w:name="page88"/>
    <w:bookmarkEnd w:id="87"/>
    <w:p>
      <w:pPr>
        <w:jc w:val="right"/>
        <w:spacing w:after="0"/>
        <w:rPr>
          <w:sz w:val="20"/>
          <w:szCs w:val="20"/>
          <w:color w:val="auto"/>
        </w:rPr>
      </w:pPr>
      <w:r>
        <w:rPr>
          <w:rFonts w:ascii="Arial" w:cs="Arial" w:eastAsia="Arial" w:hAnsi="Arial"/>
          <w:sz w:val="18"/>
          <w:szCs w:val="18"/>
          <w:b w:val="1"/>
          <w:bCs w:val="1"/>
          <w:color w:val="auto"/>
        </w:rPr>
        <w:t>Appendix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2783840</wp:posOffset>
            </wp:positionH>
            <wp:positionV relativeFrom="paragraph">
              <wp:posOffset>309245</wp:posOffset>
            </wp:positionV>
            <wp:extent cx="1689735" cy="56578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689735" cy="5657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ind w:left="4580"/>
        <w:spacing w:after="0"/>
        <w:rPr>
          <w:sz w:val="20"/>
          <w:szCs w:val="20"/>
          <w:color w:val="auto"/>
        </w:rPr>
      </w:pPr>
      <w:r>
        <w:rPr>
          <w:rFonts w:ascii="Arial" w:cs="Arial" w:eastAsia="Arial" w:hAnsi="Arial"/>
          <w:sz w:val="22"/>
          <w:szCs w:val="22"/>
          <w:b w:val="1"/>
          <w:bCs w:val="1"/>
          <w:color w:val="auto"/>
        </w:rPr>
        <w:t>COSTAR GROUP, INC.</w:t>
      </w:r>
    </w:p>
    <w:p>
      <w:pPr>
        <w:spacing w:after="0" w:line="28" w:lineRule="exact"/>
        <w:rPr>
          <w:sz w:val="20"/>
          <w:szCs w:val="20"/>
          <w:color w:val="auto"/>
        </w:rPr>
      </w:pPr>
    </w:p>
    <w:p>
      <w:pPr>
        <w:ind w:left="4140"/>
        <w:spacing w:after="0"/>
        <w:rPr>
          <w:sz w:val="20"/>
          <w:szCs w:val="20"/>
          <w:color w:val="auto"/>
        </w:rPr>
      </w:pPr>
      <w:r>
        <w:rPr>
          <w:rFonts w:ascii="Arial" w:cs="Arial" w:eastAsia="Arial" w:hAnsi="Arial"/>
          <w:sz w:val="22"/>
          <w:szCs w:val="22"/>
          <w:b w:val="1"/>
          <w:bCs w:val="1"/>
          <w:color w:val="auto"/>
        </w:rPr>
        <w:t>2016 STOCK INCENTIVE PLAN</w:t>
      </w:r>
    </w:p>
    <w:p>
      <w:pPr>
        <w:spacing w:after="0" w:line="196" w:lineRule="exact"/>
        <w:rPr>
          <w:sz w:val="20"/>
          <w:szCs w:val="20"/>
          <w:color w:val="auto"/>
        </w:rPr>
      </w:pPr>
    </w:p>
    <w:p>
      <w:pPr>
        <w:ind w:left="340" w:hanging="332"/>
        <w:spacing w:after="0"/>
        <w:tabs>
          <w:tab w:leader="none" w:pos="340" w:val="left"/>
        </w:tabs>
        <w:numPr>
          <w:ilvl w:val="0"/>
          <w:numId w:val="62"/>
        </w:numPr>
        <w:rPr>
          <w:rFonts w:ascii="Arial" w:cs="Arial" w:eastAsia="Arial" w:hAnsi="Arial"/>
          <w:sz w:val="22"/>
          <w:szCs w:val="22"/>
          <w:color w:val="auto"/>
        </w:rPr>
      </w:pPr>
      <w:r>
        <w:rPr>
          <w:rFonts w:ascii="Arial" w:cs="Arial" w:eastAsia="Arial" w:hAnsi="Arial"/>
          <w:sz w:val="22"/>
          <w:szCs w:val="22"/>
          <w:b w:val="1"/>
          <w:bCs w:val="1"/>
          <w:color w:val="auto"/>
        </w:rPr>
        <w:t>Purpose</w:t>
      </w:r>
    </w:p>
    <w:p>
      <w:pPr>
        <w:spacing w:after="0" w:line="266" w:lineRule="exact"/>
        <w:rPr>
          <w:sz w:val="20"/>
          <w:szCs w:val="20"/>
          <w:color w:val="auto"/>
        </w:rPr>
      </w:pPr>
    </w:p>
    <w:p>
      <w:pPr>
        <w:ind w:right="180" w:firstLine="648"/>
        <w:spacing w:after="0" w:line="260" w:lineRule="auto"/>
        <w:rPr>
          <w:sz w:val="20"/>
          <w:szCs w:val="20"/>
          <w:color w:val="auto"/>
        </w:rPr>
      </w:pPr>
      <w:r>
        <w:rPr>
          <w:rFonts w:ascii="Arial" w:cs="Arial" w:eastAsia="Arial" w:hAnsi="Arial"/>
          <w:sz w:val="21"/>
          <w:szCs w:val="21"/>
          <w:color w:val="auto"/>
        </w:rPr>
        <w:t>The purpose of the CoStar Group, Inc. 2016 Stock Incentive Plan (the “Plan”) is to advance the interests of CoStar Group, Inc. (the “Company”) by enabling the Company and its subsidiaries to attract, retain and motivate employees of the Company by providing for or increasing the proprietary interests of such individuals in the Company, and by enabling the Company to attract, retain and motivate its nonemployee directors and further align their interests with those of the shareholders of the Company by providing for or increasing the proprietary interests of such directors in the Company. The Plan provides for the grant of Incentive and Nonqualified Stock Options, Stock Appreciation Rights, Restricted Stock and Restricted Stock Units, any of which may be performance-based, as determined by the Committee.</w:t>
      </w:r>
    </w:p>
    <w:p>
      <w:pPr>
        <w:spacing w:after="0" w:line="216" w:lineRule="exact"/>
        <w:rPr>
          <w:sz w:val="20"/>
          <w:szCs w:val="20"/>
          <w:color w:val="auto"/>
        </w:rPr>
      </w:pPr>
    </w:p>
    <w:p>
      <w:pPr>
        <w:ind w:left="340" w:hanging="332"/>
        <w:spacing w:after="0"/>
        <w:tabs>
          <w:tab w:leader="none" w:pos="340" w:val="left"/>
        </w:tabs>
        <w:numPr>
          <w:ilvl w:val="0"/>
          <w:numId w:val="63"/>
        </w:numPr>
        <w:rPr>
          <w:rFonts w:ascii="Arial" w:cs="Arial" w:eastAsia="Arial" w:hAnsi="Arial"/>
          <w:sz w:val="22"/>
          <w:szCs w:val="22"/>
          <w:color w:val="auto"/>
        </w:rPr>
      </w:pPr>
      <w:r>
        <w:rPr>
          <w:rFonts w:ascii="Arial" w:cs="Arial" w:eastAsia="Arial" w:hAnsi="Arial"/>
          <w:sz w:val="22"/>
          <w:szCs w:val="22"/>
          <w:b w:val="1"/>
          <w:bCs w:val="1"/>
          <w:color w:val="auto"/>
        </w:rPr>
        <w:t>Definitions</w:t>
      </w:r>
    </w:p>
    <w:p>
      <w:pPr>
        <w:spacing w:after="0" w:line="26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As used in the Plan, the following terms shall have the meanings set forth below:</w:t>
      </w:r>
    </w:p>
    <w:p>
      <w:pPr>
        <w:spacing w:after="0" w:line="260" w:lineRule="exact"/>
        <w:rPr>
          <w:sz w:val="20"/>
          <w:szCs w:val="20"/>
          <w:color w:val="auto"/>
        </w:rPr>
      </w:pPr>
    </w:p>
    <w:p>
      <w:pPr>
        <w:jc w:val="both"/>
        <w:ind w:right="380" w:firstLine="656"/>
        <w:spacing w:after="0" w:line="253" w:lineRule="auto"/>
        <w:tabs>
          <w:tab w:leader="none" w:pos="1536" w:val="left"/>
        </w:tabs>
        <w:numPr>
          <w:ilvl w:val="0"/>
          <w:numId w:val="64"/>
        </w:numPr>
        <w:rPr>
          <w:rFonts w:ascii="Arial" w:cs="Arial" w:eastAsia="Arial" w:hAnsi="Arial"/>
          <w:sz w:val="22"/>
          <w:szCs w:val="22"/>
          <w:color w:val="auto"/>
        </w:rPr>
      </w:pPr>
      <w:r>
        <w:rPr>
          <w:rFonts w:ascii="Arial" w:cs="Arial" w:eastAsia="Arial" w:hAnsi="Arial"/>
          <w:sz w:val="22"/>
          <w:szCs w:val="22"/>
          <w:color w:val="auto"/>
        </w:rPr>
        <w:t>“Award” means an Incentive Stock Option, Nonqualified Stock Option, Stock Appreciation Right, Restricted Stock, or Restricted Stock Unit granted to a Participant pursuant to the provisions of the Plan, any of which the Committee may structure to qualify in whole or in part as a Performance Award.</w:t>
      </w:r>
    </w:p>
    <w:p>
      <w:pPr>
        <w:spacing w:after="0" w:line="226" w:lineRule="exact"/>
        <w:rPr>
          <w:rFonts w:ascii="Arial" w:cs="Arial" w:eastAsia="Arial" w:hAnsi="Arial"/>
          <w:sz w:val="22"/>
          <w:szCs w:val="22"/>
          <w:color w:val="auto"/>
        </w:rPr>
      </w:pPr>
    </w:p>
    <w:p>
      <w:pPr>
        <w:ind w:right="60" w:firstLine="656"/>
        <w:spacing w:after="0" w:line="250" w:lineRule="auto"/>
        <w:tabs>
          <w:tab w:leader="none" w:pos="1549" w:val="left"/>
        </w:tabs>
        <w:numPr>
          <w:ilvl w:val="0"/>
          <w:numId w:val="64"/>
        </w:numPr>
        <w:rPr>
          <w:rFonts w:ascii="Arial" w:cs="Arial" w:eastAsia="Arial" w:hAnsi="Arial"/>
          <w:sz w:val="22"/>
          <w:szCs w:val="22"/>
          <w:color w:val="auto"/>
        </w:rPr>
      </w:pPr>
      <w:r>
        <w:rPr>
          <w:rFonts w:ascii="Arial" w:cs="Arial" w:eastAsia="Arial" w:hAnsi="Arial"/>
          <w:sz w:val="22"/>
          <w:szCs w:val="22"/>
          <w:color w:val="auto"/>
        </w:rPr>
        <w:t>“Award Agreement” means a written agreement or other instrument as may be approved from time to time by the Committee implementing the grant of each Award. An Agreement may be in the form of an agreement to be executed by both the Participant and the Company (or an authorized representative of the Company) or certificates, notices or similar instruments as approved by the Committee.</w:t>
      </w:r>
    </w:p>
    <w:p>
      <w:pPr>
        <w:spacing w:after="0" w:line="228" w:lineRule="exact"/>
        <w:rPr>
          <w:rFonts w:ascii="Arial" w:cs="Arial" w:eastAsia="Arial" w:hAnsi="Arial"/>
          <w:sz w:val="22"/>
          <w:szCs w:val="22"/>
          <w:color w:val="auto"/>
        </w:rPr>
      </w:pPr>
    </w:p>
    <w:p>
      <w:pPr>
        <w:ind w:left="1540" w:hanging="884"/>
        <w:spacing w:after="0"/>
        <w:tabs>
          <w:tab w:leader="none" w:pos="1540" w:val="left"/>
        </w:tabs>
        <w:numPr>
          <w:ilvl w:val="0"/>
          <w:numId w:val="64"/>
        </w:numPr>
        <w:rPr>
          <w:rFonts w:ascii="Arial" w:cs="Arial" w:eastAsia="Arial" w:hAnsi="Arial"/>
          <w:sz w:val="22"/>
          <w:szCs w:val="22"/>
          <w:color w:val="auto"/>
        </w:rPr>
      </w:pPr>
      <w:r>
        <w:rPr>
          <w:rFonts w:ascii="Arial" w:cs="Arial" w:eastAsia="Arial" w:hAnsi="Arial"/>
          <w:sz w:val="22"/>
          <w:szCs w:val="22"/>
          <w:color w:val="auto"/>
        </w:rPr>
        <w:t>“Board” means the board of directors of the Company.</w:t>
      </w:r>
    </w:p>
    <w:p>
      <w:pPr>
        <w:spacing w:after="0" w:line="260" w:lineRule="exact"/>
        <w:rPr>
          <w:rFonts w:ascii="Arial" w:cs="Arial" w:eastAsia="Arial" w:hAnsi="Arial"/>
          <w:sz w:val="22"/>
          <w:szCs w:val="22"/>
          <w:color w:val="auto"/>
        </w:rPr>
      </w:pPr>
    </w:p>
    <w:p>
      <w:pPr>
        <w:ind w:left="1560" w:hanging="904"/>
        <w:spacing w:after="0"/>
        <w:tabs>
          <w:tab w:leader="none" w:pos="1560" w:val="left"/>
        </w:tabs>
        <w:numPr>
          <w:ilvl w:val="0"/>
          <w:numId w:val="64"/>
        </w:numPr>
        <w:rPr>
          <w:rFonts w:ascii="Arial" w:cs="Arial" w:eastAsia="Arial" w:hAnsi="Arial"/>
          <w:sz w:val="19"/>
          <w:szCs w:val="19"/>
          <w:color w:val="auto"/>
        </w:rPr>
      </w:pPr>
      <w:r>
        <w:rPr>
          <w:rFonts w:ascii="Arial" w:cs="Arial" w:eastAsia="Arial" w:hAnsi="Arial"/>
          <w:sz w:val="19"/>
          <w:szCs w:val="19"/>
          <w:color w:val="auto"/>
        </w:rPr>
        <w:t>“Code” means the Internal Revenue Code of 1986, as amended from time to time, and the rulings and regulations</w:t>
      </w:r>
    </w:p>
    <w:p>
      <w:pPr>
        <w:spacing w:after="0" w:line="56"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issues thereunder.</w:t>
      </w:r>
    </w:p>
    <w:p>
      <w:pPr>
        <w:spacing w:after="0" w:line="242" w:lineRule="exact"/>
        <w:rPr>
          <w:rFonts w:ascii="Arial" w:cs="Arial" w:eastAsia="Arial" w:hAnsi="Arial"/>
          <w:sz w:val="19"/>
          <w:szCs w:val="19"/>
          <w:color w:val="auto"/>
        </w:rPr>
      </w:pPr>
    </w:p>
    <w:p>
      <w:pPr>
        <w:ind w:left="1540" w:hanging="884"/>
        <w:spacing w:after="0"/>
        <w:tabs>
          <w:tab w:leader="none" w:pos="1540" w:val="left"/>
        </w:tabs>
        <w:numPr>
          <w:ilvl w:val="0"/>
          <w:numId w:val="64"/>
        </w:numPr>
        <w:rPr>
          <w:rFonts w:ascii="Arial" w:cs="Arial" w:eastAsia="Arial" w:hAnsi="Arial"/>
          <w:sz w:val="19"/>
          <w:szCs w:val="19"/>
          <w:color w:val="auto"/>
        </w:rPr>
      </w:pPr>
      <w:r>
        <w:rPr>
          <w:rFonts w:ascii="Arial" w:cs="Arial" w:eastAsia="Arial" w:hAnsi="Arial"/>
          <w:sz w:val="19"/>
          <w:szCs w:val="19"/>
          <w:color w:val="auto"/>
        </w:rPr>
        <w:t>“Committee” means the Committee delegated the authority to administer the Plan in accordance with Section 16.</w:t>
      </w:r>
    </w:p>
    <w:p>
      <w:pPr>
        <w:spacing w:after="0" w:line="294" w:lineRule="exact"/>
        <w:rPr>
          <w:rFonts w:ascii="Arial" w:cs="Arial" w:eastAsia="Arial" w:hAnsi="Arial"/>
          <w:sz w:val="19"/>
          <w:szCs w:val="19"/>
          <w:color w:val="auto"/>
        </w:rPr>
      </w:pPr>
    </w:p>
    <w:p>
      <w:pPr>
        <w:ind w:left="1520" w:hanging="864"/>
        <w:spacing w:after="0"/>
        <w:tabs>
          <w:tab w:leader="none" w:pos="1520" w:val="left"/>
        </w:tabs>
        <w:numPr>
          <w:ilvl w:val="0"/>
          <w:numId w:val="64"/>
        </w:numPr>
        <w:rPr>
          <w:rFonts w:ascii="Arial" w:cs="Arial" w:eastAsia="Arial" w:hAnsi="Arial"/>
          <w:sz w:val="21"/>
          <w:szCs w:val="21"/>
          <w:color w:val="auto"/>
        </w:rPr>
      </w:pPr>
      <w:r>
        <w:rPr>
          <w:rFonts w:ascii="Arial" w:cs="Arial" w:eastAsia="Arial" w:hAnsi="Arial"/>
          <w:sz w:val="21"/>
          <w:szCs w:val="21"/>
          <w:color w:val="auto"/>
        </w:rPr>
        <w:t>“Common Share” means a share of the Company’s common stock, subject to adjustment as provided in</w:t>
      </w:r>
    </w:p>
    <w:p>
      <w:pPr>
        <w:spacing w:after="0" w:line="33" w:lineRule="exact"/>
        <w:rPr>
          <w:sz w:val="20"/>
          <w:szCs w:val="20"/>
          <w:color w:val="auto"/>
        </w:rPr>
      </w:pPr>
    </w:p>
    <w:p>
      <w:pPr>
        <w:spacing w:after="0"/>
        <w:rPr>
          <w:sz w:val="20"/>
          <w:szCs w:val="20"/>
          <w:color w:val="auto"/>
        </w:rPr>
      </w:pPr>
      <w:r>
        <w:rPr>
          <w:rFonts w:ascii="Arial" w:cs="Arial" w:eastAsia="Arial" w:hAnsi="Arial"/>
          <w:sz w:val="22"/>
          <w:szCs w:val="22"/>
          <w:color w:val="auto"/>
        </w:rPr>
        <w:t>Section 11.</w:t>
      </w:r>
    </w:p>
    <w:p>
      <w:pPr>
        <w:sectPr>
          <w:pgSz w:w="11900" w:h="16838" w:orient="portrait"/>
          <w:cols w:equalWidth="0" w:num="1">
            <w:col w:w="11420"/>
          </w:cols>
          <w:pgMar w:left="240" w:top="553" w:right="239" w:bottom="1440" w:gutter="0" w:footer="0" w:header="0"/>
        </w:sectPr>
      </w:pPr>
    </w:p>
    <w:bookmarkStart w:id="88" w:name="page89"/>
    <w:bookmarkEnd w:id="88"/>
    <w:p>
      <w:pPr>
        <w:ind w:left="1560" w:hanging="904"/>
        <w:spacing w:after="0"/>
        <w:tabs>
          <w:tab w:leader="none" w:pos="1560" w:val="left"/>
        </w:tabs>
        <w:numPr>
          <w:ilvl w:val="0"/>
          <w:numId w:val="65"/>
        </w:numPr>
        <w:rPr>
          <w:rFonts w:ascii="Arial" w:cs="Arial" w:eastAsia="Arial" w:hAnsi="Arial"/>
          <w:sz w:val="22"/>
          <w:szCs w:val="22"/>
          <w:color w:val="auto"/>
        </w:rPr>
      </w:pPr>
      <w:r>
        <w:rPr>
          <w:rFonts w:ascii="Arial" w:cs="Arial" w:eastAsia="Arial" w:hAnsi="Arial"/>
          <w:sz w:val="22"/>
          <w:szCs w:val="22"/>
          <w:color w:val="auto"/>
        </w:rPr>
        <w:t>“Company” means CoStar Group, Inc., a Delaware corporation.</w:t>
      </w:r>
    </w:p>
    <w:p>
      <w:pPr>
        <w:spacing w:after="0" w:line="260" w:lineRule="exact"/>
        <w:rPr>
          <w:rFonts w:ascii="Arial" w:cs="Arial" w:eastAsia="Arial" w:hAnsi="Arial"/>
          <w:sz w:val="22"/>
          <w:szCs w:val="22"/>
          <w:color w:val="auto"/>
        </w:rPr>
      </w:pPr>
    </w:p>
    <w:p>
      <w:pPr>
        <w:ind w:right="20" w:firstLine="656"/>
        <w:spacing w:after="0" w:line="294" w:lineRule="auto"/>
        <w:tabs>
          <w:tab w:leader="none" w:pos="1549" w:val="left"/>
        </w:tabs>
        <w:numPr>
          <w:ilvl w:val="0"/>
          <w:numId w:val="65"/>
        </w:numPr>
        <w:rPr>
          <w:rFonts w:ascii="Arial" w:cs="Arial" w:eastAsia="Arial" w:hAnsi="Arial"/>
          <w:sz w:val="19"/>
          <w:szCs w:val="19"/>
          <w:color w:val="auto"/>
        </w:rPr>
      </w:pPr>
      <w:r>
        <w:rPr>
          <w:rFonts w:ascii="Arial" w:cs="Arial" w:eastAsia="Arial" w:hAnsi="Arial"/>
          <w:sz w:val="19"/>
          <w:szCs w:val="19"/>
          <w:color w:val="auto"/>
        </w:rPr>
        <w:t>“Fair Market Value” means, as of any given date, the closing sales price on such date during normal trading hours (or, if there are no reported sales on such date, on the last date prior to such date on which there were sales) of the Common Shares on NASDAQ, the New York Stock Exchange Composite Tape or, if not listed on such exchanges, on any other national securities exchange on which the Common Shares are listed, in any case, as reporting in such source as the Committee shall select. If there is no regular public trading market for such Common Shares, the Fair Market Value of the Common Shares shall be determined by the Committee in good faith and in compliance with Section 409A of the Code.</w:t>
      </w:r>
    </w:p>
    <w:p>
      <w:pPr>
        <w:spacing w:after="0" w:line="190" w:lineRule="exact"/>
        <w:rPr>
          <w:rFonts w:ascii="Arial" w:cs="Arial" w:eastAsia="Arial" w:hAnsi="Arial"/>
          <w:sz w:val="19"/>
          <w:szCs w:val="19"/>
          <w:color w:val="auto"/>
        </w:rPr>
      </w:pPr>
    </w:p>
    <w:p>
      <w:pPr>
        <w:ind w:firstLine="656"/>
        <w:spacing w:after="0" w:line="263" w:lineRule="auto"/>
        <w:tabs>
          <w:tab w:leader="none" w:pos="1500" w:val="left"/>
        </w:tabs>
        <w:numPr>
          <w:ilvl w:val="0"/>
          <w:numId w:val="65"/>
        </w:numPr>
        <w:rPr>
          <w:rFonts w:ascii="Arial" w:cs="Arial" w:eastAsia="Arial" w:hAnsi="Arial"/>
          <w:sz w:val="22"/>
          <w:szCs w:val="22"/>
          <w:color w:val="auto"/>
        </w:rPr>
      </w:pPr>
      <w:r>
        <w:rPr>
          <w:rFonts w:ascii="Arial" w:cs="Arial" w:eastAsia="Arial" w:hAnsi="Arial"/>
          <w:sz w:val="22"/>
          <w:szCs w:val="22"/>
          <w:color w:val="auto"/>
        </w:rPr>
        <w:t>“Incentive Stock Option” means a stock option that is intended to qualify as an “incentive stock option” within the meaning of Section 422 of the Code.</w:t>
      </w:r>
    </w:p>
    <w:p>
      <w:pPr>
        <w:spacing w:after="0" w:line="215" w:lineRule="exact"/>
        <w:rPr>
          <w:rFonts w:ascii="Arial" w:cs="Arial" w:eastAsia="Arial" w:hAnsi="Arial"/>
          <w:sz w:val="22"/>
          <w:szCs w:val="22"/>
          <w:color w:val="auto"/>
        </w:rPr>
      </w:pPr>
    </w:p>
    <w:p>
      <w:pPr>
        <w:ind w:right="360" w:firstLine="656"/>
        <w:spacing w:after="0" w:line="263" w:lineRule="auto"/>
        <w:tabs>
          <w:tab w:leader="none" w:pos="1500" w:val="left"/>
        </w:tabs>
        <w:numPr>
          <w:ilvl w:val="0"/>
          <w:numId w:val="65"/>
        </w:numPr>
        <w:rPr>
          <w:rFonts w:ascii="Arial" w:cs="Arial" w:eastAsia="Arial" w:hAnsi="Arial"/>
          <w:sz w:val="22"/>
          <w:szCs w:val="22"/>
          <w:color w:val="auto"/>
        </w:rPr>
      </w:pPr>
      <w:r>
        <w:rPr>
          <w:rFonts w:ascii="Arial" w:cs="Arial" w:eastAsia="Arial" w:hAnsi="Arial"/>
          <w:sz w:val="22"/>
          <w:szCs w:val="22"/>
          <w:color w:val="auto"/>
        </w:rPr>
        <w:t>“Nonemployee Director” means each person who is, or is elected to be, a member of the Board or the board of directors of any Subsidiary and who is not an employee of the Company or any Subsidiary.</w:t>
      </w:r>
    </w:p>
    <w:p>
      <w:pPr>
        <w:spacing w:after="0" w:line="215" w:lineRule="exact"/>
        <w:rPr>
          <w:rFonts w:ascii="Arial" w:cs="Arial" w:eastAsia="Arial" w:hAnsi="Arial"/>
          <w:sz w:val="22"/>
          <w:szCs w:val="22"/>
          <w:color w:val="auto"/>
        </w:rPr>
      </w:pPr>
    </w:p>
    <w:p>
      <w:pPr>
        <w:ind w:right="220" w:firstLine="656"/>
        <w:spacing w:after="0" w:line="263" w:lineRule="auto"/>
        <w:tabs>
          <w:tab w:leader="none" w:pos="1549" w:val="left"/>
        </w:tabs>
        <w:numPr>
          <w:ilvl w:val="0"/>
          <w:numId w:val="65"/>
        </w:numPr>
        <w:rPr>
          <w:rFonts w:ascii="Arial" w:cs="Arial" w:eastAsia="Arial" w:hAnsi="Arial"/>
          <w:sz w:val="22"/>
          <w:szCs w:val="22"/>
          <w:color w:val="auto"/>
        </w:rPr>
      </w:pPr>
      <w:r>
        <w:rPr>
          <w:rFonts w:ascii="Arial" w:cs="Arial" w:eastAsia="Arial" w:hAnsi="Arial"/>
          <w:sz w:val="22"/>
          <w:szCs w:val="22"/>
          <w:color w:val="auto"/>
        </w:rPr>
        <w:t>“Nonqualified Stock Option” means a stock option that is not intended to qualify as an “incentive stock option” within the meaning of Section 422 of the Code.</w:t>
      </w:r>
    </w:p>
    <w:p>
      <w:pPr>
        <w:spacing w:after="0" w:line="215" w:lineRule="exact"/>
        <w:rPr>
          <w:rFonts w:ascii="Arial" w:cs="Arial" w:eastAsia="Arial" w:hAnsi="Arial"/>
          <w:sz w:val="22"/>
          <w:szCs w:val="22"/>
          <w:color w:val="auto"/>
        </w:rPr>
      </w:pPr>
    </w:p>
    <w:p>
      <w:pPr>
        <w:ind w:left="1500" w:hanging="844"/>
        <w:spacing w:after="0"/>
        <w:tabs>
          <w:tab w:leader="none" w:pos="1500" w:val="left"/>
        </w:tabs>
        <w:numPr>
          <w:ilvl w:val="0"/>
          <w:numId w:val="65"/>
        </w:numPr>
        <w:rPr>
          <w:rFonts w:ascii="Arial" w:cs="Arial" w:eastAsia="Arial" w:hAnsi="Arial"/>
          <w:sz w:val="19"/>
          <w:szCs w:val="19"/>
          <w:color w:val="auto"/>
        </w:rPr>
      </w:pPr>
      <w:r>
        <w:rPr>
          <w:rFonts w:ascii="Arial" w:cs="Arial" w:eastAsia="Arial" w:hAnsi="Arial"/>
          <w:sz w:val="19"/>
          <w:szCs w:val="19"/>
          <w:color w:val="auto"/>
        </w:rPr>
        <w:t>“Option” means an Incentive Stock Option and/or a Nonqualified Stock Option granted pursuant to Section 6 of</w:t>
      </w:r>
    </w:p>
    <w:p>
      <w:pPr>
        <w:spacing w:after="0" w:line="56"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the Plan.</w:t>
      </w:r>
    </w:p>
    <w:p>
      <w:pPr>
        <w:spacing w:after="0" w:line="242" w:lineRule="exact"/>
        <w:rPr>
          <w:rFonts w:ascii="Arial" w:cs="Arial" w:eastAsia="Arial" w:hAnsi="Arial"/>
          <w:sz w:val="19"/>
          <w:szCs w:val="19"/>
          <w:color w:val="auto"/>
        </w:rPr>
      </w:pPr>
    </w:p>
    <w:p>
      <w:pPr>
        <w:ind w:right="80" w:firstLine="656"/>
        <w:spacing w:after="0" w:line="263" w:lineRule="auto"/>
        <w:tabs>
          <w:tab w:leader="none" w:pos="1608" w:val="left"/>
        </w:tabs>
        <w:numPr>
          <w:ilvl w:val="0"/>
          <w:numId w:val="65"/>
        </w:numPr>
        <w:rPr>
          <w:rFonts w:ascii="Arial" w:cs="Arial" w:eastAsia="Arial" w:hAnsi="Arial"/>
          <w:sz w:val="22"/>
          <w:szCs w:val="22"/>
          <w:color w:val="auto"/>
        </w:rPr>
      </w:pPr>
      <w:r>
        <w:rPr>
          <w:rFonts w:ascii="Arial" w:cs="Arial" w:eastAsia="Arial" w:hAnsi="Arial"/>
          <w:sz w:val="22"/>
          <w:szCs w:val="22"/>
          <w:color w:val="auto"/>
        </w:rPr>
        <w:t>“Participant” means any individual described in Section 3 to whom Awards have been granted from time to time by the Committee and any authorized transferee of such individual.</w:t>
      </w:r>
    </w:p>
    <w:p>
      <w:pPr>
        <w:spacing w:after="0" w:line="215" w:lineRule="exact"/>
        <w:rPr>
          <w:rFonts w:ascii="Arial" w:cs="Arial" w:eastAsia="Arial" w:hAnsi="Arial"/>
          <w:sz w:val="22"/>
          <w:szCs w:val="22"/>
          <w:color w:val="auto"/>
        </w:rPr>
      </w:pPr>
    </w:p>
    <w:p>
      <w:pPr>
        <w:ind w:right="60" w:firstLine="656"/>
        <w:spacing w:after="0" w:line="263" w:lineRule="auto"/>
        <w:tabs>
          <w:tab w:leader="none" w:pos="1549" w:val="left"/>
        </w:tabs>
        <w:numPr>
          <w:ilvl w:val="0"/>
          <w:numId w:val="65"/>
        </w:numPr>
        <w:rPr>
          <w:rFonts w:ascii="Arial" w:cs="Arial" w:eastAsia="Arial" w:hAnsi="Arial"/>
          <w:sz w:val="22"/>
          <w:szCs w:val="22"/>
          <w:color w:val="auto"/>
        </w:rPr>
      </w:pPr>
      <w:r>
        <w:rPr>
          <w:rFonts w:ascii="Arial" w:cs="Arial" w:eastAsia="Arial" w:hAnsi="Arial"/>
          <w:sz w:val="22"/>
          <w:szCs w:val="22"/>
          <w:color w:val="auto"/>
        </w:rPr>
        <w:t>“Performance Award” means an Award, the grant, issuance, retention, vesting or settlement of which is subject to satisfaction of one or more performance criteria pursuant to Section 12.</w:t>
      </w:r>
    </w:p>
    <w:p>
      <w:pPr>
        <w:spacing w:after="0" w:line="215" w:lineRule="exact"/>
        <w:rPr>
          <w:rFonts w:ascii="Arial" w:cs="Arial" w:eastAsia="Arial" w:hAnsi="Arial"/>
          <w:sz w:val="22"/>
          <w:szCs w:val="22"/>
          <w:color w:val="auto"/>
        </w:rPr>
      </w:pPr>
    </w:p>
    <w:p>
      <w:pPr>
        <w:ind w:left="1560" w:hanging="904"/>
        <w:spacing w:after="0"/>
        <w:tabs>
          <w:tab w:leader="none" w:pos="1560" w:val="left"/>
        </w:tabs>
        <w:numPr>
          <w:ilvl w:val="0"/>
          <w:numId w:val="65"/>
        </w:numPr>
        <w:rPr>
          <w:rFonts w:ascii="Arial" w:cs="Arial" w:eastAsia="Arial" w:hAnsi="Arial"/>
          <w:sz w:val="19"/>
          <w:szCs w:val="19"/>
          <w:color w:val="auto"/>
        </w:rPr>
      </w:pPr>
      <w:r>
        <w:rPr>
          <w:rFonts w:ascii="Arial" w:cs="Arial" w:eastAsia="Arial" w:hAnsi="Arial"/>
          <w:sz w:val="19"/>
          <w:szCs w:val="19"/>
          <w:color w:val="auto"/>
        </w:rPr>
        <w:t>“Plan” means the CoStar Group, Inc. 2016 Stock Incentive Plan as set forth herein and as amended from time to</w:t>
      </w:r>
    </w:p>
    <w:p>
      <w:pPr>
        <w:spacing w:after="0" w:line="56"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time.</w:t>
      </w:r>
    </w:p>
    <w:p>
      <w:pPr>
        <w:spacing w:after="0" w:line="242" w:lineRule="exact"/>
        <w:rPr>
          <w:rFonts w:ascii="Arial" w:cs="Arial" w:eastAsia="Arial" w:hAnsi="Arial"/>
          <w:sz w:val="19"/>
          <w:szCs w:val="19"/>
          <w:color w:val="auto"/>
        </w:rPr>
      </w:pPr>
    </w:p>
    <w:p>
      <w:pPr>
        <w:ind w:left="1560" w:hanging="904"/>
        <w:spacing w:after="0"/>
        <w:tabs>
          <w:tab w:leader="none" w:pos="1560" w:val="left"/>
        </w:tabs>
        <w:numPr>
          <w:ilvl w:val="0"/>
          <w:numId w:val="65"/>
        </w:numPr>
        <w:rPr>
          <w:rFonts w:ascii="Arial" w:cs="Arial" w:eastAsia="Arial" w:hAnsi="Arial"/>
          <w:sz w:val="22"/>
          <w:szCs w:val="22"/>
          <w:color w:val="auto"/>
        </w:rPr>
      </w:pPr>
      <w:r>
        <w:rPr>
          <w:rFonts w:ascii="Arial" w:cs="Arial" w:eastAsia="Arial" w:hAnsi="Arial"/>
          <w:sz w:val="22"/>
          <w:szCs w:val="22"/>
          <w:color w:val="auto"/>
        </w:rPr>
        <w:t>“Prior Plan” means the CoStar Group, Inc. 2007 Stock Incentive Plan, as amended.</w:t>
      </w:r>
    </w:p>
    <w:p>
      <w:pPr>
        <w:spacing w:after="0" w:line="260" w:lineRule="exact"/>
        <w:rPr>
          <w:rFonts w:ascii="Arial" w:cs="Arial" w:eastAsia="Arial" w:hAnsi="Arial"/>
          <w:sz w:val="22"/>
          <w:szCs w:val="22"/>
          <w:color w:val="auto"/>
        </w:rPr>
      </w:pPr>
    </w:p>
    <w:p>
      <w:pPr>
        <w:ind w:left="1560" w:hanging="904"/>
        <w:spacing w:after="0"/>
        <w:tabs>
          <w:tab w:leader="none" w:pos="1560" w:val="left"/>
        </w:tabs>
        <w:numPr>
          <w:ilvl w:val="0"/>
          <w:numId w:val="65"/>
        </w:numPr>
        <w:rPr>
          <w:rFonts w:ascii="Arial" w:cs="Arial" w:eastAsia="Arial" w:hAnsi="Arial"/>
          <w:sz w:val="22"/>
          <w:szCs w:val="22"/>
          <w:color w:val="auto"/>
        </w:rPr>
      </w:pPr>
      <w:r>
        <w:rPr>
          <w:rFonts w:ascii="Arial" w:cs="Arial" w:eastAsia="Arial" w:hAnsi="Arial"/>
          <w:sz w:val="22"/>
          <w:szCs w:val="22"/>
          <w:color w:val="auto"/>
        </w:rPr>
        <w:t>“Qualifying Performance Criteria” has the meaning set forth in Section 12(b).</w:t>
      </w:r>
    </w:p>
    <w:p>
      <w:pPr>
        <w:spacing w:after="0" w:line="260" w:lineRule="exact"/>
        <w:rPr>
          <w:rFonts w:ascii="Arial" w:cs="Arial" w:eastAsia="Arial" w:hAnsi="Arial"/>
          <w:sz w:val="22"/>
          <w:szCs w:val="22"/>
          <w:color w:val="auto"/>
        </w:rPr>
      </w:pPr>
    </w:p>
    <w:p>
      <w:pPr>
        <w:ind w:left="1520" w:hanging="864"/>
        <w:spacing w:after="0"/>
        <w:tabs>
          <w:tab w:leader="none" w:pos="1520" w:val="left"/>
        </w:tabs>
        <w:numPr>
          <w:ilvl w:val="0"/>
          <w:numId w:val="65"/>
        </w:numPr>
        <w:rPr>
          <w:rFonts w:ascii="Arial" w:cs="Arial" w:eastAsia="Arial" w:hAnsi="Arial"/>
          <w:sz w:val="22"/>
          <w:szCs w:val="22"/>
          <w:color w:val="auto"/>
        </w:rPr>
      </w:pPr>
      <w:r>
        <w:rPr>
          <w:rFonts w:ascii="Arial" w:cs="Arial" w:eastAsia="Arial" w:hAnsi="Arial"/>
          <w:sz w:val="22"/>
          <w:szCs w:val="22"/>
          <w:color w:val="auto"/>
        </w:rPr>
        <w:t>“Restricted Stock” means Common Shares granted pursuant to Section 8 of the Plan.</w:t>
      </w:r>
    </w:p>
    <w:p>
      <w:pPr>
        <w:spacing w:after="0" w:line="2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A- 2</w:t>
      </w:r>
    </w:p>
    <w:p>
      <w:pPr>
        <w:sectPr>
          <w:pgSz w:w="11900" w:h="16838" w:orient="portrait"/>
          <w:cols w:equalWidth="0" w:num="1">
            <w:col w:w="11420"/>
          </w:cols>
          <w:pgMar w:left="240" w:top="888" w:right="239" w:bottom="1440" w:gutter="0" w:footer="0" w:header="0"/>
        </w:sectPr>
      </w:pPr>
    </w:p>
    <w:bookmarkStart w:id="89" w:name="page90"/>
    <w:bookmarkEnd w:id="89"/>
    <w:p>
      <w:pPr>
        <w:ind w:right="800" w:firstLine="656"/>
        <w:spacing w:after="0" w:line="263" w:lineRule="auto"/>
        <w:tabs>
          <w:tab w:leader="none" w:pos="1524" w:val="left"/>
        </w:tabs>
        <w:numPr>
          <w:ilvl w:val="0"/>
          <w:numId w:val="66"/>
        </w:numPr>
        <w:rPr>
          <w:rFonts w:ascii="Arial" w:cs="Arial" w:eastAsia="Arial" w:hAnsi="Arial"/>
          <w:sz w:val="22"/>
          <w:szCs w:val="22"/>
          <w:color w:val="auto"/>
        </w:rPr>
      </w:pPr>
      <w:r>
        <w:rPr>
          <w:rFonts w:ascii="Arial" w:cs="Arial" w:eastAsia="Arial" w:hAnsi="Arial"/>
          <w:sz w:val="22"/>
          <w:szCs w:val="22"/>
          <w:color w:val="auto"/>
        </w:rPr>
        <w:t>“Restricted Stock Unit” means an Award granted to a Participant pursuant to Section 8 pursuant to which Common Shares or cash in lieu thereof may be issued in the future.</w:t>
      </w:r>
    </w:p>
    <w:p>
      <w:pPr>
        <w:spacing w:after="0" w:line="215" w:lineRule="exact"/>
        <w:rPr>
          <w:rFonts w:ascii="Arial" w:cs="Arial" w:eastAsia="Arial" w:hAnsi="Arial"/>
          <w:sz w:val="22"/>
          <w:szCs w:val="22"/>
          <w:color w:val="auto"/>
        </w:rPr>
      </w:pPr>
    </w:p>
    <w:p>
      <w:pPr>
        <w:ind w:right="120" w:firstLine="656"/>
        <w:spacing w:after="0" w:line="250" w:lineRule="auto"/>
        <w:tabs>
          <w:tab w:leader="none" w:pos="1500" w:val="left"/>
        </w:tabs>
        <w:numPr>
          <w:ilvl w:val="0"/>
          <w:numId w:val="66"/>
        </w:numPr>
        <w:rPr>
          <w:rFonts w:ascii="Arial" w:cs="Arial" w:eastAsia="Arial" w:hAnsi="Arial"/>
          <w:sz w:val="22"/>
          <w:szCs w:val="22"/>
          <w:color w:val="auto"/>
        </w:rPr>
      </w:pPr>
      <w:r>
        <w:rPr>
          <w:rFonts w:ascii="Arial" w:cs="Arial" w:eastAsia="Arial" w:hAnsi="Arial"/>
          <w:sz w:val="22"/>
          <w:szCs w:val="22"/>
          <w:color w:val="auto"/>
        </w:rPr>
        <w:t>“Stock Appreciation Right” means a right granted pursuant to Section 7 of the Plan that entitles the Participant to receive, in cash or Common Shares or a combination thereof, as determined by the Committee, value equal to or otherwise based on the excess of (i) the market price of a specified number of Common Shares at the time of exercise over (ii) the exercise price of the right, as established by the Committee on the date of grant.</w:t>
      </w:r>
    </w:p>
    <w:p>
      <w:pPr>
        <w:spacing w:after="0" w:line="228" w:lineRule="exact"/>
        <w:rPr>
          <w:rFonts w:ascii="Arial" w:cs="Arial" w:eastAsia="Arial" w:hAnsi="Arial"/>
          <w:sz w:val="22"/>
          <w:szCs w:val="22"/>
          <w:color w:val="auto"/>
        </w:rPr>
      </w:pPr>
    </w:p>
    <w:p>
      <w:pPr>
        <w:jc w:val="both"/>
        <w:ind w:firstLine="656"/>
        <w:spacing w:after="0" w:line="297" w:lineRule="auto"/>
        <w:tabs>
          <w:tab w:leader="none" w:pos="1549" w:val="left"/>
        </w:tabs>
        <w:numPr>
          <w:ilvl w:val="0"/>
          <w:numId w:val="66"/>
        </w:numPr>
        <w:rPr>
          <w:rFonts w:ascii="Arial" w:cs="Arial" w:eastAsia="Arial" w:hAnsi="Arial"/>
          <w:sz w:val="19"/>
          <w:szCs w:val="19"/>
          <w:color w:val="auto"/>
        </w:rPr>
      </w:pPr>
      <w:r>
        <w:rPr>
          <w:rFonts w:ascii="Arial" w:cs="Arial" w:eastAsia="Arial" w:hAnsi="Arial"/>
          <w:sz w:val="19"/>
          <w:szCs w:val="19"/>
          <w:color w:val="auto"/>
        </w:rPr>
        <w:t>“Subsidiary” means any corporation (other than the Company) in an unbroken chain of corporations beginning with the Company where each of the corporations in the unbroken chain other than the last corporation owns stock possessing at least 50 percent or more of the total combined voting power of all classes of stock in one of the other corporations in the chain, and if specifically determined by the Committee in the context other than with respect to Incentive Stock Options, may include an entity in which the Company has a significant ownership interest or that is directly or indirectly controlled by the Company.</w:t>
      </w:r>
    </w:p>
    <w:p>
      <w:pPr>
        <w:spacing w:after="0" w:line="187" w:lineRule="exact"/>
        <w:rPr>
          <w:rFonts w:ascii="Arial" w:cs="Arial" w:eastAsia="Arial" w:hAnsi="Arial"/>
          <w:sz w:val="19"/>
          <w:szCs w:val="19"/>
          <w:color w:val="auto"/>
        </w:rPr>
      </w:pPr>
    </w:p>
    <w:p>
      <w:pPr>
        <w:ind w:right="80" w:firstLine="656"/>
        <w:spacing w:after="0" w:line="271" w:lineRule="auto"/>
        <w:tabs>
          <w:tab w:leader="none" w:pos="1549" w:val="left"/>
        </w:tabs>
        <w:numPr>
          <w:ilvl w:val="0"/>
          <w:numId w:val="66"/>
        </w:numPr>
        <w:rPr>
          <w:rFonts w:ascii="Arial" w:cs="Arial" w:eastAsia="Arial" w:hAnsi="Arial"/>
          <w:sz w:val="21"/>
          <w:szCs w:val="21"/>
          <w:color w:val="auto"/>
        </w:rPr>
      </w:pPr>
      <w:r>
        <w:rPr>
          <w:rFonts w:ascii="Arial" w:cs="Arial" w:eastAsia="Arial" w:hAnsi="Arial"/>
          <w:sz w:val="21"/>
          <w:szCs w:val="21"/>
          <w:color w:val="auto"/>
        </w:rPr>
        <w:t>“Substitute Awards” means Awards granted or Common Shares issued by the Company in assumption of, or in substitution or exchange for, awards previously granted, or the right or obligation to make future awards, by a corporation acquired by the Company or any Subsidiary or with which the Company or any Subsidiary combines.</w:t>
      </w:r>
    </w:p>
    <w:p>
      <w:pPr>
        <w:spacing w:after="0" w:line="202" w:lineRule="exact"/>
        <w:rPr>
          <w:sz w:val="20"/>
          <w:szCs w:val="20"/>
          <w:color w:val="auto"/>
        </w:rPr>
      </w:pPr>
    </w:p>
    <w:p>
      <w:pPr>
        <w:ind w:left="820" w:hanging="812"/>
        <w:spacing w:after="0"/>
        <w:tabs>
          <w:tab w:leader="none" w:pos="820" w:val="left"/>
        </w:tabs>
        <w:numPr>
          <w:ilvl w:val="0"/>
          <w:numId w:val="67"/>
        </w:numPr>
        <w:rPr>
          <w:rFonts w:ascii="Arial" w:cs="Arial" w:eastAsia="Arial" w:hAnsi="Arial"/>
          <w:sz w:val="22"/>
          <w:szCs w:val="22"/>
          <w:b w:val="1"/>
          <w:bCs w:val="1"/>
          <w:color w:val="auto"/>
        </w:rPr>
      </w:pPr>
      <w:r>
        <w:rPr>
          <w:rFonts w:ascii="Arial" w:cs="Arial" w:eastAsia="Arial" w:hAnsi="Arial"/>
          <w:sz w:val="22"/>
          <w:szCs w:val="22"/>
          <w:b w:val="1"/>
          <w:bCs w:val="1"/>
          <w:color w:val="auto"/>
        </w:rPr>
        <w:t>Eligibility</w:t>
      </w:r>
    </w:p>
    <w:p>
      <w:pPr>
        <w:spacing w:after="0" w:line="266" w:lineRule="exact"/>
        <w:rPr>
          <w:sz w:val="20"/>
          <w:szCs w:val="20"/>
          <w:color w:val="auto"/>
        </w:rPr>
      </w:pPr>
    </w:p>
    <w:p>
      <w:pPr>
        <w:ind w:right="160" w:firstLine="648"/>
        <w:spacing w:after="0" w:line="246" w:lineRule="auto"/>
        <w:rPr>
          <w:sz w:val="20"/>
          <w:szCs w:val="20"/>
          <w:color w:val="auto"/>
        </w:rPr>
      </w:pPr>
      <w:r>
        <w:rPr>
          <w:rFonts w:ascii="Arial" w:cs="Arial" w:eastAsia="Arial" w:hAnsi="Arial"/>
          <w:sz w:val="22"/>
          <w:szCs w:val="22"/>
          <w:color w:val="auto"/>
        </w:rPr>
        <w:t>Any person who is an officer or employee of the Company or of any Subsidiary (including any director who is also an employee, in his or her capacity as such) shall be eligible for selection by the Committee for the grant of Awards hereunder. In addition, Nonemployee Directors shall be eligible for the grant of Awards hereunder as determined by the Committee. In addition any service provider who has been retained to provide consulting, advisory or other services to the Company or to any Subsidiary shall be eligible for selection by the Committee for the grant of Awards hereunder. Options intending to qualify as Incentive Stock Options may only be granted to employees of the Company or any Subsidiary within the meaning of the Code, as selected by the Committee.</w:t>
      </w:r>
    </w:p>
    <w:p>
      <w:pPr>
        <w:spacing w:after="0" w:line="232" w:lineRule="exact"/>
        <w:rPr>
          <w:sz w:val="20"/>
          <w:szCs w:val="20"/>
          <w:color w:val="auto"/>
        </w:rPr>
      </w:pPr>
    </w:p>
    <w:p>
      <w:pPr>
        <w:ind w:left="660" w:hanging="652"/>
        <w:spacing w:after="0"/>
        <w:tabs>
          <w:tab w:leader="none" w:pos="660" w:val="left"/>
        </w:tabs>
        <w:numPr>
          <w:ilvl w:val="0"/>
          <w:numId w:val="68"/>
        </w:numPr>
        <w:rPr>
          <w:rFonts w:ascii="Arial" w:cs="Arial" w:eastAsia="Arial" w:hAnsi="Arial"/>
          <w:sz w:val="22"/>
          <w:szCs w:val="22"/>
          <w:b w:val="1"/>
          <w:bCs w:val="1"/>
          <w:color w:val="auto"/>
        </w:rPr>
      </w:pPr>
      <w:r>
        <w:rPr>
          <w:rFonts w:ascii="Arial" w:cs="Arial" w:eastAsia="Arial" w:hAnsi="Arial"/>
          <w:sz w:val="22"/>
          <w:szCs w:val="22"/>
          <w:b w:val="1"/>
          <w:bCs w:val="1"/>
          <w:color w:val="auto"/>
        </w:rPr>
        <w:t>Effective Date and Termination of Plan</w:t>
      </w:r>
    </w:p>
    <w:p>
      <w:pPr>
        <w:spacing w:after="0" w:line="226" w:lineRule="exact"/>
        <w:rPr>
          <w:sz w:val="20"/>
          <w:szCs w:val="20"/>
          <w:color w:val="auto"/>
        </w:rPr>
      </w:pPr>
    </w:p>
    <w:p>
      <w:pPr>
        <w:jc w:val="both"/>
        <w:ind w:right="220" w:firstLine="648"/>
        <w:spacing w:after="0" w:line="288" w:lineRule="auto"/>
        <w:rPr>
          <w:sz w:val="20"/>
          <w:szCs w:val="20"/>
          <w:color w:val="auto"/>
        </w:rPr>
      </w:pPr>
      <w:r>
        <w:rPr>
          <w:rFonts w:ascii="Arial" w:cs="Arial" w:eastAsia="Arial" w:hAnsi="Arial"/>
          <w:sz w:val="19"/>
          <w:szCs w:val="19"/>
          <w:color w:val="auto"/>
        </w:rPr>
        <w:t>This Plan was adopted by the Board and became effective as of [], 2016 (the “Effective Date”), the date of approval of the Plan by the Company’s stockholders. The Plan shall remain available for the grant of Awards until the tenth (10th) anniversary of the Effective Date. Notwithstanding the foregoing, the Plan may be terminated at such earlier time as the Board may determine.</w:t>
      </w:r>
    </w:p>
    <w:p>
      <w:pPr>
        <w:spacing w:after="0" w:line="1" w:lineRule="exact"/>
        <w:rPr>
          <w:sz w:val="20"/>
          <w:szCs w:val="20"/>
          <w:color w:val="auto"/>
        </w:rPr>
      </w:pPr>
    </w:p>
    <w:p>
      <w:pPr>
        <w:ind w:right="760"/>
        <w:spacing w:after="0" w:line="246" w:lineRule="auto"/>
        <w:rPr>
          <w:sz w:val="20"/>
          <w:szCs w:val="20"/>
          <w:color w:val="auto"/>
        </w:rPr>
      </w:pPr>
      <w:r>
        <w:rPr>
          <w:rFonts w:ascii="Arial" w:cs="Arial" w:eastAsia="Arial" w:hAnsi="Arial"/>
          <w:sz w:val="22"/>
          <w:szCs w:val="22"/>
          <w:color w:val="auto"/>
        </w:rPr>
        <w:t>Termination of the Plan will not affect the rights and obligations of the Participants and the Company arising under Awards theretofore granted and then in effect.</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A- 3</w:t>
      </w:r>
    </w:p>
    <w:p>
      <w:pPr>
        <w:sectPr>
          <w:pgSz w:w="11900" w:h="16838" w:orient="portrait"/>
          <w:cols w:equalWidth="0" w:num="1">
            <w:col w:w="11420"/>
          </w:cols>
          <w:pgMar w:left="240" w:top="375" w:right="239" w:bottom="1440" w:gutter="0" w:footer="0" w:header="0"/>
        </w:sectPr>
      </w:pPr>
    </w:p>
    <w:bookmarkStart w:id="90" w:name="page91"/>
    <w:bookmarkEnd w:id="90"/>
    <w:p>
      <w:pPr>
        <w:ind w:left="652" w:hanging="652"/>
        <w:spacing w:after="0"/>
        <w:tabs>
          <w:tab w:leader="none" w:pos="652" w:val="left"/>
        </w:tabs>
        <w:numPr>
          <w:ilvl w:val="0"/>
          <w:numId w:val="69"/>
        </w:numPr>
        <w:rPr>
          <w:rFonts w:ascii="Arial" w:cs="Arial" w:eastAsia="Arial" w:hAnsi="Arial"/>
          <w:sz w:val="22"/>
          <w:szCs w:val="22"/>
          <w:b w:val="1"/>
          <w:bCs w:val="1"/>
          <w:color w:val="auto"/>
        </w:rPr>
      </w:pPr>
      <w:r>
        <w:rPr>
          <w:rFonts w:ascii="Arial" w:cs="Arial" w:eastAsia="Arial" w:hAnsi="Arial"/>
          <w:sz w:val="22"/>
          <w:szCs w:val="22"/>
          <w:b w:val="1"/>
          <w:bCs w:val="1"/>
          <w:color w:val="auto"/>
        </w:rPr>
        <w:t>Common Shares Subject to the Plan and to Awards</w:t>
      </w:r>
    </w:p>
    <w:p>
      <w:pPr>
        <w:spacing w:after="0" w:line="266" w:lineRule="exact"/>
        <w:rPr>
          <w:rFonts w:ascii="Arial" w:cs="Arial" w:eastAsia="Arial" w:hAnsi="Arial"/>
          <w:sz w:val="22"/>
          <w:szCs w:val="22"/>
          <w:b w:val="1"/>
          <w:bCs w:val="1"/>
          <w:color w:val="auto"/>
        </w:rPr>
      </w:pPr>
    </w:p>
    <w:p>
      <w:pPr>
        <w:ind w:left="-8" w:right="20" w:firstLine="656"/>
        <w:spacing w:after="0" w:line="288" w:lineRule="auto"/>
        <w:tabs>
          <w:tab w:leader="none" w:pos="1528" w:val="left"/>
        </w:tabs>
        <w:numPr>
          <w:ilvl w:val="1"/>
          <w:numId w:val="69"/>
        </w:numPr>
        <w:rPr>
          <w:rFonts w:ascii="Arial" w:cs="Arial" w:eastAsia="Arial" w:hAnsi="Arial"/>
          <w:sz w:val="19"/>
          <w:szCs w:val="19"/>
          <w:color w:val="auto"/>
        </w:rPr>
      </w:pPr>
      <w:r>
        <w:rPr>
          <w:rFonts w:ascii="Arial" w:cs="Arial" w:eastAsia="Arial" w:hAnsi="Arial"/>
          <w:sz w:val="19"/>
          <w:szCs w:val="19"/>
          <w:i w:val="1"/>
          <w:iCs w:val="1"/>
          <w:color w:val="auto"/>
        </w:rPr>
        <w:t>Aggregate Limits</w:t>
      </w:r>
      <w:r>
        <w:rPr>
          <w:rFonts w:ascii="Arial" w:cs="Arial" w:eastAsia="Arial" w:hAnsi="Arial"/>
          <w:sz w:val="19"/>
          <w:szCs w:val="19"/>
          <w:color w:val="auto"/>
        </w:rPr>
        <w:t>. The aggregate number of Shares issuable pursuant to all Awards shall not exceed 1,450,000</w:t>
      </w:r>
      <w:r>
        <w:rPr>
          <w:rFonts w:ascii="Arial" w:cs="Arial" w:eastAsia="Arial" w:hAnsi="Arial"/>
          <w:sz w:val="19"/>
          <w:szCs w:val="19"/>
          <w:i w:val="1"/>
          <w:iCs w:val="1"/>
          <w:color w:val="auto"/>
        </w:rPr>
        <w:t xml:space="preserve"> </w:t>
      </w:r>
      <w:r>
        <w:rPr>
          <w:rFonts w:ascii="Arial" w:cs="Arial" w:eastAsia="Arial" w:hAnsi="Arial"/>
          <w:sz w:val="19"/>
          <w:szCs w:val="19"/>
          <w:color w:val="auto"/>
        </w:rPr>
        <w:t>shares, plus (i) any Shares that were authorized for issuance under the Prior Plan that, as of the Effective Date remain available for issuance under the Prior Plan (not including any Shares that are subject to, as of the Effective Date, outstanding awards under the Prior Plan or any Shares that prior to the Effective Date were issued pursuant to awards granted under the Prior Plan) and (ii) any Shares subject to outstanding awards under the Prior Plan as of the Effective Date that on or after such date cease for any reason to be subject to such awards (other than by reason of exercise or settlement of the awards to the extent they are exercised for or settled in vested and nonforfeitable shares). The aggregate number of Common Shares available for grant under this Plan and the number of Common Shares subject to outstanding Awards shall be subject to adjustment as provided in Section 11. The Common Shares issued pursuant to Awards granted under this Plan may be shares that are authorized and unissued or shares that were reacquired by the Company, including shares purchased in the open market.</w:t>
      </w:r>
    </w:p>
    <w:p>
      <w:pPr>
        <w:spacing w:after="0" w:line="200" w:lineRule="exact"/>
        <w:rPr>
          <w:rFonts w:ascii="Arial" w:cs="Arial" w:eastAsia="Arial" w:hAnsi="Arial"/>
          <w:sz w:val="19"/>
          <w:szCs w:val="19"/>
          <w:color w:val="auto"/>
        </w:rPr>
      </w:pPr>
    </w:p>
    <w:p>
      <w:pPr>
        <w:ind w:left="-8" w:right="160" w:firstLine="656"/>
        <w:spacing w:after="0" w:line="292" w:lineRule="auto"/>
        <w:tabs>
          <w:tab w:leader="none" w:pos="1541" w:val="left"/>
        </w:tabs>
        <w:numPr>
          <w:ilvl w:val="1"/>
          <w:numId w:val="69"/>
        </w:numPr>
        <w:rPr>
          <w:rFonts w:ascii="Arial" w:cs="Arial" w:eastAsia="Arial" w:hAnsi="Arial"/>
          <w:sz w:val="19"/>
          <w:szCs w:val="19"/>
          <w:color w:val="auto"/>
        </w:rPr>
      </w:pPr>
      <w:r>
        <w:rPr>
          <w:rFonts w:ascii="Arial" w:cs="Arial" w:eastAsia="Arial" w:hAnsi="Arial"/>
          <w:sz w:val="19"/>
          <w:szCs w:val="19"/>
          <w:i w:val="1"/>
          <w:iCs w:val="1"/>
          <w:color w:val="auto"/>
        </w:rPr>
        <w:t>Issuance of Common Shares</w:t>
      </w:r>
      <w:r>
        <w:rPr>
          <w:rFonts w:ascii="Arial" w:cs="Arial" w:eastAsia="Arial" w:hAnsi="Arial"/>
          <w:sz w:val="19"/>
          <w:szCs w:val="19"/>
          <w:color w:val="auto"/>
        </w:rPr>
        <w:t>. For purposes of this Section 5, the aggregate number of Common Shares available</w:t>
      </w:r>
      <w:r>
        <w:rPr>
          <w:rFonts w:ascii="Arial" w:cs="Arial" w:eastAsia="Arial" w:hAnsi="Arial"/>
          <w:sz w:val="19"/>
          <w:szCs w:val="19"/>
          <w:i w:val="1"/>
          <w:iCs w:val="1"/>
          <w:color w:val="auto"/>
        </w:rPr>
        <w:t xml:space="preserve"> </w:t>
      </w:r>
      <w:r>
        <w:rPr>
          <w:rFonts w:ascii="Arial" w:cs="Arial" w:eastAsia="Arial" w:hAnsi="Arial"/>
          <w:sz w:val="19"/>
          <w:szCs w:val="19"/>
          <w:color w:val="auto"/>
        </w:rPr>
        <w:t>for Awards under this Plan at any time shall not be reduced by (i) shares subject to Awards that have been terminated, expired, unexercised, forfeited or settled in cash, (ii) shares subject to Awards that have been retained by the Company in payment or satisfaction of the exercise price, purchase price or tax withholding obligation of an Award, or (iii) shares subject to Awards that otherwise do not result in the issuance of Common Shares in connection with payment or settlement of an Award. In addition, Common Shares that have been delivered (either actually or by attestation) to the Company in payment or satisfaction of the exercise price, purchase price or tax withholding obligation of an Award shall be available for Awards under this Plan.</w:t>
      </w:r>
    </w:p>
    <w:p>
      <w:pPr>
        <w:spacing w:after="0" w:line="192" w:lineRule="exact"/>
        <w:rPr>
          <w:rFonts w:ascii="Arial" w:cs="Arial" w:eastAsia="Arial" w:hAnsi="Arial"/>
          <w:sz w:val="19"/>
          <w:szCs w:val="19"/>
          <w:color w:val="auto"/>
        </w:rPr>
      </w:pPr>
    </w:p>
    <w:p>
      <w:pPr>
        <w:ind w:left="-8" w:right="80" w:firstLine="656"/>
        <w:spacing w:after="0" w:line="260" w:lineRule="auto"/>
        <w:tabs>
          <w:tab w:leader="none" w:pos="1528" w:val="left"/>
        </w:tabs>
        <w:numPr>
          <w:ilvl w:val="1"/>
          <w:numId w:val="69"/>
        </w:numPr>
        <w:rPr>
          <w:rFonts w:ascii="Arial" w:cs="Arial" w:eastAsia="Arial" w:hAnsi="Arial"/>
          <w:sz w:val="21"/>
          <w:szCs w:val="21"/>
          <w:color w:val="auto"/>
        </w:rPr>
      </w:pPr>
      <w:r>
        <w:rPr>
          <w:rFonts w:ascii="Arial" w:cs="Arial" w:eastAsia="Arial" w:hAnsi="Arial"/>
          <w:sz w:val="21"/>
          <w:szCs w:val="21"/>
          <w:i w:val="1"/>
          <w:iCs w:val="1"/>
          <w:color w:val="auto"/>
        </w:rPr>
        <w:t>Tax Code and Other Limits</w:t>
      </w:r>
      <w:r>
        <w:rPr>
          <w:rFonts w:ascii="Arial" w:cs="Arial" w:eastAsia="Arial" w:hAnsi="Arial"/>
          <w:sz w:val="21"/>
          <w:szCs w:val="21"/>
          <w:color w:val="auto"/>
        </w:rPr>
        <w:t>. The aggregate number of Common Shares subject to Awards granted under this Plan</w:t>
      </w:r>
      <w:r>
        <w:rPr>
          <w:rFonts w:ascii="Arial" w:cs="Arial" w:eastAsia="Arial" w:hAnsi="Arial"/>
          <w:sz w:val="21"/>
          <w:szCs w:val="21"/>
          <w:i w:val="1"/>
          <w:iCs w:val="1"/>
          <w:color w:val="auto"/>
        </w:rPr>
        <w:t xml:space="preserve"> </w:t>
      </w:r>
      <w:r>
        <w:rPr>
          <w:rFonts w:ascii="Arial" w:cs="Arial" w:eastAsia="Arial" w:hAnsi="Arial"/>
          <w:sz w:val="21"/>
          <w:szCs w:val="21"/>
          <w:color w:val="auto"/>
        </w:rPr>
        <w:t>during any calendar year to any one Participant shall not exceed 400,000, which number shall be calculated and adjusted pursuant to Section 11 only to the extent that such calculation or adjustment will not affect the status of any Award intended to qualify as “performance based compensation” under Section 162(m) of the Code but which number shall not count any tandem SARs (as defined in Section 7). Any Common Shares that may be issued under this Plan may be issued pursuant to the exercise of Incentive Stock Options. The aggregate value of Awards granted under this Plan during any calendar year to any one non-employee director who is a Participant shall not exceed $400,000.</w:t>
      </w:r>
    </w:p>
    <w:p>
      <w:pPr>
        <w:spacing w:after="0" w:line="221" w:lineRule="exact"/>
        <w:rPr>
          <w:rFonts w:ascii="Arial" w:cs="Arial" w:eastAsia="Arial" w:hAnsi="Arial"/>
          <w:sz w:val="21"/>
          <w:szCs w:val="21"/>
          <w:color w:val="auto"/>
        </w:rPr>
      </w:pPr>
    </w:p>
    <w:p>
      <w:pPr>
        <w:ind w:left="-8" w:firstLine="656"/>
        <w:spacing w:after="0" w:line="247" w:lineRule="auto"/>
        <w:tabs>
          <w:tab w:leader="none" w:pos="1541" w:val="left"/>
        </w:tabs>
        <w:numPr>
          <w:ilvl w:val="1"/>
          <w:numId w:val="69"/>
        </w:numPr>
        <w:rPr>
          <w:rFonts w:ascii="Arial" w:cs="Arial" w:eastAsia="Arial" w:hAnsi="Arial"/>
          <w:sz w:val="22"/>
          <w:szCs w:val="22"/>
          <w:color w:val="auto"/>
        </w:rPr>
      </w:pPr>
      <w:r>
        <w:rPr>
          <w:rFonts w:ascii="Arial" w:cs="Arial" w:eastAsia="Arial" w:hAnsi="Arial"/>
          <w:sz w:val="22"/>
          <w:szCs w:val="22"/>
          <w:i w:val="1"/>
          <w:iCs w:val="1"/>
          <w:color w:val="auto"/>
        </w:rPr>
        <w:t xml:space="preserve">Substitute Awards. </w:t>
      </w:r>
      <w:r>
        <w:rPr>
          <w:rFonts w:ascii="Arial" w:cs="Arial" w:eastAsia="Arial" w:hAnsi="Arial"/>
          <w:sz w:val="22"/>
          <w:szCs w:val="22"/>
          <w:color w:val="auto"/>
        </w:rPr>
        <w:t>Substitute Awards shall not reduce the Common Shares authorized for issuance under the Plan</w:t>
      </w:r>
      <w:r>
        <w:rPr>
          <w:rFonts w:ascii="Arial" w:cs="Arial" w:eastAsia="Arial" w:hAnsi="Arial"/>
          <w:sz w:val="22"/>
          <w:szCs w:val="22"/>
          <w:i w:val="1"/>
          <w:iCs w:val="1"/>
          <w:color w:val="auto"/>
        </w:rPr>
        <w:t xml:space="preserve"> </w:t>
      </w:r>
      <w:r>
        <w:rPr>
          <w:rFonts w:ascii="Arial" w:cs="Arial" w:eastAsia="Arial" w:hAnsi="Arial"/>
          <w:sz w:val="22"/>
          <w:szCs w:val="22"/>
          <w:color w:val="auto"/>
        </w:rPr>
        <w:t>or authorized for grant to a Participant in any calendar year. Additionally, in the event that a corporation acquired by the Company or any Subsidiary, or with which the Company or any Subsidiary combines, has shares available under a pre-existing plan approved by shareholders and not adopted in contemplation of such acquisition or combination, the shares available for grant pursuant to the terms of such pre-existing plan (as adjusted, to the extent appropriate, using the exchange ratio or other adjustment or valuation ratio</w:t>
      </w:r>
    </w:p>
    <w:p>
      <w:pPr>
        <w:spacing w:after="0" w:line="214"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A- 4</w:t>
      </w:r>
    </w:p>
    <w:p>
      <w:pPr>
        <w:sectPr>
          <w:pgSz w:w="11900" w:h="16838" w:orient="portrait"/>
          <w:cols w:equalWidth="0" w:num="1">
            <w:col w:w="11392"/>
          </w:cols>
          <w:pgMar w:left="248" w:top="369" w:right="259" w:bottom="1440" w:gutter="0" w:footer="0" w:header="0"/>
        </w:sectPr>
      </w:pPr>
    </w:p>
    <w:bookmarkStart w:id="91" w:name="page92"/>
    <w:bookmarkEnd w:id="91"/>
    <w:p>
      <w:pPr>
        <w:ind w:right="40"/>
        <w:spacing w:after="0" w:line="247" w:lineRule="auto"/>
        <w:rPr>
          <w:sz w:val="20"/>
          <w:szCs w:val="20"/>
          <w:color w:val="auto"/>
        </w:rPr>
      </w:pPr>
      <w:r>
        <w:rPr>
          <w:rFonts w:ascii="Arial" w:cs="Arial" w:eastAsia="Arial" w:hAnsi="Arial"/>
          <w:sz w:val="22"/>
          <w:szCs w:val="22"/>
          <w:color w:val="auto"/>
        </w:rPr>
        <w:t>or formula used in such acquisition or combination to determine the consideration payable to the holders of common stock of the entities party to such acquisition or combination) may be used for Awards under the Plan and shall not reduce the Common Shares authorized for issuance under the Plan; provided that Awards using such available shares shall not be made after the date awards or grants could have been made under the terms of the pre-existing plan, absent the acquisition or combination, and shall only be made to individuals who were not employees, directors or consultants of the Company or its Subsidiaries immediately before such acquisition or combination.</w:t>
      </w:r>
    </w:p>
    <w:p>
      <w:pPr>
        <w:spacing w:after="0" w:line="228" w:lineRule="exact"/>
        <w:rPr>
          <w:sz w:val="20"/>
          <w:szCs w:val="20"/>
          <w:color w:val="auto"/>
        </w:rPr>
      </w:pPr>
    </w:p>
    <w:p>
      <w:pPr>
        <w:ind w:left="820" w:hanging="812"/>
        <w:spacing w:after="0"/>
        <w:tabs>
          <w:tab w:leader="none" w:pos="820" w:val="left"/>
        </w:tabs>
        <w:numPr>
          <w:ilvl w:val="0"/>
          <w:numId w:val="70"/>
        </w:numPr>
        <w:rPr>
          <w:rFonts w:ascii="Arial" w:cs="Arial" w:eastAsia="Arial" w:hAnsi="Arial"/>
          <w:sz w:val="22"/>
          <w:szCs w:val="22"/>
          <w:b w:val="1"/>
          <w:bCs w:val="1"/>
          <w:color w:val="auto"/>
        </w:rPr>
      </w:pPr>
      <w:r>
        <w:rPr>
          <w:rFonts w:ascii="Arial" w:cs="Arial" w:eastAsia="Arial" w:hAnsi="Arial"/>
          <w:sz w:val="22"/>
          <w:szCs w:val="22"/>
          <w:b w:val="1"/>
          <w:bCs w:val="1"/>
          <w:color w:val="auto"/>
        </w:rPr>
        <w:t>Options</w:t>
      </w:r>
    </w:p>
    <w:p>
      <w:pPr>
        <w:spacing w:after="0" w:line="266" w:lineRule="exact"/>
        <w:rPr>
          <w:rFonts w:ascii="Arial" w:cs="Arial" w:eastAsia="Arial" w:hAnsi="Arial"/>
          <w:sz w:val="22"/>
          <w:szCs w:val="22"/>
          <w:b w:val="1"/>
          <w:bCs w:val="1"/>
          <w:color w:val="auto"/>
        </w:rPr>
      </w:pPr>
    </w:p>
    <w:p>
      <w:pPr>
        <w:ind w:firstLine="656"/>
        <w:spacing w:after="0" w:line="247" w:lineRule="auto"/>
        <w:tabs>
          <w:tab w:leader="none" w:pos="1536" w:val="left"/>
        </w:tabs>
        <w:numPr>
          <w:ilvl w:val="1"/>
          <w:numId w:val="70"/>
        </w:numPr>
        <w:rPr>
          <w:rFonts w:ascii="Arial" w:cs="Arial" w:eastAsia="Arial" w:hAnsi="Arial"/>
          <w:sz w:val="22"/>
          <w:szCs w:val="22"/>
          <w:color w:val="auto"/>
        </w:rPr>
      </w:pPr>
      <w:r>
        <w:rPr>
          <w:rFonts w:ascii="Arial" w:cs="Arial" w:eastAsia="Arial" w:hAnsi="Arial"/>
          <w:sz w:val="22"/>
          <w:szCs w:val="22"/>
          <w:i w:val="1"/>
          <w:iCs w:val="1"/>
          <w:color w:val="auto"/>
        </w:rPr>
        <w:t>Option Awards</w:t>
      </w:r>
      <w:r>
        <w:rPr>
          <w:rFonts w:ascii="Arial" w:cs="Arial" w:eastAsia="Arial" w:hAnsi="Arial"/>
          <w:sz w:val="22"/>
          <w:szCs w:val="22"/>
          <w:color w:val="auto"/>
        </w:rPr>
        <w:t>. Options may be granted at any time and from time to time prior to the termination of the Plan to</w:t>
      </w:r>
      <w:r>
        <w:rPr>
          <w:rFonts w:ascii="Arial" w:cs="Arial" w:eastAsia="Arial" w:hAnsi="Arial"/>
          <w:sz w:val="22"/>
          <w:szCs w:val="22"/>
          <w:i w:val="1"/>
          <w:iCs w:val="1"/>
          <w:color w:val="auto"/>
        </w:rPr>
        <w:t xml:space="preserve"> </w:t>
      </w:r>
      <w:r>
        <w:rPr>
          <w:rFonts w:ascii="Arial" w:cs="Arial" w:eastAsia="Arial" w:hAnsi="Arial"/>
          <w:sz w:val="22"/>
          <w:szCs w:val="22"/>
          <w:color w:val="auto"/>
        </w:rPr>
        <w:t>Participants as determined by the Committee. No Participant shall have any rights as a stockholder with respect to any Common Shares subject to Option hereunder until said Common Shares have been issued, except that the Committee may authorize dividend equivalent accruals with respect to such Common Shares. Each Option shall be evidenced by an Award Agreement. Options granted pursuant to the Plan need not be identical but each Option must contain and be subject to the terms and conditions set forth below.</w:t>
      </w:r>
    </w:p>
    <w:p>
      <w:pPr>
        <w:spacing w:after="0" w:line="234" w:lineRule="exact"/>
        <w:rPr>
          <w:rFonts w:ascii="Arial" w:cs="Arial" w:eastAsia="Arial" w:hAnsi="Arial"/>
          <w:sz w:val="22"/>
          <w:szCs w:val="22"/>
          <w:color w:val="auto"/>
        </w:rPr>
      </w:pPr>
    </w:p>
    <w:p>
      <w:pPr>
        <w:ind w:right="40" w:firstLine="656"/>
        <w:spacing w:after="0" w:line="289" w:lineRule="auto"/>
        <w:tabs>
          <w:tab w:leader="none" w:pos="1549" w:val="left"/>
        </w:tabs>
        <w:numPr>
          <w:ilvl w:val="1"/>
          <w:numId w:val="70"/>
        </w:numPr>
        <w:rPr>
          <w:rFonts w:ascii="Arial" w:cs="Arial" w:eastAsia="Arial" w:hAnsi="Arial"/>
          <w:sz w:val="19"/>
          <w:szCs w:val="19"/>
          <w:color w:val="auto"/>
        </w:rPr>
      </w:pPr>
      <w:r>
        <w:rPr>
          <w:rFonts w:ascii="Arial" w:cs="Arial" w:eastAsia="Arial" w:hAnsi="Arial"/>
          <w:sz w:val="19"/>
          <w:szCs w:val="19"/>
          <w:i w:val="1"/>
          <w:iCs w:val="1"/>
          <w:color w:val="auto"/>
        </w:rPr>
        <w:t>Price</w:t>
      </w:r>
      <w:r>
        <w:rPr>
          <w:rFonts w:ascii="Arial" w:cs="Arial" w:eastAsia="Arial" w:hAnsi="Arial"/>
          <w:sz w:val="19"/>
          <w:szCs w:val="19"/>
          <w:color w:val="auto"/>
        </w:rPr>
        <w:t>. The Committee will establish the exercise price per Common Share under each Option, which, in no event</w:t>
      </w:r>
      <w:r>
        <w:rPr>
          <w:rFonts w:ascii="Arial" w:cs="Arial" w:eastAsia="Arial" w:hAnsi="Arial"/>
          <w:sz w:val="19"/>
          <w:szCs w:val="19"/>
          <w:i w:val="1"/>
          <w:iCs w:val="1"/>
          <w:color w:val="auto"/>
        </w:rPr>
        <w:t xml:space="preserve"> </w:t>
      </w:r>
      <w:r>
        <w:rPr>
          <w:rFonts w:ascii="Arial" w:cs="Arial" w:eastAsia="Arial" w:hAnsi="Arial"/>
          <w:sz w:val="19"/>
          <w:szCs w:val="19"/>
          <w:color w:val="auto"/>
        </w:rPr>
        <w:t>will be less than the Fair Market Value of the Common Shares on the date of grant; provided, however, that the exercise price per Common Share with respect to an Option that is granted in connection with a merger or other acquisition as a substitute or replacement award for options held by optionees of the acquired entity may be less than 100% of the market price of the Common Shares on the date such Option is granted if such exercise price is based on a formula set forth in the terms of the options held by such optionees or in the terms of the agreement providing for such merger or other acquisition. The exercise price of any Option may be paid in Common Shares, cash, certified check, money order or a combination thereof, as determined by the Committee, including an irrevocable commitment by a broker to pay over such amount from a sale of the Common Shares issuable under an Option, the delivery of previously owned Common Shares and withholding of Common Shares deliverable upon exercise.</w:t>
      </w:r>
    </w:p>
    <w:p>
      <w:pPr>
        <w:spacing w:after="0" w:line="198" w:lineRule="exact"/>
        <w:rPr>
          <w:rFonts w:ascii="Arial" w:cs="Arial" w:eastAsia="Arial" w:hAnsi="Arial"/>
          <w:sz w:val="19"/>
          <w:szCs w:val="19"/>
          <w:color w:val="auto"/>
        </w:rPr>
      </w:pPr>
    </w:p>
    <w:p>
      <w:pPr>
        <w:ind w:left="1540" w:hanging="884"/>
        <w:spacing w:after="0"/>
        <w:tabs>
          <w:tab w:leader="none" w:pos="1540" w:val="left"/>
        </w:tabs>
        <w:numPr>
          <w:ilvl w:val="1"/>
          <w:numId w:val="70"/>
        </w:numPr>
        <w:rPr>
          <w:rFonts w:ascii="Arial" w:cs="Arial" w:eastAsia="Arial" w:hAnsi="Arial"/>
          <w:sz w:val="21"/>
          <w:szCs w:val="21"/>
          <w:color w:val="auto"/>
        </w:rPr>
      </w:pPr>
      <w:r>
        <w:rPr>
          <w:rFonts w:ascii="Arial" w:cs="Arial" w:eastAsia="Arial" w:hAnsi="Arial"/>
          <w:sz w:val="21"/>
          <w:szCs w:val="21"/>
          <w:i w:val="1"/>
          <w:iCs w:val="1"/>
          <w:color w:val="auto"/>
        </w:rPr>
        <w:t>No Repricing</w:t>
      </w:r>
      <w:r>
        <w:rPr>
          <w:rFonts w:ascii="Arial" w:cs="Arial" w:eastAsia="Arial" w:hAnsi="Arial"/>
          <w:sz w:val="21"/>
          <w:szCs w:val="21"/>
          <w:color w:val="auto"/>
        </w:rPr>
        <w:t>. Other than in connection with a change in the Company’s capitalization (as described in</w:t>
      </w:r>
    </w:p>
    <w:p>
      <w:pPr>
        <w:spacing w:after="0" w:line="33" w:lineRule="exact"/>
        <w:rPr>
          <w:sz w:val="20"/>
          <w:szCs w:val="20"/>
          <w:color w:val="auto"/>
        </w:rPr>
      </w:pPr>
    </w:p>
    <w:p>
      <w:pPr>
        <w:jc w:val="both"/>
        <w:ind w:right="200"/>
        <w:spacing w:after="0" w:line="262" w:lineRule="auto"/>
        <w:rPr>
          <w:sz w:val="20"/>
          <w:szCs w:val="20"/>
          <w:color w:val="auto"/>
        </w:rPr>
      </w:pPr>
      <w:r>
        <w:rPr>
          <w:rFonts w:ascii="Arial" w:cs="Arial" w:eastAsia="Arial" w:hAnsi="Arial"/>
          <w:sz w:val="21"/>
          <w:szCs w:val="21"/>
          <w:color w:val="auto"/>
        </w:rPr>
        <w:t>Section 11) the terms of outstanding Options may not be amended to reduce the exercise price of an Option or cancel, exchange, substitute, buyout or surrender an outstanding Option in exchange for cash, other awards or Options with an exercise price that is less than the exercise price of the original Option without stockholder approval.</w:t>
      </w:r>
    </w:p>
    <w:p>
      <w:pPr>
        <w:spacing w:after="0" w:line="218" w:lineRule="exact"/>
        <w:rPr>
          <w:sz w:val="20"/>
          <w:szCs w:val="20"/>
          <w:color w:val="auto"/>
        </w:rPr>
      </w:pPr>
    </w:p>
    <w:p>
      <w:pPr>
        <w:jc w:val="both"/>
        <w:ind w:right="40" w:firstLine="656"/>
        <w:spacing w:after="0" w:line="265" w:lineRule="auto"/>
        <w:tabs>
          <w:tab w:leader="none" w:pos="1549" w:val="left"/>
        </w:tabs>
        <w:numPr>
          <w:ilvl w:val="0"/>
          <w:numId w:val="71"/>
        </w:numPr>
        <w:rPr>
          <w:rFonts w:ascii="Arial" w:cs="Arial" w:eastAsia="Arial" w:hAnsi="Arial"/>
          <w:sz w:val="21"/>
          <w:szCs w:val="21"/>
          <w:color w:val="auto"/>
        </w:rPr>
      </w:pPr>
      <w:r>
        <w:rPr>
          <w:rFonts w:ascii="Arial" w:cs="Arial" w:eastAsia="Arial" w:hAnsi="Arial"/>
          <w:sz w:val="21"/>
          <w:szCs w:val="21"/>
          <w:i w:val="1"/>
          <w:iCs w:val="1"/>
          <w:color w:val="auto"/>
        </w:rPr>
        <w:t>Provisions Applicable to Options</w:t>
      </w:r>
      <w:r>
        <w:rPr>
          <w:rFonts w:ascii="Arial" w:cs="Arial" w:eastAsia="Arial" w:hAnsi="Arial"/>
          <w:sz w:val="21"/>
          <w:szCs w:val="21"/>
          <w:color w:val="auto"/>
        </w:rPr>
        <w:t>. The date on which Options become exercisable shall be determined at the sole</w:t>
      </w:r>
      <w:r>
        <w:rPr>
          <w:rFonts w:ascii="Arial" w:cs="Arial" w:eastAsia="Arial" w:hAnsi="Arial"/>
          <w:sz w:val="21"/>
          <w:szCs w:val="21"/>
          <w:i w:val="1"/>
          <w:iCs w:val="1"/>
          <w:color w:val="auto"/>
        </w:rPr>
        <w:t xml:space="preserve"> </w:t>
      </w:r>
      <w:r>
        <w:rPr>
          <w:rFonts w:ascii="Arial" w:cs="Arial" w:eastAsia="Arial" w:hAnsi="Arial"/>
          <w:sz w:val="21"/>
          <w:szCs w:val="21"/>
          <w:color w:val="auto"/>
        </w:rPr>
        <w:t>discretion of the Committee and set forth in an Award Agreement. Unless provided otherwise in the applicable Award Agreement, to the extent that the Committee determines that an approved leave of absence or employment on a less than full-time basis is not a termination of employment, the vesting period and/or exercisability of an Option shall be</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A- 5</w:t>
      </w:r>
    </w:p>
    <w:p>
      <w:pPr>
        <w:sectPr>
          <w:pgSz w:w="11900" w:h="16838" w:orient="portrait"/>
          <w:cols w:equalWidth="0" w:num="1">
            <w:col w:w="11380"/>
          </w:cols>
          <w:pgMar w:left="240" w:top="375" w:right="279" w:bottom="1440" w:gutter="0" w:footer="0" w:header="0"/>
        </w:sectPr>
      </w:pPr>
    </w:p>
    <w:bookmarkStart w:id="92" w:name="page93"/>
    <w:bookmarkEnd w:id="92"/>
    <w:p>
      <w:pPr>
        <w:ind w:right="380"/>
        <w:spacing w:after="0" w:line="263" w:lineRule="auto"/>
        <w:rPr>
          <w:sz w:val="20"/>
          <w:szCs w:val="20"/>
          <w:color w:val="auto"/>
        </w:rPr>
      </w:pPr>
      <w:r>
        <w:rPr>
          <w:rFonts w:ascii="Arial" w:cs="Arial" w:eastAsia="Arial" w:hAnsi="Arial"/>
          <w:sz w:val="22"/>
          <w:szCs w:val="22"/>
          <w:color w:val="auto"/>
        </w:rPr>
        <w:t>adjusted by the Committee during or to reflect the effects of any period during which the Participant is on an approved leave of absence or is employed on a less than full-time basis.</w:t>
      </w:r>
    </w:p>
    <w:p>
      <w:pPr>
        <w:spacing w:after="0" w:line="215" w:lineRule="exact"/>
        <w:rPr>
          <w:sz w:val="20"/>
          <w:szCs w:val="20"/>
          <w:color w:val="auto"/>
        </w:rPr>
      </w:pPr>
    </w:p>
    <w:p>
      <w:pPr>
        <w:jc w:val="both"/>
        <w:ind w:right="120" w:firstLine="656"/>
        <w:spacing w:after="0" w:line="302" w:lineRule="auto"/>
        <w:tabs>
          <w:tab w:leader="none" w:pos="1536" w:val="left"/>
        </w:tabs>
        <w:numPr>
          <w:ilvl w:val="0"/>
          <w:numId w:val="72"/>
        </w:numPr>
        <w:rPr>
          <w:rFonts w:ascii="Arial" w:cs="Arial" w:eastAsia="Arial" w:hAnsi="Arial"/>
          <w:sz w:val="19"/>
          <w:szCs w:val="19"/>
          <w:color w:val="auto"/>
        </w:rPr>
      </w:pPr>
      <w:r>
        <w:rPr>
          <w:rFonts w:ascii="Arial" w:cs="Arial" w:eastAsia="Arial" w:hAnsi="Arial"/>
          <w:sz w:val="19"/>
          <w:szCs w:val="19"/>
          <w:i w:val="1"/>
          <w:iCs w:val="1"/>
          <w:color w:val="auto"/>
        </w:rPr>
        <w:t>Term of Options and Termination of Employment</w:t>
      </w:r>
      <w:r>
        <w:rPr>
          <w:rFonts w:ascii="Arial" w:cs="Arial" w:eastAsia="Arial" w:hAnsi="Arial"/>
          <w:sz w:val="19"/>
          <w:szCs w:val="19"/>
          <w:color w:val="auto"/>
        </w:rPr>
        <w:t>: The Committee shall establish the term of each Option, which</w:t>
      </w:r>
      <w:r>
        <w:rPr>
          <w:rFonts w:ascii="Arial" w:cs="Arial" w:eastAsia="Arial" w:hAnsi="Arial"/>
          <w:sz w:val="19"/>
          <w:szCs w:val="19"/>
          <w:i w:val="1"/>
          <w:iCs w:val="1"/>
          <w:color w:val="auto"/>
        </w:rPr>
        <w:t xml:space="preserve"> </w:t>
      </w:r>
      <w:r>
        <w:rPr>
          <w:rFonts w:ascii="Arial" w:cs="Arial" w:eastAsia="Arial" w:hAnsi="Arial"/>
          <w:sz w:val="19"/>
          <w:szCs w:val="19"/>
          <w:color w:val="auto"/>
        </w:rPr>
        <w:t>in no case shall exceed a period of ten (10) years from the date of grant. Unless an Option earlier expires upon the expiration date established pursuant to the foregoing sentence, upon the termination of the Participant’s employment, his or her rights to exercise an Option then held shall be determined by the Committee and set forth in an Award Agreement.</w:t>
      </w:r>
    </w:p>
    <w:p>
      <w:pPr>
        <w:spacing w:after="0" w:line="183" w:lineRule="exact"/>
        <w:rPr>
          <w:rFonts w:ascii="Arial" w:cs="Arial" w:eastAsia="Arial" w:hAnsi="Arial"/>
          <w:sz w:val="19"/>
          <w:szCs w:val="19"/>
          <w:color w:val="auto"/>
        </w:rPr>
      </w:pPr>
    </w:p>
    <w:p>
      <w:pPr>
        <w:ind w:firstLine="656"/>
        <w:spacing w:after="0" w:line="286" w:lineRule="auto"/>
        <w:tabs>
          <w:tab w:leader="none" w:pos="1512" w:val="left"/>
        </w:tabs>
        <w:numPr>
          <w:ilvl w:val="0"/>
          <w:numId w:val="72"/>
        </w:numPr>
        <w:rPr>
          <w:rFonts w:ascii="Arial" w:cs="Arial" w:eastAsia="Arial" w:hAnsi="Arial"/>
          <w:sz w:val="19"/>
          <w:szCs w:val="19"/>
          <w:color w:val="auto"/>
        </w:rPr>
      </w:pPr>
      <w:r>
        <w:rPr>
          <w:rFonts w:ascii="Arial" w:cs="Arial" w:eastAsia="Arial" w:hAnsi="Arial"/>
          <w:sz w:val="19"/>
          <w:szCs w:val="19"/>
          <w:i w:val="1"/>
          <w:iCs w:val="1"/>
          <w:color w:val="auto"/>
        </w:rPr>
        <w:t>Incentive Stock Options</w:t>
      </w:r>
      <w:r>
        <w:rPr>
          <w:rFonts w:ascii="Arial" w:cs="Arial" w:eastAsia="Arial" w:hAnsi="Arial"/>
          <w:sz w:val="19"/>
          <w:szCs w:val="19"/>
          <w:color w:val="auto"/>
        </w:rPr>
        <w:t>. Notwithstanding anything to the contrary in this Section 6, in the case of the grant of an</w:t>
      </w:r>
      <w:r>
        <w:rPr>
          <w:rFonts w:ascii="Arial" w:cs="Arial" w:eastAsia="Arial" w:hAnsi="Arial"/>
          <w:sz w:val="19"/>
          <w:szCs w:val="19"/>
          <w:i w:val="1"/>
          <w:iCs w:val="1"/>
          <w:color w:val="auto"/>
        </w:rPr>
        <w:t xml:space="preserve"> </w:t>
      </w:r>
      <w:r>
        <w:rPr>
          <w:rFonts w:ascii="Arial" w:cs="Arial" w:eastAsia="Arial" w:hAnsi="Arial"/>
          <w:sz w:val="19"/>
          <w:szCs w:val="19"/>
          <w:color w:val="auto"/>
        </w:rPr>
        <w:t>Option intending to qualify as an Incentive Stock Option: (i) if the Participant owns stock possessing more than 10 percent of the combined voting power of all classes of stock of the Company (a “10% Common Shareholder”), the exercise price of such Option must be at least 110 percent of the Fair Market Value of the Common Shares on the date of grant and the Option must expire within a period of not more than five (5) years from the date of grant, and (ii) termination of employment will occur when the person to whom an Award was granted ceases to be an employee (as determined in accordance with Section 3401(c) of the Code and the regulations promulgated thereunder) of the Company and its Subsidiaries. Notwithstanding anything in this Section 6 to the contrary, options designated as Incentive Stock Options shall not be eligible for treatment under the Code as Incentive Stock Options (and will be deemed to be Nonqualified Stock Options) to the extent that either (a) the aggregate Fair Market Value of Common Shares (determined as of the time of grant) with respect to which such Options are exercisable for the first time by the Participant during any calendar year (under all plans of the Company and any Subsidiary) exceeds $100,000, taking Options into account in the order in which they were granted, or (b) such Options otherwise remain exercisable but are not exercised within three (3) months of Termination of employment (or such other period of time provided in Section 422 of the Code).</w:t>
      </w:r>
    </w:p>
    <w:p>
      <w:pPr>
        <w:spacing w:after="0" w:line="202" w:lineRule="exact"/>
        <w:rPr>
          <w:sz w:val="20"/>
          <w:szCs w:val="20"/>
          <w:color w:val="auto"/>
        </w:rPr>
      </w:pPr>
    </w:p>
    <w:p>
      <w:pPr>
        <w:ind w:left="820" w:hanging="812"/>
        <w:spacing w:after="0"/>
        <w:tabs>
          <w:tab w:leader="none" w:pos="820" w:val="left"/>
        </w:tabs>
        <w:numPr>
          <w:ilvl w:val="0"/>
          <w:numId w:val="73"/>
        </w:numPr>
        <w:rPr>
          <w:rFonts w:ascii="Arial" w:cs="Arial" w:eastAsia="Arial" w:hAnsi="Arial"/>
          <w:sz w:val="22"/>
          <w:szCs w:val="22"/>
          <w:b w:val="1"/>
          <w:bCs w:val="1"/>
          <w:color w:val="auto"/>
        </w:rPr>
      </w:pPr>
      <w:r>
        <w:rPr>
          <w:rFonts w:ascii="Arial" w:cs="Arial" w:eastAsia="Arial" w:hAnsi="Arial"/>
          <w:sz w:val="22"/>
          <w:szCs w:val="22"/>
          <w:b w:val="1"/>
          <w:bCs w:val="1"/>
          <w:color w:val="auto"/>
        </w:rPr>
        <w:t>Stock Appreciation Rights</w:t>
      </w:r>
    </w:p>
    <w:p>
      <w:pPr>
        <w:spacing w:after="0" w:line="226" w:lineRule="exact"/>
        <w:rPr>
          <w:sz w:val="20"/>
          <w:szCs w:val="20"/>
          <w:color w:val="auto"/>
        </w:rPr>
      </w:pPr>
    </w:p>
    <w:p>
      <w:pPr>
        <w:ind w:firstLine="648"/>
        <w:spacing w:after="0" w:line="258" w:lineRule="auto"/>
        <w:rPr>
          <w:sz w:val="20"/>
          <w:szCs w:val="20"/>
          <w:color w:val="auto"/>
        </w:rPr>
      </w:pPr>
      <w:r>
        <w:rPr>
          <w:rFonts w:ascii="Arial" w:cs="Arial" w:eastAsia="Arial" w:hAnsi="Arial"/>
          <w:sz w:val="21"/>
          <w:szCs w:val="21"/>
          <w:color w:val="auto"/>
        </w:rPr>
        <w:t>Stock Appreciation Rights may be granted to Participants from time to time either in tandem with or as a component of other Awards granted under the Plan (“tandem SARs”) or not in conjunction with other Awards (“freestanding SARs”) and may, but need not, relate to a specific Option granted under Section 6. The provisions of Stock Appreciation Rights need not be the same with respect to each grant or each recipient. Any Stock Appreciation Right granted in tandem with an Award may be granted at the same time such Award is granted or at any time thereafter before exercise or expiration of such Award. All freestanding SARs shall be granted subject to the same terms and conditions applicable to Options as set forth in Section 6 and all tandem SARs shall have the same exercise price, vesting, exercisability, forfeiture and termination provisions as the Award to which they relate. Subject to the provisions of Section 6 and the immediately preceding sentence, the Committee may impose such other conditions or restrictions on any Stock Appreciation Right as it shall deem appropriate. Stock Appreciation Rights may be settled in Common Shares, cash or a combination thereof, as determined by the Committee and set forth in the applicable Award Agreement. Other than in connection with a</w:t>
      </w:r>
    </w:p>
    <w:p>
      <w:pPr>
        <w:spacing w:after="0" w:line="20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A- 6</w:t>
      </w:r>
    </w:p>
    <w:p>
      <w:pPr>
        <w:sectPr>
          <w:pgSz w:w="11900" w:h="16838" w:orient="portrait"/>
          <w:cols w:equalWidth="0" w:num="1">
            <w:col w:w="11380"/>
          </w:cols>
          <w:pgMar w:left="240" w:top="375" w:right="279" w:bottom="1440" w:gutter="0" w:footer="0" w:header="0"/>
        </w:sectPr>
      </w:pPr>
    </w:p>
    <w:bookmarkStart w:id="93" w:name="page94"/>
    <w:bookmarkEnd w:id="93"/>
    <w:p>
      <w:pPr>
        <w:ind w:right="40"/>
        <w:spacing w:after="0" w:line="265" w:lineRule="auto"/>
        <w:rPr>
          <w:sz w:val="20"/>
          <w:szCs w:val="20"/>
          <w:color w:val="auto"/>
        </w:rPr>
      </w:pPr>
      <w:r>
        <w:rPr>
          <w:rFonts w:ascii="Arial" w:cs="Arial" w:eastAsia="Arial" w:hAnsi="Arial"/>
          <w:sz w:val="21"/>
          <w:szCs w:val="21"/>
          <w:color w:val="auto"/>
        </w:rPr>
        <w:t>change in the Company’s capitalization (as described in Section 11) the terms of outstanding Stock Appreciation Rights may not be amended to reduce the exercise price of a Stock Appreciation Right or cancel, exchange, substitute, buyout or surrender an outstanding Stock Appreciation Right in exchange for cash, other awards or Stock Appreciation Rights with an exercise price that is less than the exercise price of the original Stock Appreciation Right without stockholder approval.</w:t>
      </w:r>
    </w:p>
    <w:p>
      <w:pPr>
        <w:spacing w:after="0" w:line="210" w:lineRule="exact"/>
        <w:rPr>
          <w:sz w:val="20"/>
          <w:szCs w:val="20"/>
          <w:color w:val="auto"/>
        </w:rPr>
      </w:pPr>
    </w:p>
    <w:p>
      <w:pPr>
        <w:ind w:left="660" w:hanging="328"/>
        <w:spacing w:after="0"/>
        <w:tabs>
          <w:tab w:leader="none" w:pos="660" w:val="left"/>
        </w:tabs>
        <w:numPr>
          <w:ilvl w:val="0"/>
          <w:numId w:val="74"/>
        </w:numPr>
        <w:rPr>
          <w:rFonts w:ascii="Arial" w:cs="Arial" w:eastAsia="Arial" w:hAnsi="Arial"/>
          <w:sz w:val="22"/>
          <w:szCs w:val="22"/>
          <w:b w:val="1"/>
          <w:bCs w:val="1"/>
          <w:color w:val="auto"/>
        </w:rPr>
      </w:pPr>
      <w:r>
        <w:rPr>
          <w:rFonts w:ascii="Arial" w:cs="Arial" w:eastAsia="Arial" w:hAnsi="Arial"/>
          <w:sz w:val="22"/>
          <w:szCs w:val="22"/>
          <w:b w:val="1"/>
          <w:bCs w:val="1"/>
          <w:color w:val="auto"/>
        </w:rPr>
        <w:t>Restricted Stock and Restricted Stock Units</w:t>
      </w:r>
    </w:p>
    <w:p>
      <w:pPr>
        <w:spacing w:after="0" w:line="266" w:lineRule="exact"/>
        <w:rPr>
          <w:rFonts w:ascii="Arial" w:cs="Arial" w:eastAsia="Arial" w:hAnsi="Arial"/>
          <w:sz w:val="22"/>
          <w:szCs w:val="22"/>
          <w:b w:val="1"/>
          <w:bCs w:val="1"/>
          <w:color w:val="auto"/>
        </w:rPr>
      </w:pPr>
    </w:p>
    <w:p>
      <w:pPr>
        <w:ind w:right="20" w:firstLine="656"/>
        <w:spacing w:after="0" w:line="287" w:lineRule="auto"/>
        <w:tabs>
          <w:tab w:leader="none" w:pos="1536" w:val="left"/>
        </w:tabs>
        <w:numPr>
          <w:ilvl w:val="1"/>
          <w:numId w:val="74"/>
        </w:numPr>
        <w:rPr>
          <w:rFonts w:ascii="Arial" w:cs="Arial" w:eastAsia="Arial" w:hAnsi="Arial"/>
          <w:sz w:val="19"/>
          <w:szCs w:val="19"/>
          <w:color w:val="auto"/>
        </w:rPr>
      </w:pPr>
      <w:r>
        <w:rPr>
          <w:rFonts w:ascii="Arial" w:cs="Arial" w:eastAsia="Arial" w:hAnsi="Arial"/>
          <w:sz w:val="19"/>
          <w:szCs w:val="19"/>
          <w:i w:val="1"/>
          <w:iCs w:val="1"/>
          <w:color w:val="auto"/>
        </w:rPr>
        <w:t>Restricted Stock and Restricted Stock Unit Awards</w:t>
      </w:r>
      <w:r>
        <w:rPr>
          <w:rFonts w:ascii="Arial" w:cs="Arial" w:eastAsia="Arial" w:hAnsi="Arial"/>
          <w:sz w:val="19"/>
          <w:szCs w:val="19"/>
          <w:color w:val="auto"/>
        </w:rPr>
        <w:t>. Restricted Stock and Restricted Stock Units may be granted at</w:t>
      </w:r>
      <w:r>
        <w:rPr>
          <w:rFonts w:ascii="Arial" w:cs="Arial" w:eastAsia="Arial" w:hAnsi="Arial"/>
          <w:sz w:val="19"/>
          <w:szCs w:val="19"/>
          <w:i w:val="1"/>
          <w:iCs w:val="1"/>
          <w:color w:val="auto"/>
        </w:rPr>
        <w:t xml:space="preserve"> </w:t>
      </w:r>
      <w:r>
        <w:rPr>
          <w:rFonts w:ascii="Arial" w:cs="Arial" w:eastAsia="Arial" w:hAnsi="Arial"/>
          <w:sz w:val="19"/>
          <w:szCs w:val="19"/>
          <w:color w:val="auto"/>
        </w:rPr>
        <w:t>any time and from time to time prior to the termination of the Plan to Participants as determined by the Committee. Restricted Stock is an award or issuance of Common Shares the grant, issuance, retention, vesting and/or transferability of which is subject during specified periods of time to such conditions (including continued employment or performance conditions) and terms as the Committee deems appropriate. Restricted Stock Units are Awards denominated in units of Common Shares under which the issuance of Common Shares is subject to such conditions (including continued employment or performance conditions) and terms as the Committee deems appropriate. Each grant of Restricted Stock and Restricted Stock Units shall be evidenced by an Award Agreement. Unless determined otherwise by the Committee, each Restricted Stock Unit will be equal to one Common Share and will entitle a Participant to either the issuance of Common Shares or payment of an amount of cash determined with reference to the value of Common Shares. To the extent determined by the Committee, Restricted Stock and Restricted Stock Units may be satisfied or settled in Common Shares, cash or a combination thereof. Restricted Stock and Restricted Stock Units granted pursuant to the Plan need not be identical but each grant of Restricted Stock and Restricted Stock Units must contain and be subject to the terms and conditions set forth below.</w:t>
      </w:r>
    </w:p>
    <w:p>
      <w:pPr>
        <w:spacing w:after="0" w:line="200" w:lineRule="exact"/>
        <w:rPr>
          <w:rFonts w:ascii="Arial" w:cs="Arial" w:eastAsia="Arial" w:hAnsi="Arial"/>
          <w:sz w:val="19"/>
          <w:szCs w:val="19"/>
          <w:color w:val="auto"/>
        </w:rPr>
      </w:pPr>
    </w:p>
    <w:p>
      <w:pPr>
        <w:spacing w:after="0" w:line="257" w:lineRule="exact"/>
        <w:rPr>
          <w:rFonts w:ascii="Arial" w:cs="Arial" w:eastAsia="Arial" w:hAnsi="Arial"/>
          <w:sz w:val="19"/>
          <w:szCs w:val="19"/>
          <w:color w:val="auto"/>
        </w:rPr>
      </w:pPr>
    </w:p>
    <w:p>
      <w:pPr>
        <w:ind w:right="80" w:firstLine="656"/>
        <w:spacing w:after="0" w:line="289" w:lineRule="auto"/>
        <w:tabs>
          <w:tab w:leader="none" w:pos="1549" w:val="left"/>
        </w:tabs>
        <w:numPr>
          <w:ilvl w:val="1"/>
          <w:numId w:val="74"/>
        </w:numPr>
        <w:rPr>
          <w:rFonts w:ascii="Arial" w:cs="Arial" w:eastAsia="Arial" w:hAnsi="Arial"/>
          <w:sz w:val="19"/>
          <w:szCs w:val="19"/>
          <w:color w:val="auto"/>
        </w:rPr>
      </w:pPr>
      <w:r>
        <w:rPr>
          <w:rFonts w:ascii="Arial" w:cs="Arial" w:eastAsia="Arial" w:hAnsi="Arial"/>
          <w:sz w:val="19"/>
          <w:szCs w:val="19"/>
          <w:i w:val="1"/>
          <w:iCs w:val="1"/>
          <w:color w:val="auto"/>
        </w:rPr>
        <w:t>Contents of Agreement</w:t>
      </w:r>
      <w:r>
        <w:rPr>
          <w:rFonts w:ascii="Arial" w:cs="Arial" w:eastAsia="Arial" w:hAnsi="Arial"/>
          <w:sz w:val="19"/>
          <w:szCs w:val="19"/>
          <w:color w:val="auto"/>
        </w:rPr>
        <w:t>. Each Award Agreement shall contain provisions regarding (i) the number of Common</w:t>
      </w:r>
      <w:r>
        <w:rPr>
          <w:rFonts w:ascii="Arial" w:cs="Arial" w:eastAsia="Arial" w:hAnsi="Arial"/>
          <w:sz w:val="19"/>
          <w:szCs w:val="19"/>
          <w:i w:val="1"/>
          <w:iCs w:val="1"/>
          <w:color w:val="auto"/>
        </w:rPr>
        <w:t xml:space="preserve"> </w:t>
      </w:r>
      <w:r>
        <w:rPr>
          <w:rFonts w:ascii="Arial" w:cs="Arial" w:eastAsia="Arial" w:hAnsi="Arial"/>
          <w:sz w:val="19"/>
          <w:szCs w:val="19"/>
          <w:color w:val="auto"/>
        </w:rPr>
        <w:t>Shares or Restricted Stock Units subject to such Award or a formula for determining such number, (ii) the purchase price of the Common Shares, if any, and the means of payment, (iii) the performance criteria, if any, and level of achievement versus these criteria that shall determine the number of Common Shares or Restricted Stock Units granted, issued, retainable and/or vested, (iv) such terms and conditions on the grant, issuance, vesting and/or forfeiture of the Common Shares or Restricted Stock Units as may be determined from time to time by the Committee, (v) the term of the performance period, if any, as to which performance will be measured for determining the number of such Common Shares or Restricted Stock Units, and (vi) restrictions on the transferability of the Common Shares or Restricted Stock Units. Common Shares issued under a Restricted Stock Award may be issued in the name of the Participant and held by the Participant or held by the Company, in each case as the Committee may provide.</w:t>
      </w:r>
    </w:p>
    <w:p>
      <w:pPr>
        <w:spacing w:after="0" w:line="198" w:lineRule="exact"/>
        <w:rPr>
          <w:rFonts w:ascii="Arial" w:cs="Arial" w:eastAsia="Arial" w:hAnsi="Arial"/>
          <w:sz w:val="19"/>
          <w:szCs w:val="19"/>
          <w:color w:val="auto"/>
        </w:rPr>
      </w:pPr>
    </w:p>
    <w:p>
      <w:pPr>
        <w:ind w:firstLine="656"/>
        <w:spacing w:after="0" w:line="312" w:lineRule="auto"/>
        <w:tabs>
          <w:tab w:leader="none" w:pos="1536" w:val="left"/>
        </w:tabs>
        <w:numPr>
          <w:ilvl w:val="1"/>
          <w:numId w:val="74"/>
        </w:numPr>
        <w:rPr>
          <w:rFonts w:ascii="Arial" w:cs="Arial" w:eastAsia="Arial" w:hAnsi="Arial"/>
          <w:sz w:val="19"/>
          <w:szCs w:val="19"/>
          <w:color w:val="auto"/>
        </w:rPr>
      </w:pPr>
      <w:r>
        <w:rPr>
          <w:rFonts w:ascii="Arial" w:cs="Arial" w:eastAsia="Arial" w:hAnsi="Arial"/>
          <w:sz w:val="19"/>
          <w:szCs w:val="19"/>
          <w:i w:val="1"/>
          <w:iCs w:val="1"/>
          <w:color w:val="auto"/>
        </w:rPr>
        <w:t>Vesting and Performance Criteria</w:t>
      </w:r>
      <w:r>
        <w:rPr>
          <w:rFonts w:ascii="Arial" w:cs="Arial" w:eastAsia="Arial" w:hAnsi="Arial"/>
          <w:sz w:val="19"/>
          <w:szCs w:val="19"/>
          <w:color w:val="auto"/>
        </w:rPr>
        <w:t>. The grant, issuance, retention, vesting and/or settlement of shares of Restricted</w:t>
      </w:r>
      <w:r>
        <w:rPr>
          <w:rFonts w:ascii="Arial" w:cs="Arial" w:eastAsia="Arial" w:hAnsi="Arial"/>
          <w:sz w:val="19"/>
          <w:szCs w:val="19"/>
          <w:i w:val="1"/>
          <w:iCs w:val="1"/>
          <w:color w:val="auto"/>
        </w:rPr>
        <w:t xml:space="preserve"> </w:t>
      </w:r>
      <w:r>
        <w:rPr>
          <w:rFonts w:ascii="Arial" w:cs="Arial" w:eastAsia="Arial" w:hAnsi="Arial"/>
          <w:sz w:val="19"/>
          <w:szCs w:val="19"/>
          <w:color w:val="auto"/>
        </w:rPr>
        <w:t>Stock and Restricted Stock Units will occur when and in such installments as the Committee determines or under criteria the Committee establishes, which may include Qualifying Performance Criteria; provided, however, that, except in the case of a</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A- 7</w:t>
      </w:r>
    </w:p>
    <w:p>
      <w:pPr>
        <w:sectPr>
          <w:pgSz w:w="11900" w:h="16838" w:orient="portrait"/>
          <w:cols w:equalWidth="0" w:num="1">
            <w:col w:w="11420"/>
          </w:cols>
          <w:pgMar w:left="240" w:top="591" w:right="239" w:bottom="1440" w:gutter="0" w:footer="0" w:header="0"/>
        </w:sectPr>
      </w:pPr>
    </w:p>
    <w:bookmarkStart w:id="94" w:name="page95"/>
    <w:bookmarkEnd w:id="94"/>
    <w:p>
      <w:pPr>
        <w:ind w:right="20"/>
        <w:spacing w:after="0" w:line="290" w:lineRule="auto"/>
        <w:rPr>
          <w:sz w:val="20"/>
          <w:szCs w:val="20"/>
          <w:color w:val="auto"/>
        </w:rPr>
      </w:pPr>
      <w:r>
        <w:rPr>
          <w:rFonts w:ascii="Arial" w:cs="Arial" w:eastAsia="Arial" w:hAnsi="Arial"/>
          <w:sz w:val="19"/>
          <w:szCs w:val="19"/>
          <w:color w:val="auto"/>
        </w:rPr>
        <w:t>change of control of the Company, the death or disability of the Participant or awards granted to employees of the Company or any Subsidiary in appreciation of past service to the Company or a Subsidiary pursuant to a Company program or policy that applies to all such employees on an equal basis, vesting of Restricted Stock and Restricted Stock Units shall be no earlier than three (3) years from the date of grant for Awards not subject to vesting based on performance criteria and one (1) year from the date of grant for Awards that vest based on the achievement of performance criteria. Notwithstanding anything in this Plan to the contrary, the performance criteria for any Restricted Stock or Restricted Stock Unit that is intended to satisfy the requirements for “performance-based compensation” under Section 162(m) of the Code will be a measure based on one or more Qualifying Performance Criteria selected by the Committee and specified when the Award is granted.</w:t>
      </w:r>
    </w:p>
    <w:p>
      <w:pPr>
        <w:spacing w:after="0" w:line="197" w:lineRule="exact"/>
        <w:rPr>
          <w:sz w:val="20"/>
          <w:szCs w:val="20"/>
          <w:color w:val="auto"/>
        </w:rPr>
      </w:pPr>
    </w:p>
    <w:p>
      <w:pPr>
        <w:ind w:right="320" w:firstLine="656"/>
        <w:spacing w:after="0" w:line="297" w:lineRule="auto"/>
        <w:tabs>
          <w:tab w:leader="none" w:pos="1549" w:val="left"/>
        </w:tabs>
        <w:numPr>
          <w:ilvl w:val="0"/>
          <w:numId w:val="75"/>
        </w:numPr>
        <w:rPr>
          <w:rFonts w:ascii="Arial" w:cs="Arial" w:eastAsia="Arial" w:hAnsi="Arial"/>
          <w:sz w:val="19"/>
          <w:szCs w:val="19"/>
          <w:color w:val="auto"/>
        </w:rPr>
      </w:pPr>
      <w:r>
        <w:rPr>
          <w:rFonts w:ascii="Arial" w:cs="Arial" w:eastAsia="Arial" w:hAnsi="Arial"/>
          <w:sz w:val="19"/>
          <w:szCs w:val="19"/>
          <w:i w:val="1"/>
          <w:iCs w:val="1"/>
          <w:color w:val="auto"/>
        </w:rPr>
        <w:t>Discretionary Adjustments and Limits</w:t>
      </w:r>
      <w:r>
        <w:rPr>
          <w:rFonts w:ascii="Arial" w:cs="Arial" w:eastAsia="Arial" w:hAnsi="Arial"/>
          <w:sz w:val="19"/>
          <w:szCs w:val="19"/>
          <w:color w:val="auto"/>
        </w:rPr>
        <w:t>. Subject to the limits imposed under Section 162(m) of the Code for</w:t>
      </w:r>
      <w:r>
        <w:rPr>
          <w:rFonts w:ascii="Arial" w:cs="Arial" w:eastAsia="Arial" w:hAnsi="Arial"/>
          <w:sz w:val="19"/>
          <w:szCs w:val="19"/>
          <w:i w:val="1"/>
          <w:iCs w:val="1"/>
          <w:color w:val="auto"/>
        </w:rPr>
        <w:t xml:space="preserve"> </w:t>
      </w:r>
      <w:r>
        <w:rPr>
          <w:rFonts w:ascii="Arial" w:cs="Arial" w:eastAsia="Arial" w:hAnsi="Arial"/>
          <w:sz w:val="19"/>
          <w:szCs w:val="19"/>
          <w:color w:val="auto"/>
        </w:rPr>
        <w:t>Awards that are intended to qualify as “performance based compensation,” notwithstanding the satisfaction of any performance goals, the number of Common Shares granted, issued, retainable and/or vested under an Award of Restricted Stock or Restricted Stock Units on account of either financial performance or personal performance evaluations may, to the extent specified in the Award Agreement, be reduced by the Committee on the basis of such further considerations as the Committee shall determine.</w:t>
      </w:r>
    </w:p>
    <w:p>
      <w:pPr>
        <w:spacing w:after="0" w:line="187" w:lineRule="exact"/>
        <w:rPr>
          <w:rFonts w:ascii="Arial" w:cs="Arial" w:eastAsia="Arial" w:hAnsi="Arial"/>
          <w:sz w:val="19"/>
          <w:szCs w:val="19"/>
          <w:color w:val="auto"/>
        </w:rPr>
      </w:pPr>
    </w:p>
    <w:p>
      <w:pPr>
        <w:jc w:val="both"/>
        <w:ind w:right="120" w:firstLine="656"/>
        <w:spacing w:after="0" w:line="265" w:lineRule="auto"/>
        <w:tabs>
          <w:tab w:leader="none" w:pos="1536" w:val="left"/>
        </w:tabs>
        <w:numPr>
          <w:ilvl w:val="0"/>
          <w:numId w:val="75"/>
        </w:numPr>
        <w:rPr>
          <w:rFonts w:ascii="Arial" w:cs="Arial" w:eastAsia="Arial" w:hAnsi="Arial"/>
          <w:sz w:val="21"/>
          <w:szCs w:val="21"/>
          <w:color w:val="auto"/>
        </w:rPr>
      </w:pPr>
      <w:r>
        <w:rPr>
          <w:rFonts w:ascii="Arial" w:cs="Arial" w:eastAsia="Arial" w:hAnsi="Arial"/>
          <w:sz w:val="21"/>
          <w:szCs w:val="21"/>
          <w:i w:val="1"/>
          <w:iCs w:val="1"/>
          <w:color w:val="auto"/>
        </w:rPr>
        <w:t>Voting Rights</w:t>
      </w:r>
      <w:r>
        <w:rPr>
          <w:rFonts w:ascii="Arial" w:cs="Arial" w:eastAsia="Arial" w:hAnsi="Arial"/>
          <w:sz w:val="21"/>
          <w:szCs w:val="21"/>
          <w:color w:val="auto"/>
        </w:rPr>
        <w:t>. Unless otherwise determined by the Committee, Participants holding shares of Restricted Stock</w:t>
      </w:r>
      <w:r>
        <w:rPr>
          <w:rFonts w:ascii="Arial" w:cs="Arial" w:eastAsia="Arial" w:hAnsi="Arial"/>
          <w:sz w:val="21"/>
          <w:szCs w:val="21"/>
          <w:i w:val="1"/>
          <w:iCs w:val="1"/>
          <w:color w:val="auto"/>
        </w:rPr>
        <w:t xml:space="preserve"> </w:t>
      </w:r>
      <w:r>
        <w:rPr>
          <w:rFonts w:ascii="Arial" w:cs="Arial" w:eastAsia="Arial" w:hAnsi="Arial"/>
          <w:sz w:val="21"/>
          <w:szCs w:val="21"/>
          <w:color w:val="auto"/>
        </w:rPr>
        <w:t>granted hereunder may exercise full voting rights with respect to those shares during the period of restriction. Participants shall have no voting rights with respect to Common Shares underlying Restricted Stock Units unless and until such Common Shares are reflected as issued and outstanding shares on the Company’s stock ledger.</w:t>
      </w:r>
    </w:p>
    <w:p>
      <w:pPr>
        <w:spacing w:after="0" w:line="216" w:lineRule="exact"/>
        <w:rPr>
          <w:rFonts w:ascii="Arial" w:cs="Arial" w:eastAsia="Arial" w:hAnsi="Arial"/>
          <w:sz w:val="21"/>
          <w:szCs w:val="21"/>
          <w:color w:val="auto"/>
        </w:rPr>
      </w:pPr>
    </w:p>
    <w:p>
      <w:pPr>
        <w:ind w:firstLine="656"/>
        <w:spacing w:after="0" w:line="259" w:lineRule="auto"/>
        <w:tabs>
          <w:tab w:leader="none" w:pos="1512" w:val="left"/>
        </w:tabs>
        <w:numPr>
          <w:ilvl w:val="0"/>
          <w:numId w:val="75"/>
        </w:numPr>
        <w:rPr>
          <w:rFonts w:ascii="Arial" w:cs="Arial" w:eastAsia="Arial" w:hAnsi="Arial"/>
          <w:sz w:val="21"/>
          <w:szCs w:val="21"/>
          <w:color w:val="auto"/>
        </w:rPr>
      </w:pPr>
      <w:r>
        <w:rPr>
          <w:rFonts w:ascii="Arial" w:cs="Arial" w:eastAsia="Arial" w:hAnsi="Arial"/>
          <w:sz w:val="21"/>
          <w:szCs w:val="21"/>
          <w:i w:val="1"/>
          <w:iCs w:val="1"/>
          <w:color w:val="auto"/>
        </w:rPr>
        <w:t>Dividends and Distributions</w:t>
      </w:r>
      <w:r>
        <w:rPr>
          <w:rFonts w:ascii="Arial" w:cs="Arial" w:eastAsia="Arial" w:hAnsi="Arial"/>
          <w:sz w:val="21"/>
          <w:szCs w:val="21"/>
          <w:color w:val="auto"/>
        </w:rPr>
        <w:t>. Participants in whose name Restricted Stock is granted shall be entitled to receive all</w:t>
      </w:r>
      <w:r>
        <w:rPr>
          <w:rFonts w:ascii="Arial" w:cs="Arial" w:eastAsia="Arial" w:hAnsi="Arial"/>
          <w:sz w:val="21"/>
          <w:szCs w:val="21"/>
          <w:i w:val="1"/>
          <w:iCs w:val="1"/>
          <w:color w:val="auto"/>
        </w:rPr>
        <w:t xml:space="preserve"> </w:t>
      </w:r>
      <w:r>
        <w:rPr>
          <w:rFonts w:ascii="Arial" w:cs="Arial" w:eastAsia="Arial" w:hAnsi="Arial"/>
          <w:sz w:val="21"/>
          <w:szCs w:val="21"/>
          <w:color w:val="auto"/>
        </w:rPr>
        <w:t>dividends and other distributions paid with respect to those Common Shares, unless determined otherwise by the Committee. The Committee will determine whether any such dividends or distributions will be automatically reinvested in additional shares of Restricted Stock and subject to the same restrictions on transferability as the Restricted Stock with respect to which they were distributed or whether such dividends or distributions will be paid in cash. Common Shares underlying Restricted Stock Units shall be entitled to dividends or dividend equivalents only to the extent provided by the Committee. Notwithstanding the foregoing, Restricted Stock and Common Shares underlying Restricted Stock Units that are subject to Qualifying Performance Criteria (as defined below) shall not be entitled to dividends or dividend equivalents unless and until the applicable Qualifying Performance Criteria have been achieved.</w:t>
      </w:r>
    </w:p>
    <w:p>
      <w:pPr>
        <w:spacing w:after="0" w:line="215" w:lineRule="exact"/>
        <w:rPr>
          <w:sz w:val="20"/>
          <w:szCs w:val="20"/>
          <w:color w:val="auto"/>
        </w:rPr>
      </w:pPr>
    </w:p>
    <w:p>
      <w:pPr>
        <w:ind w:left="820" w:hanging="812"/>
        <w:spacing w:after="0"/>
        <w:tabs>
          <w:tab w:leader="none" w:pos="820" w:val="left"/>
        </w:tabs>
        <w:numPr>
          <w:ilvl w:val="0"/>
          <w:numId w:val="76"/>
        </w:numPr>
        <w:rPr>
          <w:rFonts w:ascii="Arial" w:cs="Arial" w:eastAsia="Arial" w:hAnsi="Arial"/>
          <w:sz w:val="22"/>
          <w:szCs w:val="22"/>
          <w:b w:val="1"/>
          <w:bCs w:val="1"/>
          <w:color w:val="auto"/>
        </w:rPr>
      </w:pPr>
      <w:r>
        <w:rPr>
          <w:rFonts w:ascii="Arial" w:cs="Arial" w:eastAsia="Arial" w:hAnsi="Arial"/>
          <w:sz w:val="22"/>
          <w:szCs w:val="22"/>
          <w:b w:val="1"/>
          <w:bCs w:val="1"/>
          <w:color w:val="auto"/>
        </w:rPr>
        <w:t>Deferral of Gains</w:t>
      </w:r>
    </w:p>
    <w:p>
      <w:pPr>
        <w:spacing w:after="0" w:line="226" w:lineRule="exact"/>
        <w:rPr>
          <w:sz w:val="20"/>
          <w:szCs w:val="20"/>
          <w:color w:val="auto"/>
        </w:rPr>
      </w:pPr>
    </w:p>
    <w:p>
      <w:pPr>
        <w:ind w:right="240" w:firstLine="648"/>
        <w:spacing w:after="0" w:line="312" w:lineRule="auto"/>
        <w:rPr>
          <w:sz w:val="20"/>
          <w:szCs w:val="20"/>
          <w:color w:val="auto"/>
        </w:rPr>
      </w:pPr>
      <w:r>
        <w:rPr>
          <w:rFonts w:ascii="Arial" w:cs="Arial" w:eastAsia="Arial" w:hAnsi="Arial"/>
          <w:sz w:val="19"/>
          <w:szCs w:val="19"/>
          <w:color w:val="auto"/>
        </w:rPr>
        <w:t>The Committee may, in an Award Agreement or otherwise, provide for the deferred delivery of Common Shares upon settlement, vesting or other events with respect to Restricted Stock or Restricted Stock Units. Notwithstanding anything herein to the contrary, in no event will any deferral of the delivery of Common Shares or any other payment with respect to any</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A- 8</w:t>
      </w:r>
    </w:p>
    <w:p>
      <w:pPr>
        <w:sectPr>
          <w:pgSz w:w="11900" w:h="16838" w:orient="portrait"/>
          <w:cols w:equalWidth="0" w:num="1">
            <w:col w:w="11420"/>
          </w:cols>
          <w:pgMar w:left="240" w:top="375" w:right="239" w:bottom="1440" w:gutter="0" w:footer="0" w:header="0"/>
        </w:sectPr>
      </w:pPr>
    </w:p>
    <w:bookmarkStart w:id="95" w:name="page96"/>
    <w:bookmarkEnd w:id="95"/>
    <w:p>
      <w:pPr>
        <w:ind w:right="780"/>
        <w:spacing w:after="0" w:line="263" w:lineRule="auto"/>
        <w:rPr>
          <w:sz w:val="20"/>
          <w:szCs w:val="20"/>
          <w:color w:val="auto"/>
        </w:rPr>
      </w:pPr>
      <w:r>
        <w:rPr>
          <w:rFonts w:ascii="Arial" w:cs="Arial" w:eastAsia="Arial" w:hAnsi="Arial"/>
          <w:sz w:val="22"/>
          <w:szCs w:val="22"/>
          <w:color w:val="auto"/>
        </w:rPr>
        <w:t>Award be allowed if the Committee determines, in its sole discretion, that the deferral would result in the imposition of the additional tax under Section 409A(a)(1)(B) of the Code.</w:t>
      </w:r>
    </w:p>
    <w:p>
      <w:pPr>
        <w:spacing w:after="0" w:line="209" w:lineRule="exact"/>
        <w:rPr>
          <w:sz w:val="20"/>
          <w:szCs w:val="20"/>
          <w:color w:val="auto"/>
        </w:rPr>
      </w:pPr>
    </w:p>
    <w:p>
      <w:pPr>
        <w:ind w:left="660" w:hanging="652"/>
        <w:spacing w:after="0"/>
        <w:tabs>
          <w:tab w:leader="none" w:pos="660" w:val="left"/>
        </w:tabs>
        <w:numPr>
          <w:ilvl w:val="0"/>
          <w:numId w:val="77"/>
        </w:numPr>
        <w:rPr>
          <w:rFonts w:ascii="Arial" w:cs="Arial" w:eastAsia="Arial" w:hAnsi="Arial"/>
          <w:sz w:val="22"/>
          <w:szCs w:val="22"/>
          <w:b w:val="1"/>
          <w:bCs w:val="1"/>
          <w:color w:val="auto"/>
        </w:rPr>
      </w:pPr>
      <w:r>
        <w:rPr>
          <w:rFonts w:ascii="Arial" w:cs="Arial" w:eastAsia="Arial" w:hAnsi="Arial"/>
          <w:sz w:val="22"/>
          <w:szCs w:val="22"/>
          <w:b w:val="1"/>
          <w:bCs w:val="1"/>
          <w:color w:val="auto"/>
        </w:rPr>
        <w:t>Conditions and Restrictions Upon Securities Subject to Awards</w:t>
      </w:r>
    </w:p>
    <w:p>
      <w:pPr>
        <w:spacing w:after="0" w:line="226" w:lineRule="exact"/>
        <w:rPr>
          <w:sz w:val="20"/>
          <w:szCs w:val="20"/>
          <w:color w:val="auto"/>
        </w:rPr>
      </w:pPr>
    </w:p>
    <w:p>
      <w:pPr>
        <w:ind w:firstLine="648"/>
        <w:spacing w:after="0" w:line="287" w:lineRule="auto"/>
        <w:rPr>
          <w:sz w:val="20"/>
          <w:szCs w:val="20"/>
          <w:color w:val="auto"/>
        </w:rPr>
      </w:pPr>
      <w:r>
        <w:rPr>
          <w:rFonts w:ascii="Arial" w:cs="Arial" w:eastAsia="Arial" w:hAnsi="Arial"/>
          <w:sz w:val="19"/>
          <w:szCs w:val="19"/>
          <w:color w:val="auto"/>
        </w:rPr>
        <w:t>The Committee may provide that the Common Shares issued upon exercise of an Option or Stock Appreciation Right or otherwise subject to or issued under an Award shall be subject to such further agreements, restrictions, conditions or limitations as the Committee in its discretion may specify prior to the exercise of such Option or Stock Appreciation Right or the grant, vesting or settlement of such Award, including without limitation, conditions on vesting or transferability, forfeiture or repurchase provisions and method of payment for the Common Shares issued upon exercise, vesting or settlement of such Award (including the actual or constructive surrender of Common Shares already owned by the Participant) or payment of taxes arising in connection with an Award. Without limiting the foregoing, such restrictions may address the timing and manner of any resales by the Participant or other subsequent transfers by the Participant of any Common Shares issued under an Award, including without limitation (i) restrictions under an insider trading policy or pursuant to applicable law, (ii) restrictions designed to delay and/or coordinate the timing and manner of sales by Participant and holders of other Company equity compensation arrangements, (iii) restrictions as to the use of a specified brokerage firm for such resales or other transfers, and (iv) provisions requiring Common Shares to be sold on the open market or to the Company in order to satisfy tax withholding or other obligations.</w:t>
      </w:r>
    </w:p>
    <w:p>
      <w:pPr>
        <w:spacing w:after="0" w:line="200" w:lineRule="exact"/>
        <w:rPr>
          <w:sz w:val="20"/>
          <w:szCs w:val="20"/>
          <w:color w:val="auto"/>
        </w:rPr>
      </w:pPr>
    </w:p>
    <w:p>
      <w:pPr>
        <w:spacing w:after="0" w:line="211" w:lineRule="exact"/>
        <w:rPr>
          <w:sz w:val="20"/>
          <w:szCs w:val="20"/>
          <w:color w:val="auto"/>
        </w:rPr>
      </w:pPr>
    </w:p>
    <w:p>
      <w:pPr>
        <w:ind w:left="660" w:hanging="652"/>
        <w:spacing w:after="0"/>
        <w:tabs>
          <w:tab w:leader="none" w:pos="660" w:val="left"/>
        </w:tabs>
        <w:numPr>
          <w:ilvl w:val="0"/>
          <w:numId w:val="78"/>
        </w:numPr>
        <w:rPr>
          <w:rFonts w:ascii="Arial" w:cs="Arial" w:eastAsia="Arial" w:hAnsi="Arial"/>
          <w:sz w:val="22"/>
          <w:szCs w:val="22"/>
          <w:b w:val="1"/>
          <w:bCs w:val="1"/>
          <w:color w:val="auto"/>
        </w:rPr>
      </w:pPr>
      <w:r>
        <w:rPr>
          <w:rFonts w:ascii="Arial" w:cs="Arial" w:eastAsia="Arial" w:hAnsi="Arial"/>
          <w:sz w:val="22"/>
          <w:szCs w:val="22"/>
          <w:b w:val="1"/>
          <w:bCs w:val="1"/>
          <w:color w:val="auto"/>
        </w:rPr>
        <w:t>Adjustment of and Changes in the Stock</w:t>
      </w:r>
    </w:p>
    <w:p>
      <w:pPr>
        <w:spacing w:after="0" w:line="226" w:lineRule="exact"/>
        <w:rPr>
          <w:sz w:val="20"/>
          <w:szCs w:val="20"/>
          <w:color w:val="auto"/>
        </w:rPr>
      </w:pPr>
    </w:p>
    <w:p>
      <w:pPr>
        <w:ind w:right="60" w:firstLine="648"/>
        <w:spacing w:after="0" w:line="258" w:lineRule="auto"/>
        <w:rPr>
          <w:sz w:val="20"/>
          <w:szCs w:val="20"/>
          <w:color w:val="auto"/>
        </w:rPr>
      </w:pPr>
      <w:r>
        <w:rPr>
          <w:rFonts w:ascii="Arial" w:cs="Arial" w:eastAsia="Arial" w:hAnsi="Arial"/>
          <w:sz w:val="21"/>
          <w:szCs w:val="21"/>
          <w:color w:val="auto"/>
        </w:rPr>
        <w:t>The number and kind of Common Shares available for issuance under this Plan (including under any Awards then outstanding), and the number and kind of Common Shares subject to the limits set forth in Section 5 of this Plan, shall be equitably adjusted by the Committee to reflect any reorganization, reclassification, combination of shares, stock split, reverse stock split, spin-off, dividend or distribution of securities, property or cash (other than regular, quarterly cash dividends), or any other equity restructuring transaction, as that term is defined in Statement of Financial Accounting Standards No. 123 (revised). Such adjustment may be designed to comply with Section 425 of the Code or, except as otherwise expressly provided in Section 5(c) of this Plan, may be designed to treat the Common Shares available under the Plan and subject to Awards as if they were all outstanding on the record date for such event or transaction or to increase the number of such Common Shares to reflect a deemed reinvestment in Common Shares of the amount distributed to the Company’s securityholders. The terms of any outstanding Award shall also be equitably adjusted by the Committee as to price, number or kind of Common Shares subject to such Award, vesting, and other terms to reflect the foregoing events, which adjustments need not be uniform as between different Awards or different types of Awards.</w:t>
      </w:r>
    </w:p>
    <w:p>
      <w:pPr>
        <w:spacing w:after="0" w:line="180" w:lineRule="exact"/>
        <w:rPr>
          <w:sz w:val="20"/>
          <w:szCs w:val="20"/>
          <w:color w:val="auto"/>
        </w:rPr>
      </w:pPr>
    </w:p>
    <w:p>
      <w:pPr>
        <w:ind w:right="380" w:firstLine="648"/>
        <w:spacing w:after="0" w:line="263" w:lineRule="auto"/>
        <w:rPr>
          <w:sz w:val="20"/>
          <w:szCs w:val="20"/>
          <w:color w:val="auto"/>
        </w:rPr>
      </w:pPr>
      <w:r>
        <w:rPr>
          <w:rFonts w:ascii="Arial" w:cs="Arial" w:eastAsia="Arial" w:hAnsi="Arial"/>
          <w:sz w:val="22"/>
          <w:szCs w:val="22"/>
          <w:color w:val="auto"/>
        </w:rPr>
        <w:t>In the event there shall be any other change in the number or kind of outstanding Common Shares, or any stock or other securities into which such Common Shares shall have</w:t>
      </w:r>
    </w:p>
    <w:p>
      <w:pPr>
        <w:spacing w:after="0" w:line="1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A- 9</w:t>
      </w:r>
    </w:p>
    <w:p>
      <w:pPr>
        <w:sectPr>
          <w:pgSz w:w="11900" w:h="16838" w:orient="portrait"/>
          <w:cols w:equalWidth="0" w:num="1">
            <w:col w:w="11400"/>
          </w:cols>
          <w:pgMar w:left="240" w:top="591" w:right="259" w:bottom="1440" w:gutter="0" w:footer="0" w:header="0"/>
        </w:sectPr>
      </w:pPr>
    </w:p>
    <w:bookmarkStart w:id="96" w:name="page97"/>
    <w:bookmarkEnd w:id="96"/>
    <w:p>
      <w:pPr>
        <w:ind w:right="20"/>
        <w:spacing w:after="0" w:line="261" w:lineRule="auto"/>
        <w:rPr>
          <w:sz w:val="20"/>
          <w:szCs w:val="20"/>
          <w:color w:val="auto"/>
        </w:rPr>
      </w:pPr>
      <w:r>
        <w:rPr>
          <w:rFonts w:ascii="Arial" w:cs="Arial" w:eastAsia="Arial" w:hAnsi="Arial"/>
          <w:sz w:val="21"/>
          <w:szCs w:val="21"/>
          <w:color w:val="auto"/>
        </w:rPr>
        <w:t>been changed, or for which it shall have been exchanged, by reason of a change of control, other merger, consolidation or otherwise in circumstances that do not involve an equity restructuring transaction, as that term is defined in Statement of Financial Accounting Standards No. 123 (revised), then the Committee shall determine the appropriate adjustment, if any, to be effected. In addition, in the event of such change described in this paragraph, the Committee may accelerate the time or times at which any Award may be exercised and may provide for cancellation of such accelerated Awards that are not exercised within a time prescribed by the Committee in its sole discretion.</w:t>
      </w:r>
    </w:p>
    <w:p>
      <w:pPr>
        <w:spacing w:after="0" w:line="180" w:lineRule="exact"/>
        <w:rPr>
          <w:sz w:val="20"/>
          <w:szCs w:val="20"/>
          <w:color w:val="auto"/>
        </w:rPr>
      </w:pPr>
    </w:p>
    <w:p>
      <w:pPr>
        <w:ind w:right="80" w:firstLine="648"/>
        <w:spacing w:after="0" w:line="302" w:lineRule="auto"/>
        <w:rPr>
          <w:sz w:val="20"/>
          <w:szCs w:val="20"/>
          <w:color w:val="auto"/>
        </w:rPr>
      </w:pPr>
      <w:r>
        <w:rPr>
          <w:rFonts w:ascii="Arial" w:cs="Arial" w:eastAsia="Arial" w:hAnsi="Arial"/>
          <w:sz w:val="19"/>
          <w:szCs w:val="19"/>
          <w:color w:val="auto"/>
        </w:rPr>
        <w:t>No right to purchase fractional shares shall result from any adjustment in Awards pursuant to this Section 11. In case of any such adjustment, the Common Shares subject to the Award shall be rounded down to the nearest whole share. The Company shall notify Participants holding Awards subject to any adjustments pursuant to this Section 11 of such adjustment, but (whether or not notice is given) such adjustment shall be effective and binding for all purposes of the Plan.</w:t>
      </w:r>
    </w:p>
    <w:p>
      <w:pPr>
        <w:spacing w:after="0" w:line="177" w:lineRule="exact"/>
        <w:rPr>
          <w:sz w:val="20"/>
          <w:szCs w:val="20"/>
          <w:color w:val="auto"/>
        </w:rPr>
      </w:pPr>
    </w:p>
    <w:p>
      <w:pPr>
        <w:ind w:left="660" w:hanging="652"/>
        <w:spacing w:after="0"/>
        <w:tabs>
          <w:tab w:leader="none" w:pos="660" w:val="left"/>
        </w:tabs>
        <w:numPr>
          <w:ilvl w:val="0"/>
          <w:numId w:val="79"/>
        </w:numPr>
        <w:rPr>
          <w:rFonts w:ascii="Arial" w:cs="Arial" w:eastAsia="Arial" w:hAnsi="Arial"/>
          <w:sz w:val="22"/>
          <w:szCs w:val="22"/>
          <w:b w:val="1"/>
          <w:bCs w:val="1"/>
          <w:color w:val="auto"/>
        </w:rPr>
      </w:pPr>
      <w:r>
        <w:rPr>
          <w:rFonts w:ascii="Arial" w:cs="Arial" w:eastAsia="Arial" w:hAnsi="Arial"/>
          <w:sz w:val="22"/>
          <w:szCs w:val="22"/>
          <w:b w:val="1"/>
          <w:bCs w:val="1"/>
          <w:color w:val="auto"/>
        </w:rPr>
        <w:t>Qualifying Performance-Based Compensation</w:t>
      </w:r>
    </w:p>
    <w:p>
      <w:pPr>
        <w:spacing w:after="0" w:line="266" w:lineRule="exact"/>
        <w:rPr>
          <w:rFonts w:ascii="Arial" w:cs="Arial" w:eastAsia="Arial" w:hAnsi="Arial"/>
          <w:sz w:val="22"/>
          <w:szCs w:val="22"/>
          <w:b w:val="1"/>
          <w:bCs w:val="1"/>
          <w:color w:val="auto"/>
        </w:rPr>
      </w:pPr>
    </w:p>
    <w:p>
      <w:pPr>
        <w:ind w:firstLine="656"/>
        <w:spacing w:after="0" w:line="286" w:lineRule="auto"/>
        <w:tabs>
          <w:tab w:leader="none" w:pos="1536" w:val="left"/>
        </w:tabs>
        <w:numPr>
          <w:ilvl w:val="1"/>
          <w:numId w:val="79"/>
        </w:numPr>
        <w:rPr>
          <w:rFonts w:ascii="Arial" w:cs="Arial" w:eastAsia="Arial" w:hAnsi="Arial"/>
          <w:sz w:val="19"/>
          <w:szCs w:val="19"/>
          <w:color w:val="auto"/>
        </w:rPr>
      </w:pPr>
      <w:r>
        <w:rPr>
          <w:rFonts w:ascii="Arial" w:cs="Arial" w:eastAsia="Arial" w:hAnsi="Arial"/>
          <w:sz w:val="19"/>
          <w:szCs w:val="19"/>
          <w:i w:val="1"/>
          <w:iCs w:val="1"/>
          <w:color w:val="auto"/>
        </w:rPr>
        <w:t>General</w:t>
      </w:r>
      <w:r>
        <w:rPr>
          <w:rFonts w:ascii="Arial" w:cs="Arial" w:eastAsia="Arial" w:hAnsi="Arial"/>
          <w:sz w:val="19"/>
          <w:szCs w:val="19"/>
          <w:color w:val="auto"/>
        </w:rPr>
        <w:t>. The Committee may establish performance criteria and level of achievement versus such criteria that</w:t>
      </w:r>
      <w:r>
        <w:rPr>
          <w:rFonts w:ascii="Arial" w:cs="Arial" w:eastAsia="Arial" w:hAnsi="Arial"/>
          <w:sz w:val="19"/>
          <w:szCs w:val="19"/>
          <w:i w:val="1"/>
          <w:iCs w:val="1"/>
          <w:color w:val="auto"/>
        </w:rPr>
        <w:t xml:space="preserve"> </w:t>
      </w:r>
      <w:r>
        <w:rPr>
          <w:rFonts w:ascii="Arial" w:cs="Arial" w:eastAsia="Arial" w:hAnsi="Arial"/>
          <w:sz w:val="19"/>
          <w:szCs w:val="19"/>
          <w:color w:val="auto"/>
        </w:rPr>
        <w:t>shall determine the number of Common Shares, units, or cash to be granted, retained, vested, issued or issuable under or in settlement of or the amount payable pursuant to an Award, which criteria may be based on Qualifying Performance Criteria or other standards of financial performance and/or personal performance evaluations. In addition, the Committee may specify that an Award or a portion of an Award is intended to satisfy the requirements for “performance-based compensation” under Section 162(m) of the Code, provided that the performance criteria for such Award or portion of an Award that is intended by the Committee to satisfy the requirements for “performance-based compensation” under Section 162(m) of the Code shall be a measure based on one or more Qualifying Performance Criteria selected by the Committee and specified at the time the Award is granted. The Committee shall certify the extent to which any Qualifying Performance Criteria has been satisfied, and the amount payable as a result thereof, prior to payment, settlement or vesting of any Award that is intended to satisfy the requirements for “performance-based compensation” under Section 162(m) of the Code. Notwithstanding satisfaction of any performance goals, the number of Common Shares issued under or the amount paid under an award may, to the extent specified in the Award Agreement, be reduced by the Committee on the basis of such further considerations as the Committee in its sole discretion shall determine.</w:t>
      </w:r>
    </w:p>
    <w:p>
      <w:pPr>
        <w:spacing w:after="0" w:line="207" w:lineRule="exact"/>
        <w:rPr>
          <w:rFonts w:ascii="Arial" w:cs="Arial" w:eastAsia="Arial" w:hAnsi="Arial"/>
          <w:sz w:val="19"/>
          <w:szCs w:val="19"/>
          <w:color w:val="auto"/>
        </w:rPr>
      </w:pPr>
    </w:p>
    <w:p>
      <w:pPr>
        <w:ind w:right="320" w:firstLine="656"/>
        <w:spacing w:after="0" w:line="294" w:lineRule="auto"/>
        <w:tabs>
          <w:tab w:leader="none" w:pos="1549" w:val="left"/>
        </w:tabs>
        <w:numPr>
          <w:ilvl w:val="1"/>
          <w:numId w:val="79"/>
        </w:numPr>
        <w:rPr>
          <w:rFonts w:ascii="Arial" w:cs="Arial" w:eastAsia="Arial" w:hAnsi="Arial"/>
          <w:sz w:val="19"/>
          <w:szCs w:val="19"/>
          <w:color w:val="auto"/>
        </w:rPr>
      </w:pPr>
      <w:r>
        <w:rPr>
          <w:rFonts w:ascii="Arial" w:cs="Arial" w:eastAsia="Arial" w:hAnsi="Arial"/>
          <w:sz w:val="19"/>
          <w:szCs w:val="19"/>
          <w:i w:val="1"/>
          <w:iCs w:val="1"/>
          <w:color w:val="auto"/>
        </w:rPr>
        <w:t>Qualifying Performance Criteria</w:t>
      </w:r>
      <w:r>
        <w:rPr>
          <w:rFonts w:ascii="Arial" w:cs="Arial" w:eastAsia="Arial" w:hAnsi="Arial"/>
          <w:sz w:val="19"/>
          <w:szCs w:val="19"/>
          <w:color w:val="auto"/>
        </w:rPr>
        <w:t>. For purposes of this Plan, the term “Qualifying Performance Criteria” shall</w:t>
      </w:r>
      <w:r>
        <w:rPr>
          <w:rFonts w:ascii="Arial" w:cs="Arial" w:eastAsia="Arial" w:hAnsi="Arial"/>
          <w:sz w:val="19"/>
          <w:szCs w:val="19"/>
          <w:i w:val="1"/>
          <w:iCs w:val="1"/>
          <w:color w:val="auto"/>
        </w:rPr>
        <w:t xml:space="preserve"> </w:t>
      </w:r>
      <w:r>
        <w:rPr>
          <w:rFonts w:ascii="Arial" w:cs="Arial" w:eastAsia="Arial" w:hAnsi="Arial"/>
          <w:sz w:val="19"/>
          <w:szCs w:val="19"/>
          <w:color w:val="auto"/>
        </w:rPr>
        <w:t>mean any one or more of the following performance criteria, either individually, alternatively or in any combination, applied to either the Company as a whole or to a business unit or Subsidiary, either individually, alternatively or in any combination, and measured either annually or cumulatively over a period of years, on an absolute basis or relative to a pre-established target, to previous years’ results or to a designated comparison group, in each case as specified by the Committee: (i) cash flow (before or after dividends), (ii) earnings or earnings per share (including earnings before interest, taxes, depreciation and amortization),</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A- 10</w:t>
      </w:r>
    </w:p>
    <w:p>
      <w:pPr>
        <w:sectPr>
          <w:pgSz w:w="11900" w:h="16838" w:orient="portrait"/>
          <w:cols w:equalWidth="0" w:num="1">
            <w:col w:w="11420"/>
          </w:cols>
          <w:pgMar w:left="240" w:top="591" w:right="239" w:bottom="1440" w:gutter="0" w:footer="0" w:header="0"/>
        </w:sectPr>
      </w:pPr>
    </w:p>
    <w:bookmarkStart w:id="97" w:name="page98"/>
    <w:bookmarkEnd w:id="97"/>
    <w:p>
      <w:pPr>
        <w:ind w:right="40" w:firstLine="8"/>
        <w:spacing w:after="0" w:line="285" w:lineRule="auto"/>
        <w:tabs>
          <w:tab w:leader="none" w:pos="378" w:val="left"/>
        </w:tabs>
        <w:numPr>
          <w:ilvl w:val="0"/>
          <w:numId w:val="80"/>
        </w:numPr>
        <w:rPr>
          <w:rFonts w:ascii="Arial" w:cs="Arial" w:eastAsia="Arial" w:hAnsi="Arial"/>
          <w:sz w:val="19"/>
          <w:szCs w:val="19"/>
          <w:color w:val="auto"/>
        </w:rPr>
      </w:pPr>
      <w:r>
        <w:rPr>
          <w:rFonts w:ascii="Arial" w:cs="Arial" w:eastAsia="Arial" w:hAnsi="Arial"/>
          <w:sz w:val="19"/>
          <w:szCs w:val="19"/>
          <w:color w:val="auto"/>
        </w:rPr>
        <w:t>stock price, (iv) return on equity, (v) total stockholder return, (vi) return on capital or investment (including return on total capital, return on invested capital, or return on investment), (vii) return on assets or net assets, (viii) market capitalization, (ix) economic value added, (x) debt leverage (debt to capital), (xi) revenue, (xii) income or net income, (xiii) operating income, (xiv) operating profit or net operating profit, (xv) operating margin or profit margin, (xvi) return on operating revenue, (xvii) cash from operations, (xviii) operating ratio, (xix) operating revenue, (xx) customer service, (xxi) sales, or (xxii) cost savings. To the extent consistent with Section 162(m) of the Code, the Committee (A) may appropriately adjust any evaluation of performance under a Qualifying Performance Criteria to eliminate the effects of charges for restructurings, discontinued operations, and all items of gain, loss or expense determined to be unusual in nature or infrequently occurring or related to the acquisition or disposal of a segment of a business or related to a change in accounting principle all as determined in accordance with standards established by Accounting Standards Codification (“ASC”) Topic 225, “Unusual or Infrequently Occurring Items,” or other applicable or successor accounting provisions, as well as the cumulative effect of accounting changes, in each case as determined in accordance with generally accepted accounting principles or identified in the Company’s financial statements or notes to the financial statements, and (B) may appropriately adjust any evaluation of performance under a Qualifying Performance Criteria to exclude any of the following events that occurs during a performance period: (i) asset write-downs, (ii) litigation, claims, judgments or settlements, (iii) the effect of changes in tax law or other such laws or provisions affecting reported results, (iv) accruals for reorganization and restructuring programs and (v) accruals of any amounts for payment under this Plan or any other compensation arrangement maintained by the Company or any Subsidiary.</w:t>
      </w:r>
    </w:p>
    <w:p>
      <w:pPr>
        <w:spacing w:after="0" w:line="200" w:lineRule="exact"/>
        <w:rPr>
          <w:sz w:val="20"/>
          <w:szCs w:val="20"/>
          <w:color w:val="auto"/>
        </w:rPr>
      </w:pPr>
    </w:p>
    <w:p>
      <w:pPr>
        <w:spacing w:after="0" w:line="262" w:lineRule="exact"/>
        <w:rPr>
          <w:sz w:val="20"/>
          <w:szCs w:val="20"/>
          <w:color w:val="auto"/>
        </w:rPr>
      </w:pPr>
    </w:p>
    <w:p>
      <w:pPr>
        <w:ind w:left="920" w:hanging="912"/>
        <w:spacing w:after="0"/>
        <w:tabs>
          <w:tab w:leader="none" w:pos="920" w:val="left"/>
        </w:tabs>
        <w:numPr>
          <w:ilvl w:val="0"/>
          <w:numId w:val="81"/>
        </w:numPr>
        <w:rPr>
          <w:rFonts w:ascii="Arial" w:cs="Arial" w:eastAsia="Arial" w:hAnsi="Arial"/>
          <w:sz w:val="22"/>
          <w:szCs w:val="22"/>
          <w:b w:val="1"/>
          <w:bCs w:val="1"/>
          <w:color w:val="auto"/>
        </w:rPr>
      </w:pPr>
      <w:r>
        <w:rPr>
          <w:rFonts w:ascii="Arial" w:cs="Arial" w:eastAsia="Arial" w:hAnsi="Arial"/>
          <w:sz w:val="22"/>
          <w:szCs w:val="22"/>
          <w:b w:val="1"/>
          <w:bCs w:val="1"/>
          <w:color w:val="auto"/>
        </w:rPr>
        <w:t>Transferability</w:t>
      </w:r>
    </w:p>
    <w:p>
      <w:pPr>
        <w:spacing w:after="0" w:line="226" w:lineRule="exact"/>
        <w:rPr>
          <w:sz w:val="20"/>
          <w:szCs w:val="20"/>
          <w:color w:val="auto"/>
        </w:rPr>
      </w:pPr>
    </w:p>
    <w:p>
      <w:pPr>
        <w:ind w:right="440" w:firstLine="648"/>
        <w:spacing w:after="0" w:line="271" w:lineRule="auto"/>
        <w:rPr>
          <w:sz w:val="20"/>
          <w:szCs w:val="20"/>
          <w:color w:val="auto"/>
        </w:rPr>
      </w:pPr>
      <w:r>
        <w:rPr>
          <w:rFonts w:ascii="Arial" w:cs="Arial" w:eastAsia="Arial" w:hAnsi="Arial"/>
          <w:sz w:val="21"/>
          <w:szCs w:val="21"/>
          <w:color w:val="auto"/>
        </w:rPr>
        <w:t>Unless the Committee provides otherwise, each Award may not be sold, transferred, pledged, assigned, or otherwise alienated or hypothecated by a Participant other than by will or the laws of descent and distribution, and each Option or Stock Appreciation Right shall be exercisable only by the Participant during his or her lifetime.</w:t>
      </w:r>
    </w:p>
    <w:p>
      <w:pPr>
        <w:spacing w:after="0" w:line="202" w:lineRule="exact"/>
        <w:rPr>
          <w:sz w:val="20"/>
          <w:szCs w:val="20"/>
          <w:color w:val="auto"/>
        </w:rPr>
      </w:pPr>
    </w:p>
    <w:p>
      <w:pPr>
        <w:ind w:left="660" w:hanging="652"/>
        <w:spacing w:after="0"/>
        <w:tabs>
          <w:tab w:leader="none" w:pos="660" w:val="left"/>
        </w:tabs>
        <w:numPr>
          <w:ilvl w:val="0"/>
          <w:numId w:val="82"/>
        </w:numPr>
        <w:rPr>
          <w:rFonts w:ascii="Arial" w:cs="Arial" w:eastAsia="Arial" w:hAnsi="Arial"/>
          <w:sz w:val="22"/>
          <w:szCs w:val="22"/>
          <w:b w:val="1"/>
          <w:bCs w:val="1"/>
          <w:color w:val="auto"/>
        </w:rPr>
      </w:pPr>
      <w:r>
        <w:rPr>
          <w:rFonts w:ascii="Arial" w:cs="Arial" w:eastAsia="Arial" w:hAnsi="Arial"/>
          <w:sz w:val="22"/>
          <w:szCs w:val="22"/>
          <w:b w:val="1"/>
          <w:bCs w:val="1"/>
          <w:color w:val="auto"/>
        </w:rPr>
        <w:t>Compliance with Laws and Regulations</w:t>
      </w:r>
    </w:p>
    <w:p>
      <w:pPr>
        <w:spacing w:after="0" w:line="226" w:lineRule="exact"/>
        <w:rPr>
          <w:sz w:val="20"/>
          <w:szCs w:val="20"/>
          <w:color w:val="auto"/>
        </w:rPr>
      </w:pPr>
    </w:p>
    <w:p>
      <w:pPr>
        <w:ind w:firstLine="648"/>
        <w:spacing w:after="0" w:line="289" w:lineRule="auto"/>
        <w:rPr>
          <w:sz w:val="20"/>
          <w:szCs w:val="20"/>
          <w:color w:val="auto"/>
        </w:rPr>
      </w:pPr>
      <w:r>
        <w:rPr>
          <w:rFonts w:ascii="Arial" w:cs="Arial" w:eastAsia="Arial" w:hAnsi="Arial"/>
          <w:sz w:val="19"/>
          <w:szCs w:val="19"/>
          <w:color w:val="auto"/>
        </w:rPr>
        <w:t>This Plan, the grant, issuance, vesting, exercise and settlement of Awards thereunder, and the obligation of the Company to sell, issue or deliver Common Shares under such Awards, shall be subject to all applicable foreign, federal, state and local laws, rules and regulations, stock exchange rules and regulations, and to such approvals by any governmental or regulatory agency as may be required. The Company shall not be required to register in a Participant’s name or deliver any Common Shares prior to the completion of any registration or qualification of such shares under any foreign, federal, state or local law or any ruling or regulation of any government body which the Committee shall determine to be necessary or advisable. To the extent the Company is unable to or the Committee deems it infeasible to obtain authority from any regulatory body having jurisdiction, which authority is deemed by the Company’s counsel to be necessary to the lawful issuance and sale of any Common Shares hereunder, the Company and its Subsidiaries shall be relieved of any liability with respect to the failure to issue or sell such</w:t>
      </w:r>
    </w:p>
    <w:p>
      <w:pPr>
        <w:spacing w:after="0" w:line="17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A- 11</w:t>
      </w:r>
    </w:p>
    <w:p>
      <w:pPr>
        <w:sectPr>
          <w:pgSz w:w="11900" w:h="16838" w:orient="portrait"/>
          <w:cols w:equalWidth="0" w:num="1">
            <w:col w:w="11320"/>
          </w:cols>
          <w:pgMar w:left="240" w:top="375" w:right="339" w:bottom="1440" w:gutter="0" w:footer="0" w:header="0"/>
        </w:sectPr>
      </w:pPr>
    </w:p>
    <w:bookmarkStart w:id="98" w:name="page99"/>
    <w:bookmarkEnd w:id="98"/>
    <w:p>
      <w:pPr>
        <w:jc w:val="both"/>
        <w:spacing w:after="0" w:line="312" w:lineRule="auto"/>
        <w:rPr>
          <w:sz w:val="20"/>
          <w:szCs w:val="20"/>
          <w:color w:val="auto"/>
        </w:rPr>
      </w:pPr>
      <w:r>
        <w:rPr>
          <w:rFonts w:ascii="Arial" w:cs="Arial" w:eastAsia="Arial" w:hAnsi="Arial"/>
          <w:sz w:val="19"/>
          <w:szCs w:val="19"/>
          <w:color w:val="auto"/>
        </w:rPr>
        <w:t>Common Shares as to which such requisite authority shall not have been obtained. No Option shall be exercisable and no Common Shares shall be issued and/or transferable under any other Award unless a registration statement with respect to the Common Shares underlying such Option is effective and current or the Company has determined that such registration is unnecessary.</w:t>
      </w:r>
    </w:p>
    <w:p>
      <w:pPr>
        <w:spacing w:after="0" w:line="168" w:lineRule="exact"/>
        <w:rPr>
          <w:sz w:val="20"/>
          <w:szCs w:val="20"/>
          <w:color w:val="auto"/>
        </w:rPr>
      </w:pPr>
    </w:p>
    <w:p>
      <w:pPr>
        <w:ind w:left="660" w:hanging="652"/>
        <w:spacing w:after="0"/>
        <w:tabs>
          <w:tab w:leader="none" w:pos="660" w:val="left"/>
        </w:tabs>
        <w:numPr>
          <w:ilvl w:val="0"/>
          <w:numId w:val="83"/>
        </w:numPr>
        <w:rPr>
          <w:rFonts w:ascii="Arial" w:cs="Arial" w:eastAsia="Arial" w:hAnsi="Arial"/>
          <w:sz w:val="22"/>
          <w:szCs w:val="22"/>
          <w:b w:val="1"/>
          <w:bCs w:val="1"/>
          <w:color w:val="auto"/>
        </w:rPr>
      </w:pPr>
      <w:r>
        <w:rPr>
          <w:rFonts w:ascii="Arial" w:cs="Arial" w:eastAsia="Arial" w:hAnsi="Arial"/>
          <w:sz w:val="22"/>
          <w:szCs w:val="22"/>
          <w:b w:val="1"/>
          <w:bCs w:val="1"/>
          <w:color w:val="auto"/>
        </w:rPr>
        <w:t>Withholding</w:t>
      </w:r>
    </w:p>
    <w:p>
      <w:pPr>
        <w:spacing w:after="0" w:line="226" w:lineRule="exact"/>
        <w:rPr>
          <w:sz w:val="20"/>
          <w:szCs w:val="20"/>
          <w:color w:val="auto"/>
        </w:rPr>
      </w:pPr>
    </w:p>
    <w:p>
      <w:pPr>
        <w:ind w:right="40" w:firstLine="648"/>
        <w:spacing w:after="0" w:line="259" w:lineRule="auto"/>
        <w:rPr>
          <w:sz w:val="20"/>
          <w:szCs w:val="20"/>
          <w:color w:val="auto"/>
        </w:rPr>
      </w:pPr>
      <w:r>
        <w:rPr>
          <w:rFonts w:ascii="Arial" w:cs="Arial" w:eastAsia="Arial" w:hAnsi="Arial"/>
          <w:sz w:val="21"/>
          <w:szCs w:val="21"/>
          <w:color w:val="auto"/>
        </w:rPr>
        <w:t>To the extent required by applicable federal, state, local or foreign law, a Participant shall be required to satisfy, in a manner satisfactory to the Company, any withholding tax obligations that arise by reason of an Option exercise, disposition of Common Shares issued under an Incentive Stock Option, the vesting of or settlement of an Award, an election pursuant to Section 83(b) of the Code or otherwise with respect to an Award. The Company and its Subsidiaries shall not be required to issue Common Shares, make any payment or to recognize the transfer or disposition of Common Shares until such obligations are satisfied. The Committee may provide for or permit the minimum statutory withholding obligations to be satisfied through the mandatory or elective sale of Common Shares and/or by having the Company withhold a portion of the Common Shares that otherwise would be issued to him or her upon exercise of the Option or the vesting or settlement of an Award, or by tendering Common Shares previously acquired.</w:t>
      </w:r>
    </w:p>
    <w:p>
      <w:pPr>
        <w:spacing w:after="0" w:line="215" w:lineRule="exact"/>
        <w:rPr>
          <w:sz w:val="20"/>
          <w:szCs w:val="20"/>
          <w:color w:val="auto"/>
        </w:rPr>
      </w:pPr>
    </w:p>
    <w:p>
      <w:pPr>
        <w:ind w:left="660" w:hanging="652"/>
        <w:spacing w:after="0"/>
        <w:tabs>
          <w:tab w:leader="none" w:pos="660" w:val="left"/>
        </w:tabs>
        <w:numPr>
          <w:ilvl w:val="0"/>
          <w:numId w:val="84"/>
        </w:numPr>
        <w:rPr>
          <w:rFonts w:ascii="Arial" w:cs="Arial" w:eastAsia="Arial" w:hAnsi="Arial"/>
          <w:sz w:val="22"/>
          <w:szCs w:val="22"/>
          <w:b w:val="1"/>
          <w:bCs w:val="1"/>
          <w:color w:val="auto"/>
        </w:rPr>
      </w:pPr>
      <w:r>
        <w:rPr>
          <w:rFonts w:ascii="Arial" w:cs="Arial" w:eastAsia="Arial" w:hAnsi="Arial"/>
          <w:sz w:val="22"/>
          <w:szCs w:val="22"/>
          <w:b w:val="1"/>
          <w:bCs w:val="1"/>
          <w:color w:val="auto"/>
        </w:rPr>
        <w:t>Administration of the Plan</w:t>
      </w:r>
    </w:p>
    <w:p>
      <w:pPr>
        <w:spacing w:after="0" w:line="266" w:lineRule="exact"/>
        <w:rPr>
          <w:rFonts w:ascii="Arial" w:cs="Arial" w:eastAsia="Arial" w:hAnsi="Arial"/>
          <w:sz w:val="22"/>
          <w:szCs w:val="22"/>
          <w:b w:val="1"/>
          <w:bCs w:val="1"/>
          <w:color w:val="auto"/>
        </w:rPr>
      </w:pPr>
    </w:p>
    <w:p>
      <w:pPr>
        <w:ind w:firstLine="656"/>
        <w:spacing w:after="0" w:line="286" w:lineRule="auto"/>
        <w:tabs>
          <w:tab w:leader="none" w:pos="1536" w:val="left"/>
        </w:tabs>
        <w:numPr>
          <w:ilvl w:val="1"/>
          <w:numId w:val="84"/>
        </w:numPr>
        <w:rPr>
          <w:rFonts w:ascii="Arial" w:cs="Arial" w:eastAsia="Arial" w:hAnsi="Arial"/>
          <w:sz w:val="19"/>
          <w:szCs w:val="19"/>
          <w:color w:val="auto"/>
        </w:rPr>
      </w:pPr>
      <w:r>
        <w:rPr>
          <w:rFonts w:ascii="Arial" w:cs="Arial" w:eastAsia="Arial" w:hAnsi="Arial"/>
          <w:sz w:val="19"/>
          <w:szCs w:val="19"/>
          <w:i w:val="1"/>
          <w:iCs w:val="1"/>
          <w:color w:val="auto"/>
        </w:rPr>
        <w:t>Committee of the Plan</w:t>
      </w:r>
      <w:r>
        <w:rPr>
          <w:rFonts w:ascii="Arial" w:cs="Arial" w:eastAsia="Arial" w:hAnsi="Arial"/>
          <w:sz w:val="19"/>
          <w:szCs w:val="19"/>
          <w:color w:val="auto"/>
        </w:rPr>
        <w:t>. The Plan shall be administered by the Compensation Committee of the Board or the</w:t>
      </w:r>
      <w:r>
        <w:rPr>
          <w:rFonts w:ascii="Arial" w:cs="Arial" w:eastAsia="Arial" w:hAnsi="Arial"/>
          <w:sz w:val="19"/>
          <w:szCs w:val="19"/>
          <w:i w:val="1"/>
          <w:iCs w:val="1"/>
          <w:color w:val="auto"/>
        </w:rPr>
        <w:t xml:space="preserve"> </w:t>
      </w:r>
      <w:r>
        <w:rPr>
          <w:rFonts w:ascii="Arial" w:cs="Arial" w:eastAsia="Arial" w:hAnsi="Arial"/>
          <w:sz w:val="19"/>
          <w:szCs w:val="19"/>
          <w:color w:val="auto"/>
        </w:rPr>
        <w:t>Board itself. Any power of the Committee may also be exercised by the Board, except to the extent that the grant or exercise of such authority would cause any Award or transaction to become subject to (or lose an exemption under) the short-swing profit recovery provisions of Section 16 of the Securities Exchange Act of 1934 or cause an Award designated as a Performance Award not to qualify for treatment as performance-based compensation under Section 162(m) of the Code. To the extent that any permitted action taken by the Board conflicts with action taken by the Committee, the Board action shall control. To the extent permitted by law, the Compensation Committee may by resolution authorize one or more officers of the Company to perform any or all things that the Committee is authorized and empowered to do or perform under the Plan, and for all purposes under this Plan, such officer or officers shall be treated as the Committee; provided, however, that the resolution so authorizing such officer or officers shall specify the total number of Awards (if any) such officer or officers may award pursuant to such delegated authority, and any such Award shall be subject to the form of Award Agreement theretofore approved by the Compensation Committee. No such officer shall designate himself or herself as a recipient of any Awards granted under authority delegated to such officer. In addition, the Compensation Committee may delegate any or all aspects of the day-to-day administration of the Plan to one or more officers or employees of the Company or any Subsidiary, and/or to one or more agents.</w:t>
      </w:r>
    </w:p>
    <w:p>
      <w:pPr>
        <w:spacing w:after="0" w:line="203" w:lineRule="exact"/>
        <w:rPr>
          <w:rFonts w:ascii="Arial" w:cs="Arial" w:eastAsia="Arial" w:hAnsi="Arial"/>
          <w:sz w:val="19"/>
          <w:szCs w:val="19"/>
          <w:color w:val="auto"/>
        </w:rPr>
      </w:pPr>
    </w:p>
    <w:p>
      <w:pPr>
        <w:ind w:right="560" w:firstLine="656"/>
        <w:spacing w:after="0" w:line="263" w:lineRule="auto"/>
        <w:tabs>
          <w:tab w:leader="none" w:pos="1549" w:val="left"/>
        </w:tabs>
        <w:numPr>
          <w:ilvl w:val="1"/>
          <w:numId w:val="84"/>
        </w:numPr>
        <w:rPr>
          <w:rFonts w:ascii="Arial" w:cs="Arial" w:eastAsia="Arial" w:hAnsi="Arial"/>
          <w:sz w:val="22"/>
          <w:szCs w:val="22"/>
          <w:color w:val="auto"/>
        </w:rPr>
      </w:pPr>
      <w:r>
        <w:rPr>
          <w:rFonts w:ascii="Arial" w:cs="Arial" w:eastAsia="Arial" w:hAnsi="Arial"/>
          <w:sz w:val="22"/>
          <w:szCs w:val="22"/>
          <w:i w:val="1"/>
          <w:iCs w:val="1"/>
          <w:color w:val="auto"/>
        </w:rPr>
        <w:t>Powers of Committee</w:t>
      </w:r>
      <w:r>
        <w:rPr>
          <w:rFonts w:ascii="Arial" w:cs="Arial" w:eastAsia="Arial" w:hAnsi="Arial"/>
          <w:sz w:val="22"/>
          <w:szCs w:val="22"/>
          <w:color w:val="auto"/>
        </w:rPr>
        <w:t>. Subject to the express provisions of this Plan, the Committee shall be authorized and</w:t>
      </w:r>
      <w:r>
        <w:rPr>
          <w:rFonts w:ascii="Arial" w:cs="Arial" w:eastAsia="Arial" w:hAnsi="Arial"/>
          <w:sz w:val="22"/>
          <w:szCs w:val="22"/>
          <w:i w:val="1"/>
          <w:iCs w:val="1"/>
          <w:color w:val="auto"/>
        </w:rPr>
        <w:t xml:space="preserve"> </w:t>
      </w:r>
      <w:r>
        <w:rPr>
          <w:rFonts w:ascii="Arial" w:cs="Arial" w:eastAsia="Arial" w:hAnsi="Arial"/>
          <w:sz w:val="22"/>
          <w:szCs w:val="22"/>
          <w:color w:val="auto"/>
        </w:rPr>
        <w:t>empowered to do all things that it determines to be necessary</w:t>
      </w:r>
    </w:p>
    <w:p>
      <w:pPr>
        <w:spacing w:after="0" w:line="1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A- 12</w:t>
      </w:r>
    </w:p>
    <w:p>
      <w:pPr>
        <w:sectPr>
          <w:pgSz w:w="11900" w:h="16838" w:orient="portrait"/>
          <w:cols w:equalWidth="0" w:num="1">
            <w:col w:w="11400"/>
          </w:cols>
          <w:pgMar w:left="240" w:top="591" w:right="259" w:bottom="1440" w:gutter="0" w:footer="0" w:header="0"/>
        </w:sectPr>
      </w:pPr>
    </w:p>
    <w:bookmarkStart w:id="99" w:name="page100"/>
    <w:bookmarkEnd w:id="99"/>
    <w:p>
      <w:pPr>
        <w:spacing w:after="0" w:line="286" w:lineRule="auto"/>
        <w:rPr>
          <w:sz w:val="20"/>
          <w:szCs w:val="20"/>
          <w:color w:val="auto"/>
        </w:rPr>
      </w:pPr>
      <w:r>
        <w:rPr>
          <w:rFonts w:ascii="Arial" w:cs="Arial" w:eastAsia="Arial" w:hAnsi="Arial"/>
          <w:sz w:val="19"/>
          <w:szCs w:val="19"/>
          <w:color w:val="auto"/>
        </w:rPr>
        <w:t>or appropriate in connection with the administration of this Plan, including, without limitation: (i) to prescribe, amend and rescind rules and regulations relating to this Plan and to define terms not otherwise defined herein; (ii) to determine which persons are Participants, to which of such Participants, if any, Awards shall be granted hereunder and the timing of any such Awards; (iii) to grant Awards to Participants and determine the terms and conditions thereof, including the number of Common Shares subject to Awards and the exercise or purchase price of such Common Shares and the circumstances under which Awards become exercisable or vested or are forfeited or expire, which terms may but need not be conditioned upon the passage of time, continued employment, the satisfaction of performance criteria, the occurrence of certain events (including events which constitute a change of control), or other factors; (iv) to establish and verify the extent of satisfaction of any performance goals or other conditions applicable to the grant, issuance, exercisability, vesting and/or ability to retain any Award; (v) to prescribe and amend the terms of the agreements or other documents evidencing Awards made under this Plan (which need not be identical) and the terms of or form of any document or notice required to be delivered to the Company by Participants under this Plan; (vi) to determine the extent to which adjustments are required pursuant to Section 11; (vii) to interpret and construe this Plan, any rules and regulations under this Plan and the terms and conditions of any Award granted hereunder, and to make exceptions to any such provisions in good faith and for the benefit of the Company; and (viii) to make all other determinations deemed necessary or advisable for the administration of this Plan.</w:t>
      </w:r>
    </w:p>
    <w:p>
      <w:pPr>
        <w:spacing w:after="0" w:line="204" w:lineRule="exact"/>
        <w:rPr>
          <w:sz w:val="20"/>
          <w:szCs w:val="20"/>
          <w:color w:val="auto"/>
        </w:rPr>
      </w:pPr>
    </w:p>
    <w:p>
      <w:pPr>
        <w:ind w:right="40" w:firstLine="656"/>
        <w:spacing w:after="0" w:line="294" w:lineRule="auto"/>
        <w:tabs>
          <w:tab w:leader="none" w:pos="1536" w:val="left"/>
        </w:tabs>
        <w:numPr>
          <w:ilvl w:val="1"/>
          <w:numId w:val="85"/>
        </w:numPr>
        <w:rPr>
          <w:rFonts w:ascii="Arial" w:cs="Arial" w:eastAsia="Arial" w:hAnsi="Arial"/>
          <w:sz w:val="19"/>
          <w:szCs w:val="19"/>
          <w:color w:val="auto"/>
        </w:rPr>
      </w:pPr>
      <w:r>
        <w:rPr>
          <w:rFonts w:ascii="Arial" w:cs="Arial" w:eastAsia="Arial" w:hAnsi="Arial"/>
          <w:sz w:val="19"/>
          <w:szCs w:val="19"/>
          <w:i w:val="1"/>
          <w:iCs w:val="1"/>
          <w:color w:val="auto"/>
        </w:rPr>
        <w:t>Determinations by the Committee</w:t>
      </w:r>
      <w:r>
        <w:rPr>
          <w:rFonts w:ascii="Arial" w:cs="Arial" w:eastAsia="Arial" w:hAnsi="Arial"/>
          <w:sz w:val="19"/>
          <w:szCs w:val="19"/>
          <w:color w:val="auto"/>
        </w:rPr>
        <w:t>. All decisions, determinations and interpretations by the Committee regarding</w:t>
      </w:r>
      <w:r>
        <w:rPr>
          <w:rFonts w:ascii="Arial" w:cs="Arial" w:eastAsia="Arial" w:hAnsi="Arial"/>
          <w:sz w:val="19"/>
          <w:szCs w:val="19"/>
          <w:i w:val="1"/>
          <w:iCs w:val="1"/>
          <w:color w:val="auto"/>
        </w:rPr>
        <w:t xml:space="preserve"> </w:t>
      </w:r>
      <w:r>
        <w:rPr>
          <w:rFonts w:ascii="Arial" w:cs="Arial" w:eastAsia="Arial" w:hAnsi="Arial"/>
          <w:sz w:val="19"/>
          <w:szCs w:val="19"/>
          <w:color w:val="auto"/>
        </w:rPr>
        <w:t>the Plan, any rules and regulations under the Plan and the terms and conditions of or operation of any Award granted hereunder, shall be final and binding on all Participants, beneficiaries, heirs, assigns or other persons holding or claiming rights under the Plan or any Award. The Committee shall consider such factors as it deems relevant, in its sole and absolute discretion, to making such decisions, determinations and interpretations including, without limitation, the recommendations or advice of any officer or other employee of the Company and such attorneys, consultants and accountants as it may select.</w:t>
      </w:r>
    </w:p>
    <w:p>
      <w:pPr>
        <w:spacing w:after="0" w:line="184" w:lineRule="exact"/>
        <w:rPr>
          <w:rFonts w:ascii="Arial" w:cs="Arial" w:eastAsia="Arial" w:hAnsi="Arial"/>
          <w:sz w:val="19"/>
          <w:szCs w:val="19"/>
          <w:color w:val="auto"/>
        </w:rPr>
      </w:pPr>
    </w:p>
    <w:p>
      <w:pPr>
        <w:ind w:left="920" w:hanging="912"/>
        <w:spacing w:after="0"/>
        <w:tabs>
          <w:tab w:leader="none" w:pos="920" w:val="left"/>
        </w:tabs>
        <w:numPr>
          <w:ilvl w:val="0"/>
          <w:numId w:val="86"/>
        </w:numPr>
        <w:rPr>
          <w:rFonts w:ascii="Arial" w:cs="Arial" w:eastAsia="Arial" w:hAnsi="Arial"/>
          <w:sz w:val="22"/>
          <w:szCs w:val="22"/>
          <w:b w:val="1"/>
          <w:bCs w:val="1"/>
          <w:color w:val="auto"/>
        </w:rPr>
      </w:pPr>
      <w:r>
        <w:rPr>
          <w:rFonts w:ascii="Arial" w:cs="Arial" w:eastAsia="Arial" w:hAnsi="Arial"/>
          <w:sz w:val="22"/>
          <w:szCs w:val="22"/>
          <w:b w:val="1"/>
          <w:bCs w:val="1"/>
          <w:color w:val="auto"/>
        </w:rPr>
        <w:t>Amendment of the Plan or Awards</w:t>
      </w:r>
    </w:p>
    <w:p>
      <w:pPr>
        <w:spacing w:after="0" w:line="226" w:lineRule="exact"/>
        <w:rPr>
          <w:sz w:val="20"/>
          <w:szCs w:val="20"/>
          <w:color w:val="auto"/>
        </w:rPr>
      </w:pPr>
    </w:p>
    <w:p>
      <w:pPr>
        <w:ind w:right="80" w:firstLine="648"/>
        <w:spacing w:after="0" w:line="286" w:lineRule="auto"/>
        <w:rPr>
          <w:sz w:val="20"/>
          <w:szCs w:val="20"/>
          <w:color w:val="auto"/>
        </w:rPr>
      </w:pPr>
      <w:r>
        <w:rPr>
          <w:rFonts w:ascii="Arial" w:cs="Arial" w:eastAsia="Arial" w:hAnsi="Arial"/>
          <w:sz w:val="19"/>
          <w:szCs w:val="19"/>
          <w:color w:val="auto"/>
        </w:rPr>
        <w:t>The Board may amend, alter or discontinue this Plan and the Committee may amend, or alter any agreement or other document evidencing an Award made under this Plan but, except as specifically provided for hereunder, no such amendment shall, without the approval of the stockholders of the Company (a) reduce the exercise price of outstanding Options or Stock Appreciation Rights, (b) reduce the price at which Options may be granted below the price provided for in Section 6 or</w:t>
      </w:r>
    </w:p>
    <w:p>
      <w:pPr>
        <w:spacing w:after="0" w:line="3" w:lineRule="exact"/>
        <w:rPr>
          <w:sz w:val="20"/>
          <w:szCs w:val="20"/>
          <w:color w:val="auto"/>
        </w:rPr>
      </w:pPr>
    </w:p>
    <w:p>
      <w:pPr>
        <w:ind w:right="60" w:firstLine="8"/>
        <w:spacing w:after="0" w:line="258" w:lineRule="auto"/>
        <w:tabs>
          <w:tab w:leader="none" w:pos="294" w:val="left"/>
        </w:tabs>
        <w:numPr>
          <w:ilvl w:val="0"/>
          <w:numId w:val="87"/>
        </w:numPr>
        <w:rPr>
          <w:rFonts w:ascii="Arial" w:cs="Arial" w:eastAsia="Arial" w:hAnsi="Arial"/>
          <w:sz w:val="21"/>
          <w:szCs w:val="21"/>
          <w:color w:val="auto"/>
        </w:rPr>
      </w:pPr>
      <w:r>
        <w:rPr>
          <w:rFonts w:ascii="Arial" w:cs="Arial" w:eastAsia="Arial" w:hAnsi="Arial"/>
          <w:sz w:val="21"/>
          <w:szCs w:val="21"/>
          <w:color w:val="auto"/>
        </w:rPr>
        <w:t>otherwise amend the Plan in any manner requiring stockholder approval by law or under the NASDAQ’s listing requirements. No amendment or alteration to the Plan or an Award or Award Agreement shall be made which would impair the rights of the holder of an Award, without such holder’s consent, provided that no such consent shall be required if the Committee determines in its sole discretion and prior to the date of any change of control that such amendment or alteration either is required or advisable in order for the Company, the Plan or the Award to satisfy any law or regulation or to meet the requirements of or avoid adverse financial accounting consequences under any accounting standard.</w:t>
      </w:r>
    </w:p>
    <w:p>
      <w:pPr>
        <w:spacing w:after="0" w:line="20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A- 13</w:t>
      </w:r>
    </w:p>
    <w:p>
      <w:pPr>
        <w:sectPr>
          <w:pgSz w:w="11900" w:h="16838" w:orient="portrait"/>
          <w:cols w:equalWidth="0" w:num="1">
            <w:col w:w="11380"/>
          </w:cols>
          <w:pgMar w:left="240" w:top="375" w:right="279" w:bottom="1440" w:gutter="0" w:footer="0" w:header="0"/>
        </w:sectPr>
      </w:pPr>
    </w:p>
    <w:bookmarkStart w:id="100" w:name="page101"/>
    <w:bookmarkEnd w:id="100"/>
    <w:p>
      <w:pPr>
        <w:ind w:left="660" w:hanging="652"/>
        <w:spacing w:after="0"/>
        <w:tabs>
          <w:tab w:leader="none" w:pos="660" w:val="left"/>
        </w:tabs>
        <w:numPr>
          <w:ilvl w:val="0"/>
          <w:numId w:val="88"/>
        </w:numPr>
        <w:rPr>
          <w:rFonts w:ascii="Arial" w:cs="Arial" w:eastAsia="Arial" w:hAnsi="Arial"/>
          <w:sz w:val="22"/>
          <w:szCs w:val="22"/>
          <w:b w:val="1"/>
          <w:bCs w:val="1"/>
          <w:color w:val="auto"/>
        </w:rPr>
      </w:pPr>
      <w:r>
        <w:rPr>
          <w:rFonts w:ascii="Arial" w:cs="Arial" w:eastAsia="Arial" w:hAnsi="Arial"/>
          <w:sz w:val="22"/>
          <w:szCs w:val="22"/>
          <w:b w:val="1"/>
          <w:bCs w:val="1"/>
          <w:color w:val="auto"/>
        </w:rPr>
        <w:t>Miscellaneous</w:t>
      </w:r>
    </w:p>
    <w:p>
      <w:pPr>
        <w:spacing w:after="0" w:line="266" w:lineRule="exact"/>
        <w:rPr>
          <w:rFonts w:ascii="Arial" w:cs="Arial" w:eastAsia="Arial" w:hAnsi="Arial"/>
          <w:sz w:val="22"/>
          <w:szCs w:val="22"/>
          <w:b w:val="1"/>
          <w:bCs w:val="1"/>
          <w:color w:val="auto"/>
        </w:rPr>
      </w:pPr>
    </w:p>
    <w:p>
      <w:pPr>
        <w:ind w:firstLine="656"/>
        <w:spacing w:after="0" w:line="247" w:lineRule="auto"/>
        <w:tabs>
          <w:tab w:leader="none" w:pos="1536" w:val="left"/>
        </w:tabs>
        <w:numPr>
          <w:ilvl w:val="1"/>
          <w:numId w:val="88"/>
        </w:numPr>
        <w:rPr>
          <w:rFonts w:ascii="Arial" w:cs="Arial" w:eastAsia="Arial" w:hAnsi="Arial"/>
          <w:sz w:val="22"/>
          <w:szCs w:val="22"/>
          <w:color w:val="auto"/>
        </w:rPr>
      </w:pPr>
      <w:r>
        <w:rPr>
          <w:rFonts w:ascii="Arial" w:cs="Arial" w:eastAsia="Arial" w:hAnsi="Arial"/>
          <w:sz w:val="22"/>
          <w:szCs w:val="22"/>
          <w:i w:val="1"/>
          <w:iCs w:val="1"/>
          <w:color w:val="auto"/>
        </w:rPr>
        <w:t xml:space="preserve">No Liability of Company. </w:t>
      </w:r>
      <w:r>
        <w:rPr>
          <w:rFonts w:ascii="Arial" w:cs="Arial" w:eastAsia="Arial" w:hAnsi="Arial"/>
          <w:sz w:val="22"/>
          <w:szCs w:val="22"/>
          <w:color w:val="auto"/>
        </w:rPr>
        <w:t>The Company and any Subsidiary or affiliate which is in existence or hereafter comes</w:t>
      </w:r>
      <w:r>
        <w:rPr>
          <w:rFonts w:ascii="Arial" w:cs="Arial" w:eastAsia="Arial" w:hAnsi="Arial"/>
          <w:sz w:val="22"/>
          <w:szCs w:val="22"/>
          <w:i w:val="1"/>
          <w:iCs w:val="1"/>
          <w:color w:val="auto"/>
        </w:rPr>
        <w:t xml:space="preserve"> </w:t>
      </w:r>
      <w:r>
        <w:rPr>
          <w:rFonts w:ascii="Arial" w:cs="Arial" w:eastAsia="Arial" w:hAnsi="Arial"/>
          <w:sz w:val="22"/>
          <w:szCs w:val="22"/>
          <w:color w:val="auto"/>
        </w:rPr>
        <w:t>into existence shall not be liable to a Participant or any other person as to: (i) the non-issuance or sale of Common Shares as to which the Company has been unable to obtain from any regulatory body having jurisdiction the authority deemed by the Company’s counsel to be necessary to the lawful issuance and sale of any Common Shares hereunder; and (ii) any tax consequence expected, but not realized, by any Participant or other person due to the receipt, exercise or settlement of any Award granted hereunder.</w:t>
      </w:r>
    </w:p>
    <w:p>
      <w:pPr>
        <w:spacing w:after="0" w:line="234" w:lineRule="exact"/>
        <w:rPr>
          <w:rFonts w:ascii="Arial" w:cs="Arial" w:eastAsia="Arial" w:hAnsi="Arial"/>
          <w:sz w:val="22"/>
          <w:szCs w:val="22"/>
          <w:color w:val="auto"/>
        </w:rPr>
      </w:pPr>
    </w:p>
    <w:p>
      <w:pPr>
        <w:ind w:right="140" w:firstLine="656"/>
        <w:spacing w:after="0" w:line="286" w:lineRule="auto"/>
        <w:tabs>
          <w:tab w:leader="none" w:pos="1549" w:val="left"/>
        </w:tabs>
        <w:numPr>
          <w:ilvl w:val="1"/>
          <w:numId w:val="88"/>
        </w:numPr>
        <w:rPr>
          <w:rFonts w:ascii="Arial" w:cs="Arial" w:eastAsia="Arial" w:hAnsi="Arial"/>
          <w:sz w:val="19"/>
          <w:szCs w:val="19"/>
          <w:color w:val="auto"/>
        </w:rPr>
      </w:pPr>
      <w:r>
        <w:rPr>
          <w:rFonts w:ascii="Arial" w:cs="Arial" w:eastAsia="Arial" w:hAnsi="Arial"/>
          <w:sz w:val="19"/>
          <w:szCs w:val="19"/>
          <w:i w:val="1"/>
          <w:iCs w:val="1"/>
          <w:color w:val="auto"/>
        </w:rPr>
        <w:t>Non-Exclusivity of Plan</w:t>
      </w:r>
      <w:r>
        <w:rPr>
          <w:rFonts w:ascii="Arial" w:cs="Arial" w:eastAsia="Arial" w:hAnsi="Arial"/>
          <w:sz w:val="19"/>
          <w:szCs w:val="19"/>
          <w:color w:val="auto"/>
        </w:rPr>
        <w:t>. Neither the adoption of this Plan by the Board nor the submission of this Plan to the</w:t>
      </w:r>
      <w:r>
        <w:rPr>
          <w:rFonts w:ascii="Arial" w:cs="Arial" w:eastAsia="Arial" w:hAnsi="Arial"/>
          <w:sz w:val="19"/>
          <w:szCs w:val="19"/>
          <w:i w:val="1"/>
          <w:iCs w:val="1"/>
          <w:color w:val="auto"/>
        </w:rPr>
        <w:t xml:space="preserve"> </w:t>
      </w:r>
      <w:r>
        <w:rPr>
          <w:rFonts w:ascii="Arial" w:cs="Arial" w:eastAsia="Arial" w:hAnsi="Arial"/>
          <w:sz w:val="19"/>
          <w:szCs w:val="19"/>
          <w:color w:val="auto"/>
        </w:rPr>
        <w:t>stockholders of the Company for approval shall be construed as creating any limitations on the power of the Board or the Committee to adopt such other incentive arrangements as either may deem desirable, including without limitation, the granting of restricted stock or stock options otherwise than under this Plan or an arrangement not intended to qualify under Code</w:t>
      </w:r>
    </w:p>
    <w:p>
      <w:pPr>
        <w:spacing w:after="0" w:line="2"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Section 162(m), and such arrangements may be either generally applicable or applicable only in specific cases.</w:t>
      </w:r>
    </w:p>
    <w:p>
      <w:pPr>
        <w:spacing w:after="0" w:line="242" w:lineRule="exact"/>
        <w:rPr>
          <w:rFonts w:ascii="Arial" w:cs="Arial" w:eastAsia="Arial" w:hAnsi="Arial"/>
          <w:sz w:val="19"/>
          <w:szCs w:val="19"/>
          <w:color w:val="auto"/>
        </w:rPr>
      </w:pPr>
    </w:p>
    <w:p>
      <w:pPr>
        <w:ind w:right="160" w:firstLine="656"/>
        <w:spacing w:after="0" w:line="263" w:lineRule="auto"/>
        <w:tabs>
          <w:tab w:leader="none" w:pos="1536" w:val="left"/>
        </w:tabs>
        <w:numPr>
          <w:ilvl w:val="1"/>
          <w:numId w:val="88"/>
        </w:numPr>
        <w:rPr>
          <w:rFonts w:ascii="Arial" w:cs="Arial" w:eastAsia="Arial" w:hAnsi="Arial"/>
          <w:sz w:val="22"/>
          <w:szCs w:val="22"/>
          <w:color w:val="auto"/>
        </w:rPr>
      </w:pPr>
      <w:r>
        <w:rPr>
          <w:rFonts w:ascii="Arial" w:cs="Arial" w:eastAsia="Arial" w:hAnsi="Arial"/>
          <w:sz w:val="22"/>
          <w:szCs w:val="22"/>
          <w:i w:val="1"/>
          <w:iCs w:val="1"/>
          <w:color w:val="auto"/>
        </w:rPr>
        <w:t>Governing Law</w:t>
      </w:r>
      <w:r>
        <w:rPr>
          <w:rFonts w:ascii="Arial" w:cs="Arial" w:eastAsia="Arial" w:hAnsi="Arial"/>
          <w:sz w:val="22"/>
          <w:szCs w:val="22"/>
          <w:color w:val="auto"/>
        </w:rPr>
        <w:t>. This Plan and any agreements or other documents hereunder shall be interpreted and construed</w:t>
      </w:r>
      <w:r>
        <w:rPr>
          <w:rFonts w:ascii="Arial" w:cs="Arial" w:eastAsia="Arial" w:hAnsi="Arial"/>
          <w:sz w:val="22"/>
          <w:szCs w:val="22"/>
          <w:i w:val="1"/>
          <w:iCs w:val="1"/>
          <w:color w:val="auto"/>
        </w:rPr>
        <w:t xml:space="preserve"> </w:t>
      </w:r>
      <w:r>
        <w:rPr>
          <w:rFonts w:ascii="Arial" w:cs="Arial" w:eastAsia="Arial" w:hAnsi="Arial"/>
          <w:sz w:val="22"/>
          <w:szCs w:val="22"/>
          <w:color w:val="auto"/>
        </w:rPr>
        <w:t>in accordance with the laws of the Delaware and applicable federal law.</w:t>
      </w:r>
    </w:p>
    <w:p>
      <w:pPr>
        <w:spacing w:after="0" w:line="215" w:lineRule="exact"/>
        <w:rPr>
          <w:rFonts w:ascii="Arial" w:cs="Arial" w:eastAsia="Arial" w:hAnsi="Arial"/>
          <w:sz w:val="22"/>
          <w:szCs w:val="22"/>
          <w:color w:val="auto"/>
        </w:rPr>
      </w:pPr>
    </w:p>
    <w:p>
      <w:pPr>
        <w:ind w:right="60" w:firstLine="656"/>
        <w:spacing w:after="0" w:line="247" w:lineRule="auto"/>
        <w:tabs>
          <w:tab w:leader="none" w:pos="1549" w:val="left"/>
        </w:tabs>
        <w:numPr>
          <w:ilvl w:val="1"/>
          <w:numId w:val="88"/>
        </w:numPr>
        <w:rPr>
          <w:rFonts w:ascii="Arial" w:cs="Arial" w:eastAsia="Arial" w:hAnsi="Arial"/>
          <w:sz w:val="22"/>
          <w:szCs w:val="22"/>
          <w:color w:val="auto"/>
        </w:rPr>
      </w:pPr>
      <w:r>
        <w:rPr>
          <w:rFonts w:ascii="Arial" w:cs="Arial" w:eastAsia="Arial" w:hAnsi="Arial"/>
          <w:sz w:val="22"/>
          <w:szCs w:val="22"/>
          <w:i w:val="1"/>
          <w:iCs w:val="1"/>
          <w:color w:val="auto"/>
        </w:rPr>
        <w:t>No Right to Employment, Reelection or Continued Service</w:t>
      </w:r>
      <w:r>
        <w:rPr>
          <w:rFonts w:ascii="Arial" w:cs="Arial" w:eastAsia="Arial" w:hAnsi="Arial"/>
          <w:sz w:val="22"/>
          <w:szCs w:val="22"/>
          <w:color w:val="auto"/>
        </w:rPr>
        <w:t>. Nothing in this Plan or an Award Agreement shall</w:t>
      </w:r>
      <w:r>
        <w:rPr>
          <w:rFonts w:ascii="Arial" w:cs="Arial" w:eastAsia="Arial" w:hAnsi="Arial"/>
          <w:sz w:val="22"/>
          <w:szCs w:val="22"/>
          <w:i w:val="1"/>
          <w:iCs w:val="1"/>
          <w:color w:val="auto"/>
        </w:rPr>
        <w:t xml:space="preserve"> </w:t>
      </w:r>
      <w:r>
        <w:rPr>
          <w:rFonts w:ascii="Arial" w:cs="Arial" w:eastAsia="Arial" w:hAnsi="Arial"/>
          <w:sz w:val="22"/>
          <w:szCs w:val="22"/>
          <w:color w:val="auto"/>
        </w:rPr>
        <w:t>interfere with or limit in any way the right of the Company, its Subsidiaries and/or its affiliates to terminate any Participant’s employment, service on the Board or service for the Company at any time or for any reason not prohibited by law, nor shall this Plan or an Award itself confer upon any Participant any right to continue his or her employment or service for any specified period of time. Neither an Award nor any benefits arising under this Plan shall constitute an employment contract with the Company, any Subsidiary and/or its affiliates.</w:t>
      </w:r>
    </w:p>
    <w:p>
      <w:pPr>
        <w:spacing w:after="0" w:line="234" w:lineRule="exact"/>
        <w:rPr>
          <w:rFonts w:ascii="Arial" w:cs="Arial" w:eastAsia="Arial" w:hAnsi="Arial"/>
          <w:sz w:val="22"/>
          <w:szCs w:val="22"/>
          <w:color w:val="auto"/>
        </w:rPr>
      </w:pPr>
    </w:p>
    <w:p>
      <w:pPr>
        <w:jc w:val="both"/>
        <w:ind w:right="300" w:firstLine="656"/>
        <w:spacing w:after="0" w:line="250" w:lineRule="auto"/>
        <w:tabs>
          <w:tab w:leader="none" w:pos="1536" w:val="left"/>
        </w:tabs>
        <w:numPr>
          <w:ilvl w:val="1"/>
          <w:numId w:val="88"/>
        </w:numPr>
        <w:rPr>
          <w:rFonts w:ascii="Arial" w:cs="Arial" w:eastAsia="Arial" w:hAnsi="Arial"/>
          <w:sz w:val="22"/>
          <w:szCs w:val="22"/>
          <w:color w:val="auto"/>
        </w:rPr>
      </w:pPr>
      <w:r>
        <w:rPr>
          <w:rFonts w:ascii="Arial" w:cs="Arial" w:eastAsia="Arial" w:hAnsi="Arial"/>
          <w:sz w:val="22"/>
          <w:szCs w:val="22"/>
          <w:i w:val="1"/>
          <w:iCs w:val="1"/>
          <w:color w:val="auto"/>
        </w:rPr>
        <w:t>Unfunded Plan</w:t>
      </w:r>
      <w:r>
        <w:rPr>
          <w:rFonts w:ascii="Arial" w:cs="Arial" w:eastAsia="Arial" w:hAnsi="Arial"/>
          <w:sz w:val="22"/>
          <w:szCs w:val="22"/>
          <w:color w:val="auto"/>
        </w:rPr>
        <w:t>. The Plan is intended to be an unfunded plan. Participants are and shall at all times be general</w:t>
      </w:r>
      <w:r>
        <w:rPr>
          <w:rFonts w:ascii="Arial" w:cs="Arial" w:eastAsia="Arial" w:hAnsi="Arial"/>
          <w:sz w:val="22"/>
          <w:szCs w:val="22"/>
          <w:i w:val="1"/>
          <w:iCs w:val="1"/>
          <w:color w:val="auto"/>
        </w:rPr>
        <w:t xml:space="preserve"> </w:t>
      </w:r>
      <w:r>
        <w:rPr>
          <w:rFonts w:ascii="Arial" w:cs="Arial" w:eastAsia="Arial" w:hAnsi="Arial"/>
          <w:sz w:val="22"/>
          <w:szCs w:val="22"/>
          <w:color w:val="auto"/>
        </w:rPr>
        <w:t>creditors of the Company with respect to their Awards. If the Committee or the Company chooses to set aside funds in a trust or otherwise for the payment of Awards under the Plan, such funds shall at all times be subject to the claims of the creditors of the Company in the event of its bankruptcy or insolvency.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A- 14</w:t>
      </w:r>
    </w:p>
    <w:p>
      <w:pPr>
        <w:sectPr>
          <w:pgSz w:w="11900" w:h="16838" w:orient="portrait"/>
          <w:cols w:equalWidth="0" w:num="1">
            <w:col w:w="11360"/>
          </w:cols>
          <w:pgMar w:left="240" w:top="841" w:right="299" w:bottom="1440" w:gutter="0" w:footer="0" w:header="0"/>
        </w:sectPr>
      </w:pPr>
    </w:p>
    <w:bookmarkStart w:id="101" w:name="page102"/>
    <w:bookmarkEnd w:id="101"/>
    <w:p>
      <w:pPr>
        <w:jc w:val="center"/>
        <w:ind w:right="-19"/>
        <w:spacing w:after="0"/>
        <w:rPr>
          <w:sz w:val="20"/>
          <w:szCs w:val="20"/>
          <w:color w:val="auto"/>
        </w:rPr>
      </w:pPr>
      <w:r>
        <w:rPr>
          <w:rFonts w:ascii="Arial" w:cs="Arial" w:eastAsia="Arial" w:hAnsi="Arial"/>
          <w:sz w:val="22"/>
          <w:szCs w:val="22"/>
          <w:b w:val="1"/>
          <w:bCs w:val="1"/>
          <w:color w:val="auto"/>
        </w:rPr>
        <w:t>Appendix 1</w:t>
      </w: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Restricted Stock Sub-Plan: Provisions Applicable to Participants in France</w:t>
      </w:r>
    </w:p>
    <w:p>
      <w:pPr>
        <w:spacing w:after="0" w:line="200" w:lineRule="exact"/>
        <w:rPr>
          <w:sz w:val="20"/>
          <w:szCs w:val="20"/>
          <w:color w:val="auto"/>
        </w:rPr>
      </w:pPr>
    </w:p>
    <w:p>
      <w:pPr>
        <w:spacing w:after="0" w:line="276" w:lineRule="exact"/>
        <w:rPr>
          <w:sz w:val="20"/>
          <w:szCs w:val="20"/>
          <w:color w:val="auto"/>
        </w:rPr>
      </w:pPr>
    </w:p>
    <w:p>
      <w:pPr>
        <w:ind w:left="660" w:hanging="652"/>
        <w:spacing w:after="0"/>
        <w:tabs>
          <w:tab w:leader="none" w:pos="660" w:val="left"/>
        </w:tabs>
        <w:numPr>
          <w:ilvl w:val="0"/>
          <w:numId w:val="89"/>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Introduction</w:t>
      </w:r>
      <w:r>
        <w:rPr>
          <w:rFonts w:ascii="Arial" w:cs="Arial" w:eastAsia="Arial" w:hAnsi="Arial"/>
          <w:sz w:val="22"/>
          <w:szCs w:val="22"/>
          <w:b w:val="1"/>
          <w:bCs w:val="1"/>
          <w:color w:val="auto"/>
        </w:rPr>
        <w:t>.</w:t>
      </w:r>
    </w:p>
    <w:p>
      <w:pPr>
        <w:spacing w:after="0" w:line="226" w:lineRule="exact"/>
        <w:rPr>
          <w:sz w:val="20"/>
          <w:szCs w:val="20"/>
          <w:color w:val="auto"/>
        </w:rPr>
      </w:pPr>
    </w:p>
    <w:p>
      <w:pPr>
        <w:jc w:val="both"/>
        <w:ind w:right="20" w:firstLine="648"/>
        <w:spacing w:after="0" w:line="312" w:lineRule="auto"/>
        <w:rPr>
          <w:sz w:val="20"/>
          <w:szCs w:val="20"/>
          <w:color w:val="auto"/>
        </w:rPr>
      </w:pPr>
      <w:r>
        <w:rPr>
          <w:rFonts w:ascii="Arial" w:cs="Arial" w:eastAsia="Arial" w:hAnsi="Arial"/>
          <w:sz w:val="19"/>
          <w:szCs w:val="19"/>
          <w:color w:val="auto"/>
        </w:rPr>
        <w:t>The following provisions apply to grants of Restricted Stock to employees and managing directors of any French subsidiary, or French branch of any non-French subsidiary, of which the Company holds directly or indirectly at least 10% of the share capital (a “French Entity”), so that such grants can qualify for favorable tax and social security treatment in France.</w:t>
      </w:r>
    </w:p>
    <w:p>
      <w:pPr>
        <w:spacing w:after="0" w:line="134" w:lineRule="exact"/>
        <w:rPr>
          <w:sz w:val="20"/>
          <w:szCs w:val="20"/>
          <w:color w:val="auto"/>
        </w:rPr>
      </w:pPr>
    </w:p>
    <w:p>
      <w:pPr>
        <w:ind w:right="60" w:firstLine="648"/>
        <w:spacing w:after="0" w:line="247" w:lineRule="auto"/>
        <w:rPr>
          <w:sz w:val="20"/>
          <w:szCs w:val="20"/>
          <w:color w:val="auto"/>
        </w:rPr>
      </w:pPr>
      <w:r>
        <w:rPr>
          <w:rFonts w:ascii="Arial" w:cs="Arial" w:eastAsia="Arial" w:hAnsi="Arial"/>
          <w:sz w:val="22"/>
          <w:szCs w:val="22"/>
          <w:color w:val="auto"/>
        </w:rPr>
        <w:t>This Appendix applies for the purposes of permitting grants of Restricted Stock (the “French-Qualified Restricted Stock”) which will qualify for the favorable tax and social security treatment in France applicable to shares granted for no consideration under Sections L. 225-197-1 to L. 225-197-5 of the French Commercial Code, as amended by the so-called French “Macron” Law dated 6 August 2015 n°2015-990 which improves the social and tax regime of restricted stock in France (the “Macron Law”), to qualifying employees and managing directors who are resident in France for French tax purposes (“French Participants” and each a “French Participant”).</w:t>
      </w:r>
    </w:p>
    <w:p>
      <w:pPr>
        <w:spacing w:after="0" w:line="194" w:lineRule="exact"/>
        <w:rPr>
          <w:sz w:val="20"/>
          <w:szCs w:val="20"/>
          <w:color w:val="auto"/>
        </w:rPr>
      </w:pPr>
    </w:p>
    <w:p>
      <w:pPr>
        <w:ind w:right="40" w:firstLine="648"/>
        <w:spacing w:after="0" w:line="263" w:lineRule="auto"/>
        <w:rPr>
          <w:sz w:val="20"/>
          <w:szCs w:val="20"/>
          <w:color w:val="auto"/>
        </w:rPr>
      </w:pPr>
      <w:r>
        <w:rPr>
          <w:rFonts w:ascii="Arial" w:cs="Arial" w:eastAsia="Arial" w:hAnsi="Arial"/>
          <w:sz w:val="22"/>
          <w:szCs w:val="22"/>
          <w:color w:val="auto"/>
        </w:rPr>
        <w:t>The Common Shares are listed on NASDAQ, which is a regulated securities exchange within the meaning of Article L.225-197-1 II of the French Commercial Code.</w:t>
      </w:r>
    </w:p>
    <w:p>
      <w:pPr>
        <w:spacing w:after="0" w:line="175" w:lineRule="exact"/>
        <w:rPr>
          <w:sz w:val="20"/>
          <w:szCs w:val="20"/>
          <w:color w:val="auto"/>
        </w:rPr>
      </w:pPr>
    </w:p>
    <w:p>
      <w:pPr>
        <w:jc w:val="both"/>
        <w:ind w:right="160" w:firstLine="648"/>
        <w:spacing w:after="0" w:line="253" w:lineRule="auto"/>
        <w:rPr>
          <w:sz w:val="20"/>
          <w:szCs w:val="20"/>
          <w:color w:val="auto"/>
        </w:rPr>
      </w:pPr>
      <w:r>
        <w:rPr>
          <w:rFonts w:ascii="Arial" w:cs="Arial" w:eastAsia="Arial" w:hAnsi="Arial"/>
          <w:sz w:val="22"/>
          <w:szCs w:val="22"/>
          <w:color w:val="auto"/>
        </w:rPr>
        <w:t>The terms of the Plan applicable to Restricted Stock, as set out in Appendix 1 hereto, shall, subject to the modifications set forth in this Appendix 1 (which shall prevail over the terms of the Plan in the event of conflict), constitute the terms applicable for grants of Restricted Stock to French Participants.</w:t>
      </w:r>
    </w:p>
    <w:p>
      <w:pPr>
        <w:spacing w:after="0" w:line="186" w:lineRule="exact"/>
        <w:rPr>
          <w:sz w:val="20"/>
          <w:szCs w:val="20"/>
          <w:color w:val="auto"/>
        </w:rPr>
      </w:pPr>
    </w:p>
    <w:p>
      <w:pPr>
        <w:ind w:left="660"/>
        <w:spacing w:after="0"/>
        <w:rPr>
          <w:sz w:val="20"/>
          <w:szCs w:val="20"/>
          <w:color w:val="auto"/>
        </w:rPr>
      </w:pPr>
      <w:r>
        <w:rPr>
          <w:rFonts w:ascii="Arial" w:cs="Arial" w:eastAsia="Arial" w:hAnsi="Arial"/>
          <w:sz w:val="19"/>
          <w:szCs w:val="19"/>
          <w:color w:val="auto"/>
        </w:rPr>
        <w:t>Under the Appendix 1, French Participants may receive grants only of Restricted Stock and the term “Award” under this</w:t>
      </w:r>
    </w:p>
    <w:p>
      <w:pPr>
        <w:spacing w:after="0" w:line="56" w:lineRule="exact"/>
        <w:rPr>
          <w:sz w:val="20"/>
          <w:szCs w:val="20"/>
          <w:color w:val="auto"/>
        </w:rPr>
      </w:pPr>
    </w:p>
    <w:p>
      <w:pPr>
        <w:spacing w:after="0"/>
        <w:rPr>
          <w:sz w:val="20"/>
          <w:szCs w:val="20"/>
          <w:color w:val="auto"/>
        </w:rPr>
      </w:pPr>
      <w:r>
        <w:rPr>
          <w:rFonts w:ascii="Arial" w:cs="Arial" w:eastAsia="Arial" w:hAnsi="Arial"/>
          <w:sz w:val="19"/>
          <w:szCs w:val="19"/>
          <w:color w:val="auto"/>
        </w:rPr>
        <w:t>Appendix 1 shall refer only to an award or grant of Restricted Stock. The provisions of the Plan permitting the grant of stock</w:t>
      </w:r>
    </w:p>
    <w:p>
      <w:pPr>
        <w:spacing w:after="0" w:line="38" w:lineRule="exact"/>
        <w:rPr>
          <w:sz w:val="20"/>
          <w:szCs w:val="20"/>
          <w:color w:val="auto"/>
        </w:rPr>
      </w:pPr>
    </w:p>
    <w:p>
      <w:pPr>
        <w:spacing w:after="0"/>
        <w:rPr>
          <w:sz w:val="20"/>
          <w:szCs w:val="20"/>
          <w:color w:val="auto"/>
        </w:rPr>
      </w:pPr>
      <w:r>
        <w:rPr>
          <w:rFonts w:ascii="Arial" w:cs="Arial" w:eastAsia="Arial" w:hAnsi="Arial"/>
          <w:sz w:val="21"/>
          <w:szCs w:val="21"/>
          <w:color w:val="auto"/>
        </w:rPr>
        <w:t>Options, Restricted Stock Units, or Stock Appreciation Rights shall not apply to French Participants under this Appendix 1.</w:t>
      </w:r>
    </w:p>
    <w:p>
      <w:pPr>
        <w:spacing w:after="0" w:line="213" w:lineRule="exact"/>
        <w:rPr>
          <w:sz w:val="20"/>
          <w:szCs w:val="20"/>
          <w:color w:val="auto"/>
        </w:rPr>
      </w:pPr>
    </w:p>
    <w:p>
      <w:pPr>
        <w:ind w:firstLine="648"/>
        <w:spacing w:after="0" w:line="250" w:lineRule="auto"/>
        <w:rPr>
          <w:sz w:val="20"/>
          <w:szCs w:val="20"/>
          <w:color w:val="auto"/>
        </w:rPr>
      </w:pPr>
      <w:r>
        <w:rPr>
          <w:rFonts w:ascii="Arial" w:cs="Arial" w:eastAsia="Arial" w:hAnsi="Arial"/>
          <w:sz w:val="22"/>
          <w:szCs w:val="22"/>
          <w:color w:val="auto"/>
        </w:rPr>
        <w:t>In accordance with French law and with a view to benefit from the Macron Law, the granting, on one or several occasions, of up to 140,000 shares of French-Qualified Restricted Stock, relating to existing underlying Common Shares or underlying Common Shares to be issued by the Plan Administrator to qualifying employees or officers, as defined below in Section 3, has been duly authorized by the Company’s shareholders at a meeting held on [], 2016</w:t>
      </w:r>
    </w:p>
    <w:p>
      <w:pPr>
        <w:spacing w:after="0" w:line="223" w:lineRule="exact"/>
        <w:rPr>
          <w:sz w:val="20"/>
          <w:szCs w:val="20"/>
          <w:color w:val="auto"/>
        </w:rPr>
      </w:pPr>
    </w:p>
    <w:p>
      <w:pPr>
        <w:ind w:left="660" w:hanging="652"/>
        <w:spacing w:after="0"/>
        <w:tabs>
          <w:tab w:leader="none" w:pos="660" w:val="left"/>
        </w:tabs>
        <w:numPr>
          <w:ilvl w:val="0"/>
          <w:numId w:val="90"/>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Definitions</w:t>
      </w:r>
      <w:r>
        <w:rPr>
          <w:rFonts w:ascii="Arial" w:cs="Arial" w:eastAsia="Arial" w:hAnsi="Arial"/>
          <w:sz w:val="22"/>
          <w:szCs w:val="22"/>
          <w:b w:val="1"/>
          <w:bCs w:val="1"/>
          <w:color w:val="auto"/>
        </w:rPr>
        <w:t>.</w:t>
      </w:r>
    </w:p>
    <w:p>
      <w:pPr>
        <w:spacing w:after="0" w:line="226" w:lineRule="exact"/>
        <w:rPr>
          <w:sz w:val="20"/>
          <w:szCs w:val="20"/>
          <w:color w:val="auto"/>
        </w:rPr>
      </w:pPr>
    </w:p>
    <w:p>
      <w:pPr>
        <w:ind w:right="80" w:firstLine="648"/>
        <w:spacing w:after="0" w:line="263" w:lineRule="auto"/>
        <w:rPr>
          <w:sz w:val="20"/>
          <w:szCs w:val="20"/>
          <w:color w:val="auto"/>
        </w:rPr>
      </w:pPr>
      <w:r>
        <w:rPr>
          <w:rFonts w:ascii="Arial" w:cs="Arial" w:eastAsia="Arial" w:hAnsi="Arial"/>
          <w:sz w:val="22"/>
          <w:szCs w:val="22"/>
          <w:color w:val="auto"/>
        </w:rPr>
        <w:t>Capitalized terms not otherwise defined in this Appendix 1 shall have the same meanings as set forth in the Plan. The terms set out below will have the following meanings:</w:t>
      </w:r>
    </w:p>
    <w:p>
      <w:pPr>
        <w:spacing w:after="0" w:line="1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A- 15</w:t>
      </w:r>
    </w:p>
    <w:p>
      <w:pPr>
        <w:sectPr>
          <w:pgSz w:w="11900" w:h="16838" w:orient="portrait"/>
          <w:cols w:equalWidth="0" w:num="1">
            <w:col w:w="11420"/>
          </w:cols>
          <w:pgMar w:left="240" w:top="585" w:right="239" w:bottom="1440" w:gutter="0" w:footer="0" w:header="0"/>
        </w:sectPr>
      </w:pPr>
    </w:p>
    <w:bookmarkStart w:id="102" w:name="page103"/>
    <w:bookmarkEnd w:id="102"/>
    <w:p>
      <w:pPr>
        <w:ind w:left="1420" w:hanging="764"/>
        <w:spacing w:after="0"/>
        <w:tabs>
          <w:tab w:leader="none" w:pos="1420" w:val="left"/>
        </w:tabs>
        <w:numPr>
          <w:ilvl w:val="0"/>
          <w:numId w:val="91"/>
        </w:numPr>
        <w:rPr>
          <w:rFonts w:ascii="Arial" w:cs="Arial" w:eastAsia="Arial" w:hAnsi="Arial"/>
          <w:sz w:val="18"/>
          <w:szCs w:val="18"/>
          <w:color w:val="auto"/>
        </w:rPr>
      </w:pPr>
      <w:r>
        <w:rPr>
          <w:rFonts w:ascii="Arial" w:cs="Arial" w:eastAsia="Arial" w:hAnsi="Arial"/>
          <w:sz w:val="22"/>
          <w:szCs w:val="22"/>
          <w:b w:val="1"/>
          <w:bCs w:val="1"/>
          <w:u w:val="single" w:color="auto"/>
          <w:color w:val="auto"/>
        </w:rPr>
        <w:t>Blackout Periods.</w:t>
      </w:r>
    </w:p>
    <w:p>
      <w:pPr>
        <w:spacing w:after="0" w:line="23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The term “</w:t>
      </w:r>
      <w:r>
        <w:rPr>
          <w:rFonts w:ascii="Arial" w:cs="Arial" w:eastAsia="Arial" w:hAnsi="Arial"/>
          <w:sz w:val="22"/>
          <w:szCs w:val="22"/>
          <w:b w:val="1"/>
          <w:bCs w:val="1"/>
          <w:i w:val="1"/>
          <w:iCs w:val="1"/>
          <w:color w:val="auto"/>
        </w:rPr>
        <w:t>Blackout Periods</w:t>
      </w:r>
      <w:r>
        <w:rPr>
          <w:rFonts w:ascii="Arial" w:cs="Arial" w:eastAsia="Arial" w:hAnsi="Arial"/>
          <w:sz w:val="22"/>
          <w:szCs w:val="22"/>
          <w:color w:val="auto"/>
        </w:rPr>
        <w:t>” shall mean the periods</w:t>
      </w:r>
    </w:p>
    <w:p>
      <w:pPr>
        <w:spacing w:after="0" w:line="260" w:lineRule="exact"/>
        <w:rPr>
          <w:sz w:val="20"/>
          <w:szCs w:val="20"/>
          <w:color w:val="auto"/>
        </w:rPr>
      </w:pPr>
    </w:p>
    <w:p>
      <w:pPr>
        <w:jc w:val="both"/>
        <w:ind w:left="1300" w:hanging="644"/>
        <w:spacing w:after="0" w:line="248" w:lineRule="auto"/>
        <w:tabs>
          <w:tab w:leader="none" w:pos="1300" w:val="left"/>
        </w:tabs>
        <w:numPr>
          <w:ilvl w:val="0"/>
          <w:numId w:val="92"/>
        </w:numPr>
        <w:rPr>
          <w:rFonts w:ascii="Arial" w:cs="Arial" w:eastAsia="Arial" w:hAnsi="Arial"/>
          <w:sz w:val="18"/>
          <w:szCs w:val="18"/>
          <w:color w:val="auto"/>
        </w:rPr>
      </w:pPr>
      <w:r>
        <w:rPr>
          <w:rFonts w:ascii="Arial" w:cs="Arial" w:eastAsia="Arial" w:hAnsi="Arial"/>
          <w:sz w:val="22"/>
          <w:szCs w:val="22"/>
          <w:color w:val="auto"/>
        </w:rPr>
        <w:t>from the tenth (10th) trading day preceding through the tenth (10th) trading day following the date on which the consolidated accounts or annual corporate accounts of the Company are made public, and from the date on which the governing bodies of the Company have knowledge of information which, if made public, would have a significant impact on the market price of the Common Shares through the tenth (10th) trading day after such information has been made public; or</w:t>
      </w:r>
    </w:p>
    <w:p>
      <w:pPr>
        <w:spacing w:after="0" w:line="232" w:lineRule="exact"/>
        <w:rPr>
          <w:rFonts w:ascii="Arial" w:cs="Arial" w:eastAsia="Arial" w:hAnsi="Arial"/>
          <w:sz w:val="18"/>
          <w:szCs w:val="18"/>
          <w:color w:val="auto"/>
        </w:rPr>
      </w:pPr>
    </w:p>
    <w:p>
      <w:pPr>
        <w:jc w:val="both"/>
        <w:ind w:left="1300" w:hanging="644"/>
        <w:spacing w:after="0" w:line="253" w:lineRule="auto"/>
        <w:tabs>
          <w:tab w:leader="none" w:pos="1300" w:val="left"/>
        </w:tabs>
        <w:numPr>
          <w:ilvl w:val="0"/>
          <w:numId w:val="92"/>
        </w:numPr>
        <w:rPr>
          <w:rFonts w:ascii="Arial" w:cs="Arial" w:eastAsia="Arial" w:hAnsi="Arial"/>
          <w:sz w:val="18"/>
          <w:szCs w:val="18"/>
          <w:color w:val="auto"/>
        </w:rPr>
      </w:pPr>
      <w:r>
        <w:rPr>
          <w:rFonts w:ascii="Arial" w:cs="Arial" w:eastAsia="Arial" w:hAnsi="Arial"/>
          <w:sz w:val="22"/>
          <w:szCs w:val="22"/>
          <w:color w:val="auto"/>
        </w:rPr>
        <w:t>or such other black-out periods applicable to the sale of Common Shares under US legislation or imposed by the Company which provides protection against insider trading comparable to that provided by Section L. 225-197-1 of the French Commercial Code.</w:t>
      </w:r>
    </w:p>
    <w:p>
      <w:pPr>
        <w:spacing w:after="0" w:line="220" w:lineRule="exact"/>
        <w:rPr>
          <w:sz w:val="20"/>
          <w:szCs w:val="20"/>
          <w:color w:val="auto"/>
        </w:rPr>
      </w:pPr>
    </w:p>
    <w:p>
      <w:pPr>
        <w:ind w:left="1440" w:hanging="784"/>
        <w:spacing w:after="0"/>
        <w:tabs>
          <w:tab w:leader="none" w:pos="1440" w:val="left"/>
        </w:tabs>
        <w:numPr>
          <w:ilvl w:val="0"/>
          <w:numId w:val="93"/>
        </w:numPr>
        <w:rPr>
          <w:rFonts w:ascii="Arial" w:cs="Arial" w:eastAsia="Arial" w:hAnsi="Arial"/>
          <w:sz w:val="18"/>
          <w:szCs w:val="18"/>
          <w:color w:val="auto"/>
        </w:rPr>
      </w:pPr>
      <w:r>
        <w:rPr>
          <w:rFonts w:ascii="Arial" w:cs="Arial" w:eastAsia="Arial" w:hAnsi="Arial"/>
          <w:sz w:val="22"/>
          <w:szCs w:val="22"/>
          <w:b w:val="1"/>
          <w:bCs w:val="1"/>
          <w:u w:val="single" w:color="auto"/>
          <w:color w:val="auto"/>
        </w:rPr>
        <w:t>Date of Grant.</w:t>
      </w:r>
    </w:p>
    <w:p>
      <w:pPr>
        <w:spacing w:after="0" w:line="239" w:lineRule="exact"/>
        <w:rPr>
          <w:sz w:val="20"/>
          <w:szCs w:val="20"/>
          <w:color w:val="auto"/>
        </w:rPr>
      </w:pPr>
    </w:p>
    <w:p>
      <w:pPr>
        <w:ind w:right="320" w:firstLine="648"/>
        <w:spacing w:after="0" w:line="312" w:lineRule="auto"/>
        <w:rPr>
          <w:sz w:val="20"/>
          <w:szCs w:val="20"/>
          <w:color w:val="auto"/>
        </w:rPr>
      </w:pPr>
      <w:r>
        <w:rPr>
          <w:rFonts w:ascii="Arial" w:cs="Arial" w:eastAsia="Arial" w:hAnsi="Arial"/>
          <w:sz w:val="19"/>
          <w:szCs w:val="19"/>
          <w:color w:val="auto"/>
        </w:rPr>
        <w:t>The term “</w:t>
      </w:r>
      <w:r>
        <w:rPr>
          <w:rFonts w:ascii="Arial" w:cs="Arial" w:eastAsia="Arial" w:hAnsi="Arial"/>
          <w:sz w:val="19"/>
          <w:szCs w:val="19"/>
          <w:b w:val="1"/>
          <w:bCs w:val="1"/>
          <w:i w:val="1"/>
          <w:iCs w:val="1"/>
          <w:color w:val="auto"/>
        </w:rPr>
        <w:t>Date of Grant</w:t>
      </w:r>
      <w:r>
        <w:rPr>
          <w:rFonts w:ascii="Arial" w:cs="Arial" w:eastAsia="Arial" w:hAnsi="Arial"/>
          <w:sz w:val="19"/>
          <w:szCs w:val="19"/>
          <w:color w:val="auto"/>
        </w:rPr>
        <w:t>” shall be the date, which shall be specified in an agreement between the French Participant and the Company (an “Award Agreement”), on which the Committee grants the French Participant rights to a specified number of Common Shares, subject to the terms and conditions of this Appendix 1 and the Award Agreement.</w:t>
      </w:r>
    </w:p>
    <w:p>
      <w:pPr>
        <w:spacing w:after="0" w:line="168" w:lineRule="exact"/>
        <w:rPr>
          <w:sz w:val="20"/>
          <w:szCs w:val="20"/>
          <w:color w:val="auto"/>
        </w:rPr>
      </w:pPr>
    </w:p>
    <w:p>
      <w:pPr>
        <w:ind w:left="1420" w:hanging="764"/>
        <w:spacing w:after="0"/>
        <w:tabs>
          <w:tab w:leader="none" w:pos="1420" w:val="left"/>
        </w:tabs>
        <w:numPr>
          <w:ilvl w:val="0"/>
          <w:numId w:val="94"/>
        </w:numPr>
        <w:rPr>
          <w:rFonts w:ascii="Arial" w:cs="Arial" w:eastAsia="Arial" w:hAnsi="Arial"/>
          <w:sz w:val="18"/>
          <w:szCs w:val="18"/>
          <w:color w:val="auto"/>
        </w:rPr>
      </w:pPr>
      <w:r>
        <w:rPr>
          <w:rFonts w:ascii="Arial" w:cs="Arial" w:eastAsia="Arial" w:hAnsi="Arial"/>
          <w:sz w:val="22"/>
          <w:szCs w:val="22"/>
          <w:b w:val="1"/>
          <w:bCs w:val="1"/>
          <w:u w:val="single" w:color="auto"/>
          <w:color w:val="auto"/>
        </w:rPr>
        <w:t>Restricted Stock</w:t>
      </w:r>
      <w:r>
        <w:rPr>
          <w:rFonts w:ascii="Arial" w:cs="Arial" w:eastAsia="Arial" w:hAnsi="Arial"/>
          <w:sz w:val="22"/>
          <w:szCs w:val="22"/>
          <w:u w:val="single" w:color="auto"/>
          <w:color w:val="auto"/>
        </w:rPr>
        <w:t>.</w:t>
      </w:r>
    </w:p>
    <w:p>
      <w:pPr>
        <w:spacing w:after="0" w:line="239" w:lineRule="exact"/>
        <w:rPr>
          <w:sz w:val="20"/>
          <w:szCs w:val="20"/>
          <w:color w:val="auto"/>
        </w:rPr>
      </w:pPr>
    </w:p>
    <w:p>
      <w:pPr>
        <w:ind w:right="40" w:firstLine="648"/>
        <w:spacing w:after="0" w:line="250" w:lineRule="auto"/>
        <w:rPr>
          <w:sz w:val="20"/>
          <w:szCs w:val="20"/>
          <w:color w:val="auto"/>
        </w:rPr>
      </w:pPr>
      <w:r>
        <w:rPr>
          <w:rFonts w:ascii="Arial" w:cs="Arial" w:eastAsia="Arial" w:hAnsi="Arial"/>
          <w:sz w:val="22"/>
          <w:szCs w:val="22"/>
          <w:color w:val="auto"/>
        </w:rPr>
        <w:t>The term “</w:t>
      </w:r>
      <w:r>
        <w:rPr>
          <w:rFonts w:ascii="Arial" w:cs="Arial" w:eastAsia="Arial" w:hAnsi="Arial"/>
          <w:sz w:val="22"/>
          <w:szCs w:val="22"/>
          <w:b w:val="1"/>
          <w:bCs w:val="1"/>
          <w:i w:val="1"/>
          <w:iCs w:val="1"/>
          <w:color w:val="auto"/>
        </w:rPr>
        <w:t>Restricted Stock</w:t>
      </w:r>
      <w:r>
        <w:rPr>
          <w:rFonts w:ascii="Arial" w:cs="Arial" w:eastAsia="Arial" w:hAnsi="Arial"/>
          <w:sz w:val="22"/>
          <w:szCs w:val="22"/>
          <w:color w:val="auto"/>
        </w:rPr>
        <w:t>” shall mean Common Shares, rights to which are granted to a Participant conditional on certain vesting and/or forfeiture requirements, transfer restrictions and other terms and conditions provided in this Appendix 1. For the avoidance of doubt, it is specified that no dividend or voting rights shall attach to Restricted Stock under this Appendix 1 until such Restricted Stock has vested.</w:t>
      </w:r>
    </w:p>
    <w:p>
      <w:pPr>
        <w:spacing w:after="0" w:line="223" w:lineRule="exact"/>
        <w:rPr>
          <w:sz w:val="20"/>
          <w:szCs w:val="20"/>
          <w:color w:val="auto"/>
        </w:rPr>
      </w:pPr>
    </w:p>
    <w:p>
      <w:pPr>
        <w:ind w:left="1440" w:hanging="784"/>
        <w:spacing w:after="0"/>
        <w:tabs>
          <w:tab w:leader="none" w:pos="1440" w:val="left"/>
        </w:tabs>
        <w:numPr>
          <w:ilvl w:val="0"/>
          <w:numId w:val="95"/>
        </w:numPr>
        <w:rPr>
          <w:rFonts w:ascii="Arial" w:cs="Arial" w:eastAsia="Arial" w:hAnsi="Arial"/>
          <w:sz w:val="18"/>
          <w:szCs w:val="18"/>
          <w:color w:val="auto"/>
        </w:rPr>
      </w:pPr>
      <w:r>
        <w:rPr>
          <w:rFonts w:ascii="Arial" w:cs="Arial" w:eastAsia="Arial" w:hAnsi="Arial"/>
          <w:sz w:val="22"/>
          <w:szCs w:val="22"/>
          <w:b w:val="1"/>
          <w:bCs w:val="1"/>
          <w:u w:val="single" w:color="auto"/>
          <w:color w:val="auto"/>
        </w:rPr>
        <w:t>Vest Date.</w:t>
      </w:r>
    </w:p>
    <w:p>
      <w:pPr>
        <w:spacing w:after="0" w:line="239" w:lineRule="exact"/>
        <w:rPr>
          <w:sz w:val="20"/>
          <w:szCs w:val="20"/>
          <w:color w:val="auto"/>
        </w:rPr>
      </w:pPr>
    </w:p>
    <w:p>
      <w:pPr>
        <w:ind w:right="40" w:firstLine="648"/>
        <w:spacing w:after="0" w:line="253" w:lineRule="auto"/>
        <w:rPr>
          <w:sz w:val="20"/>
          <w:szCs w:val="20"/>
          <w:color w:val="auto"/>
        </w:rPr>
      </w:pPr>
      <w:r>
        <w:rPr>
          <w:rFonts w:ascii="Arial" w:cs="Arial" w:eastAsia="Arial" w:hAnsi="Arial"/>
          <w:sz w:val="22"/>
          <w:szCs w:val="22"/>
          <w:color w:val="auto"/>
        </w:rPr>
        <w:t>The term “</w:t>
      </w:r>
      <w:r>
        <w:rPr>
          <w:rFonts w:ascii="Arial" w:cs="Arial" w:eastAsia="Arial" w:hAnsi="Arial"/>
          <w:sz w:val="22"/>
          <w:szCs w:val="22"/>
          <w:b w:val="1"/>
          <w:bCs w:val="1"/>
          <w:i w:val="1"/>
          <w:iCs w:val="1"/>
          <w:color w:val="auto"/>
        </w:rPr>
        <w:t>Vest Date</w:t>
      </w:r>
      <w:r>
        <w:rPr>
          <w:rFonts w:ascii="Arial" w:cs="Arial" w:eastAsia="Arial" w:hAnsi="Arial"/>
          <w:sz w:val="22"/>
          <w:szCs w:val="22"/>
          <w:color w:val="auto"/>
        </w:rPr>
        <w:t>” shall mean the date on which the Common Shares subject to the Restricted Stock Award become non-forfeitable. Such Vest Date or Vest Dates, as well as the performance criteria if any or other conditions for Common Shares to become non-forfeitable, shall be specified in the Award Agreement.</w:t>
      </w:r>
    </w:p>
    <w:p>
      <w:pPr>
        <w:spacing w:after="0" w:line="220" w:lineRule="exact"/>
        <w:rPr>
          <w:sz w:val="20"/>
          <w:szCs w:val="20"/>
          <w:color w:val="auto"/>
        </w:rPr>
      </w:pPr>
    </w:p>
    <w:p>
      <w:pPr>
        <w:ind w:left="660" w:hanging="652"/>
        <w:spacing w:after="0"/>
        <w:tabs>
          <w:tab w:leader="none" w:pos="660" w:val="left"/>
        </w:tabs>
        <w:numPr>
          <w:ilvl w:val="0"/>
          <w:numId w:val="96"/>
        </w:numPr>
        <w:rPr>
          <w:rFonts w:ascii="Arial" w:cs="Arial" w:eastAsia="Arial" w:hAnsi="Arial"/>
          <w:sz w:val="18"/>
          <w:szCs w:val="18"/>
          <w:color w:val="auto"/>
        </w:rPr>
      </w:pPr>
      <w:r>
        <w:rPr>
          <w:rFonts w:ascii="Arial" w:cs="Arial" w:eastAsia="Arial" w:hAnsi="Arial"/>
          <w:sz w:val="22"/>
          <w:szCs w:val="22"/>
          <w:b w:val="1"/>
          <w:bCs w:val="1"/>
          <w:u w:val="single" w:color="auto"/>
          <w:color w:val="auto"/>
        </w:rPr>
        <w:t>Eligibility to Participate and Limitations</w:t>
      </w:r>
      <w:r>
        <w:rPr>
          <w:rFonts w:ascii="Arial" w:cs="Arial" w:eastAsia="Arial" w:hAnsi="Arial"/>
          <w:sz w:val="22"/>
          <w:szCs w:val="22"/>
          <w:b w:val="1"/>
          <w:bCs w:val="1"/>
          <w:color w:val="auto"/>
        </w:rPr>
        <w:t>.</w:t>
      </w:r>
    </w:p>
    <w:p>
      <w:pPr>
        <w:spacing w:after="0" w:line="260" w:lineRule="exact"/>
        <w:rPr>
          <w:rFonts w:ascii="Arial" w:cs="Arial" w:eastAsia="Arial" w:hAnsi="Arial"/>
          <w:sz w:val="18"/>
          <w:szCs w:val="18"/>
          <w:color w:val="auto"/>
        </w:rPr>
      </w:pPr>
    </w:p>
    <w:p>
      <w:pPr>
        <w:jc w:val="both"/>
        <w:ind w:firstLine="648"/>
        <w:spacing w:after="0" w:line="272" w:lineRule="auto"/>
        <w:rPr>
          <w:rFonts w:ascii="Arial" w:cs="Arial" w:eastAsia="Arial" w:hAnsi="Arial"/>
          <w:sz w:val="18"/>
          <w:szCs w:val="18"/>
          <w:color w:val="auto"/>
        </w:rPr>
      </w:pPr>
      <w:r>
        <w:rPr>
          <w:rFonts w:ascii="Arial" w:cs="Arial" w:eastAsia="Arial" w:hAnsi="Arial"/>
          <w:sz w:val="18"/>
          <w:szCs w:val="18"/>
          <w:color w:val="auto"/>
        </w:rPr>
        <w:t xml:space="preserve">a. </w:t>
      </w:r>
      <w:r>
        <w:rPr>
          <w:rFonts w:ascii="Arial" w:cs="Arial" w:eastAsia="Arial" w:hAnsi="Arial"/>
          <w:sz w:val="21"/>
          <w:szCs w:val="21"/>
          <w:b w:val="1"/>
          <w:bCs w:val="1"/>
          <w:color w:val="auto"/>
        </w:rPr>
        <w:t>S</w:t>
      </w:r>
      <w:r>
        <w:rPr>
          <w:rFonts w:ascii="Arial" w:cs="Arial" w:eastAsia="Arial" w:hAnsi="Arial"/>
          <w:sz w:val="21"/>
          <w:szCs w:val="21"/>
          <w:color w:val="auto"/>
        </w:rPr>
        <w:t>ubject to Sections 3(b) and (c) below, any French Participant who, on the Date of Grant of the Restricted Stock, is</w:t>
      </w:r>
      <w:r>
        <w:rPr>
          <w:rFonts w:ascii="Arial" w:cs="Arial" w:eastAsia="Arial" w:hAnsi="Arial"/>
          <w:sz w:val="18"/>
          <w:szCs w:val="18"/>
          <w:color w:val="auto"/>
        </w:rPr>
        <w:t xml:space="preserve"> </w:t>
      </w:r>
      <w:r>
        <w:rPr>
          <w:rFonts w:ascii="Arial" w:cs="Arial" w:eastAsia="Arial" w:hAnsi="Arial"/>
          <w:sz w:val="21"/>
          <w:szCs w:val="21"/>
          <w:color w:val="auto"/>
        </w:rPr>
        <w:t>either employed under an employment contract with a French Entity (“</w:t>
      </w:r>
      <w:r>
        <w:rPr>
          <w:rFonts w:ascii="Arial" w:cs="Arial" w:eastAsia="Arial" w:hAnsi="Arial"/>
          <w:sz w:val="21"/>
          <w:szCs w:val="21"/>
          <w:i w:val="1"/>
          <w:iCs w:val="1"/>
          <w:color w:val="auto"/>
        </w:rPr>
        <w:t>contrat de travail</w:t>
      </w:r>
      <w:r>
        <w:rPr>
          <w:rFonts w:ascii="Arial" w:cs="Arial" w:eastAsia="Arial" w:hAnsi="Arial"/>
          <w:sz w:val="21"/>
          <w:szCs w:val="21"/>
          <w:color w:val="auto"/>
        </w:rPr>
        <w:t>”) or who is a managing director of a French Entity, shall be eligible to receive, at the discretion of the Committee, Restricted Stock under this Appendix 1, provided that he or she also satisfies the eligibility conditions of the Plan.</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A- 16</w:t>
      </w:r>
    </w:p>
    <w:p>
      <w:pPr>
        <w:sectPr>
          <w:pgSz w:w="11900" w:h="16838" w:orient="portrait"/>
          <w:cols w:equalWidth="0" w:num="1">
            <w:col w:w="11420"/>
          </w:cols>
          <w:pgMar w:left="240" w:top="369" w:right="239" w:bottom="1440" w:gutter="0" w:footer="0" w:header="0"/>
        </w:sectPr>
      </w:pPr>
    </w:p>
    <w:bookmarkStart w:id="103" w:name="page104"/>
    <w:bookmarkEnd w:id="103"/>
    <w:p>
      <w:pPr>
        <w:jc w:val="both"/>
        <w:ind w:firstLine="656"/>
        <w:spacing w:after="0" w:line="320" w:lineRule="auto"/>
        <w:tabs>
          <w:tab w:leader="none" w:pos="1431" w:val="left"/>
        </w:tabs>
        <w:numPr>
          <w:ilvl w:val="0"/>
          <w:numId w:val="97"/>
        </w:numPr>
        <w:rPr>
          <w:rFonts w:ascii="Arial" w:cs="Arial" w:eastAsia="Arial" w:hAnsi="Arial"/>
          <w:sz w:val="16"/>
          <w:szCs w:val="16"/>
          <w:color w:val="auto"/>
        </w:rPr>
      </w:pPr>
      <w:r>
        <w:rPr>
          <w:rFonts w:ascii="Arial" w:cs="Arial" w:eastAsia="Arial" w:hAnsi="Arial"/>
          <w:sz w:val="19"/>
          <w:szCs w:val="19"/>
          <w:color w:val="auto"/>
        </w:rPr>
        <w:t>Restricted Stock may not be issued to a director who is not also an employee of a French Entity, except in the case of managing directors (e.g., Président, Directeur Général, Directeur Général Délégué, Membre du Directoire, Gérant). For the avoidance of doubt, Restricted Stock may not be issued under this Appendix 1 to a consultant or advisor to a French Entity.</w:t>
      </w:r>
    </w:p>
    <w:p>
      <w:pPr>
        <w:spacing w:after="0" w:line="165" w:lineRule="exact"/>
        <w:rPr>
          <w:rFonts w:ascii="Arial" w:cs="Arial" w:eastAsia="Arial" w:hAnsi="Arial"/>
          <w:sz w:val="16"/>
          <w:szCs w:val="16"/>
          <w:color w:val="auto"/>
        </w:rPr>
      </w:pPr>
    </w:p>
    <w:p>
      <w:pPr>
        <w:jc w:val="both"/>
        <w:ind w:firstLine="656"/>
        <w:spacing w:after="0" w:line="260" w:lineRule="auto"/>
        <w:tabs>
          <w:tab w:leader="none" w:pos="1421" w:val="left"/>
        </w:tabs>
        <w:numPr>
          <w:ilvl w:val="0"/>
          <w:numId w:val="97"/>
        </w:numPr>
        <w:rPr>
          <w:rFonts w:ascii="Arial" w:cs="Arial" w:eastAsia="Arial" w:hAnsi="Arial"/>
          <w:sz w:val="18"/>
          <w:szCs w:val="18"/>
          <w:color w:val="auto"/>
        </w:rPr>
      </w:pPr>
      <w:r>
        <w:rPr>
          <w:rFonts w:ascii="Arial" w:cs="Arial" w:eastAsia="Arial" w:hAnsi="Arial"/>
          <w:sz w:val="22"/>
          <w:szCs w:val="22"/>
          <w:color w:val="auto"/>
        </w:rPr>
        <w:t>No Award of Restricted Stock may be made under this Appendix 1 to any individual who already owns on the Date of Grant, or which would have the effect of such individual owning as of the Date of Grant, more than ten percent (10%) of the Company’s share capital.</w:t>
      </w:r>
    </w:p>
    <w:p>
      <w:pPr>
        <w:spacing w:after="0" w:line="217" w:lineRule="exact"/>
        <w:rPr>
          <w:rFonts w:ascii="Arial" w:cs="Arial" w:eastAsia="Arial" w:hAnsi="Arial"/>
          <w:sz w:val="18"/>
          <w:szCs w:val="18"/>
          <w:color w:val="auto"/>
        </w:rPr>
      </w:pPr>
    </w:p>
    <w:p>
      <w:pPr>
        <w:jc w:val="both"/>
        <w:ind w:firstLine="656"/>
        <w:spacing w:after="0" w:line="278" w:lineRule="auto"/>
        <w:tabs>
          <w:tab w:leader="none" w:pos="1431" w:val="left"/>
        </w:tabs>
        <w:numPr>
          <w:ilvl w:val="0"/>
          <w:numId w:val="97"/>
        </w:numPr>
        <w:rPr>
          <w:rFonts w:ascii="Arial" w:cs="Arial" w:eastAsia="Arial" w:hAnsi="Arial"/>
          <w:sz w:val="17"/>
          <w:szCs w:val="17"/>
          <w:color w:val="auto"/>
        </w:rPr>
      </w:pPr>
      <w:r>
        <w:rPr>
          <w:rFonts w:ascii="Arial" w:cs="Arial" w:eastAsia="Arial" w:hAnsi="Arial"/>
          <w:sz w:val="21"/>
          <w:szCs w:val="21"/>
          <w:color w:val="auto"/>
        </w:rPr>
        <w:t>No Award of Restricted Stock may be made under this Appendix 1 at such time as the number of Common Shares of the Company which are subject to outstanding vested Restricted Stock Awards exceeds ten percent (10%) of the Company’s corporate capital within the meaning Article L225-197-1 - I of the French Commercial Code.</w:t>
      </w:r>
    </w:p>
    <w:p>
      <w:pPr>
        <w:spacing w:after="0" w:line="195"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IV.</w:t>
      </w:r>
      <w:r>
        <w:rPr>
          <w:sz w:val="20"/>
          <w:szCs w:val="20"/>
          <w:color w:val="auto"/>
        </w:rPr>
        <w:tab/>
      </w:r>
      <w:r>
        <w:rPr>
          <w:rFonts w:ascii="Arial" w:cs="Arial" w:eastAsia="Arial" w:hAnsi="Arial"/>
          <w:sz w:val="22"/>
          <w:szCs w:val="22"/>
          <w:b w:val="1"/>
          <w:bCs w:val="1"/>
          <w:u w:val="single" w:color="auto"/>
          <w:color w:val="auto"/>
        </w:rPr>
        <w:t>Conditions of the Restricted Stock Awards</w:t>
      </w:r>
      <w:r>
        <w:rPr>
          <w:rFonts w:ascii="Arial" w:cs="Arial" w:eastAsia="Arial" w:hAnsi="Arial"/>
          <w:sz w:val="22"/>
          <w:szCs w:val="22"/>
          <w:color w:val="auto"/>
        </w:rPr>
        <w:t>.</w:t>
      </w:r>
    </w:p>
    <w:p>
      <w:pPr>
        <w:spacing w:after="0" w:line="260" w:lineRule="exact"/>
        <w:rPr>
          <w:sz w:val="20"/>
          <w:szCs w:val="20"/>
          <w:color w:val="auto"/>
        </w:rPr>
      </w:pPr>
    </w:p>
    <w:p>
      <w:pPr>
        <w:ind w:left="1420" w:hanging="764"/>
        <w:spacing w:after="0"/>
        <w:tabs>
          <w:tab w:leader="none" w:pos="1420" w:val="left"/>
        </w:tabs>
        <w:numPr>
          <w:ilvl w:val="0"/>
          <w:numId w:val="98"/>
        </w:numPr>
        <w:rPr>
          <w:rFonts w:ascii="Arial" w:cs="Arial" w:eastAsia="Arial" w:hAnsi="Arial"/>
          <w:sz w:val="18"/>
          <w:szCs w:val="18"/>
          <w:color w:val="auto"/>
        </w:rPr>
      </w:pPr>
      <w:r>
        <w:rPr>
          <w:rFonts w:ascii="Arial" w:cs="Arial" w:eastAsia="Arial" w:hAnsi="Arial"/>
          <w:sz w:val="22"/>
          <w:szCs w:val="22"/>
          <w:b w:val="1"/>
          <w:bCs w:val="1"/>
          <w:u w:val="single" w:color="auto"/>
          <w:color w:val="auto"/>
        </w:rPr>
        <w:t>Award of Restricted Stock</w:t>
      </w:r>
      <w:r>
        <w:rPr>
          <w:rFonts w:ascii="Arial" w:cs="Arial" w:eastAsia="Arial" w:hAnsi="Arial"/>
          <w:sz w:val="22"/>
          <w:szCs w:val="22"/>
          <w:b w:val="1"/>
          <w:bCs w:val="1"/>
          <w:color w:val="auto"/>
        </w:rPr>
        <w:t>.</w:t>
      </w:r>
    </w:p>
    <w:p>
      <w:pPr>
        <w:spacing w:after="0" w:line="239" w:lineRule="exact"/>
        <w:rPr>
          <w:sz w:val="20"/>
          <w:szCs w:val="20"/>
          <w:color w:val="auto"/>
        </w:rPr>
      </w:pPr>
    </w:p>
    <w:p>
      <w:pPr>
        <w:ind w:right="260" w:firstLine="648"/>
        <w:spacing w:after="0" w:line="312" w:lineRule="auto"/>
        <w:rPr>
          <w:sz w:val="20"/>
          <w:szCs w:val="20"/>
          <w:color w:val="auto"/>
        </w:rPr>
      </w:pPr>
      <w:r>
        <w:rPr>
          <w:rFonts w:ascii="Arial" w:cs="Arial" w:eastAsia="Arial" w:hAnsi="Arial"/>
          <w:sz w:val="19"/>
          <w:szCs w:val="19"/>
          <w:color w:val="auto"/>
        </w:rPr>
        <w:t>An Award of Restricted Stock shall confer on a French Participant the right to acquire Common Shares, subject to certain vesting and/or forfeiture requirements, transfer restrictions and other terms and conditions provided in this Appendix 1, for no consideration or for nominal (“</w:t>
      </w:r>
      <w:r>
        <w:rPr>
          <w:rFonts w:ascii="Arial" w:cs="Arial" w:eastAsia="Arial" w:hAnsi="Arial"/>
          <w:sz w:val="19"/>
          <w:szCs w:val="19"/>
          <w:i w:val="1"/>
          <w:iCs w:val="1"/>
          <w:color w:val="auto"/>
        </w:rPr>
        <w:t>symbolique”)</w:t>
      </w:r>
      <w:r>
        <w:rPr>
          <w:rFonts w:ascii="Arial" w:cs="Arial" w:eastAsia="Arial" w:hAnsi="Arial"/>
          <w:sz w:val="19"/>
          <w:szCs w:val="19"/>
          <w:color w:val="auto"/>
        </w:rPr>
        <w:t xml:space="preserve"> consideration as permitted for French-Qualified Restricted Stock.</w:t>
      </w:r>
    </w:p>
    <w:p>
      <w:pPr>
        <w:spacing w:after="0" w:line="134" w:lineRule="exact"/>
        <w:rPr>
          <w:sz w:val="20"/>
          <w:szCs w:val="20"/>
          <w:color w:val="auto"/>
        </w:rPr>
      </w:pPr>
    </w:p>
    <w:p>
      <w:pPr>
        <w:ind w:right="180" w:firstLine="648"/>
        <w:spacing w:after="0" w:line="302" w:lineRule="auto"/>
        <w:rPr>
          <w:sz w:val="20"/>
          <w:szCs w:val="20"/>
          <w:color w:val="auto"/>
        </w:rPr>
      </w:pPr>
      <w:r>
        <w:rPr>
          <w:rFonts w:ascii="Arial" w:cs="Arial" w:eastAsia="Arial" w:hAnsi="Arial"/>
          <w:sz w:val="19"/>
          <w:szCs w:val="19"/>
          <w:color w:val="auto"/>
        </w:rPr>
        <w:t>When the Committee makes an Award of Restricted Stock to a French Participant under this Appendix 1, the terms and conditions of such Award shall be set forth in the Award Agreement, including without limitation the number of Common Shares subject to such Award, the conditions for the vesting or forfeiture of the Restricted Stock including any applicable performance or continuing service criteria, and the restrictions on transferability of the Restricted Stock once vested.</w:t>
      </w:r>
    </w:p>
    <w:p>
      <w:pPr>
        <w:spacing w:after="0" w:line="143" w:lineRule="exact"/>
        <w:rPr>
          <w:sz w:val="20"/>
          <w:szCs w:val="20"/>
          <w:color w:val="auto"/>
        </w:rPr>
      </w:pPr>
    </w:p>
    <w:p>
      <w:pPr>
        <w:ind w:right="240" w:firstLine="648"/>
        <w:spacing w:after="0" w:line="253" w:lineRule="auto"/>
        <w:rPr>
          <w:sz w:val="20"/>
          <w:szCs w:val="20"/>
          <w:color w:val="auto"/>
        </w:rPr>
      </w:pPr>
      <w:r>
        <w:rPr>
          <w:rFonts w:ascii="Arial" w:cs="Arial" w:eastAsia="Arial" w:hAnsi="Arial"/>
          <w:sz w:val="22"/>
          <w:szCs w:val="22"/>
          <w:color w:val="auto"/>
        </w:rPr>
        <w:t>An Award of Restricted Stock under this Appendix 1 shall confer neither voting rights nor dividend rights on the French Participant until such Restricted Stock has vested, and no dividends or dividend equivalents relating to the period prior to vesting shall be payable to a French Participant after the Vest Date.</w:t>
      </w:r>
    </w:p>
    <w:p>
      <w:pPr>
        <w:spacing w:after="0" w:line="220" w:lineRule="exact"/>
        <w:rPr>
          <w:sz w:val="20"/>
          <w:szCs w:val="20"/>
          <w:color w:val="auto"/>
        </w:rPr>
      </w:pPr>
    </w:p>
    <w:p>
      <w:pPr>
        <w:ind w:left="1440" w:hanging="784"/>
        <w:spacing w:after="0"/>
        <w:tabs>
          <w:tab w:leader="none" w:pos="1440" w:val="left"/>
        </w:tabs>
        <w:numPr>
          <w:ilvl w:val="0"/>
          <w:numId w:val="99"/>
        </w:numPr>
        <w:rPr>
          <w:rFonts w:ascii="Arial" w:cs="Arial" w:eastAsia="Arial" w:hAnsi="Arial"/>
          <w:sz w:val="18"/>
          <w:szCs w:val="18"/>
          <w:color w:val="auto"/>
        </w:rPr>
      </w:pPr>
      <w:r>
        <w:rPr>
          <w:rFonts w:ascii="Arial" w:cs="Arial" w:eastAsia="Arial" w:hAnsi="Arial"/>
          <w:sz w:val="22"/>
          <w:szCs w:val="22"/>
          <w:b w:val="1"/>
          <w:bCs w:val="1"/>
          <w:u w:val="single" w:color="auto"/>
          <w:color w:val="auto"/>
        </w:rPr>
        <w:t>Vesting of Restricted Stock</w:t>
      </w:r>
      <w:r>
        <w:rPr>
          <w:rFonts w:ascii="Arial" w:cs="Arial" w:eastAsia="Arial" w:hAnsi="Arial"/>
          <w:sz w:val="22"/>
          <w:szCs w:val="22"/>
          <w:b w:val="1"/>
          <w:bCs w:val="1"/>
          <w:color w:val="auto"/>
        </w:rPr>
        <w:t>.</w:t>
      </w:r>
    </w:p>
    <w:p>
      <w:pPr>
        <w:spacing w:after="0" w:line="239" w:lineRule="exact"/>
        <w:rPr>
          <w:sz w:val="20"/>
          <w:szCs w:val="20"/>
          <w:color w:val="auto"/>
        </w:rPr>
      </w:pPr>
    </w:p>
    <w:p>
      <w:pPr>
        <w:ind w:right="60" w:firstLine="648"/>
        <w:spacing w:after="0" w:line="297" w:lineRule="auto"/>
        <w:rPr>
          <w:sz w:val="20"/>
          <w:szCs w:val="20"/>
          <w:color w:val="auto"/>
        </w:rPr>
      </w:pPr>
      <w:r>
        <w:rPr>
          <w:rFonts w:ascii="Arial" w:cs="Arial" w:eastAsia="Arial" w:hAnsi="Arial"/>
          <w:sz w:val="19"/>
          <w:szCs w:val="19"/>
          <w:color w:val="auto"/>
        </w:rPr>
        <w:t>No Restricted Stock shall vest unless the holder of the Restricted Stock has been an employee or managing director of the Company or a French Entity from the Date of Grant through the date which would otherwise be the Vest Date, and the Board or the Committee may also set performance or achievement criteria as provided in Section 12 of the Plan for vesting of Restricted Stock. Notwithstanding the foregoing, the first Vest Date of French-Qualified Restricted Stock shall not occur, and no Restricted Stock shall vest, prior to the expiration of a one-year period running from the Date of Grant, or such other period as is required to comply</w:t>
      </w:r>
    </w:p>
    <w:p>
      <w:pPr>
        <w:spacing w:after="0" w:line="1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A- 17</w:t>
      </w:r>
    </w:p>
    <w:p>
      <w:pPr>
        <w:sectPr>
          <w:pgSz w:w="11900" w:h="16838" w:orient="portrait"/>
          <w:cols w:equalWidth="0" w:num="1">
            <w:col w:w="11420"/>
          </w:cols>
          <w:pgMar w:left="240" w:top="375" w:right="239" w:bottom="1440" w:gutter="0" w:footer="0" w:header="0"/>
        </w:sectPr>
      </w:pPr>
    </w:p>
    <w:bookmarkStart w:id="104" w:name="page105"/>
    <w:bookmarkEnd w:id="104"/>
    <w:p>
      <w:pPr>
        <w:ind w:right="380"/>
        <w:spacing w:after="0" w:line="263" w:lineRule="auto"/>
        <w:rPr>
          <w:sz w:val="20"/>
          <w:szCs w:val="20"/>
          <w:color w:val="auto"/>
        </w:rPr>
      </w:pPr>
      <w:r>
        <w:rPr>
          <w:rFonts w:ascii="Arial" w:cs="Arial" w:eastAsia="Arial" w:hAnsi="Arial"/>
          <w:sz w:val="22"/>
          <w:szCs w:val="22"/>
          <w:color w:val="auto"/>
        </w:rPr>
        <w:t>with the minimum mandatory vesting period applicable to French-Qualified Restricted Stock under Section L. 225-197-1 of the French Commercial Code, as amended.</w:t>
      </w:r>
    </w:p>
    <w:p>
      <w:pPr>
        <w:spacing w:after="0" w:line="209" w:lineRule="exact"/>
        <w:rPr>
          <w:sz w:val="20"/>
          <w:szCs w:val="20"/>
          <w:color w:val="auto"/>
        </w:rPr>
      </w:pPr>
    </w:p>
    <w:p>
      <w:pPr>
        <w:ind w:left="1420" w:hanging="764"/>
        <w:spacing w:after="0"/>
        <w:tabs>
          <w:tab w:leader="none" w:pos="1420" w:val="left"/>
        </w:tabs>
        <w:numPr>
          <w:ilvl w:val="0"/>
          <w:numId w:val="100"/>
        </w:numPr>
        <w:rPr>
          <w:rFonts w:ascii="Arial" w:cs="Arial" w:eastAsia="Arial" w:hAnsi="Arial"/>
          <w:sz w:val="18"/>
          <w:szCs w:val="18"/>
          <w:color w:val="auto"/>
        </w:rPr>
      </w:pPr>
      <w:r>
        <w:rPr>
          <w:rFonts w:ascii="Arial" w:cs="Arial" w:eastAsia="Arial" w:hAnsi="Arial"/>
          <w:sz w:val="22"/>
          <w:szCs w:val="22"/>
          <w:b w:val="1"/>
          <w:bCs w:val="1"/>
          <w:u w:val="single" w:color="auto"/>
          <w:color w:val="auto"/>
        </w:rPr>
        <w:t>Holding and Sale of French-Qualified Restricted Stock</w:t>
      </w:r>
      <w:r>
        <w:rPr>
          <w:rFonts w:ascii="Arial" w:cs="Arial" w:eastAsia="Arial" w:hAnsi="Arial"/>
          <w:sz w:val="22"/>
          <w:szCs w:val="22"/>
          <w:b w:val="1"/>
          <w:bCs w:val="1"/>
          <w:color w:val="auto"/>
        </w:rPr>
        <w:t>.</w:t>
      </w:r>
    </w:p>
    <w:p>
      <w:pPr>
        <w:spacing w:after="0" w:line="239" w:lineRule="exact"/>
        <w:rPr>
          <w:sz w:val="20"/>
          <w:szCs w:val="20"/>
          <w:color w:val="auto"/>
        </w:rPr>
      </w:pPr>
    </w:p>
    <w:p>
      <w:pPr>
        <w:ind w:right="160" w:firstLine="648"/>
        <w:spacing w:after="0" w:line="253" w:lineRule="auto"/>
        <w:rPr>
          <w:sz w:val="20"/>
          <w:szCs w:val="20"/>
          <w:color w:val="auto"/>
        </w:rPr>
      </w:pPr>
      <w:r>
        <w:rPr>
          <w:rFonts w:ascii="Arial" w:cs="Arial" w:eastAsia="Arial" w:hAnsi="Arial"/>
          <w:sz w:val="22"/>
          <w:szCs w:val="22"/>
          <w:color w:val="auto"/>
        </w:rPr>
        <w:t>The sale of Restricted Stock may not occur prior to the expiration of a period as is required to comply with the minimum mandatory holding period under Section L. 225-197-1 of the French Commercial Code as amended, as applicable to employees or managing directors of subsidiaries of issuers of French-Qualified Restricted Stock.</w:t>
      </w:r>
    </w:p>
    <w:p>
      <w:pPr>
        <w:spacing w:after="0" w:line="186" w:lineRule="exact"/>
        <w:rPr>
          <w:sz w:val="20"/>
          <w:szCs w:val="20"/>
          <w:color w:val="auto"/>
        </w:rPr>
      </w:pPr>
    </w:p>
    <w:p>
      <w:pPr>
        <w:ind w:right="120" w:firstLine="648"/>
        <w:spacing w:after="0" w:line="271" w:lineRule="auto"/>
        <w:rPr>
          <w:sz w:val="20"/>
          <w:szCs w:val="20"/>
          <w:color w:val="auto"/>
        </w:rPr>
      </w:pPr>
      <w:r>
        <w:rPr>
          <w:rFonts w:ascii="Arial" w:cs="Arial" w:eastAsia="Arial" w:hAnsi="Arial"/>
          <w:sz w:val="21"/>
          <w:szCs w:val="21"/>
          <w:color w:val="auto"/>
        </w:rPr>
        <w:t>This minimum holding period shall be deemed to have been complied with if, as a result of a merger, spin-off, tender-offer, split-off or similar reorganization, shares are received in exchange for vested Restricted Stock, and such shares are held for the unexpired balance of the holding period which was applicable to the Restricted Stock exchanged.</w:t>
      </w:r>
    </w:p>
    <w:p>
      <w:pPr>
        <w:spacing w:after="0" w:line="168" w:lineRule="exact"/>
        <w:rPr>
          <w:sz w:val="20"/>
          <w:szCs w:val="20"/>
          <w:color w:val="auto"/>
        </w:rPr>
      </w:pPr>
    </w:p>
    <w:p>
      <w:pPr>
        <w:ind w:right="100" w:firstLine="648"/>
        <w:spacing w:after="0" w:line="253" w:lineRule="auto"/>
        <w:rPr>
          <w:sz w:val="20"/>
          <w:szCs w:val="20"/>
          <w:color w:val="auto"/>
        </w:rPr>
      </w:pPr>
      <w:r>
        <w:rPr>
          <w:rFonts w:ascii="Arial" w:cs="Arial" w:eastAsia="Arial" w:hAnsi="Arial"/>
          <w:sz w:val="22"/>
          <w:szCs w:val="22"/>
          <w:color w:val="auto"/>
        </w:rPr>
        <w:t>Notwithstanding any other provision of this Appendix 1, Common Shares acquired under Restricted Stock Awards may not be sold by a French Participant during a Blackout Period, so long as and to the extent Blackout Periods are applicable to French-Qualified Restricted Stock issued by non-French companies.</w:t>
      </w:r>
    </w:p>
    <w:p>
      <w:pPr>
        <w:spacing w:after="0" w:line="186" w:lineRule="exact"/>
        <w:rPr>
          <w:sz w:val="20"/>
          <w:szCs w:val="20"/>
          <w:color w:val="auto"/>
        </w:rPr>
      </w:pPr>
    </w:p>
    <w:p>
      <w:pPr>
        <w:ind w:right="40" w:firstLine="648"/>
        <w:spacing w:after="0" w:line="294" w:lineRule="auto"/>
        <w:rPr>
          <w:sz w:val="20"/>
          <w:szCs w:val="20"/>
          <w:color w:val="auto"/>
        </w:rPr>
      </w:pPr>
      <w:r>
        <w:rPr>
          <w:rFonts w:ascii="Arial" w:cs="Arial" w:eastAsia="Arial" w:hAnsi="Arial"/>
          <w:sz w:val="19"/>
          <w:szCs w:val="19"/>
          <w:color w:val="auto"/>
        </w:rPr>
        <w:t>Further, to the extent required under French law (article L 225-197-II of the French Commercial Code), the Committee of the Plan shall set a holding period for a specific percentage of the shares underlying the Restricted Stock for the French participants who are a Président du Conseil d’Administration, Directeur Général, Directeur Général Délégué, Membre du Directoire, or Gérant de Sociétés par actions (i.e. president, general manager, deputee manager, member of the subsidiary board or manager of an equity partnership) or have a similar position of the Company, if they are granted in this capacity. The holding period applicable to such specific percentage shall expire on the date on which such French participants resign.</w:t>
      </w:r>
    </w:p>
    <w:p>
      <w:pPr>
        <w:spacing w:after="0" w:line="184" w:lineRule="exact"/>
        <w:rPr>
          <w:sz w:val="20"/>
          <w:szCs w:val="20"/>
          <w:color w:val="auto"/>
        </w:rPr>
      </w:pPr>
    </w:p>
    <w:p>
      <w:pPr>
        <w:ind w:left="1440" w:hanging="784"/>
        <w:spacing w:after="0"/>
        <w:tabs>
          <w:tab w:leader="none" w:pos="1440" w:val="left"/>
        </w:tabs>
        <w:numPr>
          <w:ilvl w:val="0"/>
          <w:numId w:val="101"/>
        </w:numPr>
        <w:rPr>
          <w:rFonts w:ascii="Arial" w:cs="Arial" w:eastAsia="Arial" w:hAnsi="Arial"/>
          <w:sz w:val="18"/>
          <w:szCs w:val="18"/>
          <w:color w:val="auto"/>
        </w:rPr>
      </w:pPr>
      <w:r>
        <w:rPr>
          <w:rFonts w:ascii="Arial" w:cs="Arial" w:eastAsia="Arial" w:hAnsi="Arial"/>
          <w:sz w:val="22"/>
          <w:szCs w:val="22"/>
          <w:b w:val="1"/>
          <w:bCs w:val="1"/>
          <w:u w:val="single" w:color="auto"/>
          <w:color w:val="auto"/>
        </w:rPr>
        <w:t>French Participant’s Account</w:t>
      </w:r>
      <w:r>
        <w:rPr>
          <w:rFonts w:ascii="Arial" w:cs="Arial" w:eastAsia="Arial" w:hAnsi="Arial"/>
          <w:sz w:val="22"/>
          <w:szCs w:val="22"/>
          <w:b w:val="1"/>
          <w:bCs w:val="1"/>
          <w:color w:val="auto"/>
        </w:rPr>
        <w:t>.</w:t>
      </w:r>
    </w:p>
    <w:p>
      <w:pPr>
        <w:spacing w:after="0" w:line="239" w:lineRule="exact"/>
        <w:rPr>
          <w:sz w:val="20"/>
          <w:szCs w:val="20"/>
          <w:color w:val="auto"/>
        </w:rPr>
      </w:pPr>
    </w:p>
    <w:p>
      <w:pPr>
        <w:ind w:firstLine="648"/>
        <w:spacing w:after="0" w:line="289" w:lineRule="auto"/>
        <w:rPr>
          <w:sz w:val="20"/>
          <w:szCs w:val="20"/>
          <w:color w:val="auto"/>
        </w:rPr>
      </w:pPr>
      <w:r>
        <w:rPr>
          <w:rFonts w:ascii="Arial" w:cs="Arial" w:eastAsia="Arial" w:hAnsi="Arial"/>
          <w:sz w:val="19"/>
          <w:szCs w:val="19"/>
          <w:color w:val="auto"/>
        </w:rPr>
        <w:t>Each Award of Restricted Stock shall be recorded in an account with the Company, in the name of the French Participant and specifying the number of Common Shares which are the subject of such Award, but such Common Shares shall not be issued to, nor title recorded in the name of, the French Participant until the Vest Date. Following the Vest Date, certificates representing Common Shares which have vested shall be issued in the name of the French Participant but, for the period during which such Common Shares shall be subject to transfer restrictions under this Appendix 1, the certificates shall remain in the custody of the Company or its transfer agent, or be held in such other manner as the Company may otherwise determine in order to ensure compliance with the minimum holding periods specified above and under applicable French law. At the Participant's request, the Committee shall provide or shall ensure that the Company or its transfer agent has provided the Participant with written evidence of the Participant's ownership of the vested Common Shares.</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A- 18</w:t>
      </w:r>
    </w:p>
    <w:p>
      <w:pPr>
        <w:sectPr>
          <w:pgSz w:w="11900" w:h="16838" w:orient="portrait"/>
          <w:cols w:equalWidth="0" w:num="1">
            <w:col w:w="11420"/>
          </w:cols>
          <w:pgMar w:left="240" w:top="591" w:right="239" w:bottom="1440" w:gutter="0" w:footer="0" w:header="0"/>
        </w:sectPr>
      </w:pPr>
    </w:p>
    <w:bookmarkStart w:id="105" w:name="page106"/>
    <w:bookmarkEnd w:id="105"/>
    <w:p>
      <w:pPr>
        <w:ind w:left="660" w:hanging="652"/>
        <w:spacing w:after="0"/>
        <w:tabs>
          <w:tab w:leader="none" w:pos="660" w:val="left"/>
        </w:tabs>
        <w:numPr>
          <w:ilvl w:val="0"/>
          <w:numId w:val="102"/>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Adjustments to Common Shares</w:t>
      </w:r>
      <w:r>
        <w:rPr>
          <w:rFonts w:ascii="Arial" w:cs="Arial" w:eastAsia="Arial" w:hAnsi="Arial"/>
          <w:sz w:val="22"/>
          <w:szCs w:val="22"/>
          <w:b w:val="1"/>
          <w:bCs w:val="1"/>
          <w:color w:val="auto"/>
        </w:rPr>
        <w:t>.</w:t>
      </w:r>
    </w:p>
    <w:p>
      <w:pPr>
        <w:spacing w:after="0" w:line="226" w:lineRule="exact"/>
        <w:rPr>
          <w:sz w:val="20"/>
          <w:szCs w:val="20"/>
          <w:color w:val="auto"/>
        </w:rPr>
      </w:pPr>
    </w:p>
    <w:p>
      <w:pPr>
        <w:ind w:right="100" w:firstLine="648"/>
        <w:spacing w:after="0" w:line="250" w:lineRule="auto"/>
        <w:rPr>
          <w:sz w:val="20"/>
          <w:szCs w:val="20"/>
          <w:color w:val="auto"/>
        </w:rPr>
      </w:pPr>
      <w:r>
        <w:rPr>
          <w:rFonts w:ascii="Arial" w:cs="Arial" w:eastAsia="Arial" w:hAnsi="Arial"/>
          <w:sz w:val="22"/>
          <w:szCs w:val="22"/>
          <w:color w:val="auto"/>
        </w:rPr>
        <w:t>In the event an equitable adjustment in the Common Shares of the Company is available under the Plan as described in Section 11 thereof, adjustments to the number and kind of Restricted Stock subject to Awards under this Appendix 1 shall be made (excluding, for the avoidance of doubt, any adjustment resulting in acceleration of a Vest Date) to the extent permitted for French-Qualified Restricted Stock.</w:t>
      </w:r>
    </w:p>
    <w:p>
      <w:pPr>
        <w:spacing w:after="0" w:line="223"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b w:val="1"/>
          <w:bCs w:val="1"/>
          <w:color w:val="auto"/>
        </w:rPr>
        <w:t>VI.</w:t>
      </w:r>
      <w:r>
        <w:rPr>
          <w:sz w:val="20"/>
          <w:szCs w:val="20"/>
          <w:color w:val="auto"/>
        </w:rPr>
        <w:tab/>
      </w:r>
      <w:r>
        <w:rPr>
          <w:rFonts w:ascii="Arial" w:cs="Arial" w:eastAsia="Arial" w:hAnsi="Arial"/>
          <w:sz w:val="22"/>
          <w:szCs w:val="22"/>
          <w:b w:val="1"/>
          <w:bCs w:val="1"/>
          <w:u w:val="single" w:color="auto"/>
          <w:color w:val="auto"/>
        </w:rPr>
        <w:t>Death or Disability</w:t>
      </w:r>
      <w:r>
        <w:rPr>
          <w:rFonts w:ascii="Arial" w:cs="Arial" w:eastAsia="Arial" w:hAnsi="Arial"/>
          <w:sz w:val="22"/>
          <w:szCs w:val="22"/>
          <w:b w:val="1"/>
          <w:bCs w:val="1"/>
          <w:color w:val="auto"/>
        </w:rPr>
        <w:t>.</w:t>
      </w:r>
    </w:p>
    <w:p>
      <w:pPr>
        <w:spacing w:after="0" w:line="226" w:lineRule="exact"/>
        <w:rPr>
          <w:sz w:val="20"/>
          <w:szCs w:val="20"/>
          <w:color w:val="auto"/>
        </w:rPr>
      </w:pPr>
    </w:p>
    <w:p>
      <w:pPr>
        <w:ind w:firstLine="648"/>
        <w:spacing w:after="0" w:line="247" w:lineRule="auto"/>
        <w:rPr>
          <w:sz w:val="20"/>
          <w:szCs w:val="20"/>
          <w:color w:val="auto"/>
        </w:rPr>
      </w:pPr>
      <w:r>
        <w:rPr>
          <w:rFonts w:ascii="Arial" w:cs="Arial" w:eastAsia="Arial" w:hAnsi="Arial"/>
          <w:sz w:val="22"/>
          <w:szCs w:val="22"/>
          <w:color w:val="auto"/>
        </w:rPr>
        <w:t>Upon the Company’s receipt within six months following the death of a French Participant of a written request from such French Participant’s heirs in a form satisfactory to the Company, the Company shall transfer any vested and at the sole discretion of the Committee to the extent permitted by French law for French-Qualified Restricted Stock, any unvested Restricted Stock awarded to such French Participant to his or her heirs, who shall not be required to comply with any further vesting conditions or restrictions on the sale of such shares, unless compliance is required for French-Qualified Restricted Stock treatment under French law as amended.</w:t>
      </w:r>
    </w:p>
    <w:p>
      <w:pPr>
        <w:spacing w:after="0" w:line="194" w:lineRule="exact"/>
        <w:rPr>
          <w:sz w:val="20"/>
          <w:szCs w:val="20"/>
          <w:color w:val="auto"/>
        </w:rPr>
      </w:pPr>
    </w:p>
    <w:p>
      <w:pPr>
        <w:ind w:right="200" w:firstLine="648"/>
        <w:spacing w:after="0" w:line="253" w:lineRule="auto"/>
        <w:rPr>
          <w:sz w:val="20"/>
          <w:szCs w:val="20"/>
          <w:color w:val="auto"/>
        </w:rPr>
      </w:pPr>
      <w:r>
        <w:rPr>
          <w:rFonts w:ascii="Arial" w:cs="Arial" w:eastAsia="Arial" w:hAnsi="Arial"/>
          <w:sz w:val="22"/>
          <w:szCs w:val="22"/>
          <w:color w:val="auto"/>
        </w:rPr>
        <w:t xml:space="preserve">In the event a French Participant becomes disabled as defined within the second or third categories of disability defined in Article L341-4 of the French Code of Social Security, the rules set forth in the preceding paragraph with respect to death of a French Participant shall apply </w:t>
      </w:r>
      <w:r>
        <w:rPr>
          <w:rFonts w:ascii="Arial" w:cs="Arial" w:eastAsia="Arial" w:hAnsi="Arial"/>
          <w:sz w:val="22"/>
          <w:szCs w:val="22"/>
          <w:i w:val="1"/>
          <w:iCs w:val="1"/>
          <w:color w:val="auto"/>
        </w:rPr>
        <w:t>mutatis mutandis.</w:t>
      </w:r>
    </w:p>
    <w:p>
      <w:pPr>
        <w:spacing w:after="0" w:line="220"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b w:val="1"/>
          <w:bCs w:val="1"/>
          <w:color w:val="auto"/>
        </w:rPr>
        <w:t>VII.</w:t>
      </w:r>
      <w:r>
        <w:rPr>
          <w:sz w:val="20"/>
          <w:szCs w:val="20"/>
          <w:color w:val="auto"/>
        </w:rPr>
        <w:tab/>
      </w:r>
      <w:r>
        <w:rPr>
          <w:rFonts w:ascii="Arial" w:cs="Arial" w:eastAsia="Arial" w:hAnsi="Arial"/>
          <w:sz w:val="22"/>
          <w:szCs w:val="22"/>
          <w:b w:val="1"/>
          <w:bCs w:val="1"/>
          <w:u w:val="single" w:color="auto"/>
          <w:color w:val="auto"/>
        </w:rPr>
        <w:t>Reporting Obligations and Withholding</w:t>
      </w:r>
      <w:r>
        <w:rPr>
          <w:rFonts w:ascii="Arial" w:cs="Arial" w:eastAsia="Arial" w:hAnsi="Arial"/>
          <w:sz w:val="22"/>
          <w:szCs w:val="22"/>
          <w:b w:val="1"/>
          <w:bCs w:val="1"/>
          <w:color w:val="auto"/>
        </w:rPr>
        <w:t>.</w:t>
      </w:r>
    </w:p>
    <w:p>
      <w:pPr>
        <w:spacing w:after="0" w:line="226" w:lineRule="exact"/>
        <w:rPr>
          <w:sz w:val="20"/>
          <w:szCs w:val="20"/>
          <w:color w:val="auto"/>
        </w:rPr>
      </w:pPr>
    </w:p>
    <w:p>
      <w:pPr>
        <w:ind w:right="140" w:firstLine="648"/>
        <w:spacing w:after="0" w:line="265" w:lineRule="auto"/>
        <w:rPr>
          <w:sz w:val="20"/>
          <w:szCs w:val="20"/>
          <w:color w:val="auto"/>
        </w:rPr>
      </w:pPr>
      <w:r>
        <w:rPr>
          <w:rFonts w:ascii="Arial" w:cs="Arial" w:eastAsia="Arial" w:hAnsi="Arial"/>
          <w:sz w:val="21"/>
          <w:szCs w:val="21"/>
          <w:color w:val="auto"/>
        </w:rPr>
        <w:t>The French Entity and French Participants shall comply with all reporting obligations imposed under French tax and social security laws and regulations with respect to Restricted Stock Awards under this Appendix 1, including without limitation the French Entity’s obligation to report to URSSAF the identity of French Participants for whom Awards vested in the preceding calendar year as well as the number and value of Awards for each such French Participant.</w:t>
      </w:r>
    </w:p>
    <w:p>
      <w:pPr>
        <w:spacing w:after="0" w:line="176" w:lineRule="exact"/>
        <w:rPr>
          <w:sz w:val="20"/>
          <w:szCs w:val="20"/>
          <w:color w:val="auto"/>
        </w:rPr>
      </w:pPr>
    </w:p>
    <w:p>
      <w:pPr>
        <w:ind w:right="180" w:firstLine="648"/>
        <w:spacing w:after="0" w:line="253" w:lineRule="auto"/>
        <w:rPr>
          <w:sz w:val="20"/>
          <w:szCs w:val="20"/>
          <w:color w:val="auto"/>
        </w:rPr>
      </w:pPr>
      <w:r>
        <w:rPr>
          <w:rFonts w:ascii="Arial" w:cs="Arial" w:eastAsia="Arial" w:hAnsi="Arial"/>
          <w:sz w:val="22"/>
          <w:szCs w:val="22"/>
          <w:color w:val="auto"/>
        </w:rPr>
        <w:t>For the avoidance of doubt, the provisions of Section 15 of the Plan relating to satisfaction of tax obligations shall in the case of a French Participant apply to withholding of French social security and similar mandatory contributions, as well as French tax if any with respect to Restricted Stock Awards under this Appendix 1.</w:t>
      </w:r>
    </w:p>
    <w:p>
      <w:pPr>
        <w:spacing w:after="0" w:line="220"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b w:val="1"/>
          <w:bCs w:val="1"/>
          <w:color w:val="auto"/>
        </w:rPr>
        <w:t>VIII.</w:t>
      </w:r>
      <w:r>
        <w:rPr>
          <w:sz w:val="20"/>
          <w:szCs w:val="20"/>
          <w:color w:val="auto"/>
        </w:rPr>
        <w:tab/>
      </w:r>
      <w:r>
        <w:rPr>
          <w:rFonts w:ascii="Arial" w:cs="Arial" w:eastAsia="Arial" w:hAnsi="Arial"/>
          <w:sz w:val="19"/>
          <w:szCs w:val="19"/>
          <w:b w:val="1"/>
          <w:bCs w:val="1"/>
          <w:u w:val="single" w:color="auto"/>
          <w:color w:val="auto"/>
        </w:rPr>
        <w:t>Interpretation</w:t>
      </w:r>
      <w:r>
        <w:rPr>
          <w:rFonts w:ascii="Arial" w:cs="Arial" w:eastAsia="Arial" w:hAnsi="Arial"/>
          <w:sz w:val="19"/>
          <w:szCs w:val="19"/>
          <w:b w:val="1"/>
          <w:bCs w:val="1"/>
          <w:color w:val="auto"/>
        </w:rPr>
        <w:t>.</w:t>
      </w:r>
    </w:p>
    <w:p>
      <w:pPr>
        <w:spacing w:after="0" w:line="226" w:lineRule="exact"/>
        <w:rPr>
          <w:sz w:val="20"/>
          <w:szCs w:val="20"/>
          <w:color w:val="auto"/>
        </w:rPr>
      </w:pPr>
    </w:p>
    <w:p>
      <w:pPr>
        <w:jc w:val="both"/>
        <w:ind w:right="120" w:firstLine="648"/>
        <w:spacing w:after="0" w:line="248" w:lineRule="auto"/>
        <w:rPr>
          <w:sz w:val="20"/>
          <w:szCs w:val="20"/>
          <w:color w:val="auto"/>
        </w:rPr>
      </w:pPr>
      <w:r>
        <w:rPr>
          <w:rFonts w:ascii="Arial" w:cs="Arial" w:eastAsia="Arial" w:hAnsi="Arial"/>
          <w:sz w:val="22"/>
          <w:szCs w:val="22"/>
          <w:color w:val="auto"/>
        </w:rPr>
        <w:t>It is intended that Restricted Stock Awards made under this Appendix 1 shall qualify as French-Qualified Restricted Stock. The terms of this Appendix 1 shall be construed and interpreted accordingly. Insofar as legally permissible the Committee shall be entitled to construe and interpret the terms of this Appendix 1 so as to comply with the relevant guidelines published from time to time by French tax and social security administrations with respect to the conditions for favorable tax and social security treatment applicable to shares granted for no</w:t>
      </w: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A- 19</w:t>
      </w:r>
    </w:p>
    <w:p>
      <w:pPr>
        <w:sectPr>
          <w:pgSz w:w="11900" w:h="16838" w:orient="portrait"/>
          <w:cols w:equalWidth="0" w:num="1">
            <w:col w:w="11420"/>
          </w:cols>
          <w:pgMar w:left="240" w:top="369" w:right="239" w:bottom="1440" w:gutter="0" w:footer="0" w:header="0"/>
        </w:sectPr>
      </w:pPr>
    </w:p>
    <w:bookmarkStart w:id="106" w:name="page107"/>
    <w:bookmarkEnd w:id="106"/>
    <w:p>
      <w:pPr>
        <w:jc w:val="both"/>
        <w:spacing w:after="0" w:line="263" w:lineRule="auto"/>
        <w:rPr>
          <w:sz w:val="20"/>
          <w:szCs w:val="20"/>
          <w:color w:val="auto"/>
        </w:rPr>
      </w:pPr>
      <w:r>
        <w:rPr>
          <w:rFonts w:ascii="Arial" w:cs="Arial" w:eastAsia="Arial" w:hAnsi="Arial"/>
          <w:sz w:val="22"/>
          <w:szCs w:val="22"/>
          <w:color w:val="auto"/>
        </w:rPr>
        <w:t>consideration under the Sections L. 225-197-1 to L. 225-197-5 of the French Commercial Code, as amended by the Macron Law or otherwise.</w:t>
      </w:r>
    </w:p>
    <w:p>
      <w:pPr>
        <w:spacing w:after="0" w:line="209"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b w:val="1"/>
          <w:bCs w:val="1"/>
          <w:color w:val="auto"/>
        </w:rPr>
        <w:t>IX.</w:t>
      </w:r>
      <w:r>
        <w:rPr>
          <w:sz w:val="20"/>
          <w:szCs w:val="20"/>
          <w:color w:val="auto"/>
        </w:rPr>
        <w:tab/>
      </w:r>
      <w:r>
        <w:rPr>
          <w:rFonts w:ascii="Arial" w:cs="Arial" w:eastAsia="Arial" w:hAnsi="Arial"/>
          <w:sz w:val="22"/>
          <w:szCs w:val="22"/>
          <w:b w:val="1"/>
          <w:bCs w:val="1"/>
          <w:u w:val="single" w:color="auto"/>
          <w:color w:val="auto"/>
        </w:rPr>
        <w:t>Employment Rights</w:t>
      </w:r>
      <w:r>
        <w:rPr>
          <w:rFonts w:ascii="Arial" w:cs="Arial" w:eastAsia="Arial" w:hAnsi="Arial"/>
          <w:sz w:val="22"/>
          <w:szCs w:val="22"/>
          <w:b w:val="1"/>
          <w:bCs w:val="1"/>
          <w:color w:val="auto"/>
        </w:rPr>
        <w:t>.</w:t>
      </w:r>
    </w:p>
    <w:p>
      <w:pPr>
        <w:spacing w:after="0" w:line="226" w:lineRule="exact"/>
        <w:rPr>
          <w:sz w:val="20"/>
          <w:szCs w:val="20"/>
          <w:color w:val="auto"/>
        </w:rPr>
      </w:pPr>
    </w:p>
    <w:p>
      <w:pPr>
        <w:jc w:val="both"/>
        <w:ind w:right="20" w:firstLine="648"/>
        <w:spacing w:after="0" w:line="253" w:lineRule="auto"/>
        <w:rPr>
          <w:sz w:val="20"/>
          <w:szCs w:val="20"/>
          <w:color w:val="auto"/>
        </w:rPr>
      </w:pPr>
      <w:r>
        <w:rPr>
          <w:rFonts w:ascii="Arial" w:cs="Arial" w:eastAsia="Arial" w:hAnsi="Arial"/>
          <w:sz w:val="22"/>
          <w:szCs w:val="22"/>
          <w:color w:val="auto"/>
        </w:rPr>
        <w:t>The adoption of this Appendix 1 shall not confer upon the French Participants, or any employees or managing directors of a French Entity, any employment rights and shall not be construed as part of any employment contracts that a French Entity has with its employees.</w:t>
      </w:r>
    </w:p>
    <w:p>
      <w:pPr>
        <w:spacing w:after="0" w:line="220" w:lineRule="exact"/>
        <w:rPr>
          <w:sz w:val="20"/>
          <w:szCs w:val="20"/>
          <w:color w:val="auto"/>
        </w:rPr>
      </w:pPr>
    </w:p>
    <w:p>
      <w:pPr>
        <w:ind w:left="660" w:hanging="652"/>
        <w:spacing w:after="0"/>
        <w:tabs>
          <w:tab w:leader="none" w:pos="660" w:val="left"/>
        </w:tabs>
        <w:numPr>
          <w:ilvl w:val="0"/>
          <w:numId w:val="103"/>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Language</w:t>
      </w:r>
      <w:r>
        <w:rPr>
          <w:rFonts w:ascii="Arial" w:cs="Arial" w:eastAsia="Arial" w:hAnsi="Arial"/>
          <w:sz w:val="22"/>
          <w:szCs w:val="22"/>
          <w:b w:val="1"/>
          <w:bCs w:val="1"/>
          <w:color w:val="auto"/>
        </w:rPr>
        <w:t>.</w:t>
      </w:r>
    </w:p>
    <w:p>
      <w:pPr>
        <w:spacing w:after="0" w:line="226" w:lineRule="exact"/>
        <w:rPr>
          <w:sz w:val="20"/>
          <w:szCs w:val="20"/>
          <w:color w:val="auto"/>
        </w:rPr>
      </w:pPr>
    </w:p>
    <w:p>
      <w:pPr>
        <w:ind w:firstLine="648"/>
        <w:spacing w:after="0" w:line="263" w:lineRule="auto"/>
        <w:rPr>
          <w:sz w:val="20"/>
          <w:szCs w:val="20"/>
          <w:color w:val="auto"/>
        </w:rPr>
      </w:pPr>
      <w:r>
        <w:rPr>
          <w:rFonts w:ascii="Arial" w:cs="Arial" w:eastAsia="Arial" w:hAnsi="Arial"/>
          <w:sz w:val="22"/>
          <w:szCs w:val="22"/>
          <w:color w:val="auto"/>
        </w:rPr>
        <w:t>In the event of any differences between the English language and French language versions of any documents related to this Appendix 1 or the Plan, the English version shall control.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A- 20</w:t>
      </w:r>
    </w:p>
    <w:p>
      <w:pPr>
        <w:sectPr>
          <w:pgSz w:w="11900" w:h="16838" w:orient="portrait"/>
          <w:cols w:equalWidth="0" w:num="1">
            <w:col w:w="11380"/>
          </w:cols>
          <w:pgMar w:left="240" w:top="591" w:right="279" w:bottom="1440" w:gutter="0" w:footer="0" w:header="0"/>
        </w:sectPr>
      </w:pPr>
    </w:p>
    <w:bookmarkStart w:id="107" w:name="page108"/>
    <w:bookmarkEnd w:id="107"/>
    <w:p>
      <w:pPr>
        <w:jc w:val="right"/>
        <w:spacing w:after="0"/>
        <w:rPr>
          <w:sz w:val="20"/>
          <w:szCs w:val="20"/>
          <w:color w:val="auto"/>
        </w:rPr>
      </w:pPr>
      <w:r>
        <w:rPr>
          <w:rFonts w:ascii="Arial" w:cs="Arial" w:eastAsia="Arial" w:hAnsi="Arial"/>
          <w:sz w:val="22"/>
          <w:szCs w:val="22"/>
          <w:b w:val="1"/>
          <w:bCs w:val="1"/>
          <w:color w:val="auto"/>
        </w:rPr>
        <w:t>Appendix 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2783840</wp:posOffset>
            </wp:positionH>
            <wp:positionV relativeFrom="paragraph">
              <wp:posOffset>11430</wp:posOffset>
            </wp:positionV>
            <wp:extent cx="1689735" cy="58293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689735" cy="5829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COSTAR GROUP, INC.</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2016 CASH INCENTIVE PLAN</w:t>
      </w:r>
    </w:p>
    <w:p>
      <w:pPr>
        <w:spacing w:after="0" w:line="191" w:lineRule="exact"/>
        <w:rPr>
          <w:sz w:val="20"/>
          <w:szCs w:val="20"/>
          <w:color w:val="auto"/>
        </w:rPr>
      </w:pPr>
    </w:p>
    <w:p>
      <w:pPr>
        <w:jc w:val="both"/>
        <w:ind w:left="660" w:hanging="652"/>
        <w:spacing w:after="0" w:line="266" w:lineRule="auto"/>
        <w:tabs>
          <w:tab w:leader="none" w:pos="660" w:val="left"/>
        </w:tabs>
        <w:numPr>
          <w:ilvl w:val="0"/>
          <w:numId w:val="104"/>
        </w:numPr>
        <w:rPr>
          <w:rFonts w:ascii="Arial" w:cs="Arial" w:eastAsia="Arial" w:hAnsi="Arial"/>
          <w:sz w:val="18"/>
          <w:szCs w:val="18"/>
          <w:color w:val="auto"/>
        </w:rPr>
      </w:pPr>
      <w:r>
        <w:rPr>
          <w:rFonts w:ascii="Arial" w:cs="Arial" w:eastAsia="Arial" w:hAnsi="Arial"/>
          <w:sz w:val="18"/>
          <w:szCs w:val="18"/>
          <w:b w:val="1"/>
          <w:bCs w:val="1"/>
          <w:color w:val="auto"/>
        </w:rPr>
        <w:t xml:space="preserve">Purpose. </w:t>
      </w:r>
      <w:r>
        <w:rPr>
          <w:rFonts w:ascii="Arial" w:cs="Arial" w:eastAsia="Arial" w:hAnsi="Arial"/>
          <w:sz w:val="18"/>
          <w:szCs w:val="18"/>
          <w:color w:val="auto"/>
        </w:rPr>
        <w:t>The purpose of this Plan is to provide certain employees of CoStar Group, Inc. and its Affiliates with incentive compensation based upon</w:t>
      </w:r>
      <w:r>
        <w:rPr>
          <w:rFonts w:ascii="Arial" w:cs="Arial" w:eastAsia="Arial" w:hAnsi="Arial"/>
          <w:sz w:val="18"/>
          <w:szCs w:val="18"/>
          <w:b w:val="1"/>
          <w:bCs w:val="1"/>
          <w:color w:val="auto"/>
        </w:rPr>
        <w:t xml:space="preserve"> </w:t>
      </w:r>
      <w:r>
        <w:rPr>
          <w:rFonts w:ascii="Arial" w:cs="Arial" w:eastAsia="Arial" w:hAnsi="Arial"/>
          <w:sz w:val="18"/>
          <w:szCs w:val="18"/>
          <w:color w:val="auto"/>
        </w:rPr>
        <w:t>the level of achievement of financial, business and/or other performance criteria. This Plan is intended to permit the payment of Cash Incentives that may qualify as performance-based compensation under Code Section 162(m).</w:t>
      </w:r>
    </w:p>
    <w:p>
      <w:pPr>
        <w:spacing w:after="0" w:line="176" w:lineRule="exact"/>
        <w:rPr>
          <w:rFonts w:ascii="Arial" w:cs="Arial" w:eastAsia="Arial" w:hAnsi="Arial"/>
          <w:sz w:val="18"/>
          <w:szCs w:val="18"/>
          <w:color w:val="auto"/>
        </w:rPr>
      </w:pPr>
    </w:p>
    <w:p>
      <w:pPr>
        <w:ind w:left="660" w:hanging="652"/>
        <w:spacing w:after="0"/>
        <w:tabs>
          <w:tab w:leader="none" w:pos="660" w:val="left"/>
        </w:tabs>
        <w:numPr>
          <w:ilvl w:val="0"/>
          <w:numId w:val="104"/>
        </w:numPr>
        <w:rPr>
          <w:rFonts w:ascii="Arial" w:cs="Arial" w:eastAsia="Arial" w:hAnsi="Arial"/>
          <w:sz w:val="18"/>
          <w:szCs w:val="18"/>
          <w:color w:val="auto"/>
        </w:rPr>
      </w:pPr>
      <w:r>
        <w:rPr>
          <w:rFonts w:ascii="Arial" w:cs="Arial" w:eastAsia="Arial" w:hAnsi="Arial"/>
          <w:sz w:val="18"/>
          <w:szCs w:val="18"/>
          <w:b w:val="1"/>
          <w:bCs w:val="1"/>
          <w:color w:val="auto"/>
        </w:rPr>
        <w:t>Definitions.</w:t>
      </w:r>
    </w:p>
    <w:p>
      <w:pPr>
        <w:spacing w:after="0" w:line="225" w:lineRule="exact"/>
        <w:rPr>
          <w:rFonts w:ascii="Arial" w:cs="Arial" w:eastAsia="Arial" w:hAnsi="Arial"/>
          <w:sz w:val="18"/>
          <w:szCs w:val="18"/>
          <w:color w:val="auto"/>
        </w:rPr>
      </w:pPr>
    </w:p>
    <w:p>
      <w:pPr>
        <w:ind w:left="1300" w:hanging="644"/>
        <w:spacing w:after="0" w:line="282" w:lineRule="auto"/>
        <w:tabs>
          <w:tab w:leader="none" w:pos="1300" w:val="left"/>
        </w:tabs>
        <w:numPr>
          <w:ilvl w:val="1"/>
          <w:numId w:val="104"/>
        </w:numPr>
        <w:rPr>
          <w:rFonts w:ascii="Arial" w:cs="Arial" w:eastAsia="Arial" w:hAnsi="Arial"/>
          <w:sz w:val="18"/>
          <w:szCs w:val="18"/>
          <w:color w:val="auto"/>
        </w:rPr>
      </w:pPr>
      <w:r>
        <w:rPr>
          <w:rFonts w:ascii="Arial" w:cs="Arial" w:eastAsia="Arial" w:hAnsi="Arial"/>
          <w:sz w:val="18"/>
          <w:szCs w:val="18"/>
          <w:b w:val="1"/>
          <w:bCs w:val="1"/>
          <w:color w:val="auto"/>
        </w:rPr>
        <w:t xml:space="preserve">“Affiliate” </w:t>
      </w:r>
      <w:r>
        <w:rPr>
          <w:rFonts w:ascii="Arial" w:cs="Arial" w:eastAsia="Arial" w:hAnsi="Arial"/>
          <w:sz w:val="18"/>
          <w:szCs w:val="18"/>
          <w:color w:val="auto"/>
        </w:rPr>
        <w:t>means (i) any entity that, directly or indirectly, is controlled by the Company and (ii) any entity in which the Company has a</w:t>
      </w:r>
      <w:r>
        <w:rPr>
          <w:rFonts w:ascii="Arial" w:cs="Arial" w:eastAsia="Arial" w:hAnsi="Arial"/>
          <w:sz w:val="18"/>
          <w:szCs w:val="18"/>
          <w:b w:val="1"/>
          <w:bCs w:val="1"/>
          <w:color w:val="auto"/>
        </w:rPr>
        <w:t xml:space="preserve"> </w:t>
      </w:r>
      <w:r>
        <w:rPr>
          <w:rFonts w:ascii="Arial" w:cs="Arial" w:eastAsia="Arial" w:hAnsi="Arial"/>
          <w:sz w:val="18"/>
          <w:szCs w:val="18"/>
          <w:color w:val="auto"/>
        </w:rPr>
        <w:t>significant equity interest.</w:t>
      </w:r>
    </w:p>
    <w:p>
      <w:pPr>
        <w:spacing w:after="0" w:line="161" w:lineRule="exact"/>
        <w:rPr>
          <w:rFonts w:ascii="Arial" w:cs="Arial" w:eastAsia="Arial" w:hAnsi="Arial"/>
          <w:sz w:val="18"/>
          <w:szCs w:val="18"/>
          <w:color w:val="auto"/>
        </w:rPr>
      </w:pPr>
    </w:p>
    <w:p>
      <w:pPr>
        <w:ind w:left="1300" w:hanging="644"/>
        <w:spacing w:after="0"/>
        <w:tabs>
          <w:tab w:leader="none" w:pos="1300" w:val="left"/>
        </w:tabs>
        <w:numPr>
          <w:ilvl w:val="1"/>
          <w:numId w:val="104"/>
        </w:numPr>
        <w:rPr>
          <w:rFonts w:ascii="Arial" w:cs="Arial" w:eastAsia="Arial" w:hAnsi="Arial"/>
          <w:sz w:val="18"/>
          <w:szCs w:val="18"/>
          <w:color w:val="auto"/>
        </w:rPr>
      </w:pPr>
      <w:r>
        <w:rPr>
          <w:rFonts w:ascii="Arial" w:cs="Arial" w:eastAsia="Arial" w:hAnsi="Arial"/>
          <w:sz w:val="18"/>
          <w:szCs w:val="18"/>
          <w:b w:val="1"/>
          <w:bCs w:val="1"/>
          <w:color w:val="auto"/>
        </w:rPr>
        <w:t xml:space="preserve">“Board” </w:t>
      </w:r>
      <w:r>
        <w:rPr>
          <w:rFonts w:ascii="Arial" w:cs="Arial" w:eastAsia="Arial" w:hAnsi="Arial"/>
          <w:sz w:val="18"/>
          <w:szCs w:val="18"/>
          <w:color w:val="auto"/>
        </w:rPr>
        <w:t>means the Board of Directors of the Company.</w:t>
      </w:r>
    </w:p>
    <w:p>
      <w:pPr>
        <w:spacing w:after="0" w:line="225" w:lineRule="exact"/>
        <w:rPr>
          <w:rFonts w:ascii="Arial" w:cs="Arial" w:eastAsia="Arial" w:hAnsi="Arial"/>
          <w:sz w:val="18"/>
          <w:szCs w:val="18"/>
          <w:color w:val="auto"/>
        </w:rPr>
      </w:pPr>
    </w:p>
    <w:p>
      <w:pPr>
        <w:ind w:left="1300" w:hanging="644"/>
        <w:spacing w:after="0" w:line="282" w:lineRule="auto"/>
        <w:tabs>
          <w:tab w:leader="none" w:pos="1300" w:val="left"/>
        </w:tabs>
        <w:numPr>
          <w:ilvl w:val="1"/>
          <w:numId w:val="104"/>
        </w:numPr>
        <w:rPr>
          <w:rFonts w:ascii="Arial" w:cs="Arial" w:eastAsia="Arial" w:hAnsi="Arial"/>
          <w:sz w:val="18"/>
          <w:szCs w:val="18"/>
          <w:color w:val="auto"/>
        </w:rPr>
      </w:pPr>
      <w:r>
        <w:rPr>
          <w:rFonts w:ascii="Arial" w:cs="Arial" w:eastAsia="Arial" w:hAnsi="Arial"/>
          <w:sz w:val="18"/>
          <w:szCs w:val="18"/>
          <w:b w:val="1"/>
          <w:bCs w:val="1"/>
          <w:color w:val="auto"/>
        </w:rPr>
        <w:t xml:space="preserve">“Cash Incentive” </w:t>
      </w:r>
      <w:r>
        <w:rPr>
          <w:rFonts w:ascii="Arial" w:cs="Arial" w:eastAsia="Arial" w:hAnsi="Arial"/>
          <w:sz w:val="18"/>
          <w:szCs w:val="18"/>
          <w:color w:val="auto"/>
        </w:rPr>
        <w:t>means a cash payment made pursuant to this Plan with respect to a particular Performance Period, determined pursuant</w:t>
      </w:r>
      <w:r>
        <w:rPr>
          <w:rFonts w:ascii="Arial" w:cs="Arial" w:eastAsia="Arial" w:hAnsi="Arial"/>
          <w:sz w:val="18"/>
          <w:szCs w:val="18"/>
          <w:b w:val="1"/>
          <w:bCs w:val="1"/>
          <w:color w:val="auto"/>
        </w:rPr>
        <w:t xml:space="preserve"> </w:t>
      </w:r>
      <w:r>
        <w:rPr>
          <w:rFonts w:ascii="Arial" w:cs="Arial" w:eastAsia="Arial" w:hAnsi="Arial"/>
          <w:sz w:val="18"/>
          <w:szCs w:val="18"/>
          <w:color w:val="auto"/>
        </w:rPr>
        <w:t>to Section 8 below.</w:t>
      </w:r>
    </w:p>
    <w:p>
      <w:pPr>
        <w:spacing w:after="0" w:line="161" w:lineRule="exact"/>
        <w:rPr>
          <w:rFonts w:ascii="Arial" w:cs="Arial" w:eastAsia="Arial" w:hAnsi="Arial"/>
          <w:sz w:val="18"/>
          <w:szCs w:val="18"/>
          <w:color w:val="auto"/>
        </w:rPr>
      </w:pPr>
    </w:p>
    <w:p>
      <w:pPr>
        <w:jc w:val="both"/>
        <w:ind w:left="1300" w:hanging="644"/>
        <w:spacing w:after="0" w:line="258" w:lineRule="auto"/>
        <w:tabs>
          <w:tab w:leader="none" w:pos="1300" w:val="left"/>
        </w:tabs>
        <w:numPr>
          <w:ilvl w:val="1"/>
          <w:numId w:val="104"/>
        </w:numPr>
        <w:rPr>
          <w:rFonts w:ascii="Arial" w:cs="Arial" w:eastAsia="Arial" w:hAnsi="Arial"/>
          <w:sz w:val="18"/>
          <w:szCs w:val="18"/>
          <w:color w:val="auto"/>
        </w:rPr>
      </w:pPr>
      <w:r>
        <w:rPr>
          <w:rFonts w:ascii="Arial" w:cs="Arial" w:eastAsia="Arial" w:hAnsi="Arial"/>
          <w:sz w:val="18"/>
          <w:szCs w:val="18"/>
          <w:b w:val="1"/>
          <w:bCs w:val="1"/>
          <w:color w:val="auto"/>
        </w:rPr>
        <w:t xml:space="preserve">“Cash Incentive Formula” </w:t>
      </w:r>
      <w:r>
        <w:rPr>
          <w:rFonts w:ascii="Arial" w:cs="Arial" w:eastAsia="Arial" w:hAnsi="Arial"/>
          <w:sz w:val="18"/>
          <w:szCs w:val="18"/>
          <w:color w:val="auto"/>
        </w:rPr>
        <w:t>means as to any Performance Period, the formula established by the Committee pursuant to Section 6 in order</w:t>
      </w:r>
      <w:r>
        <w:rPr>
          <w:rFonts w:ascii="Arial" w:cs="Arial" w:eastAsia="Arial" w:hAnsi="Arial"/>
          <w:sz w:val="18"/>
          <w:szCs w:val="18"/>
          <w:b w:val="1"/>
          <w:bCs w:val="1"/>
          <w:color w:val="auto"/>
        </w:rPr>
        <w:t xml:space="preserve"> </w:t>
      </w:r>
      <w:r>
        <w:rPr>
          <w:rFonts w:ascii="Arial" w:cs="Arial" w:eastAsia="Arial" w:hAnsi="Arial"/>
          <w:sz w:val="18"/>
          <w:szCs w:val="18"/>
          <w:color w:val="auto"/>
        </w:rPr>
        <w:t>to determine the Cash Incentive amounts, if any, to be paid to Participants based upon the level of achievement of targeted goals for the selected Performance Measures. The formula may differ from Participant to Participant or business group to business group. The Cash Incentive Formula shall be of such a nature that an objective third party having knowledge of all the relevant facts could determine whether targeted goals for the Performance Measures have been achieved.</w:t>
      </w:r>
    </w:p>
    <w:p>
      <w:pPr>
        <w:spacing w:after="0" w:line="183" w:lineRule="exact"/>
        <w:rPr>
          <w:rFonts w:ascii="Arial" w:cs="Arial" w:eastAsia="Arial" w:hAnsi="Arial"/>
          <w:sz w:val="18"/>
          <w:szCs w:val="18"/>
          <w:color w:val="auto"/>
        </w:rPr>
      </w:pPr>
    </w:p>
    <w:p>
      <w:pPr>
        <w:ind w:left="1300" w:hanging="644"/>
        <w:spacing w:after="0"/>
        <w:tabs>
          <w:tab w:leader="none" w:pos="1300" w:val="left"/>
        </w:tabs>
        <w:numPr>
          <w:ilvl w:val="1"/>
          <w:numId w:val="104"/>
        </w:numPr>
        <w:rPr>
          <w:rFonts w:ascii="Arial" w:cs="Arial" w:eastAsia="Arial" w:hAnsi="Arial"/>
          <w:sz w:val="18"/>
          <w:szCs w:val="18"/>
          <w:color w:val="auto"/>
        </w:rPr>
      </w:pPr>
      <w:r>
        <w:rPr>
          <w:rFonts w:ascii="Arial" w:cs="Arial" w:eastAsia="Arial" w:hAnsi="Arial"/>
          <w:sz w:val="18"/>
          <w:szCs w:val="18"/>
          <w:b w:val="1"/>
          <w:bCs w:val="1"/>
          <w:color w:val="auto"/>
        </w:rPr>
        <w:t xml:space="preserve">“Code” </w:t>
      </w:r>
      <w:r>
        <w:rPr>
          <w:rFonts w:ascii="Arial" w:cs="Arial" w:eastAsia="Arial" w:hAnsi="Arial"/>
          <w:sz w:val="18"/>
          <w:szCs w:val="18"/>
          <w:color w:val="auto"/>
        </w:rPr>
        <w:t>means the Internal Revenue Code of 1986, as amended.</w:t>
      </w:r>
    </w:p>
    <w:p>
      <w:pPr>
        <w:spacing w:after="0" w:line="225" w:lineRule="exact"/>
        <w:rPr>
          <w:rFonts w:ascii="Arial" w:cs="Arial" w:eastAsia="Arial" w:hAnsi="Arial"/>
          <w:sz w:val="18"/>
          <w:szCs w:val="18"/>
          <w:color w:val="auto"/>
        </w:rPr>
      </w:pPr>
    </w:p>
    <w:p>
      <w:pPr>
        <w:jc w:val="both"/>
        <w:ind w:left="1300" w:right="20" w:hanging="644"/>
        <w:spacing w:after="0" w:line="289" w:lineRule="auto"/>
        <w:tabs>
          <w:tab w:leader="none" w:pos="1300" w:val="left"/>
        </w:tabs>
        <w:numPr>
          <w:ilvl w:val="1"/>
          <w:numId w:val="104"/>
        </w:numPr>
        <w:rPr>
          <w:rFonts w:ascii="Arial" w:cs="Arial" w:eastAsia="Arial" w:hAnsi="Arial"/>
          <w:sz w:val="16"/>
          <w:szCs w:val="16"/>
          <w:color w:val="auto"/>
        </w:rPr>
      </w:pPr>
      <w:r>
        <w:rPr>
          <w:rFonts w:ascii="Arial" w:cs="Arial" w:eastAsia="Arial" w:hAnsi="Arial"/>
          <w:sz w:val="16"/>
          <w:szCs w:val="16"/>
          <w:b w:val="1"/>
          <w:bCs w:val="1"/>
          <w:color w:val="auto"/>
        </w:rPr>
        <w:t xml:space="preserve">“Committee” </w:t>
      </w:r>
      <w:r>
        <w:rPr>
          <w:rFonts w:ascii="Arial" w:cs="Arial" w:eastAsia="Arial" w:hAnsi="Arial"/>
          <w:sz w:val="16"/>
          <w:szCs w:val="16"/>
          <w:color w:val="auto"/>
        </w:rPr>
        <w:t>means the Compensation Committee of the Board or any subcommittee thereof formed by the Compensation Committee for</w:t>
      </w:r>
      <w:r>
        <w:rPr>
          <w:rFonts w:ascii="Arial" w:cs="Arial" w:eastAsia="Arial" w:hAnsi="Arial"/>
          <w:sz w:val="16"/>
          <w:szCs w:val="16"/>
          <w:b w:val="1"/>
          <w:bCs w:val="1"/>
          <w:color w:val="auto"/>
        </w:rPr>
        <w:t xml:space="preserve"> </w:t>
      </w:r>
      <w:r>
        <w:rPr>
          <w:rFonts w:ascii="Arial" w:cs="Arial" w:eastAsia="Arial" w:hAnsi="Arial"/>
          <w:sz w:val="16"/>
          <w:szCs w:val="16"/>
          <w:color w:val="auto"/>
        </w:rPr>
        <w:t>the purpose of acting as the Committee hereunder. For purposes of satisfying the requirements of Code Section 162(m) and the regulations thereunder, the Committee is intended to consist solely of “outside directors” as such term is defined in Code Section 162(m).</w:t>
      </w:r>
    </w:p>
    <w:p>
      <w:pPr>
        <w:spacing w:after="0" w:line="1" w:lineRule="exact"/>
        <w:rPr>
          <w:rFonts w:ascii="Arial" w:cs="Arial" w:eastAsia="Arial" w:hAnsi="Arial"/>
          <w:sz w:val="16"/>
          <w:szCs w:val="16"/>
          <w:color w:val="auto"/>
        </w:rPr>
      </w:pPr>
    </w:p>
    <w:p>
      <w:pPr>
        <w:ind w:left="1300" w:hanging="644"/>
        <w:spacing w:after="0"/>
        <w:tabs>
          <w:tab w:leader="none" w:pos="1300" w:val="left"/>
        </w:tabs>
        <w:numPr>
          <w:ilvl w:val="1"/>
          <w:numId w:val="104"/>
        </w:numPr>
        <w:rPr>
          <w:rFonts w:ascii="Arial" w:cs="Arial" w:eastAsia="Arial" w:hAnsi="Arial"/>
          <w:sz w:val="18"/>
          <w:szCs w:val="18"/>
          <w:color w:val="auto"/>
        </w:rPr>
      </w:pPr>
      <w:r>
        <w:rPr>
          <w:rFonts w:ascii="Arial" w:cs="Arial" w:eastAsia="Arial" w:hAnsi="Arial"/>
          <w:sz w:val="18"/>
          <w:szCs w:val="18"/>
          <w:b w:val="1"/>
          <w:bCs w:val="1"/>
          <w:color w:val="auto"/>
        </w:rPr>
        <w:t xml:space="preserve">“Company” </w:t>
      </w:r>
      <w:r>
        <w:rPr>
          <w:rFonts w:ascii="Arial" w:cs="Arial" w:eastAsia="Arial" w:hAnsi="Arial"/>
          <w:sz w:val="18"/>
          <w:szCs w:val="18"/>
          <w:color w:val="auto"/>
        </w:rPr>
        <w:t>means CoStar Group, Inc., a Delaware corporation.</w:t>
      </w:r>
    </w:p>
    <w:p>
      <w:pPr>
        <w:spacing w:after="0" w:line="206" w:lineRule="exact"/>
        <w:rPr>
          <w:rFonts w:ascii="Arial" w:cs="Arial" w:eastAsia="Arial" w:hAnsi="Arial"/>
          <w:sz w:val="18"/>
          <w:szCs w:val="18"/>
          <w:color w:val="auto"/>
        </w:rPr>
      </w:pPr>
    </w:p>
    <w:p>
      <w:pPr>
        <w:ind w:left="1300" w:hanging="644"/>
        <w:spacing w:after="0"/>
        <w:tabs>
          <w:tab w:leader="none" w:pos="1300" w:val="left"/>
        </w:tabs>
        <w:numPr>
          <w:ilvl w:val="1"/>
          <w:numId w:val="104"/>
        </w:numPr>
        <w:rPr>
          <w:rFonts w:ascii="Arial" w:cs="Arial" w:eastAsia="Arial" w:hAnsi="Arial"/>
          <w:sz w:val="18"/>
          <w:szCs w:val="18"/>
          <w:color w:val="auto"/>
        </w:rPr>
      </w:pPr>
      <w:r>
        <w:rPr>
          <w:rFonts w:ascii="Arial" w:cs="Arial" w:eastAsia="Arial" w:hAnsi="Arial"/>
          <w:sz w:val="18"/>
          <w:szCs w:val="18"/>
          <w:b w:val="1"/>
          <w:bCs w:val="1"/>
          <w:color w:val="auto"/>
        </w:rPr>
        <w:t xml:space="preserve">“Fiscal Year” </w:t>
      </w:r>
      <w:r>
        <w:rPr>
          <w:rFonts w:ascii="Arial" w:cs="Arial" w:eastAsia="Arial" w:hAnsi="Arial"/>
          <w:sz w:val="18"/>
          <w:szCs w:val="18"/>
          <w:color w:val="auto"/>
        </w:rPr>
        <w:t>means the calendar year.</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1"/>
          <w:numId w:val="104"/>
        </w:numPr>
        <w:rPr>
          <w:rFonts w:ascii="Arial" w:cs="Arial" w:eastAsia="Arial" w:hAnsi="Arial"/>
          <w:sz w:val="18"/>
          <w:szCs w:val="18"/>
          <w:color w:val="auto"/>
        </w:rPr>
      </w:pPr>
      <w:r>
        <w:rPr>
          <w:rFonts w:ascii="Arial" w:cs="Arial" w:eastAsia="Arial" w:hAnsi="Arial"/>
          <w:sz w:val="18"/>
          <w:szCs w:val="18"/>
          <w:b w:val="1"/>
          <w:bCs w:val="1"/>
          <w:color w:val="auto"/>
        </w:rPr>
        <w:t>“Officer</w:t>
      </w:r>
      <w:r>
        <w:rPr>
          <w:rFonts w:ascii="Arial" w:cs="Arial" w:eastAsia="Arial" w:hAnsi="Arial"/>
          <w:sz w:val="18"/>
          <w:szCs w:val="18"/>
          <w:color w:val="auto"/>
        </w:rPr>
        <w:t>” means an officer of the Company or its Affiliates.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1"/>
          <w:numId w:val="104"/>
        </w:numPr>
        <w:rPr>
          <w:rFonts w:ascii="Arial" w:cs="Arial" w:eastAsia="Arial" w:hAnsi="Arial"/>
          <w:sz w:val="18"/>
          <w:szCs w:val="18"/>
          <w:color w:val="auto"/>
        </w:rPr>
      </w:pPr>
      <w:r>
        <w:rPr>
          <w:rFonts w:ascii="Arial" w:cs="Arial" w:eastAsia="Arial" w:hAnsi="Arial"/>
          <w:sz w:val="18"/>
          <w:szCs w:val="18"/>
          <w:b w:val="1"/>
          <w:bCs w:val="1"/>
          <w:color w:val="auto"/>
        </w:rPr>
        <w:t xml:space="preserve">“Participant” </w:t>
      </w:r>
      <w:r>
        <w:rPr>
          <w:rFonts w:ascii="Arial" w:cs="Arial" w:eastAsia="Arial" w:hAnsi="Arial"/>
          <w:sz w:val="18"/>
          <w:szCs w:val="18"/>
          <w:color w:val="auto"/>
        </w:rPr>
        <w:t>means an Officer.</w:t>
      </w:r>
    </w:p>
    <w:p>
      <w:pPr>
        <w:spacing w:after="0" w:line="225" w:lineRule="exact"/>
        <w:rPr>
          <w:rFonts w:ascii="Arial" w:cs="Arial" w:eastAsia="Arial" w:hAnsi="Arial"/>
          <w:sz w:val="18"/>
          <w:szCs w:val="18"/>
          <w:color w:val="auto"/>
        </w:rPr>
      </w:pPr>
    </w:p>
    <w:p>
      <w:pPr>
        <w:ind w:left="1300" w:hanging="644"/>
        <w:spacing w:after="0" w:line="282" w:lineRule="auto"/>
        <w:tabs>
          <w:tab w:leader="none" w:pos="1300" w:val="left"/>
        </w:tabs>
        <w:numPr>
          <w:ilvl w:val="1"/>
          <w:numId w:val="104"/>
        </w:numPr>
        <w:rPr>
          <w:rFonts w:ascii="Arial" w:cs="Arial" w:eastAsia="Arial" w:hAnsi="Arial"/>
          <w:sz w:val="18"/>
          <w:szCs w:val="18"/>
          <w:color w:val="auto"/>
        </w:rPr>
      </w:pPr>
      <w:r>
        <w:rPr>
          <w:rFonts w:ascii="Arial" w:cs="Arial" w:eastAsia="Arial" w:hAnsi="Arial"/>
          <w:sz w:val="18"/>
          <w:szCs w:val="18"/>
          <w:b w:val="1"/>
          <w:bCs w:val="1"/>
          <w:color w:val="auto"/>
        </w:rPr>
        <w:t xml:space="preserve">“Performance-Based Compensation” </w:t>
      </w:r>
      <w:r>
        <w:rPr>
          <w:rFonts w:ascii="Arial" w:cs="Arial" w:eastAsia="Arial" w:hAnsi="Arial"/>
          <w:sz w:val="18"/>
          <w:szCs w:val="18"/>
          <w:color w:val="auto"/>
        </w:rPr>
        <w:t>means compensation that qualifies as “performance-based compensation” within the meaning of</w:t>
      </w:r>
      <w:r>
        <w:rPr>
          <w:rFonts w:ascii="Arial" w:cs="Arial" w:eastAsia="Arial" w:hAnsi="Arial"/>
          <w:sz w:val="18"/>
          <w:szCs w:val="18"/>
          <w:b w:val="1"/>
          <w:bCs w:val="1"/>
          <w:color w:val="auto"/>
        </w:rPr>
        <w:t xml:space="preserve"> </w:t>
      </w:r>
      <w:r>
        <w:rPr>
          <w:rFonts w:ascii="Arial" w:cs="Arial" w:eastAsia="Arial" w:hAnsi="Arial"/>
          <w:sz w:val="18"/>
          <w:szCs w:val="18"/>
          <w:color w:val="auto"/>
        </w:rPr>
        <w:t>Code Section 162(m).</w:t>
      </w:r>
    </w:p>
    <w:p>
      <w:pPr>
        <w:spacing w:after="0" w:line="161" w:lineRule="exact"/>
        <w:rPr>
          <w:rFonts w:ascii="Arial" w:cs="Arial" w:eastAsia="Arial" w:hAnsi="Arial"/>
          <w:sz w:val="18"/>
          <w:szCs w:val="18"/>
          <w:color w:val="auto"/>
        </w:rPr>
      </w:pPr>
    </w:p>
    <w:p>
      <w:pPr>
        <w:jc w:val="both"/>
        <w:ind w:left="1300" w:hanging="644"/>
        <w:spacing w:after="0" w:line="261" w:lineRule="auto"/>
        <w:tabs>
          <w:tab w:leader="none" w:pos="1300" w:val="left"/>
        </w:tabs>
        <w:numPr>
          <w:ilvl w:val="1"/>
          <w:numId w:val="104"/>
        </w:numPr>
        <w:rPr>
          <w:rFonts w:ascii="Arial" w:cs="Arial" w:eastAsia="Arial" w:hAnsi="Arial"/>
          <w:sz w:val="18"/>
          <w:szCs w:val="18"/>
          <w:color w:val="auto"/>
        </w:rPr>
      </w:pPr>
      <w:r>
        <w:rPr>
          <w:rFonts w:ascii="Arial" w:cs="Arial" w:eastAsia="Arial" w:hAnsi="Arial"/>
          <w:sz w:val="18"/>
          <w:szCs w:val="18"/>
          <w:b w:val="1"/>
          <w:bCs w:val="1"/>
          <w:color w:val="auto"/>
        </w:rPr>
        <w:t xml:space="preserve">“Performance Measure” </w:t>
      </w:r>
      <w:r>
        <w:rPr>
          <w:rFonts w:ascii="Arial" w:cs="Arial" w:eastAsia="Arial" w:hAnsi="Arial"/>
          <w:sz w:val="18"/>
          <w:szCs w:val="18"/>
          <w:color w:val="auto"/>
        </w:rPr>
        <w:t>means any one or more of the following performance criteria, either individually, alternatively or in any</w:t>
      </w:r>
      <w:r>
        <w:rPr>
          <w:rFonts w:ascii="Arial" w:cs="Arial" w:eastAsia="Arial" w:hAnsi="Arial"/>
          <w:sz w:val="18"/>
          <w:szCs w:val="18"/>
          <w:b w:val="1"/>
          <w:bCs w:val="1"/>
          <w:color w:val="auto"/>
        </w:rPr>
        <w:t xml:space="preserve"> </w:t>
      </w:r>
      <w:r>
        <w:rPr>
          <w:rFonts w:ascii="Arial" w:cs="Arial" w:eastAsia="Arial" w:hAnsi="Arial"/>
          <w:sz w:val="18"/>
          <w:szCs w:val="18"/>
          <w:color w:val="auto"/>
        </w:rPr>
        <w:t>combination, applied to either the Company as a whole or to a region, business unit, Affiliate or business segment, either individually, alternatively or in any combination, and measured either on an absolute basis or relative to a pre-established target, to a previous period’s results or to a designated comparison group, in each case as specified by the</w:t>
      </w:r>
    </w:p>
    <w:p>
      <w:pPr>
        <w:sectPr>
          <w:pgSz w:w="11900" w:h="16838" w:orient="portrait"/>
          <w:cols w:equalWidth="0" w:num="1">
            <w:col w:w="11420"/>
          </w:cols>
          <w:pgMar w:left="240" w:top="369" w:right="239" w:bottom="1440" w:gutter="0" w:footer="0" w:header="0"/>
        </w:sectPr>
      </w:pPr>
    </w:p>
    <w:bookmarkStart w:id="108" w:name="page109"/>
    <w:bookmarkEnd w:id="108"/>
    <w:p>
      <w:pPr>
        <w:jc w:val="both"/>
        <w:ind w:left="1300"/>
        <w:spacing w:after="0" w:line="273" w:lineRule="auto"/>
        <w:rPr>
          <w:sz w:val="20"/>
          <w:szCs w:val="20"/>
          <w:color w:val="auto"/>
        </w:rPr>
      </w:pPr>
      <w:r>
        <w:rPr>
          <w:rFonts w:ascii="Arial" w:cs="Arial" w:eastAsia="Arial" w:hAnsi="Arial"/>
          <w:sz w:val="17"/>
          <w:szCs w:val="17"/>
          <w:color w:val="auto"/>
        </w:rPr>
        <w:t>Committee: (i) cash flow (before or after dividends), (ii) earnings or earnings per share (including earnings before interest, taxes, depreciation and amortization), (iii) stock price, (iv) return on equity, (v) total stockholder return, (vi) return on capital or investment (including return on total capital, return on invested capital, or return on investment), (vii) return on assets or net assets, (viii) market capitalization, (ix) economic value added, (x) debt leverage (debt to capital), (xi) revenue, (xii) income or net income, (xiii) operating income, (xiv) operating profit or net operating profit, (xv) operating margin or profit margin, (xvi) return on operating revenue, (xvii) cash from operations, (xviii) operating ratio, (xix) operating revenue, (xx) customer service, (xxi) sales, or (xxii) cost savings.</w:t>
      </w:r>
    </w:p>
    <w:p>
      <w:pPr>
        <w:spacing w:after="0" w:line="174" w:lineRule="exact"/>
        <w:rPr>
          <w:sz w:val="20"/>
          <w:szCs w:val="20"/>
          <w:color w:val="auto"/>
        </w:rPr>
      </w:pPr>
    </w:p>
    <w:p>
      <w:pPr>
        <w:ind w:left="1300" w:hanging="644"/>
        <w:spacing w:after="0"/>
        <w:tabs>
          <w:tab w:leader="none" w:pos="1300" w:val="left"/>
        </w:tabs>
        <w:numPr>
          <w:ilvl w:val="1"/>
          <w:numId w:val="105"/>
        </w:numPr>
        <w:rPr>
          <w:rFonts w:ascii="Arial" w:cs="Arial" w:eastAsia="Arial" w:hAnsi="Arial"/>
          <w:sz w:val="18"/>
          <w:szCs w:val="18"/>
          <w:color w:val="auto"/>
        </w:rPr>
      </w:pPr>
      <w:r>
        <w:rPr>
          <w:rFonts w:ascii="Arial" w:cs="Arial" w:eastAsia="Arial" w:hAnsi="Arial"/>
          <w:sz w:val="18"/>
          <w:szCs w:val="18"/>
          <w:b w:val="1"/>
          <w:bCs w:val="1"/>
          <w:color w:val="auto"/>
        </w:rPr>
        <w:t xml:space="preserve">“Performance Period” </w:t>
      </w:r>
      <w:r>
        <w:rPr>
          <w:rFonts w:ascii="Arial" w:cs="Arial" w:eastAsia="Arial" w:hAnsi="Arial"/>
          <w:sz w:val="18"/>
          <w:szCs w:val="18"/>
          <w:color w:val="auto"/>
        </w:rPr>
        <w:t>means any Fiscal Year or such other period as determined by the Committee.</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1"/>
          <w:numId w:val="105"/>
        </w:numPr>
        <w:rPr>
          <w:rFonts w:ascii="Arial" w:cs="Arial" w:eastAsia="Arial" w:hAnsi="Arial"/>
          <w:sz w:val="18"/>
          <w:szCs w:val="18"/>
          <w:color w:val="auto"/>
        </w:rPr>
      </w:pPr>
      <w:r>
        <w:rPr>
          <w:rFonts w:ascii="Arial" w:cs="Arial" w:eastAsia="Arial" w:hAnsi="Arial"/>
          <w:sz w:val="18"/>
          <w:szCs w:val="18"/>
          <w:b w:val="1"/>
          <w:bCs w:val="1"/>
          <w:color w:val="auto"/>
        </w:rPr>
        <w:t xml:space="preserve">“Plan” </w:t>
      </w:r>
      <w:r>
        <w:rPr>
          <w:rFonts w:ascii="Arial" w:cs="Arial" w:eastAsia="Arial" w:hAnsi="Arial"/>
          <w:sz w:val="18"/>
          <w:szCs w:val="18"/>
          <w:color w:val="auto"/>
        </w:rPr>
        <w:t>means this CoStar Group, Inc. 2016 Cash Incentive Plan.</w:t>
      </w:r>
    </w:p>
    <w:p>
      <w:pPr>
        <w:spacing w:after="0" w:line="225" w:lineRule="exact"/>
        <w:rPr>
          <w:rFonts w:ascii="Arial" w:cs="Arial" w:eastAsia="Arial" w:hAnsi="Arial"/>
          <w:sz w:val="18"/>
          <w:szCs w:val="18"/>
          <w:color w:val="auto"/>
        </w:rPr>
      </w:pPr>
    </w:p>
    <w:p>
      <w:pPr>
        <w:jc w:val="both"/>
        <w:ind w:left="1300" w:hanging="644"/>
        <w:spacing w:after="0" w:line="261" w:lineRule="auto"/>
        <w:tabs>
          <w:tab w:leader="none" w:pos="1300" w:val="left"/>
        </w:tabs>
        <w:numPr>
          <w:ilvl w:val="1"/>
          <w:numId w:val="105"/>
        </w:numPr>
        <w:rPr>
          <w:rFonts w:ascii="Arial" w:cs="Arial" w:eastAsia="Arial" w:hAnsi="Arial"/>
          <w:sz w:val="18"/>
          <w:szCs w:val="18"/>
          <w:color w:val="auto"/>
        </w:rPr>
      </w:pPr>
      <w:r>
        <w:rPr>
          <w:rFonts w:ascii="Arial" w:cs="Arial" w:eastAsia="Arial" w:hAnsi="Arial"/>
          <w:sz w:val="18"/>
          <w:szCs w:val="18"/>
          <w:b w:val="1"/>
          <w:bCs w:val="1"/>
          <w:color w:val="auto"/>
        </w:rPr>
        <w:t xml:space="preserve">“Predetermination Date” </w:t>
      </w:r>
      <w:r>
        <w:rPr>
          <w:rFonts w:ascii="Arial" w:cs="Arial" w:eastAsia="Arial" w:hAnsi="Arial"/>
          <w:sz w:val="18"/>
          <w:szCs w:val="18"/>
          <w:color w:val="auto"/>
        </w:rPr>
        <w:t>means, for a Performance Period, (i) the earlier of 90 days after commencement of the Performance Period or</w:t>
      </w:r>
      <w:r>
        <w:rPr>
          <w:rFonts w:ascii="Arial" w:cs="Arial" w:eastAsia="Arial" w:hAnsi="Arial"/>
          <w:sz w:val="18"/>
          <w:szCs w:val="18"/>
          <w:b w:val="1"/>
          <w:bCs w:val="1"/>
          <w:color w:val="auto"/>
        </w:rPr>
        <w:t xml:space="preserve"> </w:t>
      </w:r>
      <w:r>
        <w:rPr>
          <w:rFonts w:ascii="Arial" w:cs="Arial" w:eastAsia="Arial" w:hAnsi="Arial"/>
          <w:sz w:val="18"/>
          <w:szCs w:val="18"/>
          <w:color w:val="auto"/>
        </w:rPr>
        <w:t>the expiration of 25% of the Performance Period, provided that the achievement of targeted goals under the selected Performance Measures for the Performance Period is substantially uncertain at such time; or (ii) such other date on which a performance goal is considered to be pre-established pursuant to Code Section 162(m).</w:t>
      </w:r>
    </w:p>
    <w:p>
      <w:pPr>
        <w:spacing w:after="0" w:line="180" w:lineRule="exact"/>
        <w:rPr>
          <w:rFonts w:ascii="Arial" w:cs="Arial" w:eastAsia="Arial" w:hAnsi="Arial"/>
          <w:sz w:val="18"/>
          <w:szCs w:val="18"/>
          <w:color w:val="auto"/>
        </w:rPr>
      </w:pPr>
    </w:p>
    <w:p>
      <w:pPr>
        <w:ind w:left="660" w:hanging="652"/>
        <w:spacing w:after="0"/>
        <w:tabs>
          <w:tab w:leader="none" w:pos="660" w:val="left"/>
        </w:tabs>
        <w:numPr>
          <w:ilvl w:val="0"/>
          <w:numId w:val="106"/>
        </w:numPr>
        <w:rPr>
          <w:rFonts w:ascii="Arial" w:cs="Arial" w:eastAsia="Arial" w:hAnsi="Arial"/>
          <w:sz w:val="18"/>
          <w:szCs w:val="18"/>
          <w:color w:val="auto"/>
        </w:rPr>
      </w:pPr>
      <w:r>
        <w:rPr>
          <w:rFonts w:ascii="Arial" w:cs="Arial" w:eastAsia="Arial" w:hAnsi="Arial"/>
          <w:sz w:val="18"/>
          <w:szCs w:val="18"/>
          <w:b w:val="1"/>
          <w:bCs w:val="1"/>
          <w:color w:val="auto"/>
        </w:rPr>
        <w:t xml:space="preserve">Eligibility. </w:t>
      </w:r>
      <w:r>
        <w:rPr>
          <w:rFonts w:ascii="Arial" w:cs="Arial" w:eastAsia="Arial" w:hAnsi="Arial"/>
          <w:sz w:val="18"/>
          <w:szCs w:val="18"/>
          <w:color w:val="auto"/>
        </w:rPr>
        <w:t>The individuals eligible to participate in this Plan for a given Performance Period shall be Officers.</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106"/>
        </w:numPr>
        <w:rPr>
          <w:rFonts w:ascii="Arial" w:cs="Arial" w:eastAsia="Arial" w:hAnsi="Arial"/>
          <w:sz w:val="18"/>
          <w:szCs w:val="18"/>
          <w:color w:val="auto"/>
        </w:rPr>
      </w:pPr>
      <w:r>
        <w:rPr>
          <w:rFonts w:ascii="Arial" w:cs="Arial" w:eastAsia="Arial" w:hAnsi="Arial"/>
          <w:sz w:val="18"/>
          <w:szCs w:val="18"/>
          <w:b w:val="1"/>
          <w:bCs w:val="1"/>
          <w:color w:val="auto"/>
        </w:rPr>
        <w:t>Plan Administration.</w:t>
      </w:r>
    </w:p>
    <w:p>
      <w:pPr>
        <w:spacing w:after="0" w:line="229" w:lineRule="exact"/>
        <w:rPr>
          <w:rFonts w:ascii="Arial" w:cs="Arial" w:eastAsia="Arial" w:hAnsi="Arial"/>
          <w:sz w:val="18"/>
          <w:szCs w:val="18"/>
          <w:color w:val="auto"/>
        </w:rPr>
      </w:pPr>
    </w:p>
    <w:p>
      <w:pPr>
        <w:jc w:val="both"/>
        <w:ind w:left="1300" w:hanging="644"/>
        <w:spacing w:after="0" w:line="287" w:lineRule="auto"/>
        <w:tabs>
          <w:tab w:leader="none" w:pos="1300" w:val="left"/>
        </w:tabs>
        <w:numPr>
          <w:ilvl w:val="1"/>
          <w:numId w:val="106"/>
        </w:numPr>
        <w:rPr>
          <w:rFonts w:ascii="Arial" w:cs="Arial" w:eastAsia="Arial" w:hAnsi="Arial"/>
          <w:sz w:val="16"/>
          <w:szCs w:val="16"/>
          <w:color w:val="auto"/>
        </w:rPr>
      </w:pPr>
      <w:r>
        <w:rPr>
          <w:rFonts w:ascii="Arial" w:cs="Arial" w:eastAsia="Arial" w:hAnsi="Arial"/>
          <w:sz w:val="16"/>
          <w:szCs w:val="16"/>
          <w:color w:val="auto"/>
        </w:rPr>
        <w:t>The Plan shall be administered by the Committee. The Committee shall have full power and authority, subject to the provisions of the Plan and subject to such orders or resolutions not inconsistent with the provisions of the Plan as may from time to time be adopted by the Board, to: (i) select the Participants to whom Cash Incentives may from time to time be paid hereunder; (ii) determine the terms and conditions, not inconsistent with the provisions of the Plan, of each Cash Incentive; (iii) determine the time when Cash Incentives will be granted and paid and the Performance Period to which they relate; (iv) certify the achievement of Performance Measures and the maximum amount of the Cash Incentive payable for each Participant in respect of Performance Periods; (v) determine whether payment of Cash Incentives may be deferred by Participants as provided in Section 8(b); (vi) interpret and administer the Plan and any instrument or agreement entered into in connection with the Plan; (vii) correct any defect, supply any omission or reconcile any inconsistency in the Plan or any Cash Incentive award in the manner and to the extent that the Committee shall deem desirable to carry it into effect; (viii) establish such rules and regulations and appoint such agents as it shall deem appropriate for the proper administration of the Plan; and (ix) make any other determination and take any other action that the Committee deems necessary or desirable for administration of the Plan.</w:t>
      </w:r>
    </w:p>
    <w:p>
      <w:pPr>
        <w:spacing w:after="0" w:line="172" w:lineRule="exact"/>
        <w:rPr>
          <w:rFonts w:ascii="Arial" w:cs="Arial" w:eastAsia="Arial" w:hAnsi="Arial"/>
          <w:sz w:val="16"/>
          <w:szCs w:val="16"/>
          <w:color w:val="auto"/>
        </w:rPr>
      </w:pPr>
    </w:p>
    <w:p>
      <w:pPr>
        <w:ind w:left="1300" w:right="20" w:hanging="644"/>
        <w:spacing w:after="0" w:line="277" w:lineRule="auto"/>
        <w:tabs>
          <w:tab w:leader="none" w:pos="1300" w:val="left"/>
        </w:tabs>
        <w:numPr>
          <w:ilvl w:val="1"/>
          <w:numId w:val="106"/>
        </w:numPr>
        <w:rPr>
          <w:rFonts w:ascii="Arial" w:cs="Arial" w:eastAsia="Arial" w:hAnsi="Arial"/>
          <w:sz w:val="18"/>
          <w:szCs w:val="18"/>
          <w:color w:val="auto"/>
        </w:rPr>
      </w:pPr>
      <w:r>
        <w:rPr>
          <w:rFonts w:ascii="Arial" w:cs="Arial" w:eastAsia="Arial" w:hAnsi="Arial"/>
          <w:sz w:val="18"/>
          <w:szCs w:val="18"/>
          <w:color w:val="auto"/>
        </w:rPr>
        <w:t>Decisions of the Committee shall be final, conclusive and binding on all persons or entities, including the Company, any Affiliate, any Participant and any person claiming any benefit or right under an award or under the Plan.</w:t>
      </w:r>
    </w:p>
    <w:p>
      <w:pPr>
        <w:spacing w:after="0" w:line="170" w:lineRule="exact"/>
        <w:rPr>
          <w:rFonts w:ascii="Arial" w:cs="Arial" w:eastAsia="Arial" w:hAnsi="Arial"/>
          <w:sz w:val="18"/>
          <w:szCs w:val="18"/>
          <w:color w:val="auto"/>
        </w:rPr>
      </w:pPr>
    </w:p>
    <w:p>
      <w:pPr>
        <w:jc w:val="both"/>
        <w:ind w:left="1300" w:hanging="644"/>
        <w:spacing w:after="0" w:line="259" w:lineRule="auto"/>
        <w:tabs>
          <w:tab w:leader="none" w:pos="1300" w:val="left"/>
        </w:tabs>
        <w:numPr>
          <w:ilvl w:val="1"/>
          <w:numId w:val="106"/>
        </w:numPr>
        <w:rPr>
          <w:rFonts w:ascii="Arial" w:cs="Arial" w:eastAsia="Arial" w:hAnsi="Arial"/>
          <w:sz w:val="18"/>
          <w:szCs w:val="18"/>
          <w:color w:val="auto"/>
        </w:rPr>
      </w:pPr>
      <w:r>
        <w:rPr>
          <w:rFonts w:ascii="Arial" w:cs="Arial" w:eastAsia="Arial" w:hAnsi="Arial"/>
          <w:sz w:val="18"/>
          <w:szCs w:val="18"/>
          <w:color w:val="auto"/>
        </w:rPr>
        <w:t>Notwithstanding the foregoing, to the extent consistent with Code Section 162(m), the Committee may delegate the responsibility for administering the Plan, subject to such limitations as the Committee deems appropriate. All references in the Plan to the "Committee" shall be, as applicable, to the Committee or any other committee or officer to whom the Board or the Committee has delegated authority to administer the Plan.</w:t>
      </w:r>
    </w:p>
    <w:p>
      <w:pPr>
        <w:spacing w:after="0" w:line="182" w:lineRule="exact"/>
        <w:rPr>
          <w:rFonts w:ascii="Arial" w:cs="Arial" w:eastAsia="Arial" w:hAnsi="Arial"/>
          <w:sz w:val="18"/>
          <w:szCs w:val="18"/>
          <w:color w:val="auto"/>
        </w:rPr>
      </w:pPr>
    </w:p>
    <w:p>
      <w:pPr>
        <w:jc w:val="both"/>
        <w:ind w:left="660" w:hanging="652"/>
        <w:spacing w:after="0" w:line="266" w:lineRule="auto"/>
        <w:tabs>
          <w:tab w:leader="none" w:pos="660" w:val="left"/>
        </w:tabs>
        <w:numPr>
          <w:ilvl w:val="0"/>
          <w:numId w:val="106"/>
        </w:numPr>
        <w:rPr>
          <w:rFonts w:ascii="Arial" w:cs="Arial" w:eastAsia="Arial" w:hAnsi="Arial"/>
          <w:sz w:val="18"/>
          <w:szCs w:val="18"/>
          <w:color w:val="auto"/>
        </w:rPr>
      </w:pPr>
      <w:r>
        <w:rPr>
          <w:rFonts w:ascii="Arial" w:cs="Arial" w:eastAsia="Arial" w:hAnsi="Arial"/>
          <w:sz w:val="18"/>
          <w:szCs w:val="18"/>
          <w:b w:val="1"/>
          <w:bCs w:val="1"/>
          <w:color w:val="auto"/>
        </w:rPr>
        <w:t xml:space="preserve">Term. </w:t>
      </w:r>
      <w:r>
        <w:rPr>
          <w:rFonts w:ascii="Arial" w:cs="Arial" w:eastAsia="Arial" w:hAnsi="Arial"/>
          <w:sz w:val="18"/>
          <w:szCs w:val="18"/>
          <w:color w:val="auto"/>
        </w:rPr>
        <w:t>This Plan shall be effective upon its approval at the Company’s 2016 annual stockholders meeting. Once approved by the Company's</w:t>
      </w:r>
      <w:r>
        <w:rPr>
          <w:rFonts w:ascii="Arial" w:cs="Arial" w:eastAsia="Arial" w:hAnsi="Arial"/>
          <w:sz w:val="18"/>
          <w:szCs w:val="18"/>
          <w:b w:val="1"/>
          <w:bCs w:val="1"/>
          <w:color w:val="auto"/>
        </w:rPr>
        <w:t xml:space="preserve"> </w:t>
      </w:r>
      <w:r>
        <w:rPr>
          <w:rFonts w:ascii="Arial" w:cs="Arial" w:eastAsia="Arial" w:hAnsi="Arial"/>
          <w:sz w:val="18"/>
          <w:szCs w:val="18"/>
          <w:color w:val="auto"/>
        </w:rPr>
        <w:t>stockholders, this Plan shall continue until the earlier of (i) a termination under Section 9 of this Plan, (ii) the date any stockholder approval requirement under Code Section 162(m)</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B- 2</w:t>
      </w:r>
    </w:p>
    <w:p>
      <w:pPr>
        <w:sectPr>
          <w:pgSz w:w="11900" w:h="16838" w:orient="portrait"/>
          <w:cols w:equalWidth="0" w:num="1">
            <w:col w:w="11420"/>
          </w:cols>
          <w:pgMar w:left="240" w:top="368" w:right="239" w:bottom="1440" w:gutter="0" w:footer="0" w:header="0"/>
        </w:sectPr>
      </w:pPr>
    </w:p>
    <w:bookmarkStart w:id="109" w:name="page110"/>
    <w:bookmarkEnd w:id="109"/>
    <w:p>
      <w:pPr>
        <w:ind w:left="660" w:right="20"/>
        <w:spacing w:after="0" w:line="357" w:lineRule="auto"/>
        <w:rPr>
          <w:sz w:val="20"/>
          <w:szCs w:val="20"/>
          <w:color w:val="auto"/>
        </w:rPr>
      </w:pPr>
      <w:r>
        <w:rPr>
          <w:rFonts w:ascii="Arial" w:cs="Arial" w:eastAsia="Arial" w:hAnsi="Arial"/>
          <w:sz w:val="17"/>
          <w:szCs w:val="17"/>
          <w:color w:val="auto"/>
        </w:rPr>
        <w:t>ceases to be met or (iii) the date that is five years after the annual stockholder meeting in 2016 (provided that, for the avoidance of doubt, payments may continue to be made under the Plan with respect to Performance Periods commencing before the date of Plan termination.</w:t>
      </w:r>
    </w:p>
    <w:p>
      <w:pPr>
        <w:spacing w:after="0" w:line="117" w:lineRule="exact"/>
        <w:rPr>
          <w:sz w:val="20"/>
          <w:szCs w:val="20"/>
          <w:color w:val="auto"/>
        </w:rPr>
      </w:pPr>
    </w:p>
    <w:p>
      <w:pPr>
        <w:ind w:left="660" w:hanging="652"/>
        <w:spacing w:after="0"/>
        <w:tabs>
          <w:tab w:leader="none" w:pos="660" w:val="left"/>
        </w:tabs>
        <w:numPr>
          <w:ilvl w:val="0"/>
          <w:numId w:val="107"/>
        </w:numPr>
        <w:rPr>
          <w:rFonts w:ascii="Arial" w:cs="Arial" w:eastAsia="Arial" w:hAnsi="Arial"/>
          <w:sz w:val="16"/>
          <w:szCs w:val="16"/>
          <w:color w:val="auto"/>
        </w:rPr>
      </w:pPr>
      <w:r>
        <w:rPr>
          <w:rFonts w:ascii="Arial" w:cs="Arial" w:eastAsia="Arial" w:hAnsi="Arial"/>
          <w:sz w:val="16"/>
          <w:szCs w:val="16"/>
          <w:b w:val="1"/>
          <w:bCs w:val="1"/>
          <w:color w:val="auto"/>
        </w:rPr>
        <w:t xml:space="preserve">Cash Incentives. </w:t>
      </w:r>
      <w:r>
        <w:rPr>
          <w:rFonts w:ascii="Arial" w:cs="Arial" w:eastAsia="Arial" w:hAnsi="Arial"/>
          <w:sz w:val="16"/>
          <w:szCs w:val="16"/>
          <w:color w:val="auto"/>
        </w:rPr>
        <w:t>Prior to the Predetermination Date for a Performance Period, the Committee shall designate or approve in writing, the following:</w:t>
      </w:r>
    </w:p>
    <w:p>
      <w:pPr>
        <w:spacing w:after="0" w:line="252" w:lineRule="exact"/>
        <w:rPr>
          <w:rFonts w:ascii="Arial" w:cs="Arial" w:eastAsia="Arial" w:hAnsi="Arial"/>
          <w:sz w:val="16"/>
          <w:szCs w:val="16"/>
          <w:color w:val="auto"/>
        </w:rPr>
      </w:pPr>
    </w:p>
    <w:p>
      <w:pPr>
        <w:ind w:left="1040" w:hanging="384"/>
        <w:spacing w:after="0"/>
        <w:tabs>
          <w:tab w:leader="none" w:pos="1040" w:val="left"/>
        </w:tabs>
        <w:numPr>
          <w:ilvl w:val="1"/>
          <w:numId w:val="107"/>
        </w:numPr>
        <w:rPr>
          <w:rFonts w:ascii="Arial" w:cs="Arial" w:eastAsia="Arial" w:hAnsi="Arial"/>
          <w:sz w:val="18"/>
          <w:szCs w:val="18"/>
          <w:color w:val="auto"/>
        </w:rPr>
      </w:pPr>
      <w:r>
        <w:rPr>
          <w:rFonts w:ascii="Arial" w:cs="Arial" w:eastAsia="Arial" w:hAnsi="Arial"/>
          <w:sz w:val="18"/>
          <w:szCs w:val="18"/>
          <w:color w:val="auto"/>
        </w:rPr>
        <w:t>Performance Period;</w:t>
      </w:r>
    </w:p>
    <w:p>
      <w:pPr>
        <w:spacing w:after="0" w:line="225" w:lineRule="exact"/>
        <w:rPr>
          <w:rFonts w:ascii="Arial" w:cs="Arial" w:eastAsia="Arial" w:hAnsi="Arial"/>
          <w:sz w:val="18"/>
          <w:szCs w:val="18"/>
          <w:color w:val="auto"/>
        </w:rPr>
      </w:pPr>
    </w:p>
    <w:p>
      <w:pPr>
        <w:ind w:left="1040" w:hanging="384"/>
        <w:spacing w:after="0"/>
        <w:tabs>
          <w:tab w:leader="none" w:pos="1040" w:val="left"/>
        </w:tabs>
        <w:numPr>
          <w:ilvl w:val="1"/>
          <w:numId w:val="107"/>
        </w:numPr>
        <w:rPr>
          <w:rFonts w:ascii="Arial" w:cs="Arial" w:eastAsia="Arial" w:hAnsi="Arial"/>
          <w:sz w:val="18"/>
          <w:szCs w:val="18"/>
          <w:color w:val="auto"/>
        </w:rPr>
      </w:pPr>
      <w:r>
        <w:rPr>
          <w:rFonts w:ascii="Arial" w:cs="Arial" w:eastAsia="Arial" w:hAnsi="Arial"/>
          <w:sz w:val="18"/>
          <w:szCs w:val="18"/>
          <w:color w:val="auto"/>
        </w:rPr>
        <w:t>Positions or names of employees who will be Participants for the Performance Period;</w:t>
      </w:r>
    </w:p>
    <w:p>
      <w:pPr>
        <w:spacing w:after="0" w:line="225" w:lineRule="exact"/>
        <w:rPr>
          <w:rFonts w:ascii="Arial" w:cs="Arial" w:eastAsia="Arial" w:hAnsi="Arial"/>
          <w:sz w:val="18"/>
          <w:szCs w:val="18"/>
          <w:color w:val="auto"/>
        </w:rPr>
      </w:pPr>
    </w:p>
    <w:p>
      <w:pPr>
        <w:ind w:left="1040" w:hanging="384"/>
        <w:spacing w:after="0"/>
        <w:tabs>
          <w:tab w:leader="none" w:pos="1040" w:val="left"/>
        </w:tabs>
        <w:numPr>
          <w:ilvl w:val="1"/>
          <w:numId w:val="107"/>
        </w:numPr>
        <w:rPr>
          <w:rFonts w:ascii="Arial" w:cs="Arial" w:eastAsia="Arial" w:hAnsi="Arial"/>
          <w:sz w:val="18"/>
          <w:szCs w:val="18"/>
          <w:color w:val="auto"/>
        </w:rPr>
      </w:pPr>
      <w:r>
        <w:rPr>
          <w:rFonts w:ascii="Arial" w:cs="Arial" w:eastAsia="Arial" w:hAnsi="Arial"/>
          <w:sz w:val="18"/>
          <w:szCs w:val="18"/>
          <w:color w:val="auto"/>
        </w:rPr>
        <w:t>Targeted goals for selected Performance Measures during the Performance Period; and</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1"/>
          <w:numId w:val="107"/>
        </w:numPr>
        <w:rPr>
          <w:rFonts w:ascii="Arial" w:cs="Arial" w:eastAsia="Arial" w:hAnsi="Arial"/>
          <w:sz w:val="18"/>
          <w:szCs w:val="18"/>
          <w:color w:val="auto"/>
        </w:rPr>
      </w:pPr>
      <w:r>
        <w:rPr>
          <w:rFonts w:ascii="Arial" w:cs="Arial" w:eastAsia="Arial" w:hAnsi="Arial"/>
          <w:sz w:val="18"/>
          <w:szCs w:val="18"/>
          <w:color w:val="auto"/>
        </w:rPr>
        <w:t>Applicable Cash Incentive Formula for each Participant, which may be for an individual Participant or a group of Participants.</w:t>
      </w:r>
    </w:p>
    <w:p>
      <w:pPr>
        <w:spacing w:after="0" w:line="221" w:lineRule="exact"/>
        <w:rPr>
          <w:rFonts w:ascii="Arial" w:cs="Arial" w:eastAsia="Arial" w:hAnsi="Arial"/>
          <w:sz w:val="18"/>
          <w:szCs w:val="18"/>
          <w:color w:val="auto"/>
        </w:rPr>
      </w:pPr>
    </w:p>
    <w:p>
      <w:pPr>
        <w:ind w:left="660" w:hanging="652"/>
        <w:spacing w:after="0"/>
        <w:tabs>
          <w:tab w:leader="none" w:pos="660" w:val="left"/>
        </w:tabs>
        <w:numPr>
          <w:ilvl w:val="0"/>
          <w:numId w:val="107"/>
        </w:numPr>
        <w:rPr>
          <w:rFonts w:ascii="Arial" w:cs="Arial" w:eastAsia="Arial" w:hAnsi="Arial"/>
          <w:sz w:val="18"/>
          <w:szCs w:val="18"/>
          <w:color w:val="auto"/>
        </w:rPr>
      </w:pPr>
      <w:r>
        <w:rPr>
          <w:rFonts w:ascii="Arial" w:cs="Arial" w:eastAsia="Arial" w:hAnsi="Arial"/>
          <w:sz w:val="18"/>
          <w:szCs w:val="18"/>
          <w:b w:val="1"/>
          <w:bCs w:val="1"/>
          <w:color w:val="auto"/>
        </w:rPr>
        <w:t>Determination of Amount of Cash Incentive.</w:t>
      </w:r>
    </w:p>
    <w:p>
      <w:pPr>
        <w:spacing w:after="0" w:line="225" w:lineRule="exact"/>
        <w:rPr>
          <w:rFonts w:ascii="Arial" w:cs="Arial" w:eastAsia="Arial" w:hAnsi="Arial"/>
          <w:sz w:val="18"/>
          <w:szCs w:val="18"/>
          <w:color w:val="auto"/>
        </w:rPr>
      </w:pPr>
    </w:p>
    <w:p>
      <w:pPr>
        <w:jc w:val="both"/>
        <w:ind w:left="1300" w:hanging="644"/>
        <w:spacing w:after="0" w:line="295" w:lineRule="auto"/>
        <w:tabs>
          <w:tab w:leader="none" w:pos="1300" w:val="left"/>
        </w:tabs>
        <w:numPr>
          <w:ilvl w:val="1"/>
          <w:numId w:val="107"/>
        </w:numPr>
        <w:rPr>
          <w:rFonts w:ascii="Arial" w:cs="Arial" w:eastAsia="Arial" w:hAnsi="Arial"/>
          <w:sz w:val="16"/>
          <w:szCs w:val="16"/>
          <w:color w:val="auto"/>
        </w:rPr>
      </w:pPr>
      <w:r>
        <w:rPr>
          <w:rFonts w:ascii="Arial" w:cs="Arial" w:eastAsia="Arial" w:hAnsi="Arial"/>
          <w:sz w:val="16"/>
          <w:szCs w:val="16"/>
          <w:b w:val="1"/>
          <w:bCs w:val="1"/>
          <w:color w:val="auto"/>
        </w:rPr>
        <w:t xml:space="preserve">Calculation. </w:t>
      </w:r>
      <w:r>
        <w:rPr>
          <w:rFonts w:ascii="Arial" w:cs="Arial" w:eastAsia="Arial" w:hAnsi="Arial"/>
          <w:sz w:val="16"/>
          <w:szCs w:val="16"/>
          <w:color w:val="auto"/>
        </w:rPr>
        <w:t>After the end of each Performance Period, the Committee shall certify in writing (to the extent required under Code Section</w:t>
      </w:r>
      <w:r>
        <w:rPr>
          <w:rFonts w:ascii="Arial" w:cs="Arial" w:eastAsia="Arial" w:hAnsi="Arial"/>
          <w:sz w:val="16"/>
          <w:szCs w:val="16"/>
          <w:b w:val="1"/>
          <w:bCs w:val="1"/>
          <w:color w:val="auto"/>
        </w:rPr>
        <w:t xml:space="preserve"> </w:t>
      </w:r>
      <w:r>
        <w:rPr>
          <w:rFonts w:ascii="Arial" w:cs="Arial" w:eastAsia="Arial" w:hAnsi="Arial"/>
          <w:sz w:val="16"/>
          <w:szCs w:val="16"/>
          <w:color w:val="auto"/>
        </w:rPr>
        <w:t>162(m)) the extent to which the targeted goals for the Performance Measures applicable to each Participant for the Performance Period were achieved or exceeded. The Cash Incentive for each Participant shall be determined by applying the Cash Incentive Formula to the level of actual performance that has been certified by the Committee. Notwithstanding any contrary provision of this Plan, the Committee, in its sole discretion, may eliminate or reduce the Cash Incentive payable to any Participant below that which otherwise would be payable under the Cash Incentive Formula. The aggregate Cash Incentive(s) payable to any Participant during any Fiscal Year shall not exceed $10 Million.</w:t>
      </w:r>
    </w:p>
    <w:p>
      <w:pPr>
        <w:spacing w:after="0" w:line="159" w:lineRule="exact"/>
        <w:rPr>
          <w:rFonts w:ascii="Arial" w:cs="Arial" w:eastAsia="Arial" w:hAnsi="Arial"/>
          <w:sz w:val="16"/>
          <w:szCs w:val="16"/>
          <w:color w:val="auto"/>
        </w:rPr>
      </w:pPr>
    </w:p>
    <w:p>
      <w:pPr>
        <w:jc w:val="both"/>
        <w:ind w:left="1300"/>
        <w:spacing w:after="0" w:line="284" w:lineRule="auto"/>
        <w:rPr>
          <w:rFonts w:ascii="Arial" w:cs="Arial" w:eastAsia="Arial" w:hAnsi="Arial"/>
          <w:sz w:val="16"/>
          <w:szCs w:val="16"/>
          <w:color w:val="auto"/>
        </w:rPr>
      </w:pPr>
      <w:r>
        <w:rPr>
          <w:rFonts w:ascii="Arial" w:cs="Arial" w:eastAsia="Arial" w:hAnsi="Arial"/>
          <w:sz w:val="16"/>
          <w:szCs w:val="16"/>
          <w:color w:val="auto"/>
        </w:rPr>
        <w:t>To the extent consistent with Code Section 162(m), the Committee (A) may appropriately adjust any evaluation of performance under the Performance Measure to eliminate the effects of charges for restructurings, discontinued operations, and all items of gain, loss or expense determined to be unusual in nature or infrequently occurring or related to the acquisition or disposal of a segment of a business or related to a change in accounting principle all as determined in accordance with standards established by Accounting Standards Codification (“ASC”) Topic 225, “Unusual or Infrequently Occurring Items,” or other applicable or successor accounting provisions, as well as the cumulative effect of accounting changes, in each case as determined in accordance with generally accepted accounting principles or identified in the Company’s financial statements or notes to the financial statements, and (B) may appropriately adjust any evaluation of performance under a Performance Measure to exclude any of the following events that occurs during a Performance Period: (i) asset write-downs,</w:t>
      </w:r>
    </w:p>
    <w:p>
      <w:pPr>
        <w:spacing w:after="0" w:line="1" w:lineRule="exact"/>
        <w:rPr>
          <w:rFonts w:ascii="Arial" w:cs="Arial" w:eastAsia="Arial" w:hAnsi="Arial"/>
          <w:sz w:val="16"/>
          <w:szCs w:val="16"/>
          <w:color w:val="auto"/>
        </w:rPr>
      </w:pPr>
    </w:p>
    <w:p>
      <w:pPr>
        <w:jc w:val="both"/>
        <w:ind w:left="1300" w:firstLine="5"/>
        <w:spacing w:after="0" w:line="255" w:lineRule="auto"/>
        <w:tabs>
          <w:tab w:leader="none" w:pos="1585" w:val="left"/>
        </w:tabs>
        <w:numPr>
          <w:ilvl w:val="2"/>
          <w:numId w:val="107"/>
        </w:numPr>
        <w:rPr>
          <w:rFonts w:ascii="Arial" w:cs="Arial" w:eastAsia="Arial" w:hAnsi="Arial"/>
          <w:sz w:val="18"/>
          <w:szCs w:val="18"/>
          <w:color w:val="auto"/>
        </w:rPr>
      </w:pPr>
      <w:r>
        <w:rPr>
          <w:rFonts w:ascii="Arial" w:cs="Arial" w:eastAsia="Arial" w:hAnsi="Arial"/>
          <w:sz w:val="18"/>
          <w:szCs w:val="18"/>
          <w:color w:val="auto"/>
        </w:rPr>
        <w:t>litigation, claims, judgments or settlements, (iii) the effect of changes in tax law or other such laws or provisions affecting reported results, (iv) accruals for reorganization and restructuring programs and (v) accruals of any amounts for payment under this Plan or any other compensation arrangement maintained by the Company or any Affiliate.</w:t>
      </w:r>
    </w:p>
    <w:p>
      <w:pPr>
        <w:spacing w:after="0" w:line="186" w:lineRule="exact"/>
        <w:rPr>
          <w:rFonts w:ascii="Arial" w:cs="Arial" w:eastAsia="Arial" w:hAnsi="Arial"/>
          <w:sz w:val="18"/>
          <w:szCs w:val="18"/>
          <w:color w:val="auto"/>
        </w:rPr>
      </w:pPr>
    </w:p>
    <w:p>
      <w:pPr>
        <w:jc w:val="both"/>
        <w:ind w:left="1300" w:hanging="644"/>
        <w:spacing w:after="0" w:line="261" w:lineRule="auto"/>
        <w:tabs>
          <w:tab w:leader="none" w:pos="1300" w:val="left"/>
        </w:tabs>
        <w:numPr>
          <w:ilvl w:val="1"/>
          <w:numId w:val="107"/>
        </w:numPr>
        <w:rPr>
          <w:rFonts w:ascii="Arial" w:cs="Arial" w:eastAsia="Arial" w:hAnsi="Arial"/>
          <w:sz w:val="18"/>
          <w:szCs w:val="18"/>
          <w:color w:val="auto"/>
        </w:rPr>
      </w:pPr>
      <w:r>
        <w:rPr>
          <w:rFonts w:ascii="Arial" w:cs="Arial" w:eastAsia="Arial" w:hAnsi="Arial"/>
          <w:sz w:val="18"/>
          <w:szCs w:val="18"/>
          <w:b w:val="1"/>
          <w:bCs w:val="1"/>
          <w:color w:val="auto"/>
        </w:rPr>
        <w:t xml:space="preserve">Right to Receive Payment. </w:t>
      </w:r>
      <w:r>
        <w:rPr>
          <w:rFonts w:ascii="Arial" w:cs="Arial" w:eastAsia="Arial" w:hAnsi="Arial"/>
          <w:sz w:val="18"/>
          <w:szCs w:val="18"/>
          <w:color w:val="auto"/>
        </w:rPr>
        <w:t>Each Cash Incentive under this Plan shall be paid solely from general assets of the Company and its Affiliates.</w:t>
      </w:r>
      <w:r>
        <w:rPr>
          <w:rFonts w:ascii="Arial" w:cs="Arial" w:eastAsia="Arial" w:hAnsi="Arial"/>
          <w:sz w:val="18"/>
          <w:szCs w:val="18"/>
          <w:b w:val="1"/>
          <w:bCs w:val="1"/>
          <w:color w:val="auto"/>
        </w:rPr>
        <w:t xml:space="preserve"> </w:t>
      </w:r>
      <w:r>
        <w:rPr>
          <w:rFonts w:ascii="Arial" w:cs="Arial" w:eastAsia="Arial" w:hAnsi="Arial"/>
          <w:sz w:val="18"/>
          <w:szCs w:val="18"/>
          <w:color w:val="auto"/>
        </w:rPr>
        <w:t>This Plan is unfunded and unsecured; nothing in this Plan shall be construed to create a trust or to establish or evidence any Participant’s claim of any right to payment of a Cash Incentive other than as an unsecured general creditor with respect to any payment to which he or she may be entitled.</w:t>
      </w:r>
    </w:p>
    <w:p>
      <w:pPr>
        <w:spacing w:after="0" w:line="180" w:lineRule="exact"/>
        <w:rPr>
          <w:rFonts w:ascii="Arial" w:cs="Arial" w:eastAsia="Arial" w:hAnsi="Arial"/>
          <w:sz w:val="18"/>
          <w:szCs w:val="18"/>
          <w:color w:val="auto"/>
        </w:rPr>
      </w:pPr>
    </w:p>
    <w:p>
      <w:pPr>
        <w:ind w:left="660" w:hanging="652"/>
        <w:spacing w:after="0"/>
        <w:tabs>
          <w:tab w:leader="none" w:pos="660" w:val="left"/>
        </w:tabs>
        <w:numPr>
          <w:ilvl w:val="0"/>
          <w:numId w:val="107"/>
        </w:numPr>
        <w:rPr>
          <w:rFonts w:ascii="Arial" w:cs="Arial" w:eastAsia="Arial" w:hAnsi="Arial"/>
          <w:sz w:val="18"/>
          <w:szCs w:val="18"/>
          <w:color w:val="auto"/>
        </w:rPr>
      </w:pPr>
      <w:r>
        <w:rPr>
          <w:rFonts w:ascii="Arial" w:cs="Arial" w:eastAsia="Arial" w:hAnsi="Arial"/>
          <w:sz w:val="18"/>
          <w:szCs w:val="18"/>
          <w:b w:val="1"/>
          <w:bCs w:val="1"/>
          <w:color w:val="auto"/>
        </w:rPr>
        <w:t>Payment of Cash Incentives.</w:t>
      </w:r>
    </w:p>
    <w:p>
      <w:pPr>
        <w:spacing w:after="0" w:line="225" w:lineRule="exact"/>
        <w:rPr>
          <w:rFonts w:ascii="Arial" w:cs="Arial" w:eastAsia="Arial" w:hAnsi="Arial"/>
          <w:sz w:val="18"/>
          <w:szCs w:val="18"/>
          <w:color w:val="auto"/>
        </w:rPr>
      </w:pPr>
    </w:p>
    <w:p>
      <w:pPr>
        <w:ind w:left="1300" w:right="20" w:hanging="644"/>
        <w:spacing w:after="0" w:line="282" w:lineRule="auto"/>
        <w:tabs>
          <w:tab w:leader="none" w:pos="1300" w:val="left"/>
        </w:tabs>
        <w:numPr>
          <w:ilvl w:val="1"/>
          <w:numId w:val="107"/>
        </w:numPr>
        <w:rPr>
          <w:rFonts w:ascii="Arial" w:cs="Arial" w:eastAsia="Arial" w:hAnsi="Arial"/>
          <w:sz w:val="18"/>
          <w:szCs w:val="18"/>
          <w:color w:val="auto"/>
        </w:rPr>
      </w:pPr>
      <w:r>
        <w:rPr>
          <w:rFonts w:ascii="Arial" w:cs="Arial" w:eastAsia="Arial" w:hAnsi="Arial"/>
          <w:sz w:val="18"/>
          <w:szCs w:val="18"/>
          <w:b w:val="1"/>
          <w:bCs w:val="1"/>
          <w:color w:val="auto"/>
        </w:rPr>
        <w:t xml:space="preserve">Timing of Distributions. </w:t>
      </w:r>
      <w:r>
        <w:rPr>
          <w:rFonts w:ascii="Arial" w:cs="Arial" w:eastAsia="Arial" w:hAnsi="Arial"/>
          <w:sz w:val="18"/>
          <w:szCs w:val="18"/>
          <w:color w:val="auto"/>
        </w:rPr>
        <w:t>The Company and its Affiliates shall distribute amounts payable to Participants as soon as is administratively</w:t>
      </w:r>
      <w:r>
        <w:rPr>
          <w:rFonts w:ascii="Arial" w:cs="Arial" w:eastAsia="Arial" w:hAnsi="Arial"/>
          <w:sz w:val="18"/>
          <w:szCs w:val="18"/>
          <w:b w:val="1"/>
          <w:bCs w:val="1"/>
          <w:color w:val="auto"/>
        </w:rPr>
        <w:t xml:space="preserve"> </w:t>
      </w:r>
      <w:r>
        <w:rPr>
          <w:rFonts w:ascii="Arial" w:cs="Arial" w:eastAsia="Arial" w:hAnsi="Arial"/>
          <w:sz w:val="18"/>
          <w:szCs w:val="18"/>
          <w:color w:val="auto"/>
        </w:rPr>
        <w:t>practicable following the determination and written</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B- 3</w:t>
      </w:r>
    </w:p>
    <w:p>
      <w:pPr>
        <w:sectPr>
          <w:pgSz w:w="11900" w:h="16838" w:orient="portrait"/>
          <w:cols w:equalWidth="0" w:num="1">
            <w:col w:w="11420"/>
          </w:cols>
          <w:pgMar w:left="240" w:top="395" w:right="239" w:bottom="1440" w:gutter="0" w:footer="0" w:header="0"/>
        </w:sectPr>
      </w:pPr>
    </w:p>
    <w:bookmarkStart w:id="110" w:name="page111"/>
    <w:bookmarkEnd w:id="110"/>
    <w:p>
      <w:pPr>
        <w:jc w:val="both"/>
        <w:ind w:left="1300"/>
        <w:spacing w:after="0" w:line="311" w:lineRule="auto"/>
        <w:rPr>
          <w:sz w:val="20"/>
          <w:szCs w:val="20"/>
          <w:color w:val="auto"/>
        </w:rPr>
      </w:pPr>
      <w:r>
        <w:rPr>
          <w:rFonts w:ascii="Arial" w:cs="Arial" w:eastAsia="Arial" w:hAnsi="Arial"/>
          <w:sz w:val="18"/>
          <w:szCs w:val="18"/>
          <w:color w:val="auto"/>
        </w:rPr>
        <w:t>certification of the Committee for a Performance Period, but in no event later than March 15 after the end of the calendar year in which the Performance Period ends, except to the extent a Participant has made a timely election to defer the payment of all or any portion of such Cash Incentive under a Company-approved deferred compensation plan or arrangement.</w:t>
      </w:r>
    </w:p>
    <w:p>
      <w:pPr>
        <w:spacing w:after="0" w:line="150" w:lineRule="exact"/>
        <w:rPr>
          <w:sz w:val="20"/>
          <w:szCs w:val="20"/>
          <w:color w:val="auto"/>
        </w:rPr>
      </w:pPr>
    </w:p>
    <w:p>
      <w:pPr>
        <w:jc w:val="both"/>
        <w:ind w:left="1300" w:hanging="644"/>
        <w:spacing w:after="0" w:line="261" w:lineRule="auto"/>
        <w:tabs>
          <w:tab w:leader="none" w:pos="1300" w:val="left"/>
        </w:tabs>
        <w:numPr>
          <w:ilvl w:val="1"/>
          <w:numId w:val="108"/>
        </w:numPr>
        <w:rPr>
          <w:rFonts w:ascii="Arial" w:cs="Arial" w:eastAsia="Arial" w:hAnsi="Arial"/>
          <w:sz w:val="18"/>
          <w:szCs w:val="18"/>
          <w:color w:val="auto"/>
        </w:rPr>
      </w:pPr>
      <w:r>
        <w:rPr>
          <w:rFonts w:ascii="Arial" w:cs="Arial" w:eastAsia="Arial" w:hAnsi="Arial"/>
          <w:sz w:val="18"/>
          <w:szCs w:val="18"/>
          <w:b w:val="1"/>
          <w:bCs w:val="1"/>
          <w:color w:val="auto"/>
        </w:rPr>
        <w:t xml:space="preserve">Payment. </w:t>
      </w:r>
      <w:r>
        <w:rPr>
          <w:rFonts w:ascii="Arial" w:cs="Arial" w:eastAsia="Arial" w:hAnsi="Arial"/>
          <w:sz w:val="18"/>
          <w:szCs w:val="18"/>
          <w:color w:val="auto"/>
        </w:rPr>
        <w:t>The payment of a Cash Incentive, if any (as determined by the Committee at the end of the Performance Period), with respect to</w:t>
      </w:r>
      <w:r>
        <w:rPr>
          <w:rFonts w:ascii="Arial" w:cs="Arial" w:eastAsia="Arial" w:hAnsi="Arial"/>
          <w:sz w:val="18"/>
          <w:szCs w:val="18"/>
          <w:b w:val="1"/>
          <w:bCs w:val="1"/>
          <w:color w:val="auto"/>
        </w:rPr>
        <w:t xml:space="preserve"> </w:t>
      </w:r>
      <w:r>
        <w:rPr>
          <w:rFonts w:ascii="Arial" w:cs="Arial" w:eastAsia="Arial" w:hAnsi="Arial"/>
          <w:sz w:val="18"/>
          <w:szCs w:val="18"/>
          <w:color w:val="auto"/>
        </w:rPr>
        <w:t>a specific Performance Period requires that the employee be an active employee on the Company’s or its Affiliate’s payroll on the last day of each applicable Performance Period, subject to the terms of any employment agreements in effect prior to the effective date of this Plan and the following:</w:t>
      </w:r>
    </w:p>
    <w:p>
      <w:pPr>
        <w:spacing w:after="0" w:line="180" w:lineRule="exact"/>
        <w:rPr>
          <w:rFonts w:ascii="Arial" w:cs="Arial" w:eastAsia="Arial" w:hAnsi="Arial"/>
          <w:sz w:val="18"/>
          <w:szCs w:val="18"/>
          <w:color w:val="auto"/>
        </w:rPr>
      </w:pPr>
    </w:p>
    <w:p>
      <w:pPr>
        <w:ind w:left="1960" w:hanging="331"/>
        <w:spacing w:after="0" w:line="313" w:lineRule="auto"/>
        <w:tabs>
          <w:tab w:leader="none" w:pos="1960" w:val="left"/>
        </w:tabs>
        <w:numPr>
          <w:ilvl w:val="2"/>
          <w:numId w:val="108"/>
        </w:numPr>
        <w:rPr>
          <w:rFonts w:ascii="Arial" w:cs="Arial" w:eastAsia="Arial" w:hAnsi="Arial"/>
          <w:sz w:val="17"/>
          <w:szCs w:val="17"/>
          <w:color w:val="auto"/>
        </w:rPr>
      </w:pPr>
      <w:r>
        <w:rPr>
          <w:rFonts w:ascii="Arial" w:cs="Arial" w:eastAsia="Arial" w:hAnsi="Arial"/>
          <w:sz w:val="17"/>
          <w:szCs w:val="17"/>
          <w:b w:val="1"/>
          <w:bCs w:val="1"/>
          <w:color w:val="auto"/>
        </w:rPr>
        <w:t xml:space="preserve">Leave of Absence or Non-Pay Status. </w:t>
      </w:r>
      <w:r>
        <w:rPr>
          <w:rFonts w:ascii="Arial" w:cs="Arial" w:eastAsia="Arial" w:hAnsi="Arial"/>
          <w:sz w:val="17"/>
          <w:szCs w:val="17"/>
          <w:color w:val="auto"/>
        </w:rPr>
        <w:t>A Participant may receive a Cash Incentive while on an approved leave of absence or non-pay status. Such Cash Incentive shall be prorated in a manner that the Committee determines in it sole discretion.</w:t>
      </w:r>
    </w:p>
    <w:p>
      <w:pPr>
        <w:spacing w:after="0" w:line="138" w:lineRule="exact"/>
        <w:rPr>
          <w:rFonts w:ascii="Arial" w:cs="Arial" w:eastAsia="Arial" w:hAnsi="Arial"/>
          <w:sz w:val="17"/>
          <w:szCs w:val="17"/>
          <w:color w:val="auto"/>
        </w:rPr>
      </w:pPr>
    </w:p>
    <w:p>
      <w:pPr>
        <w:jc w:val="both"/>
        <w:ind w:left="1960" w:hanging="331"/>
        <w:spacing w:after="0" w:line="277" w:lineRule="auto"/>
        <w:tabs>
          <w:tab w:leader="none" w:pos="1960" w:val="left"/>
        </w:tabs>
        <w:numPr>
          <w:ilvl w:val="2"/>
          <w:numId w:val="108"/>
        </w:numPr>
        <w:rPr>
          <w:rFonts w:ascii="Arial" w:cs="Arial" w:eastAsia="Arial" w:hAnsi="Arial"/>
          <w:sz w:val="17"/>
          <w:szCs w:val="17"/>
          <w:color w:val="auto"/>
        </w:rPr>
      </w:pPr>
      <w:r>
        <w:rPr>
          <w:rFonts w:ascii="Arial" w:cs="Arial" w:eastAsia="Arial" w:hAnsi="Arial"/>
          <w:sz w:val="17"/>
          <w:szCs w:val="17"/>
          <w:b w:val="1"/>
          <w:bCs w:val="1"/>
          <w:color w:val="auto"/>
        </w:rPr>
        <w:t xml:space="preserve">Disability, Workforce Restructuring, Voluntary Severance Incentive Program, Divestiture or Retirement. </w:t>
      </w:r>
      <w:r>
        <w:rPr>
          <w:rFonts w:ascii="Arial" w:cs="Arial" w:eastAsia="Arial" w:hAnsi="Arial"/>
          <w:sz w:val="17"/>
          <w:szCs w:val="17"/>
          <w:color w:val="auto"/>
        </w:rPr>
        <w:t>To the extent</w:t>
      </w:r>
      <w:r>
        <w:rPr>
          <w:rFonts w:ascii="Arial" w:cs="Arial" w:eastAsia="Arial" w:hAnsi="Arial"/>
          <w:sz w:val="17"/>
          <w:szCs w:val="17"/>
          <w:b w:val="1"/>
          <w:bCs w:val="1"/>
          <w:color w:val="auto"/>
        </w:rPr>
        <w:t xml:space="preserve"> </w:t>
      </w:r>
      <w:r>
        <w:rPr>
          <w:rFonts w:ascii="Arial" w:cs="Arial" w:eastAsia="Arial" w:hAnsi="Arial"/>
          <w:sz w:val="17"/>
          <w:szCs w:val="17"/>
          <w:color w:val="auto"/>
        </w:rPr>
        <w:t>permitted by Code Section 162(m), a Participant who terminates due to disability, participation in a workforce restructuring or voluntary severance incentive program, divestiture or retirement under the Company’s retirement policies may receive a prorated Cash Incentive to the extent the Cash Incentive would have been paid had the Participant remained actively employed. The method in which a Cash Incentive is prorated shall be determined by the Committee in its sole discretion.</w:t>
      </w:r>
    </w:p>
    <w:p>
      <w:pPr>
        <w:spacing w:after="0" w:line="168" w:lineRule="exact"/>
        <w:rPr>
          <w:rFonts w:ascii="Arial" w:cs="Arial" w:eastAsia="Arial" w:hAnsi="Arial"/>
          <w:sz w:val="17"/>
          <w:szCs w:val="17"/>
          <w:color w:val="auto"/>
        </w:rPr>
      </w:pPr>
    </w:p>
    <w:p>
      <w:pPr>
        <w:jc w:val="both"/>
        <w:ind w:left="1960" w:hanging="331"/>
        <w:spacing w:after="0" w:line="266" w:lineRule="auto"/>
        <w:tabs>
          <w:tab w:leader="none" w:pos="1960" w:val="left"/>
        </w:tabs>
        <w:numPr>
          <w:ilvl w:val="2"/>
          <w:numId w:val="108"/>
        </w:numPr>
        <w:rPr>
          <w:rFonts w:ascii="Arial" w:cs="Arial" w:eastAsia="Arial" w:hAnsi="Arial"/>
          <w:sz w:val="18"/>
          <w:szCs w:val="18"/>
          <w:color w:val="auto"/>
        </w:rPr>
      </w:pPr>
      <w:r>
        <w:rPr>
          <w:rFonts w:ascii="Arial" w:cs="Arial" w:eastAsia="Arial" w:hAnsi="Arial"/>
          <w:sz w:val="18"/>
          <w:szCs w:val="18"/>
          <w:b w:val="1"/>
          <w:bCs w:val="1"/>
          <w:color w:val="auto"/>
        </w:rPr>
        <w:t xml:space="preserve">Death. </w:t>
      </w:r>
      <w:r>
        <w:rPr>
          <w:rFonts w:ascii="Arial" w:cs="Arial" w:eastAsia="Arial" w:hAnsi="Arial"/>
          <w:sz w:val="18"/>
          <w:szCs w:val="18"/>
          <w:color w:val="auto"/>
        </w:rPr>
        <w:t>The estate of a Participant who dies prior to the end of a Performance Period or after the end of a Performance Period but</w:t>
      </w:r>
      <w:r>
        <w:rPr>
          <w:rFonts w:ascii="Arial" w:cs="Arial" w:eastAsia="Arial" w:hAnsi="Arial"/>
          <w:sz w:val="18"/>
          <w:szCs w:val="18"/>
          <w:b w:val="1"/>
          <w:bCs w:val="1"/>
          <w:color w:val="auto"/>
        </w:rPr>
        <w:t xml:space="preserve"> </w:t>
      </w:r>
      <w:r>
        <w:rPr>
          <w:rFonts w:ascii="Arial" w:cs="Arial" w:eastAsia="Arial" w:hAnsi="Arial"/>
          <w:sz w:val="18"/>
          <w:szCs w:val="18"/>
          <w:color w:val="auto"/>
        </w:rPr>
        <w:t>prior to payment may receive a Cash Incentive or prorated Cash Incentive. The method in which a Cash Incentive is prorated shall be determined by the Company in its sole discretion.</w:t>
      </w:r>
    </w:p>
    <w:p>
      <w:pPr>
        <w:spacing w:after="0" w:line="176" w:lineRule="exact"/>
        <w:rPr>
          <w:rFonts w:ascii="Arial" w:cs="Arial" w:eastAsia="Arial" w:hAnsi="Arial"/>
          <w:sz w:val="18"/>
          <w:szCs w:val="18"/>
          <w:color w:val="auto"/>
        </w:rPr>
      </w:pPr>
    </w:p>
    <w:p>
      <w:pPr>
        <w:jc w:val="both"/>
        <w:ind w:left="1300" w:hanging="644"/>
        <w:spacing w:after="0" w:line="261" w:lineRule="auto"/>
        <w:tabs>
          <w:tab w:leader="none" w:pos="1300" w:val="left"/>
        </w:tabs>
        <w:numPr>
          <w:ilvl w:val="1"/>
          <w:numId w:val="108"/>
        </w:numPr>
        <w:rPr>
          <w:rFonts w:ascii="Arial" w:cs="Arial" w:eastAsia="Arial" w:hAnsi="Arial"/>
          <w:sz w:val="18"/>
          <w:szCs w:val="18"/>
          <w:color w:val="auto"/>
        </w:rPr>
      </w:pPr>
      <w:r>
        <w:rPr>
          <w:rFonts w:ascii="Arial" w:cs="Arial" w:eastAsia="Arial" w:hAnsi="Arial"/>
          <w:sz w:val="18"/>
          <w:szCs w:val="18"/>
          <w:b w:val="1"/>
          <w:bCs w:val="1"/>
          <w:color w:val="auto"/>
        </w:rPr>
        <w:t xml:space="preserve">Change in Status. </w:t>
      </w:r>
      <w:r>
        <w:rPr>
          <w:rFonts w:ascii="Arial" w:cs="Arial" w:eastAsia="Arial" w:hAnsi="Arial"/>
          <w:sz w:val="18"/>
          <w:szCs w:val="18"/>
          <w:color w:val="auto"/>
        </w:rPr>
        <w:t>A Participant who has a change in status that results in being ineligible to participate in this Plan or eligible in more than</w:t>
      </w:r>
      <w:r>
        <w:rPr>
          <w:rFonts w:ascii="Arial" w:cs="Arial" w:eastAsia="Arial" w:hAnsi="Arial"/>
          <w:sz w:val="18"/>
          <w:szCs w:val="18"/>
          <w:b w:val="1"/>
          <w:bCs w:val="1"/>
          <w:color w:val="auto"/>
        </w:rPr>
        <w:t xml:space="preserve"> </w:t>
      </w:r>
      <w:r>
        <w:rPr>
          <w:rFonts w:ascii="Arial" w:cs="Arial" w:eastAsia="Arial" w:hAnsi="Arial"/>
          <w:sz w:val="18"/>
          <w:szCs w:val="18"/>
          <w:color w:val="auto"/>
        </w:rPr>
        <w:t>one variable pay plan, including this Plan, in a Performance Period may receive a prorated Cash Incentive, if any (as determined by the Committee at the end of the Performance Period), under this Plan. The method in which a Cash Incentive is prorated shall be determined by the Company in its sole discretion.</w:t>
      </w:r>
    </w:p>
    <w:p>
      <w:pPr>
        <w:spacing w:after="0" w:line="180" w:lineRule="exact"/>
        <w:rPr>
          <w:rFonts w:ascii="Arial" w:cs="Arial" w:eastAsia="Arial" w:hAnsi="Arial"/>
          <w:sz w:val="18"/>
          <w:szCs w:val="18"/>
          <w:color w:val="auto"/>
        </w:rPr>
      </w:pPr>
    </w:p>
    <w:p>
      <w:pPr>
        <w:jc w:val="both"/>
        <w:ind w:left="1300" w:hanging="644"/>
        <w:spacing w:after="0" w:line="258" w:lineRule="auto"/>
        <w:tabs>
          <w:tab w:leader="none" w:pos="1300" w:val="left"/>
        </w:tabs>
        <w:numPr>
          <w:ilvl w:val="1"/>
          <w:numId w:val="108"/>
        </w:numPr>
        <w:rPr>
          <w:rFonts w:ascii="Arial" w:cs="Arial" w:eastAsia="Arial" w:hAnsi="Arial"/>
          <w:sz w:val="18"/>
          <w:szCs w:val="18"/>
          <w:color w:val="auto"/>
        </w:rPr>
      </w:pPr>
      <w:r>
        <w:rPr>
          <w:rFonts w:ascii="Arial" w:cs="Arial" w:eastAsia="Arial" w:hAnsi="Arial"/>
          <w:sz w:val="18"/>
          <w:szCs w:val="18"/>
          <w:b w:val="1"/>
          <w:bCs w:val="1"/>
          <w:color w:val="auto"/>
        </w:rPr>
        <w:t xml:space="preserve">Code Section 409A. </w:t>
      </w:r>
      <w:r>
        <w:rPr>
          <w:rFonts w:ascii="Arial" w:cs="Arial" w:eastAsia="Arial" w:hAnsi="Arial"/>
          <w:sz w:val="18"/>
          <w:szCs w:val="18"/>
          <w:color w:val="auto"/>
        </w:rPr>
        <w:t>The Cash Incentives payable under the Plan are intended to be excluded from coverage under Code Section 409A</w:t>
      </w:r>
      <w:r>
        <w:rPr>
          <w:rFonts w:ascii="Arial" w:cs="Arial" w:eastAsia="Arial" w:hAnsi="Arial"/>
          <w:sz w:val="18"/>
          <w:szCs w:val="18"/>
          <w:b w:val="1"/>
          <w:bCs w:val="1"/>
          <w:color w:val="auto"/>
        </w:rPr>
        <w:t xml:space="preserve"> </w:t>
      </w:r>
      <w:r>
        <w:rPr>
          <w:rFonts w:ascii="Arial" w:cs="Arial" w:eastAsia="Arial" w:hAnsi="Arial"/>
          <w:sz w:val="18"/>
          <w:szCs w:val="18"/>
          <w:color w:val="auto"/>
        </w:rPr>
        <w:t>pursuant to the “short-term deferral rule.” However, to the extent that any Cash Incentive under the Plan is subject to Code Section 409A, the terms and administration of such Cash Incentive shall comply with the provisions of such Section, applicable IRS guidance and good faith reasonable interpretations thereof, and, to the extent necessary to achieve compliance, shall be modified, replaced, or terminated at the discretion of the Committee.</w:t>
      </w:r>
    </w:p>
    <w:p>
      <w:pPr>
        <w:spacing w:after="0" w:line="183" w:lineRule="exact"/>
        <w:rPr>
          <w:rFonts w:ascii="Arial" w:cs="Arial" w:eastAsia="Arial" w:hAnsi="Arial"/>
          <w:sz w:val="18"/>
          <w:szCs w:val="18"/>
          <w:color w:val="auto"/>
        </w:rPr>
      </w:pPr>
    </w:p>
    <w:p>
      <w:pPr>
        <w:jc w:val="both"/>
        <w:ind w:left="660" w:hanging="652"/>
        <w:spacing w:after="0" w:line="303" w:lineRule="auto"/>
        <w:tabs>
          <w:tab w:leader="none" w:pos="660" w:val="left"/>
        </w:tabs>
        <w:numPr>
          <w:ilvl w:val="0"/>
          <w:numId w:val="109"/>
        </w:numPr>
        <w:rPr>
          <w:rFonts w:ascii="Arial" w:cs="Arial" w:eastAsia="Arial" w:hAnsi="Arial"/>
          <w:sz w:val="16"/>
          <w:szCs w:val="16"/>
          <w:color w:val="auto"/>
        </w:rPr>
      </w:pPr>
      <w:r>
        <w:rPr>
          <w:rFonts w:ascii="Arial" w:cs="Arial" w:eastAsia="Arial" w:hAnsi="Arial"/>
          <w:sz w:val="16"/>
          <w:szCs w:val="16"/>
          <w:b w:val="1"/>
          <w:bCs w:val="1"/>
          <w:color w:val="auto"/>
        </w:rPr>
        <w:t xml:space="preserve">Amendment and Termination. </w:t>
      </w:r>
      <w:r>
        <w:rPr>
          <w:rFonts w:ascii="Arial" w:cs="Arial" w:eastAsia="Arial" w:hAnsi="Arial"/>
          <w:sz w:val="16"/>
          <w:szCs w:val="16"/>
          <w:color w:val="auto"/>
        </w:rPr>
        <w:t>The Committee may amend, modify, suspend or terminate this Plan or any Cash Incentive granted hereunder, in</w:t>
      </w:r>
      <w:r>
        <w:rPr>
          <w:rFonts w:ascii="Arial" w:cs="Arial" w:eastAsia="Arial" w:hAnsi="Arial"/>
          <w:sz w:val="16"/>
          <w:szCs w:val="16"/>
          <w:b w:val="1"/>
          <w:bCs w:val="1"/>
          <w:color w:val="auto"/>
        </w:rPr>
        <w:t xml:space="preserve"> </w:t>
      </w:r>
      <w:r>
        <w:rPr>
          <w:rFonts w:ascii="Arial" w:cs="Arial" w:eastAsia="Arial" w:hAnsi="Arial"/>
          <w:sz w:val="16"/>
          <w:szCs w:val="16"/>
          <w:color w:val="auto"/>
        </w:rPr>
        <w:t>whole or in part, at any time, including the adoption of amendments deemed necessary or desirable to correct any defect or to supply omitted data or to reconcile any inconsistency in this Plan or in any Cash Incentive granted hereunder; provided, however, that no amendment, alteration, suspension or discontinuation shall be made which would increase the amount of compensation payable pursuant to such Cash Incentive.</w:t>
      </w:r>
    </w:p>
    <w:p>
      <w:pPr>
        <w:spacing w:after="0" w:line="151" w:lineRule="exact"/>
        <w:rPr>
          <w:rFonts w:ascii="Arial" w:cs="Arial" w:eastAsia="Arial" w:hAnsi="Arial"/>
          <w:sz w:val="16"/>
          <w:szCs w:val="16"/>
          <w:color w:val="auto"/>
        </w:rPr>
      </w:pPr>
    </w:p>
    <w:p>
      <w:pPr>
        <w:ind w:left="660" w:hanging="652"/>
        <w:spacing w:after="0" w:line="282" w:lineRule="auto"/>
        <w:tabs>
          <w:tab w:leader="none" w:pos="660" w:val="left"/>
        </w:tabs>
        <w:numPr>
          <w:ilvl w:val="0"/>
          <w:numId w:val="109"/>
        </w:numPr>
        <w:rPr>
          <w:rFonts w:ascii="Arial" w:cs="Arial" w:eastAsia="Arial" w:hAnsi="Arial"/>
          <w:sz w:val="18"/>
          <w:szCs w:val="18"/>
          <w:color w:val="auto"/>
        </w:rPr>
      </w:pPr>
      <w:r>
        <w:rPr>
          <w:rFonts w:ascii="Arial" w:cs="Arial" w:eastAsia="Arial" w:hAnsi="Arial"/>
          <w:sz w:val="18"/>
          <w:szCs w:val="18"/>
          <w:b w:val="1"/>
          <w:bCs w:val="1"/>
          <w:color w:val="auto"/>
        </w:rPr>
        <w:t xml:space="preserve">Withholding. </w:t>
      </w:r>
      <w:r>
        <w:rPr>
          <w:rFonts w:ascii="Arial" w:cs="Arial" w:eastAsia="Arial" w:hAnsi="Arial"/>
          <w:sz w:val="18"/>
          <w:szCs w:val="18"/>
          <w:color w:val="auto"/>
        </w:rPr>
        <w:t>Distributions pursuant to this Plan shall be subject to all applicable taxes and contributions required by law to be withheld in</w:t>
      </w:r>
      <w:r>
        <w:rPr>
          <w:rFonts w:ascii="Arial" w:cs="Arial" w:eastAsia="Arial" w:hAnsi="Arial"/>
          <w:sz w:val="18"/>
          <w:szCs w:val="18"/>
          <w:b w:val="1"/>
          <w:bCs w:val="1"/>
          <w:color w:val="auto"/>
        </w:rPr>
        <w:t xml:space="preserve"> </w:t>
      </w:r>
      <w:r>
        <w:rPr>
          <w:rFonts w:ascii="Arial" w:cs="Arial" w:eastAsia="Arial" w:hAnsi="Arial"/>
          <w:sz w:val="18"/>
          <w:szCs w:val="18"/>
          <w:color w:val="auto"/>
        </w:rPr>
        <w:t>accordance with procedures established by the Company.</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B- 4</w:t>
      </w:r>
    </w:p>
    <w:p>
      <w:pPr>
        <w:sectPr>
          <w:pgSz w:w="11900" w:h="16838" w:orient="portrait"/>
          <w:cols w:equalWidth="0" w:num="1">
            <w:col w:w="11420"/>
          </w:cols>
          <w:pgMar w:left="240" w:top="395" w:right="239" w:bottom="1440" w:gutter="0" w:footer="0" w:header="0"/>
        </w:sectPr>
      </w:pPr>
    </w:p>
    <w:bookmarkStart w:id="111" w:name="page112"/>
    <w:bookmarkEnd w:id="111"/>
    <w:p>
      <w:pPr>
        <w:ind w:left="660" w:hanging="652"/>
        <w:spacing w:after="0"/>
        <w:tabs>
          <w:tab w:leader="none" w:pos="660" w:val="left"/>
        </w:tabs>
        <w:numPr>
          <w:ilvl w:val="0"/>
          <w:numId w:val="110"/>
        </w:numPr>
        <w:rPr>
          <w:rFonts w:ascii="Arial" w:cs="Arial" w:eastAsia="Arial" w:hAnsi="Arial"/>
          <w:sz w:val="18"/>
          <w:szCs w:val="18"/>
          <w:color w:val="auto"/>
        </w:rPr>
      </w:pPr>
      <w:r>
        <w:rPr>
          <w:rFonts w:ascii="Arial" w:cs="Arial" w:eastAsia="Arial" w:hAnsi="Arial"/>
          <w:sz w:val="18"/>
          <w:szCs w:val="18"/>
          <w:b w:val="1"/>
          <w:bCs w:val="1"/>
          <w:color w:val="auto"/>
        </w:rPr>
        <w:t>No Additional Participant Rights.</w:t>
      </w:r>
    </w:p>
    <w:p>
      <w:pPr>
        <w:spacing w:after="0" w:line="229" w:lineRule="exact"/>
        <w:rPr>
          <w:rFonts w:ascii="Arial" w:cs="Arial" w:eastAsia="Arial" w:hAnsi="Arial"/>
          <w:sz w:val="18"/>
          <w:szCs w:val="18"/>
          <w:color w:val="auto"/>
        </w:rPr>
      </w:pPr>
    </w:p>
    <w:p>
      <w:pPr>
        <w:ind w:left="1300" w:right="20" w:hanging="644"/>
        <w:spacing w:after="0" w:line="277" w:lineRule="auto"/>
        <w:tabs>
          <w:tab w:leader="none" w:pos="1300" w:val="left"/>
        </w:tabs>
        <w:numPr>
          <w:ilvl w:val="1"/>
          <w:numId w:val="110"/>
        </w:numPr>
        <w:rPr>
          <w:rFonts w:ascii="Arial" w:cs="Arial" w:eastAsia="Arial" w:hAnsi="Arial"/>
          <w:sz w:val="18"/>
          <w:szCs w:val="18"/>
          <w:color w:val="auto"/>
        </w:rPr>
      </w:pPr>
      <w:r>
        <w:rPr>
          <w:rFonts w:ascii="Arial" w:cs="Arial" w:eastAsia="Arial" w:hAnsi="Arial"/>
          <w:sz w:val="18"/>
          <w:szCs w:val="18"/>
          <w:color w:val="auto"/>
        </w:rPr>
        <w:t>No individual or Participant shall have any claim to be granted any Cash Incentive under the Plan, and the Company has no obligation for uniformity of treatment of Participants under the Plan.</w:t>
      </w:r>
    </w:p>
    <w:p>
      <w:pPr>
        <w:spacing w:after="0" w:line="170" w:lineRule="exact"/>
        <w:rPr>
          <w:rFonts w:ascii="Arial" w:cs="Arial" w:eastAsia="Arial" w:hAnsi="Arial"/>
          <w:sz w:val="18"/>
          <w:szCs w:val="18"/>
          <w:color w:val="auto"/>
        </w:rPr>
      </w:pPr>
    </w:p>
    <w:p>
      <w:pPr>
        <w:jc w:val="both"/>
        <w:ind w:left="1300" w:hanging="644"/>
        <w:spacing w:after="0" w:line="259" w:lineRule="auto"/>
        <w:tabs>
          <w:tab w:leader="none" w:pos="1300" w:val="left"/>
        </w:tabs>
        <w:numPr>
          <w:ilvl w:val="1"/>
          <w:numId w:val="110"/>
        </w:numPr>
        <w:rPr>
          <w:rFonts w:ascii="Arial" w:cs="Arial" w:eastAsia="Arial" w:hAnsi="Arial"/>
          <w:sz w:val="18"/>
          <w:szCs w:val="18"/>
          <w:color w:val="auto"/>
        </w:rPr>
      </w:pPr>
      <w:r>
        <w:rPr>
          <w:rFonts w:ascii="Arial" w:cs="Arial" w:eastAsia="Arial" w:hAnsi="Arial"/>
          <w:sz w:val="18"/>
          <w:szCs w:val="18"/>
          <w:color w:val="auto"/>
        </w:rPr>
        <w:t>Furthermore, nothing in the Plan or any Cash Incentive granted under the Plan shall be deemed to constitute an employment contract or confer or be deemed to confer on any Participant any right to continue in the employ of, or to continue any other relationship with, the Company or any Affiliate or limit in any way the right of the Company or any Affiliate to terminate a Participant's employment or other relationship at any time, with or without cause.</w:t>
      </w:r>
    </w:p>
    <w:p>
      <w:pPr>
        <w:spacing w:after="0" w:line="182" w:lineRule="exact"/>
        <w:rPr>
          <w:rFonts w:ascii="Arial" w:cs="Arial" w:eastAsia="Arial" w:hAnsi="Arial"/>
          <w:sz w:val="18"/>
          <w:szCs w:val="18"/>
          <w:color w:val="auto"/>
        </w:rPr>
      </w:pPr>
    </w:p>
    <w:p>
      <w:pPr>
        <w:jc w:val="both"/>
        <w:ind w:left="660" w:hanging="652"/>
        <w:spacing w:after="0" w:line="266" w:lineRule="auto"/>
        <w:tabs>
          <w:tab w:leader="none" w:pos="660" w:val="left"/>
        </w:tabs>
        <w:numPr>
          <w:ilvl w:val="0"/>
          <w:numId w:val="110"/>
        </w:numPr>
        <w:rPr>
          <w:rFonts w:ascii="Arial" w:cs="Arial" w:eastAsia="Arial" w:hAnsi="Arial"/>
          <w:sz w:val="18"/>
          <w:szCs w:val="18"/>
          <w:color w:val="auto"/>
        </w:rPr>
      </w:pPr>
      <w:r>
        <w:rPr>
          <w:rFonts w:ascii="Arial" w:cs="Arial" w:eastAsia="Arial" w:hAnsi="Arial"/>
          <w:sz w:val="18"/>
          <w:szCs w:val="18"/>
          <w:b w:val="1"/>
          <w:bCs w:val="1"/>
          <w:color w:val="auto"/>
        </w:rPr>
        <w:t xml:space="preserve">Successors. </w:t>
      </w:r>
      <w:r>
        <w:rPr>
          <w:rFonts w:ascii="Arial" w:cs="Arial" w:eastAsia="Arial" w:hAnsi="Arial"/>
          <w:sz w:val="18"/>
          <w:szCs w:val="18"/>
          <w:color w:val="auto"/>
        </w:rPr>
        <w:t>All obligations of the Company or its Affiliates under the Plan with respect to Cash Incentives shall be binding on any successor to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whether the existence of such successor is the result of a direct or indirect purchase, merger, consolidation, or otherwise, of all or substantially all the business and/or assets of the Company.</w:t>
      </w:r>
    </w:p>
    <w:p>
      <w:pPr>
        <w:spacing w:after="0" w:line="176" w:lineRule="exact"/>
        <w:rPr>
          <w:rFonts w:ascii="Arial" w:cs="Arial" w:eastAsia="Arial" w:hAnsi="Arial"/>
          <w:sz w:val="18"/>
          <w:szCs w:val="18"/>
          <w:color w:val="auto"/>
        </w:rPr>
      </w:pPr>
    </w:p>
    <w:p>
      <w:pPr>
        <w:jc w:val="both"/>
        <w:ind w:left="660" w:hanging="652"/>
        <w:spacing w:after="0" w:line="266" w:lineRule="auto"/>
        <w:tabs>
          <w:tab w:leader="none" w:pos="660" w:val="left"/>
        </w:tabs>
        <w:numPr>
          <w:ilvl w:val="0"/>
          <w:numId w:val="110"/>
        </w:numPr>
        <w:rPr>
          <w:rFonts w:ascii="Arial" w:cs="Arial" w:eastAsia="Arial" w:hAnsi="Arial"/>
          <w:sz w:val="18"/>
          <w:szCs w:val="18"/>
          <w:color w:val="auto"/>
        </w:rPr>
      </w:pPr>
      <w:r>
        <w:rPr>
          <w:rFonts w:ascii="Arial" w:cs="Arial" w:eastAsia="Arial" w:hAnsi="Arial"/>
          <w:sz w:val="18"/>
          <w:szCs w:val="18"/>
          <w:b w:val="1"/>
          <w:bCs w:val="1"/>
          <w:color w:val="auto"/>
        </w:rPr>
        <w:t xml:space="preserve">Nonassignment. </w:t>
      </w:r>
      <w:r>
        <w:rPr>
          <w:rFonts w:ascii="Arial" w:cs="Arial" w:eastAsia="Arial" w:hAnsi="Arial"/>
          <w:sz w:val="18"/>
          <w:szCs w:val="18"/>
          <w:color w:val="auto"/>
        </w:rPr>
        <w:t>The rights of a Participant under this Plan shall not be assignable or transferable by the Participant except by will or the laws of</w:t>
      </w:r>
      <w:r>
        <w:rPr>
          <w:rFonts w:ascii="Arial" w:cs="Arial" w:eastAsia="Arial" w:hAnsi="Arial"/>
          <w:sz w:val="18"/>
          <w:szCs w:val="18"/>
          <w:b w:val="1"/>
          <w:bCs w:val="1"/>
          <w:color w:val="auto"/>
        </w:rPr>
        <w:t xml:space="preserve"> </w:t>
      </w:r>
      <w:r>
        <w:rPr>
          <w:rFonts w:ascii="Arial" w:cs="Arial" w:eastAsia="Arial" w:hAnsi="Arial"/>
          <w:sz w:val="18"/>
          <w:szCs w:val="18"/>
          <w:color w:val="auto"/>
        </w:rPr>
        <w:t>descent and distribution, except to the extent a Participant designates one or more beneficiaries on a Company-approved form who may receive payment under the Plan after the Participant's death.</w:t>
      </w:r>
    </w:p>
    <w:p>
      <w:pPr>
        <w:spacing w:after="0" w:line="176" w:lineRule="exact"/>
        <w:rPr>
          <w:rFonts w:ascii="Arial" w:cs="Arial" w:eastAsia="Arial" w:hAnsi="Arial"/>
          <w:sz w:val="18"/>
          <w:szCs w:val="18"/>
          <w:color w:val="auto"/>
        </w:rPr>
      </w:pPr>
    </w:p>
    <w:p>
      <w:pPr>
        <w:jc w:val="both"/>
        <w:ind w:left="660" w:hanging="652"/>
        <w:spacing w:after="0" w:line="277" w:lineRule="auto"/>
        <w:tabs>
          <w:tab w:leader="none" w:pos="660" w:val="left"/>
        </w:tabs>
        <w:numPr>
          <w:ilvl w:val="0"/>
          <w:numId w:val="110"/>
        </w:numPr>
        <w:rPr>
          <w:rFonts w:ascii="Arial" w:cs="Arial" w:eastAsia="Arial" w:hAnsi="Arial"/>
          <w:sz w:val="17"/>
          <w:szCs w:val="17"/>
          <w:color w:val="auto"/>
        </w:rPr>
      </w:pPr>
      <w:r>
        <w:rPr>
          <w:rFonts w:ascii="Arial" w:cs="Arial" w:eastAsia="Arial" w:hAnsi="Arial"/>
          <w:sz w:val="17"/>
          <w:szCs w:val="17"/>
          <w:b w:val="1"/>
          <w:bCs w:val="1"/>
          <w:color w:val="auto"/>
        </w:rPr>
        <w:t xml:space="preserve">Severability. </w:t>
      </w:r>
      <w:r>
        <w:rPr>
          <w:rFonts w:ascii="Arial" w:cs="Arial" w:eastAsia="Arial" w:hAnsi="Arial"/>
          <w:sz w:val="17"/>
          <w:szCs w:val="17"/>
          <w:color w:val="auto"/>
        </w:rPr>
        <w:t>If any provision of the Plan or any Cash Incentive is determined to be invalid, illegal or unenforceable in any jurisdiction, or as to any</w:t>
      </w:r>
      <w:r>
        <w:rPr>
          <w:rFonts w:ascii="Arial" w:cs="Arial" w:eastAsia="Arial" w:hAnsi="Arial"/>
          <w:sz w:val="17"/>
          <w:szCs w:val="17"/>
          <w:b w:val="1"/>
          <w:bCs w:val="1"/>
          <w:color w:val="auto"/>
        </w:rPr>
        <w:t xml:space="preserve"> </w:t>
      </w:r>
      <w:r>
        <w:rPr>
          <w:rFonts w:ascii="Arial" w:cs="Arial" w:eastAsia="Arial" w:hAnsi="Arial"/>
          <w:sz w:val="17"/>
          <w:szCs w:val="17"/>
          <w:color w:val="auto"/>
        </w:rPr>
        <w:t>person, or would disqualify the Plan or any Cash Incentive under any law deemed applicable by the Committee, such provision shall be construed or deemed amended to conform to applicable laws, or, if it cannot be so construed or deemed amended without, in the Committee's determination, materially altering the intent of the Plan or the Cash Incentive, such provision shall be stricken as to such jurisdiction, person or Cash Incentive, and the remainder of the Plan and any such Cash Incentive shall remain in full force and effect.</w:t>
      </w:r>
    </w:p>
    <w:p>
      <w:pPr>
        <w:spacing w:after="0" w:line="168" w:lineRule="exact"/>
        <w:rPr>
          <w:rFonts w:ascii="Arial" w:cs="Arial" w:eastAsia="Arial" w:hAnsi="Arial"/>
          <w:sz w:val="17"/>
          <w:szCs w:val="17"/>
          <w:color w:val="auto"/>
        </w:rPr>
      </w:pPr>
    </w:p>
    <w:p>
      <w:pPr>
        <w:jc w:val="both"/>
        <w:ind w:left="660" w:hanging="652"/>
        <w:spacing w:after="0" w:line="266" w:lineRule="auto"/>
        <w:tabs>
          <w:tab w:leader="none" w:pos="660" w:val="left"/>
        </w:tabs>
        <w:numPr>
          <w:ilvl w:val="0"/>
          <w:numId w:val="110"/>
        </w:numPr>
        <w:rPr>
          <w:rFonts w:ascii="Arial" w:cs="Arial" w:eastAsia="Arial" w:hAnsi="Arial"/>
          <w:sz w:val="18"/>
          <w:szCs w:val="18"/>
          <w:color w:val="auto"/>
        </w:rPr>
      </w:pPr>
      <w:r>
        <w:rPr>
          <w:rFonts w:ascii="Arial" w:cs="Arial" w:eastAsia="Arial" w:hAnsi="Arial"/>
          <w:sz w:val="18"/>
          <w:szCs w:val="18"/>
          <w:b w:val="1"/>
          <w:bCs w:val="1"/>
          <w:color w:val="auto"/>
        </w:rPr>
        <w:t xml:space="preserve">Governing Law. </w:t>
      </w:r>
      <w:r>
        <w:rPr>
          <w:rFonts w:ascii="Arial" w:cs="Arial" w:eastAsia="Arial" w:hAnsi="Arial"/>
          <w:sz w:val="18"/>
          <w:szCs w:val="18"/>
          <w:color w:val="auto"/>
        </w:rPr>
        <w:t>The Plan, all Cash Incentives granted hereunder and all determinations made and actions taken pursuant hereto, to the extent not</w:t>
      </w:r>
      <w:r>
        <w:rPr>
          <w:rFonts w:ascii="Arial" w:cs="Arial" w:eastAsia="Arial" w:hAnsi="Arial"/>
          <w:sz w:val="18"/>
          <w:szCs w:val="18"/>
          <w:b w:val="1"/>
          <w:bCs w:val="1"/>
          <w:color w:val="auto"/>
        </w:rPr>
        <w:t xml:space="preserve"> </w:t>
      </w:r>
      <w:r>
        <w:rPr>
          <w:rFonts w:ascii="Arial" w:cs="Arial" w:eastAsia="Arial" w:hAnsi="Arial"/>
          <w:sz w:val="18"/>
          <w:szCs w:val="18"/>
          <w:color w:val="auto"/>
        </w:rPr>
        <w:t>otherwise governed by the laws of the United States, shall be governed by the laws of the State of Delaware without giving effect to principles of conflicts of law.</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B- 5</w:t>
      </w:r>
    </w:p>
    <w:p>
      <w:pPr>
        <w:sectPr>
          <w:pgSz w:w="11900" w:h="16838" w:orient="portrait"/>
          <w:cols w:equalWidth="0" w:num="1">
            <w:col w:w="11420"/>
          </w:cols>
          <w:pgMar w:left="240" w:top="364" w:right="239" w:bottom="1440" w:gutter="0" w:footer="0" w:header="0"/>
        </w:sectPr>
      </w:pPr>
    </w:p>
    <w:bookmarkStart w:id="112" w:name="page113"/>
    <w:bookmarkEnd w:id="112"/>
    <w:p>
      <w:pPr>
        <w:jc w:val="right"/>
        <w:spacing w:after="0"/>
        <w:rPr>
          <w:sz w:val="20"/>
          <w:szCs w:val="20"/>
          <w:color w:val="auto"/>
        </w:rPr>
      </w:pPr>
      <w:r>
        <w:rPr>
          <w:rFonts w:ascii="Arial" w:cs="Arial" w:eastAsia="Arial" w:hAnsi="Arial"/>
          <w:sz w:val="18"/>
          <w:szCs w:val="18"/>
          <w:b w:val="1"/>
          <w:bCs w:val="1"/>
          <w:color w:val="auto"/>
        </w:rPr>
        <w:t>Appendix C</w:t>
      </w:r>
    </w:p>
    <w:p>
      <w:pPr>
        <w:spacing w:after="0" w:line="200" w:lineRule="exact"/>
        <w:rPr>
          <w:sz w:val="20"/>
          <w:szCs w:val="20"/>
          <w:color w:val="auto"/>
        </w:rPr>
      </w:pPr>
    </w:p>
    <w:p>
      <w:pPr>
        <w:spacing w:after="0" w:line="32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CoStar Group, Inc.</w:t>
      </w:r>
    </w:p>
    <w:p>
      <w:pPr>
        <w:spacing w:after="0" w:line="6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Reconciliation of Non-GAAP Financial Measures-Unaudited</w:t>
      </w:r>
    </w:p>
    <w:p>
      <w:pPr>
        <w:spacing w:after="0" w:line="67"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(in thousands, except per share data)</w:t>
      </w:r>
    </w:p>
    <w:p>
      <w:pPr>
        <w:spacing w:after="0" w:line="289"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Reconciliation of Net Income (Loss) to Non-GAAP Net Income</w:t>
      </w:r>
    </w:p>
    <w:p>
      <w:pPr>
        <w:spacing w:after="0" w:line="360" w:lineRule="exact"/>
        <w:rPr>
          <w:sz w:val="20"/>
          <w:szCs w:val="20"/>
          <w:color w:val="auto"/>
        </w:rPr>
      </w:pPr>
    </w:p>
    <w:p>
      <w:pPr>
        <w:jc w:val="center"/>
        <w:ind w:left="9540"/>
        <w:spacing w:after="0"/>
        <w:rPr>
          <w:sz w:val="20"/>
          <w:szCs w:val="20"/>
          <w:color w:val="auto"/>
        </w:rPr>
      </w:pPr>
      <w:r>
        <w:rPr>
          <w:rFonts w:ascii="Arial" w:cs="Arial" w:eastAsia="Arial" w:hAnsi="Arial"/>
          <w:sz w:val="17"/>
          <w:szCs w:val="17"/>
          <w:b w:val="1"/>
          <w:bCs w:val="1"/>
          <w:color w:val="auto"/>
        </w:rPr>
        <w:t>Year Ended December</w:t>
      </w:r>
    </w:p>
    <w:p>
      <w:pPr>
        <w:spacing w:after="0" w:line="39" w:lineRule="exact"/>
        <w:rPr>
          <w:sz w:val="20"/>
          <w:szCs w:val="20"/>
          <w:color w:val="auto"/>
        </w:rPr>
      </w:pPr>
    </w:p>
    <w:p>
      <w:pPr>
        <w:jc w:val="center"/>
        <w:ind w:left="9540"/>
        <w:spacing w:after="0"/>
        <w:rPr>
          <w:sz w:val="20"/>
          <w:szCs w:val="20"/>
          <w:color w:val="auto"/>
        </w:rPr>
      </w:pPr>
      <w:r>
        <w:rPr>
          <w:rFonts w:ascii="Arial" w:cs="Arial" w:eastAsia="Arial" w:hAnsi="Arial"/>
          <w:sz w:val="18"/>
          <w:szCs w:val="18"/>
          <w:b w:val="1"/>
          <w:bCs w:val="1"/>
          <w:color w:val="auto"/>
        </w:rPr>
        <w:t>31, 2015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203200</wp:posOffset>
            </wp:positionV>
            <wp:extent cx="7246620" cy="17145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6059805</wp:posOffset>
            </wp:positionH>
            <wp:positionV relativeFrom="paragraph">
              <wp:posOffset>22860</wp:posOffset>
            </wp:positionV>
            <wp:extent cx="1191895"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191895" cy="8890"/>
                    </a:xfrm>
                    <a:prstGeom prst="rect">
                      <a:avLst/>
                    </a:prstGeom>
                    <a:noFill/>
                  </pic:spPr>
                </pic:pic>
              </a:graphicData>
            </a:graphic>
          </wp:anchor>
        </w:drawing>
      </w:r>
    </w:p>
    <w:p>
      <w:pPr>
        <w:sectPr>
          <w:pgSz w:w="11900" w:h="16838" w:orient="portrait"/>
          <w:cols w:equalWidth="0" w:num="1">
            <w:col w:w="11420"/>
          </w:cols>
          <w:pgMar w:left="240" w:top="418" w:right="239" w:bottom="1440" w:gutter="0" w:footer="0" w:header="0"/>
        </w:sectPr>
      </w:pPr>
    </w:p>
    <w:p>
      <w:pPr>
        <w:spacing w:after="0" w:line="332" w:lineRule="exact"/>
        <w:rPr>
          <w:sz w:val="20"/>
          <w:szCs w:val="20"/>
          <w:color w:val="auto"/>
        </w:rPr>
      </w:pPr>
    </w:p>
    <w:p>
      <w:pPr>
        <w:ind w:left="40"/>
        <w:spacing w:after="0"/>
        <w:rPr>
          <w:sz w:val="20"/>
          <w:szCs w:val="20"/>
          <w:color w:val="auto"/>
        </w:rPr>
      </w:pPr>
      <w:r>
        <w:rPr>
          <w:rFonts w:ascii="Arial" w:cs="Arial" w:eastAsia="Arial" w:hAnsi="Arial"/>
          <w:sz w:val="18"/>
          <w:szCs w:val="18"/>
          <w:color w:val="auto"/>
        </w:rPr>
        <w:t>Net income (loss)</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Income tax expense,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18034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Income before income taxes</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Purchase amortization and other related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17145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40"/>
        <w:spacing w:after="0"/>
        <w:rPr>
          <w:sz w:val="20"/>
          <w:szCs w:val="20"/>
          <w:color w:val="auto"/>
        </w:rPr>
      </w:pPr>
      <w:r>
        <w:rPr>
          <w:rFonts w:ascii="Arial" w:cs="Arial" w:eastAsia="Arial" w:hAnsi="Arial"/>
          <w:sz w:val="18"/>
          <w:szCs w:val="18"/>
          <w:color w:val="auto"/>
        </w:rPr>
        <w:t>Stock-based compensation expense</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Acquisition and integration related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17145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40"/>
        <w:spacing w:after="0"/>
        <w:rPr>
          <w:sz w:val="20"/>
          <w:szCs w:val="20"/>
          <w:color w:val="auto"/>
        </w:rPr>
      </w:pPr>
      <w:r>
        <w:rPr>
          <w:rFonts w:ascii="Arial" w:cs="Arial" w:eastAsia="Arial" w:hAnsi="Arial"/>
          <w:sz w:val="18"/>
          <w:szCs w:val="18"/>
          <w:color w:val="auto"/>
        </w:rPr>
        <w:t>Restructuring and related costs</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Settlements and impairments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18034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Non-GAAP income before income taxes</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Assumed rate for income tax expense, net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17145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40"/>
        <w:spacing w:after="0"/>
        <w:rPr>
          <w:sz w:val="20"/>
          <w:szCs w:val="20"/>
          <w:color w:val="auto"/>
        </w:rPr>
      </w:pPr>
      <w:r>
        <w:rPr>
          <w:rFonts w:ascii="Arial" w:cs="Arial" w:eastAsia="Arial" w:hAnsi="Arial"/>
          <w:sz w:val="18"/>
          <w:szCs w:val="18"/>
          <w:color w:val="auto"/>
        </w:rPr>
        <w:t>Assumed provision for income tax expense, net</w:t>
      </w:r>
    </w:p>
    <w:p>
      <w:pPr>
        <w:spacing w:after="0" w:line="90" w:lineRule="exact"/>
        <w:rPr>
          <w:sz w:val="20"/>
          <w:szCs w:val="20"/>
          <w:color w:val="auto"/>
        </w:rPr>
      </w:pPr>
    </w:p>
    <w:p>
      <w:pPr>
        <w:ind w:left="40"/>
        <w:spacing w:after="0"/>
        <w:rPr>
          <w:sz w:val="20"/>
          <w:szCs w:val="20"/>
          <w:color w:val="auto"/>
        </w:rPr>
      </w:pPr>
      <w:r>
        <w:rPr>
          <w:rFonts w:ascii="Arial" w:cs="Arial" w:eastAsia="Arial" w:hAnsi="Arial"/>
          <w:sz w:val="18"/>
          <w:szCs w:val="18"/>
          <w:color w:val="auto"/>
        </w:rPr>
        <w:t>Non-GAAP net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18859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46620" cy="188595"/>
                    </a:xfrm>
                    <a:prstGeom prst="rect">
                      <a:avLst/>
                    </a:prstGeom>
                    <a:noFill/>
                  </pic:spPr>
                </pic:pic>
              </a:graphicData>
            </a:graphic>
          </wp:anchor>
        </w:drawing>
      </w:r>
    </w:p>
    <w:p>
      <w:pPr>
        <w:spacing w:after="0" w:line="354" w:lineRule="exact"/>
        <w:rPr>
          <w:sz w:val="20"/>
          <w:szCs w:val="20"/>
          <w:color w:val="auto"/>
        </w:rPr>
      </w:pPr>
    </w:p>
    <w:p>
      <w:pPr>
        <w:ind w:left="40"/>
        <w:spacing w:after="0"/>
        <w:rPr>
          <w:sz w:val="20"/>
          <w:szCs w:val="20"/>
          <w:color w:val="auto"/>
        </w:rPr>
      </w:pPr>
      <w:r>
        <w:rPr>
          <w:rFonts w:ascii="Arial" w:cs="Arial" w:eastAsia="Arial" w:hAnsi="Arial"/>
          <w:sz w:val="18"/>
          <w:szCs w:val="18"/>
          <w:color w:val="auto"/>
        </w:rPr>
        <w:t>Net income (loss) per share - diluted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19748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46620" cy="197485"/>
                    </a:xfrm>
                    <a:prstGeom prst="rect">
                      <a:avLst/>
                    </a:prstGeom>
                    <a:noFill/>
                  </pic:spPr>
                </pic:pic>
              </a:graphicData>
            </a:graphic>
          </wp:anchor>
        </w:drawing>
      </w:r>
    </w:p>
    <w:p>
      <w:pPr>
        <w:spacing w:after="0" w:line="84" w:lineRule="exact"/>
        <w:rPr>
          <w:sz w:val="20"/>
          <w:szCs w:val="20"/>
          <w:color w:val="auto"/>
        </w:rPr>
      </w:pPr>
    </w:p>
    <w:p>
      <w:pPr>
        <w:ind w:left="40"/>
        <w:spacing w:after="0"/>
        <w:rPr>
          <w:sz w:val="20"/>
          <w:szCs w:val="20"/>
          <w:color w:val="auto"/>
        </w:rPr>
      </w:pPr>
      <w:r>
        <w:rPr>
          <w:rFonts w:ascii="Arial" w:cs="Arial" w:eastAsia="Arial" w:hAnsi="Arial"/>
          <w:sz w:val="18"/>
          <w:szCs w:val="18"/>
          <w:color w:val="auto"/>
        </w:rPr>
        <w:t>Non-GAAP net income per share - diluted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220980</wp:posOffset>
            </wp:positionV>
            <wp:extent cx="7246620" cy="17145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340" w:lineRule="exact"/>
        <w:rPr>
          <w:sz w:val="20"/>
          <w:szCs w:val="20"/>
          <w:color w:val="auto"/>
        </w:rPr>
      </w:pPr>
    </w:p>
    <w:p>
      <w:pPr>
        <w:ind w:left="40"/>
        <w:spacing w:after="0"/>
        <w:rPr>
          <w:sz w:val="20"/>
          <w:szCs w:val="20"/>
          <w:color w:val="auto"/>
        </w:rPr>
      </w:pPr>
      <w:r>
        <w:rPr>
          <w:rFonts w:ascii="Arial" w:cs="Arial" w:eastAsia="Arial" w:hAnsi="Arial"/>
          <w:sz w:val="18"/>
          <w:szCs w:val="18"/>
          <w:color w:val="auto"/>
        </w:rPr>
        <w:t>Weighted average outstanding shares - basic**</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Weighted average outstanding shares - diluted**</w:t>
      </w:r>
    </w:p>
    <w:p>
      <w:pPr>
        <w:spacing w:after="0" w:line="288" w:lineRule="exact"/>
        <w:rPr>
          <w:sz w:val="20"/>
          <w:szCs w:val="20"/>
          <w:color w:val="auto"/>
        </w:rPr>
      </w:pPr>
    </w:p>
    <w:p>
      <w:pPr>
        <w:ind w:left="40"/>
        <w:spacing w:after="0"/>
        <w:rPr>
          <w:sz w:val="20"/>
          <w:szCs w:val="20"/>
          <w:color w:val="auto"/>
        </w:rPr>
      </w:pPr>
      <w:r>
        <w:rPr>
          <w:rFonts w:ascii="Arial" w:cs="Arial" w:eastAsia="Arial" w:hAnsi="Arial"/>
          <w:sz w:val="13"/>
          <w:szCs w:val="13"/>
          <w:color w:val="auto"/>
        </w:rPr>
        <w:t>* A 38% tax rate is assumed in order to approximate the Company's long-term effective corporate tax rate.</w:t>
      </w:r>
    </w:p>
    <w:p>
      <w:pPr>
        <w:spacing w:after="0" w:line="20" w:lineRule="exact"/>
        <w:rPr>
          <w:sz w:val="20"/>
          <w:szCs w:val="20"/>
          <w:color w:val="auto"/>
        </w:rPr>
      </w:pPr>
      <w:r>
        <w:rPr>
          <w:sz w:val="20"/>
          <w:szCs w:val="20"/>
          <w:color w:val="auto"/>
        </w:rPr>
        <w:br w:type="column"/>
      </w:r>
    </w:p>
    <w:p>
      <w:pPr>
        <w:spacing w:after="0" w:line="312" w:lineRule="exact"/>
        <w:rPr>
          <w:sz w:val="20"/>
          <w:szCs w:val="20"/>
          <w:color w:val="auto"/>
        </w:rPr>
      </w:pPr>
    </w:p>
    <w:p>
      <w:pPr>
        <w:ind w:left="1200" w:hanging="1190"/>
        <w:spacing w:after="0"/>
        <w:tabs>
          <w:tab w:leader="none" w:pos="120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(3,465)</w:t>
      </w:r>
    </w:p>
    <w:p>
      <w:pPr>
        <w:spacing w:after="0" w:line="63" w:lineRule="exact"/>
        <w:rPr>
          <w:rFonts w:ascii="Arial" w:cs="Arial" w:eastAsia="Arial" w:hAnsi="Arial"/>
          <w:sz w:val="18"/>
          <w:szCs w:val="18"/>
          <w:color w:val="auto"/>
        </w:rPr>
      </w:pPr>
    </w:p>
    <w:p>
      <w:pPr>
        <w:ind w:left="1260"/>
        <w:spacing w:after="0"/>
        <w:rPr>
          <w:rFonts w:ascii="Arial" w:cs="Arial" w:eastAsia="Arial" w:hAnsi="Arial"/>
          <w:sz w:val="18"/>
          <w:szCs w:val="18"/>
          <w:color w:val="auto"/>
        </w:rPr>
      </w:pPr>
      <w:r>
        <w:rPr>
          <w:rFonts w:ascii="Arial" w:cs="Arial" w:eastAsia="Arial" w:hAnsi="Arial"/>
          <w:sz w:val="18"/>
          <w:szCs w:val="18"/>
          <w:color w:val="auto"/>
        </w:rPr>
        <w:t>6,046</w:t>
      </w:r>
    </w:p>
    <w:p>
      <w:pPr>
        <w:spacing w:after="0" w:line="76" w:lineRule="exact"/>
        <w:rPr>
          <w:rFonts w:ascii="Arial" w:cs="Arial" w:eastAsia="Arial" w:hAnsi="Arial"/>
          <w:sz w:val="18"/>
          <w:szCs w:val="18"/>
          <w:color w:val="auto"/>
        </w:rPr>
      </w:pPr>
    </w:p>
    <w:p>
      <w:pPr>
        <w:ind w:left="1260"/>
        <w:spacing w:after="0"/>
        <w:rPr>
          <w:rFonts w:ascii="Arial" w:cs="Arial" w:eastAsia="Arial" w:hAnsi="Arial"/>
          <w:sz w:val="18"/>
          <w:szCs w:val="18"/>
          <w:color w:val="auto"/>
        </w:rPr>
      </w:pPr>
      <w:r>
        <w:rPr>
          <w:rFonts w:ascii="Arial" w:cs="Arial" w:eastAsia="Arial" w:hAnsi="Arial"/>
          <w:sz w:val="18"/>
          <w:szCs w:val="18"/>
          <w:color w:val="auto"/>
        </w:rPr>
        <w:t>2,581</w:t>
      </w:r>
    </w:p>
    <w:p>
      <w:pPr>
        <w:spacing w:after="0" w:line="63" w:lineRule="exact"/>
        <w:rPr>
          <w:sz w:val="20"/>
          <w:szCs w:val="20"/>
          <w:color w:val="auto"/>
        </w:rPr>
      </w:pPr>
    </w:p>
    <w:p>
      <w:pPr>
        <w:ind w:left="1180"/>
        <w:spacing w:after="0"/>
        <w:rPr>
          <w:sz w:val="20"/>
          <w:szCs w:val="20"/>
          <w:color w:val="auto"/>
        </w:rPr>
      </w:pPr>
      <w:r>
        <w:rPr>
          <w:rFonts w:ascii="Arial" w:cs="Arial" w:eastAsia="Arial" w:hAnsi="Arial"/>
          <w:sz w:val="18"/>
          <w:szCs w:val="18"/>
          <w:color w:val="auto"/>
        </w:rPr>
        <w:t>58,008</w:t>
      </w:r>
    </w:p>
    <w:p>
      <w:pPr>
        <w:spacing w:after="0" w:line="63" w:lineRule="exact"/>
        <w:rPr>
          <w:sz w:val="20"/>
          <w:szCs w:val="20"/>
          <w:color w:val="auto"/>
        </w:rPr>
      </w:pPr>
    </w:p>
    <w:p>
      <w:pPr>
        <w:ind w:left="1180"/>
        <w:spacing w:after="0"/>
        <w:rPr>
          <w:sz w:val="20"/>
          <w:szCs w:val="20"/>
          <w:color w:val="auto"/>
        </w:rPr>
      </w:pPr>
      <w:r>
        <w:rPr>
          <w:rFonts w:ascii="Arial" w:cs="Arial" w:eastAsia="Arial" w:hAnsi="Arial"/>
          <w:sz w:val="18"/>
          <w:szCs w:val="18"/>
          <w:color w:val="auto"/>
        </w:rPr>
        <w:t>34,537</w:t>
      </w:r>
    </w:p>
    <w:p>
      <w:pPr>
        <w:spacing w:after="0" w:line="63"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6,370</w:t>
      </w:r>
    </w:p>
    <w:p>
      <w:pPr>
        <w:spacing w:after="0" w:line="63"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1,968</w:t>
      </w:r>
    </w:p>
    <w:p>
      <w:pPr>
        <w:spacing w:after="0" w:line="63"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2,778</w:t>
      </w:r>
    </w:p>
    <w:p>
      <w:pPr>
        <w:spacing w:after="0" w:line="77"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106,242</w:t>
      </w:r>
    </w:p>
    <w:p>
      <w:pPr>
        <w:spacing w:after="0" w:line="63" w:lineRule="exact"/>
        <w:rPr>
          <w:sz w:val="20"/>
          <w:szCs w:val="20"/>
          <w:color w:val="auto"/>
        </w:rPr>
      </w:pPr>
    </w:p>
    <w:p>
      <w:pPr>
        <w:jc w:val="right"/>
        <w:ind w:right="40"/>
        <w:spacing w:after="0"/>
        <w:rPr>
          <w:sz w:val="20"/>
          <w:szCs w:val="20"/>
          <w:color w:val="auto"/>
        </w:rPr>
      </w:pPr>
      <w:r>
        <w:rPr>
          <w:rFonts w:ascii="Arial" w:cs="Arial" w:eastAsia="Arial" w:hAnsi="Arial"/>
          <w:sz w:val="18"/>
          <w:szCs w:val="18"/>
          <w:color w:val="auto"/>
        </w:rPr>
        <w:t>38%</w:t>
      </w:r>
    </w:p>
    <w:p>
      <w:pPr>
        <w:spacing w:after="0" w:line="63" w:lineRule="exact"/>
        <w:rPr>
          <w:sz w:val="20"/>
          <w:szCs w:val="20"/>
          <w:color w:val="auto"/>
        </w:rPr>
      </w:pPr>
    </w:p>
    <w:p>
      <w:pPr>
        <w:ind w:left="1060"/>
        <w:spacing w:after="0"/>
        <w:rPr>
          <w:sz w:val="20"/>
          <w:szCs w:val="20"/>
          <w:color w:val="auto"/>
        </w:rPr>
      </w:pPr>
      <w:r>
        <w:rPr>
          <w:rFonts w:ascii="Arial" w:cs="Arial" w:eastAsia="Arial" w:hAnsi="Arial"/>
          <w:sz w:val="18"/>
          <w:szCs w:val="18"/>
          <w:color w:val="auto"/>
        </w:rPr>
        <w:t>(40,372)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31750</wp:posOffset>
            </wp:positionV>
            <wp:extent cx="1191895"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191895" cy="8890"/>
                    </a:xfrm>
                    <a:prstGeom prst="rect">
                      <a:avLst/>
                    </a:prstGeom>
                    <a:noFill/>
                  </pic:spPr>
                </pic:pic>
              </a:graphicData>
            </a:graphic>
          </wp:anchor>
        </w:drawing>
      </w:r>
    </w:p>
    <w:p>
      <w:pPr>
        <w:spacing w:after="0" w:line="57" w:lineRule="exact"/>
        <w:rPr>
          <w:sz w:val="20"/>
          <w:szCs w:val="20"/>
          <w:color w:val="auto"/>
        </w:rPr>
      </w:pPr>
    </w:p>
    <w:p>
      <w:pPr>
        <w:ind w:left="1180" w:hanging="1170"/>
        <w:spacing w:after="0"/>
        <w:tabs>
          <w:tab w:leader="none" w:pos="118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65,870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31750</wp:posOffset>
            </wp:positionV>
            <wp:extent cx="1191895"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191895" cy="8890"/>
                    </a:xfrm>
                    <a:prstGeom prst="rect">
                      <a:avLst/>
                    </a:prstGeom>
                    <a:noFill/>
                  </pic:spPr>
                </pic:pic>
              </a:graphicData>
            </a:graphic>
          </wp:anchor>
        </w:drawing>
      </w:r>
    </w:p>
    <w:p>
      <w:pPr>
        <w:spacing w:after="0" w:line="354" w:lineRule="exact"/>
        <w:rPr>
          <w:sz w:val="20"/>
          <w:szCs w:val="20"/>
          <w:color w:val="auto"/>
        </w:rPr>
      </w:pPr>
    </w:p>
    <w:p>
      <w:pPr>
        <w:ind w:left="1300" w:hanging="1290"/>
        <w:spacing w:after="0"/>
        <w:tabs>
          <w:tab w:leader="none" w:pos="130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31750</wp:posOffset>
            </wp:positionV>
            <wp:extent cx="1191895"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191895" cy="8890"/>
                    </a:xfrm>
                    <a:prstGeom prst="rect">
                      <a:avLst/>
                    </a:prstGeom>
                    <a:noFill/>
                  </pic:spPr>
                </pic:pic>
              </a:graphicData>
            </a:graphic>
          </wp:anchor>
        </w:drawing>
      </w:r>
    </w:p>
    <w:p>
      <w:pPr>
        <w:spacing w:after="0" w:line="84" w:lineRule="exact"/>
        <w:rPr>
          <w:sz w:val="20"/>
          <w:szCs w:val="20"/>
          <w:color w:val="auto"/>
        </w:rPr>
      </w:pPr>
    </w:p>
    <w:p>
      <w:pPr>
        <w:ind w:left="1360" w:hanging="1350"/>
        <w:spacing w:after="0"/>
        <w:tabs>
          <w:tab w:leader="none" w:pos="136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2.04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48895</wp:posOffset>
            </wp:positionV>
            <wp:extent cx="1191895"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191895" cy="8890"/>
                    </a:xfrm>
                    <a:prstGeom prst="rect">
                      <a:avLst/>
                    </a:prstGeom>
                    <a:noFill/>
                  </pic:spPr>
                </pic:pic>
              </a:graphicData>
            </a:graphic>
          </wp:anchor>
        </w:drawing>
      </w:r>
    </w:p>
    <w:p>
      <w:pPr>
        <w:spacing w:after="0" w:line="354" w:lineRule="exact"/>
        <w:rPr>
          <w:sz w:val="20"/>
          <w:szCs w:val="20"/>
          <w:color w:val="auto"/>
        </w:rPr>
      </w:pPr>
    </w:p>
    <w:p>
      <w:pPr>
        <w:ind w:left="1180"/>
        <w:spacing w:after="0"/>
        <w:rPr>
          <w:sz w:val="20"/>
          <w:szCs w:val="20"/>
          <w:color w:val="auto"/>
        </w:rPr>
      </w:pPr>
      <w:r>
        <w:rPr>
          <w:rFonts w:ascii="Arial" w:cs="Arial" w:eastAsia="Arial" w:hAnsi="Arial"/>
          <w:sz w:val="18"/>
          <w:szCs w:val="18"/>
          <w:color w:val="auto"/>
        </w:rPr>
        <w:t>31,950</w:t>
      </w:r>
    </w:p>
    <w:p>
      <w:pPr>
        <w:spacing w:after="0" w:line="63" w:lineRule="exact"/>
        <w:rPr>
          <w:sz w:val="20"/>
          <w:szCs w:val="20"/>
          <w:color w:val="auto"/>
        </w:rPr>
      </w:pPr>
    </w:p>
    <w:p>
      <w:pPr>
        <w:ind w:left="1180"/>
        <w:spacing w:after="0"/>
        <w:rPr>
          <w:sz w:val="20"/>
          <w:szCs w:val="20"/>
          <w:color w:val="auto"/>
        </w:rPr>
      </w:pPr>
      <w:r>
        <w:rPr>
          <w:rFonts w:ascii="Arial" w:cs="Arial" w:eastAsia="Arial" w:hAnsi="Arial"/>
          <w:sz w:val="18"/>
          <w:szCs w:val="18"/>
          <w:color w:val="auto"/>
        </w:rPr>
        <w:t>32,243</w:t>
      </w:r>
    </w:p>
    <w:p>
      <w:pPr>
        <w:spacing w:after="0" w:line="490" w:lineRule="exact"/>
        <w:rPr>
          <w:sz w:val="20"/>
          <w:szCs w:val="20"/>
          <w:color w:val="auto"/>
        </w:rPr>
      </w:pPr>
    </w:p>
    <w:p>
      <w:pPr>
        <w:sectPr>
          <w:pgSz w:w="11900" w:h="16838" w:orient="portrait"/>
          <w:cols w:equalWidth="0" w:num="2">
            <w:col w:w="8840" w:space="720"/>
            <w:col w:w="1860"/>
          </w:cols>
          <w:pgMar w:left="240" w:top="418" w:right="239" w:bottom="1440" w:gutter="0" w:footer="0" w:header="0"/>
          <w:type w:val="continuous"/>
        </w:sectPr>
      </w:pPr>
    </w:p>
    <w:p>
      <w:pPr>
        <w:ind w:left="40" w:right="80" w:hanging="5"/>
        <w:spacing w:after="0" w:line="253" w:lineRule="auto"/>
        <w:tabs>
          <w:tab w:leader="none" w:pos="220" w:val="left"/>
        </w:tabs>
        <w:numPr>
          <w:ilvl w:val="0"/>
          <w:numId w:val="115"/>
        </w:numPr>
        <w:rPr>
          <w:rFonts w:ascii="Arial" w:cs="Arial" w:eastAsia="Arial" w:hAnsi="Arial"/>
          <w:sz w:val="14"/>
          <w:szCs w:val="14"/>
          <w:color w:val="auto"/>
        </w:rPr>
      </w:pPr>
      <w:r>
        <w:rPr>
          <w:rFonts w:ascii="Arial" w:cs="Arial" w:eastAsia="Arial" w:hAnsi="Arial"/>
          <w:sz w:val="14"/>
          <w:szCs w:val="14"/>
          <w:color w:val="auto"/>
        </w:rPr>
        <w:t>For periods with GAAP net losses and non-GAAP net income, the weighted-average outstanding shares used to calculate non-GAAP net income per share includes potentially dilutive securities that were excluded from the calculation of GAAP net income per share as the effect was anti-dilutive.</w:t>
      </w:r>
    </w:p>
    <w:p>
      <w:pPr>
        <w:spacing w:after="0" w:line="24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Reconciliation of Net Income (Loss) to EBITDA and Adjusted EBITDA</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540" w:type="dxa"/>
            <w:vAlign w:val="bottom"/>
          </w:tcPr>
          <w:p>
            <w:pPr>
              <w:spacing w:after="0"/>
              <w:rPr>
                <w:sz w:val="18"/>
                <w:szCs w:val="18"/>
                <w:color w:val="auto"/>
              </w:rPr>
            </w:pPr>
          </w:p>
        </w:tc>
        <w:tc>
          <w:tcPr>
            <w:tcW w:w="1880" w:type="dxa"/>
            <w:vAlign w:val="bottom"/>
            <w:gridSpan w:val="2"/>
          </w:tcPr>
          <w:p>
            <w:pPr>
              <w:jc w:val="right"/>
              <w:spacing w:after="0"/>
              <w:rPr>
                <w:sz w:val="20"/>
                <w:szCs w:val="20"/>
                <w:color w:val="auto"/>
              </w:rPr>
            </w:pPr>
            <w:r>
              <w:rPr>
                <w:rFonts w:ascii="Arial" w:cs="Arial" w:eastAsia="Arial" w:hAnsi="Arial"/>
                <w:sz w:val="18"/>
                <w:szCs w:val="18"/>
                <w:b w:val="1"/>
                <w:bCs w:val="1"/>
                <w:color w:val="auto"/>
                <w:w w:val="93"/>
              </w:rPr>
              <w:t>Year Ended December</w:t>
            </w:r>
          </w:p>
        </w:tc>
      </w:tr>
      <w:tr>
        <w:trPr>
          <w:trHeight w:val="234"/>
        </w:trPr>
        <w:tc>
          <w:tcPr>
            <w:tcW w:w="95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500" w:type="dxa"/>
            <w:vAlign w:val="bottom"/>
          </w:tcPr>
          <w:p>
            <w:pPr>
              <w:jc w:val="right"/>
              <w:ind w:right="530"/>
              <w:spacing w:after="0"/>
              <w:rPr>
                <w:sz w:val="20"/>
                <w:szCs w:val="20"/>
                <w:color w:val="auto"/>
              </w:rPr>
            </w:pPr>
            <w:r>
              <w:rPr>
                <w:rFonts w:ascii="Arial" w:cs="Arial" w:eastAsia="Arial" w:hAnsi="Arial"/>
                <w:sz w:val="18"/>
                <w:szCs w:val="18"/>
                <w:b w:val="1"/>
                <w:bCs w:val="1"/>
                <w:color w:val="auto"/>
              </w:rPr>
              <w:t>31, 2015</w:t>
            </w:r>
          </w:p>
        </w:tc>
      </w:tr>
      <w:tr>
        <w:trPr>
          <w:trHeight w:val="27"/>
        </w:trPr>
        <w:tc>
          <w:tcPr>
            <w:tcW w:w="954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64"/>
        </w:trPr>
        <w:tc>
          <w:tcPr>
            <w:tcW w:w="95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500" w:type="dxa"/>
            <w:vAlign w:val="bottom"/>
          </w:tcPr>
          <w:p>
            <w:pPr>
              <w:spacing w:after="0"/>
              <w:rPr>
                <w:sz w:val="22"/>
                <w:szCs w:val="22"/>
                <w:color w:val="auto"/>
              </w:rPr>
            </w:pPr>
          </w:p>
        </w:tc>
      </w:tr>
      <w:tr>
        <w:trPr>
          <w:trHeight w:val="250"/>
        </w:trPr>
        <w:tc>
          <w:tcPr>
            <w:tcW w:w="9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(loss)</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(3,465)</w:t>
            </w:r>
          </w:p>
        </w:tc>
      </w:tr>
      <w:tr>
        <w:trPr>
          <w:trHeight w:val="243"/>
        </w:trPr>
        <w:tc>
          <w:tcPr>
            <w:tcW w:w="9540" w:type="dxa"/>
            <w:vAlign w:val="bottom"/>
          </w:tcPr>
          <w:p>
            <w:pPr>
              <w:ind w:left="40"/>
              <w:spacing w:after="0"/>
              <w:rPr>
                <w:sz w:val="20"/>
                <w:szCs w:val="20"/>
                <w:color w:val="auto"/>
              </w:rPr>
            </w:pPr>
            <w:r>
              <w:rPr>
                <w:rFonts w:ascii="Arial" w:cs="Arial" w:eastAsia="Arial" w:hAnsi="Arial"/>
                <w:sz w:val="18"/>
                <w:szCs w:val="18"/>
                <w:color w:val="auto"/>
              </w:rPr>
              <w:t>Purchase amortization in cost of revenues</w:t>
            </w:r>
          </w:p>
        </w:tc>
        <w:tc>
          <w:tcPr>
            <w:tcW w:w="380" w:type="dxa"/>
            <w:vAlign w:val="bottom"/>
          </w:tcPr>
          <w:p>
            <w:pPr>
              <w:spacing w:after="0"/>
              <w:rPr>
                <w:sz w:val="21"/>
                <w:szCs w:val="21"/>
                <w:color w:val="auto"/>
              </w:rPr>
            </w:pPr>
          </w:p>
        </w:tc>
        <w:tc>
          <w:tcPr>
            <w:tcW w:w="1500" w:type="dxa"/>
            <w:vAlign w:val="bottom"/>
          </w:tcPr>
          <w:p>
            <w:pPr>
              <w:jc w:val="right"/>
              <w:ind w:right="90"/>
              <w:spacing w:after="0"/>
              <w:rPr>
                <w:sz w:val="20"/>
                <w:szCs w:val="20"/>
                <w:color w:val="auto"/>
              </w:rPr>
            </w:pPr>
            <w:r>
              <w:rPr>
                <w:rFonts w:ascii="Arial" w:cs="Arial" w:eastAsia="Arial" w:hAnsi="Arial"/>
                <w:sz w:val="18"/>
                <w:szCs w:val="18"/>
                <w:color w:val="auto"/>
              </w:rPr>
              <w:t>30,077</w:t>
            </w:r>
          </w:p>
        </w:tc>
      </w:tr>
      <w:tr>
        <w:trPr>
          <w:trHeight w:val="27"/>
        </w:trPr>
        <w:tc>
          <w:tcPr>
            <w:tcW w:w="95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9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Purchase amortization in operating expenses</w:t>
            </w:r>
          </w:p>
        </w:tc>
        <w:tc>
          <w:tcPr>
            <w:tcW w:w="3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27,931</w:t>
            </w:r>
          </w:p>
        </w:tc>
      </w:tr>
      <w:tr>
        <w:trPr>
          <w:trHeight w:val="243"/>
        </w:trPr>
        <w:tc>
          <w:tcPr>
            <w:tcW w:w="9540" w:type="dxa"/>
            <w:vAlign w:val="bottom"/>
          </w:tcPr>
          <w:p>
            <w:pPr>
              <w:ind w:left="40"/>
              <w:spacing w:after="0"/>
              <w:rPr>
                <w:sz w:val="20"/>
                <w:szCs w:val="20"/>
                <w:color w:val="auto"/>
              </w:rPr>
            </w:pPr>
            <w:r>
              <w:rPr>
                <w:rFonts w:ascii="Arial" w:cs="Arial" w:eastAsia="Arial" w:hAnsi="Arial"/>
                <w:sz w:val="18"/>
                <w:szCs w:val="18"/>
                <w:color w:val="auto"/>
              </w:rPr>
              <w:t>Depreciation and other amortization</w:t>
            </w:r>
          </w:p>
        </w:tc>
        <w:tc>
          <w:tcPr>
            <w:tcW w:w="380" w:type="dxa"/>
            <w:vAlign w:val="bottom"/>
          </w:tcPr>
          <w:p>
            <w:pPr>
              <w:spacing w:after="0"/>
              <w:rPr>
                <w:sz w:val="21"/>
                <w:szCs w:val="21"/>
                <w:color w:val="auto"/>
              </w:rPr>
            </w:pPr>
          </w:p>
        </w:tc>
        <w:tc>
          <w:tcPr>
            <w:tcW w:w="1500" w:type="dxa"/>
            <w:vAlign w:val="bottom"/>
          </w:tcPr>
          <w:p>
            <w:pPr>
              <w:jc w:val="right"/>
              <w:ind w:right="90"/>
              <w:spacing w:after="0"/>
              <w:rPr>
                <w:sz w:val="20"/>
                <w:szCs w:val="20"/>
                <w:color w:val="auto"/>
              </w:rPr>
            </w:pPr>
            <w:r>
              <w:rPr>
                <w:rFonts w:ascii="Arial" w:cs="Arial" w:eastAsia="Arial" w:hAnsi="Arial"/>
                <w:sz w:val="18"/>
                <w:szCs w:val="18"/>
                <w:color w:val="auto"/>
              </w:rPr>
              <w:t>20,524</w:t>
            </w:r>
          </w:p>
        </w:tc>
      </w:tr>
      <w:tr>
        <w:trPr>
          <w:trHeight w:val="27"/>
        </w:trPr>
        <w:tc>
          <w:tcPr>
            <w:tcW w:w="95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9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income</w:t>
            </w:r>
          </w:p>
        </w:tc>
        <w:tc>
          <w:tcPr>
            <w:tcW w:w="3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(537)</w:t>
            </w:r>
          </w:p>
        </w:tc>
      </w:tr>
      <w:tr>
        <w:trPr>
          <w:trHeight w:val="243"/>
        </w:trPr>
        <w:tc>
          <w:tcPr>
            <w:tcW w:w="9540" w:type="dxa"/>
            <w:vAlign w:val="bottom"/>
          </w:tcPr>
          <w:p>
            <w:pPr>
              <w:ind w:left="40"/>
              <w:spacing w:after="0"/>
              <w:rPr>
                <w:sz w:val="20"/>
                <w:szCs w:val="20"/>
                <w:color w:val="auto"/>
              </w:rPr>
            </w:pPr>
            <w:r>
              <w:rPr>
                <w:rFonts w:ascii="Arial" w:cs="Arial" w:eastAsia="Arial" w:hAnsi="Arial"/>
                <w:sz w:val="18"/>
                <w:szCs w:val="18"/>
                <w:color w:val="auto"/>
              </w:rPr>
              <w:t>Interest expense</w:t>
            </w:r>
          </w:p>
        </w:tc>
        <w:tc>
          <w:tcPr>
            <w:tcW w:w="380" w:type="dxa"/>
            <w:vAlign w:val="bottom"/>
          </w:tcPr>
          <w:p>
            <w:pPr>
              <w:spacing w:after="0"/>
              <w:rPr>
                <w:sz w:val="21"/>
                <w:szCs w:val="21"/>
                <w:color w:val="auto"/>
              </w:rPr>
            </w:pPr>
          </w:p>
        </w:tc>
        <w:tc>
          <w:tcPr>
            <w:tcW w:w="1500" w:type="dxa"/>
            <w:vAlign w:val="bottom"/>
          </w:tcPr>
          <w:p>
            <w:pPr>
              <w:jc w:val="right"/>
              <w:ind w:right="90"/>
              <w:spacing w:after="0"/>
              <w:rPr>
                <w:sz w:val="20"/>
                <w:szCs w:val="20"/>
                <w:color w:val="auto"/>
              </w:rPr>
            </w:pPr>
            <w:r>
              <w:rPr>
                <w:rFonts w:ascii="Arial" w:cs="Arial" w:eastAsia="Arial" w:hAnsi="Arial"/>
                <w:sz w:val="18"/>
                <w:szCs w:val="18"/>
                <w:color w:val="auto"/>
              </w:rPr>
              <w:t>9,411</w:t>
            </w:r>
          </w:p>
        </w:tc>
      </w:tr>
      <w:tr>
        <w:trPr>
          <w:trHeight w:val="27"/>
        </w:trPr>
        <w:tc>
          <w:tcPr>
            <w:tcW w:w="95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70"/>
        </w:trPr>
        <w:tc>
          <w:tcPr>
            <w:tcW w:w="9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expense, net</w:t>
            </w:r>
          </w:p>
        </w:tc>
        <w:tc>
          <w:tcPr>
            <w:tcW w:w="38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6,046</w:t>
            </w:r>
          </w:p>
        </w:tc>
      </w:tr>
      <w:tr>
        <w:trPr>
          <w:trHeight w:val="237"/>
        </w:trPr>
        <w:tc>
          <w:tcPr>
            <w:tcW w:w="9540" w:type="dxa"/>
            <w:vAlign w:val="bottom"/>
          </w:tcPr>
          <w:p>
            <w:pPr>
              <w:ind w:left="40"/>
              <w:spacing w:after="0"/>
              <w:rPr>
                <w:sz w:val="20"/>
                <w:szCs w:val="20"/>
                <w:color w:val="auto"/>
              </w:rPr>
            </w:pPr>
            <w:r>
              <w:rPr>
                <w:rFonts w:ascii="Arial" w:cs="Arial" w:eastAsia="Arial" w:hAnsi="Arial"/>
                <w:sz w:val="18"/>
                <w:szCs w:val="18"/>
                <w:color w:val="auto"/>
              </w:rPr>
              <w:t>EBITDA</w:t>
            </w: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89,987</w:t>
            </w:r>
          </w:p>
        </w:tc>
      </w:tr>
    </w:tbl>
    <w:p>
      <w:pPr>
        <w:sectPr>
          <w:pgSz w:w="11900" w:h="16838" w:orient="portrait"/>
          <w:cols w:equalWidth="0" w:num="1">
            <w:col w:w="11420"/>
          </w:cols>
          <w:pgMar w:left="240" w:top="418" w:right="239" w:bottom="1440" w:gutter="0" w:footer="0" w:header="0"/>
          <w:type w:val="continuous"/>
        </w:sectPr>
      </w:pPr>
    </w:p>
    <w:bookmarkStart w:id="113" w:name="page114"/>
    <w:bookmarkEnd w:id="11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9620" w:type="dxa"/>
            <w:vAlign w:val="bottom"/>
            <w:shd w:val="clear" w:color="auto" w:fill="CCEEFF"/>
          </w:tcPr>
          <w:p>
            <w:pPr>
              <w:ind w:left="40"/>
              <w:spacing w:after="0"/>
              <w:rPr>
                <w:sz w:val="20"/>
                <w:szCs w:val="20"/>
                <w:color w:val="auto"/>
              </w:rPr>
            </w:pPr>
            <w:r>
              <w:rPr>
                <w:rFonts w:ascii="Arial" w:cs="Arial" w:eastAsia="Arial" w:hAnsi="Arial"/>
                <w:sz w:val="18"/>
                <w:szCs w:val="18"/>
                <w:color w:val="auto"/>
              </w:rPr>
              <w:t>Stock-based compensation expense</w:t>
            </w:r>
          </w:p>
        </w:tc>
        <w:tc>
          <w:tcPr>
            <w:tcW w:w="620" w:type="dxa"/>
            <w:vAlign w:val="bottom"/>
            <w:shd w:val="clear" w:color="auto" w:fill="CCEEFF"/>
          </w:tcPr>
          <w:p>
            <w:pPr>
              <w:spacing w:after="0"/>
              <w:rPr>
                <w:sz w:val="23"/>
                <w:szCs w:val="23"/>
                <w:color w:val="auto"/>
              </w:rPr>
            </w:pPr>
          </w:p>
        </w:tc>
        <w:tc>
          <w:tcPr>
            <w:tcW w:w="11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34,537</w:t>
            </w:r>
          </w:p>
        </w:tc>
      </w:tr>
      <w:tr>
        <w:trPr>
          <w:trHeight w:val="243"/>
        </w:trPr>
        <w:tc>
          <w:tcPr>
            <w:tcW w:w="9620" w:type="dxa"/>
            <w:vAlign w:val="bottom"/>
          </w:tcPr>
          <w:p>
            <w:pPr>
              <w:ind w:left="40"/>
              <w:spacing w:after="0"/>
              <w:rPr>
                <w:sz w:val="20"/>
                <w:szCs w:val="20"/>
                <w:color w:val="auto"/>
              </w:rPr>
            </w:pPr>
            <w:r>
              <w:rPr>
                <w:rFonts w:ascii="Arial" w:cs="Arial" w:eastAsia="Arial" w:hAnsi="Arial"/>
                <w:sz w:val="18"/>
                <w:szCs w:val="18"/>
                <w:color w:val="auto"/>
              </w:rPr>
              <w:t>Acquisition and integration related costs</w:t>
            </w:r>
          </w:p>
        </w:tc>
        <w:tc>
          <w:tcPr>
            <w:tcW w:w="62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6,370</w:t>
            </w:r>
          </w:p>
        </w:tc>
      </w:tr>
      <w:tr>
        <w:trPr>
          <w:trHeight w:val="27"/>
        </w:trPr>
        <w:tc>
          <w:tcPr>
            <w:tcW w:w="96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9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Restructuring and related costs</w:t>
            </w:r>
          </w:p>
        </w:tc>
        <w:tc>
          <w:tcPr>
            <w:tcW w:w="6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1,968</w:t>
            </w:r>
          </w:p>
        </w:tc>
      </w:tr>
      <w:tr>
        <w:trPr>
          <w:trHeight w:val="243"/>
        </w:trPr>
        <w:tc>
          <w:tcPr>
            <w:tcW w:w="9620" w:type="dxa"/>
            <w:vAlign w:val="bottom"/>
          </w:tcPr>
          <w:p>
            <w:pPr>
              <w:ind w:left="40"/>
              <w:spacing w:after="0"/>
              <w:rPr>
                <w:sz w:val="20"/>
                <w:szCs w:val="20"/>
                <w:color w:val="auto"/>
              </w:rPr>
            </w:pPr>
            <w:r>
              <w:rPr>
                <w:rFonts w:ascii="Arial" w:cs="Arial" w:eastAsia="Arial" w:hAnsi="Arial"/>
                <w:sz w:val="18"/>
                <w:szCs w:val="18"/>
                <w:color w:val="auto"/>
              </w:rPr>
              <w:t>Settlements and impairments</w:t>
            </w:r>
          </w:p>
        </w:tc>
        <w:tc>
          <w:tcPr>
            <w:tcW w:w="62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2,778</w:t>
            </w:r>
          </w:p>
        </w:tc>
      </w:tr>
      <w:tr>
        <w:trPr>
          <w:trHeight w:val="27"/>
        </w:trPr>
        <w:tc>
          <w:tcPr>
            <w:tcW w:w="962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57"/>
        </w:trPr>
        <w:tc>
          <w:tcPr>
            <w:tcW w:w="9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Adjusted EBITDA</w:t>
            </w:r>
          </w:p>
        </w:tc>
        <w:tc>
          <w:tcPr>
            <w:tcW w:w="620" w:type="dxa"/>
            <w:vAlign w:val="bottom"/>
            <w:tcBorders>
              <w:bottom w:val="single" w:sz="8" w:color="auto"/>
            </w:tcBorders>
            <w:shd w:val="clear" w:color="auto" w:fill="CCEEFF"/>
          </w:tcPr>
          <w:p>
            <w:pPr>
              <w:jc w:val="right"/>
              <w:ind w:right="41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135,640</w:t>
            </w:r>
          </w:p>
        </w:tc>
      </w:tr>
      <w:tr>
        <w:trPr>
          <w:trHeight w:val="20"/>
        </w:trPr>
        <w:tc>
          <w:tcPr>
            <w:tcW w:w="962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1">
            <w:col w:w="11420"/>
          </w:cols>
          <w:pgMar w:left="240" w:top="518" w:right="239" w:bottom="1440" w:gutter="0" w:footer="0" w:header="0"/>
        </w:sectPr>
      </w:pPr>
    </w:p>
    <w:bookmarkStart w:id="114" w:name="page115"/>
    <w:bookmarkEnd w:id="114"/>
    <w:p>
      <w:pPr>
        <w:ind w:left="9300"/>
        <w:spacing w:after="0"/>
        <w:rPr>
          <w:sz w:val="20"/>
          <w:szCs w:val="20"/>
          <w:color w:val="auto"/>
        </w:rPr>
      </w:pPr>
      <w:r>
        <w:rPr>
          <w:rFonts w:ascii="Arial" w:cs="Arial" w:eastAsia="Arial" w:hAnsi="Arial"/>
          <w:sz w:val="16"/>
          <w:szCs w:val="16"/>
          <w:b w:val="1"/>
          <w:bCs w:val="1"/>
          <w:color w:val="auto"/>
        </w:rPr>
        <w:t>Appendix 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186690</wp:posOffset>
            </wp:positionV>
            <wp:extent cx="5342890" cy="692086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5342890" cy="6920865"/>
                    </a:xfrm>
                    <a:prstGeom prst="rect">
                      <a:avLst/>
                    </a:prstGeom>
                    <a:noFill/>
                  </pic:spPr>
                </pic:pic>
              </a:graphicData>
            </a:graphic>
          </wp:anchor>
        </w:drawing>
      </w:r>
    </w:p>
    <w:p>
      <w:pPr>
        <w:sectPr>
          <w:pgSz w:w="11900" w:h="16838" w:orient="portrait"/>
          <w:cols w:equalWidth="0" w:num="1">
            <w:col w:w="10220"/>
          </w:cols>
          <w:pgMar w:left="1440" w:top="553" w:right="239" w:bottom="1440" w:gutter="0" w:footer="0" w:header="0"/>
        </w:sectPr>
      </w:pPr>
    </w:p>
    <w:bookmarkStart w:id="115" w:name="page116"/>
    <w:bookmarkEnd w:id="11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243205</wp:posOffset>
            </wp:positionV>
            <wp:extent cx="5342890" cy="692086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clrChange>
                        <a:clrFrom>
                          <a:srgbClr val="FFFFFF"/>
                        </a:clrFrom>
                        <a:clrTo>
                          <a:srgbClr val="FFFFFF">
                            <a:alpha val="0"/>
                          </a:srgbClr>
                        </a:clrTo>
                      </a:clrChange>
                      <a:extLst>
                        <a:ext uri="{28A0092B-C50C-407E-A947-70E740481C1C}"/>
                      </a:extLst>
                    </a:blip>
                    <a:srcRect/>
                    <a:stretch>
                      <a:fillRect/>
                    </a:stretch>
                  </pic:blipFill>
                  <pic:spPr bwMode="auto">
                    <a:xfrm>
                      <a:off x="0" y="0"/>
                      <a:ext cx="5342890" cy="692086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35BA861"/>
    <w:multiLevelType w:val="hybridMultilevel"/>
    <w:lvl w:ilvl="0">
      <w:lvlJc w:val="left"/>
      <w:lvlText w:val="["/>
      <w:numFmt w:val="bullet"/>
      <w:start w:val="1"/>
    </w:lvl>
  </w:abstractNum>
  <w:abstractNum w:abstractNumId="1">
    <w:nsid w:val="47398C89"/>
    <w:multiLevelType w:val="hybridMultilevel"/>
    <w:lvl w:ilvl="0">
      <w:lvlJc w:val="left"/>
      <w:lvlText w:val="["/>
      <w:numFmt w:val="bullet"/>
      <w:start w:val="1"/>
    </w:lvl>
    <w:lvl w:ilvl="1">
      <w:lvlJc w:val="left"/>
      <w:lvlText w:val="(%2)"/>
      <w:numFmt w:val="decimal"/>
      <w:start w:val="1"/>
    </w:lvl>
  </w:abstractNum>
  <w:abstractNum w:abstractNumId="2">
    <w:nsid w:val="354FE9F9"/>
    <w:multiLevelType w:val="hybridMultilevel"/>
    <w:lvl w:ilvl="0">
      <w:lvlJc w:val="left"/>
      <w:lvlText w:val="["/>
      <w:numFmt w:val="bullet"/>
      <w:start w:val="1"/>
    </w:lvl>
    <w:lvl w:ilvl="1">
      <w:lvlJc w:val="left"/>
      <w:lvlText w:val="(%2)"/>
      <w:numFmt w:val="decimal"/>
      <w:start w:val="1"/>
    </w:lvl>
  </w:abstractNum>
  <w:abstractNum w:abstractNumId="3">
    <w:nsid w:val="15B5AF5C"/>
    <w:multiLevelType w:val="hybridMultilevel"/>
    <w:lvl w:ilvl="0">
      <w:lvlJc w:val="left"/>
      <w:lvlText w:val="(%1)"/>
      <w:numFmt w:val="decimal"/>
      <w:start w:val="4"/>
    </w:lvl>
  </w:abstractNum>
  <w:abstractNum w:abstractNumId="4">
    <w:nsid w:val="741226BB"/>
    <w:multiLevelType w:val="hybridMultilevel"/>
    <w:lvl w:ilvl="0">
      <w:lvlJc w:val="left"/>
      <w:lvlText w:val="%1."/>
      <w:numFmt w:val="decimal"/>
      <w:start w:val="1"/>
    </w:lvl>
  </w:abstractNum>
  <w:abstractNum w:abstractNumId="5">
    <w:nsid w:val="D34B6A8"/>
    <w:multiLevelType w:val="hybridMultilevel"/>
    <w:lvl w:ilvl="0">
      <w:lvlJc w:val="left"/>
      <w:lvlText w:val="%1."/>
      <w:numFmt w:val="decimal"/>
      <w:start w:val="1"/>
    </w:lvl>
  </w:abstractNum>
  <w:abstractNum w:abstractNumId="6">
    <w:nsid w:val="10233C99"/>
    <w:multiLevelType w:val="hybridMultilevel"/>
    <w:lvl w:ilvl="0">
      <w:lvlJc w:val="left"/>
      <w:lvlText w:val="•"/>
      <w:numFmt w:val="bullet"/>
      <w:start w:val="1"/>
    </w:lvl>
  </w:abstractNum>
  <w:abstractNum w:abstractNumId="7">
    <w:nsid w:val="3F6AB60F"/>
    <w:multiLevelType w:val="hybridMultilevel"/>
    <w:lvl w:ilvl="0">
      <w:lvlJc w:val="left"/>
      <w:lvlText w:val="•"/>
      <w:numFmt w:val="bullet"/>
      <w:start w:val="1"/>
    </w:lvl>
  </w:abstractNum>
  <w:abstractNum w:abstractNumId="8">
    <w:nsid w:val="61574095"/>
    <w:multiLevelType w:val="hybridMultilevel"/>
    <w:lvl w:ilvl="0">
      <w:lvlJc w:val="left"/>
      <w:lvlText w:val="•"/>
      <w:numFmt w:val="bullet"/>
      <w:start w:val="1"/>
    </w:lvl>
  </w:abstractNum>
  <w:abstractNum w:abstractNumId="9">
    <w:nsid w:val="7E0C57B1"/>
    <w:multiLevelType w:val="hybridMultilevel"/>
    <w:lvl w:ilvl="0">
      <w:lvlJc w:val="left"/>
      <w:lvlText w:val="•"/>
      <w:numFmt w:val="bullet"/>
      <w:start w:val="1"/>
    </w:lvl>
  </w:abstractNum>
  <w:abstractNum w:abstractNumId="10">
    <w:nsid w:val="77AE35EB"/>
    <w:multiLevelType w:val="hybridMultilevel"/>
    <w:lvl w:ilvl="0">
      <w:lvlJc w:val="left"/>
      <w:lvlText w:val="(%1)"/>
      <w:numFmt w:val="decimal"/>
      <w:start w:val="1"/>
    </w:lvl>
  </w:abstractNum>
  <w:abstractNum w:abstractNumId="11">
    <w:nsid w:val="579BE4F1"/>
    <w:multiLevelType w:val="hybridMultilevel"/>
    <w:lvl w:ilvl="0">
      <w:lvlJc w:val="left"/>
      <w:lvlText w:val="(%1)"/>
      <w:numFmt w:val="decimal"/>
      <w:start w:val="1"/>
    </w:lvl>
  </w:abstractNum>
  <w:abstractNum w:abstractNumId="12">
    <w:nsid w:val="310C50B3"/>
    <w:multiLevelType w:val="hybridMultilevel"/>
    <w:lvl w:ilvl="0">
      <w:lvlJc w:val="left"/>
      <w:lvlText w:val="•"/>
      <w:numFmt w:val="bullet"/>
      <w:start w:val="1"/>
    </w:lvl>
  </w:abstractNum>
  <w:abstractNum w:abstractNumId="13">
    <w:nsid w:val="5FF87E05"/>
    <w:multiLevelType w:val="hybridMultilevel"/>
    <w:lvl w:ilvl="0">
      <w:lvlJc w:val="left"/>
      <w:lvlText w:val="•"/>
      <w:numFmt w:val="bullet"/>
      <w:start w:val="1"/>
    </w:lvl>
  </w:abstractNum>
  <w:abstractNum w:abstractNumId="14">
    <w:nsid w:val="2F305DEF"/>
    <w:multiLevelType w:val="hybridMultilevel"/>
    <w:lvl w:ilvl="0">
      <w:lvlJc w:val="left"/>
      <w:lvlText w:val="(%1)"/>
      <w:numFmt w:val="decimal"/>
      <w:start w:val="16"/>
    </w:lvl>
  </w:abstractNum>
  <w:abstractNum w:abstractNumId="15">
    <w:nsid w:val="25A70BF7"/>
    <w:multiLevelType w:val="hybridMultilevel"/>
    <w:lvl w:ilvl="0">
      <w:lvlJc w:val="left"/>
      <w:lvlText w:val="(%1)"/>
      <w:numFmt w:val="upperLetter"/>
      <w:start w:val="1"/>
    </w:lvl>
  </w:abstractNum>
  <w:abstractNum w:abstractNumId="16">
    <w:nsid w:val="1DBABF00"/>
    <w:multiLevelType w:val="hybridMultilevel"/>
    <w:lvl w:ilvl="0">
      <w:lvlJc w:val="left"/>
      <w:lvlText w:val="•"/>
      <w:numFmt w:val="bullet"/>
      <w:start w:val="1"/>
    </w:lvl>
  </w:abstractNum>
  <w:abstractNum w:abstractNumId="17">
    <w:nsid w:val="4AD084E9"/>
    <w:multiLevelType w:val="hybridMultilevel"/>
    <w:lvl w:ilvl="0">
      <w:lvlJc w:val="left"/>
      <w:lvlText w:val="•"/>
      <w:numFmt w:val="bullet"/>
      <w:start w:val="1"/>
    </w:lvl>
  </w:abstractNum>
  <w:abstractNum w:abstractNumId="18">
    <w:nsid w:val="1F48EAA1"/>
    <w:multiLevelType w:val="hybridMultilevel"/>
    <w:lvl w:ilvl="0">
      <w:lvlJc w:val="left"/>
      <w:lvlText w:val="•"/>
      <w:numFmt w:val="bullet"/>
      <w:start w:val="1"/>
    </w:lvl>
    <w:lvl w:ilvl="1">
      <w:lvlJc w:val="left"/>
      <w:lvlText w:val="◦"/>
      <w:numFmt w:val="bullet"/>
      <w:start w:val="1"/>
    </w:lvl>
  </w:abstractNum>
  <w:abstractNum w:abstractNumId="19">
    <w:nsid w:val="1381823A"/>
    <w:multiLevelType w:val="hybridMultilevel"/>
    <w:lvl w:ilvl="0">
      <w:lvlJc w:val="left"/>
      <w:lvlText w:val="•"/>
      <w:numFmt w:val="bullet"/>
      <w:start w:val="1"/>
    </w:lvl>
  </w:abstractNum>
  <w:abstractNum w:abstractNumId="20">
    <w:nsid w:val="5DB70AE5"/>
    <w:multiLevelType w:val="hybridMultilevel"/>
    <w:lvl w:ilvl="0">
      <w:lvlJc w:val="left"/>
      <w:lvlText w:val="•"/>
      <w:numFmt w:val="bullet"/>
      <w:start w:val="1"/>
    </w:lvl>
  </w:abstractNum>
  <w:abstractNum w:abstractNumId="21">
    <w:nsid w:val="100F8FCA"/>
    <w:multiLevelType w:val="hybridMultilevel"/>
    <w:lvl w:ilvl="0">
      <w:lvlJc w:val="left"/>
      <w:lvlText w:val="•"/>
      <w:numFmt w:val="bullet"/>
      <w:start w:val="1"/>
    </w:lvl>
  </w:abstractNum>
  <w:abstractNum w:abstractNumId="22">
    <w:nsid w:val="6590700B"/>
    <w:multiLevelType w:val="hybridMultilevel"/>
    <w:lvl w:ilvl="0">
      <w:lvlJc w:val="left"/>
      <w:lvlText w:val="•"/>
      <w:numFmt w:val="bullet"/>
      <w:start w:val="1"/>
    </w:lvl>
  </w:abstractNum>
  <w:abstractNum w:abstractNumId="23">
    <w:nsid w:val="15014ACB"/>
    <w:multiLevelType w:val="hybridMultilevel"/>
    <w:lvl w:ilvl="0">
      <w:lvlJc w:val="left"/>
      <w:lvlText w:val="(%1)"/>
      <w:numFmt w:val="decimal"/>
      <w:start w:val="1"/>
    </w:lvl>
  </w:abstractNum>
  <w:abstractNum w:abstractNumId="24">
    <w:nsid w:val="5F5E7FD0"/>
    <w:multiLevelType w:val="hybridMultilevel"/>
    <w:lvl w:ilvl="0">
      <w:lvlJc w:val="left"/>
      <w:lvlText w:val="(%1)"/>
      <w:numFmt w:val="decimal"/>
      <w:start w:val="1"/>
    </w:lvl>
  </w:abstractNum>
  <w:abstractNum w:abstractNumId="25">
    <w:nsid w:val="98A3148"/>
    <w:multiLevelType w:val="hybridMultilevel"/>
    <w:lvl w:ilvl="0">
      <w:lvlJc w:val="left"/>
      <w:lvlText w:val="*"/>
      <w:numFmt w:val="bullet"/>
      <w:start w:val="1"/>
    </w:lvl>
    <w:lvl w:ilvl="1">
      <w:lvlJc w:val="left"/>
      <w:lvlText w:val="(%2)"/>
      <w:numFmt w:val="decimal"/>
      <w:start w:val="1"/>
    </w:lvl>
  </w:abstractNum>
  <w:abstractNum w:abstractNumId="26">
    <w:nsid w:val="799D0247"/>
    <w:multiLevelType w:val="hybridMultilevel"/>
    <w:lvl w:ilvl="0">
      <w:lvlJc w:val="left"/>
      <w:lvlText w:val="•"/>
      <w:numFmt w:val="bullet"/>
      <w:start w:val="1"/>
    </w:lvl>
  </w:abstractNum>
  <w:abstractNum w:abstractNumId="27">
    <w:nsid w:val="6B94764"/>
    <w:multiLevelType w:val="hybridMultilevel"/>
    <w:lvl w:ilvl="0">
      <w:lvlJc w:val="left"/>
      <w:lvlText w:val="(%1)"/>
      <w:numFmt w:val="decimal"/>
      <w:start w:val="1"/>
    </w:lvl>
  </w:abstractNum>
  <w:abstractNum w:abstractNumId="28">
    <w:nsid w:val="42C296BD"/>
    <w:multiLevelType w:val="hybridMultilevel"/>
    <w:lvl w:ilvl="0">
      <w:lvlJc w:val="left"/>
      <w:lvlText w:val="(%1)"/>
      <w:numFmt w:val="decimal"/>
      <w:start w:val="10"/>
    </w:lvl>
  </w:abstractNum>
  <w:abstractNum w:abstractNumId="29">
    <w:nsid w:val="168E121F"/>
    <w:multiLevelType w:val="hybridMultilevel"/>
    <w:lvl w:ilvl="0">
      <w:lvlJc w:val="left"/>
      <w:lvlText w:val="(%1)"/>
      <w:numFmt w:val="decimal"/>
      <w:start w:val="1"/>
    </w:lvl>
  </w:abstractNum>
  <w:abstractNum w:abstractNumId="30">
    <w:nsid w:val="1EBA5D23"/>
    <w:multiLevelType w:val="hybridMultilevel"/>
    <w:lvl w:ilvl="0">
      <w:lvlJc w:val="left"/>
      <w:lvlText w:val="*"/>
      <w:numFmt w:val="bullet"/>
      <w:start w:val="1"/>
    </w:lvl>
  </w:abstractNum>
  <w:abstractNum w:abstractNumId="31">
    <w:nsid w:val="661E3F1E"/>
    <w:multiLevelType w:val="hybridMultilevel"/>
    <w:lvl w:ilvl="0">
      <w:lvlJc w:val="left"/>
      <w:lvlText w:val="•"/>
      <w:numFmt w:val="bullet"/>
      <w:start w:val="1"/>
    </w:lvl>
  </w:abstractNum>
  <w:abstractNum w:abstractNumId="32">
    <w:nsid w:val="5DC79EA8"/>
    <w:multiLevelType w:val="hybridMultilevel"/>
    <w:lvl w:ilvl="0">
      <w:lvlJc w:val="left"/>
      <w:lvlText w:val="(%1)"/>
      <w:numFmt w:val="decimal"/>
      <w:start w:val="1"/>
    </w:lvl>
  </w:abstractNum>
  <w:abstractNum w:abstractNumId="33">
    <w:nsid w:val="540A471C"/>
    <w:multiLevelType w:val="hybridMultilevel"/>
    <w:lvl w:ilvl="0">
      <w:lvlJc w:val="left"/>
      <w:lvlText w:val="(%1)"/>
      <w:numFmt w:val="decimal"/>
      <w:start w:val="1"/>
    </w:lvl>
  </w:abstractNum>
  <w:abstractNum w:abstractNumId="34">
    <w:nsid w:val="7BD3EE7B"/>
    <w:multiLevelType w:val="hybridMultilevel"/>
    <w:lvl w:ilvl="0">
      <w:lvlJc w:val="left"/>
      <w:lvlText w:val="(%1)"/>
      <w:numFmt w:val="decimal"/>
      <w:start w:val="1"/>
    </w:lvl>
  </w:abstractNum>
  <w:abstractNum w:abstractNumId="35">
    <w:nsid w:val="51D9C564"/>
    <w:multiLevelType w:val="hybridMultilevel"/>
    <w:lvl w:ilvl="0">
      <w:lvlJc w:val="left"/>
      <w:lvlText w:val="(%1)"/>
      <w:numFmt w:val="decimal"/>
      <w:start w:val="1"/>
    </w:lvl>
  </w:abstractNum>
  <w:abstractNum w:abstractNumId="36">
    <w:nsid w:val="613EFDC5"/>
    <w:multiLevelType w:val="hybridMultilevel"/>
    <w:lvl w:ilvl="0">
      <w:lvlJc w:val="left"/>
      <w:lvlText w:val="(%1)"/>
      <w:numFmt w:val="decimal"/>
      <w:start w:val="2"/>
    </w:lvl>
  </w:abstractNum>
  <w:abstractNum w:abstractNumId="37">
    <w:nsid w:val="BF72B14"/>
    <w:multiLevelType w:val="hybridMultilevel"/>
    <w:lvl w:ilvl="0">
      <w:lvlJc w:val="left"/>
      <w:lvlText w:val="(%1)"/>
      <w:numFmt w:val="decimal"/>
      <w:start w:val="1"/>
    </w:lvl>
  </w:abstractNum>
  <w:abstractNum w:abstractNumId="38">
    <w:nsid w:val="11447B73"/>
    <w:multiLevelType w:val="hybridMultilevel"/>
    <w:lvl w:ilvl="0">
      <w:lvlJc w:val="left"/>
      <w:lvlText w:val="•"/>
      <w:numFmt w:val="bullet"/>
      <w:start w:val="1"/>
    </w:lvl>
  </w:abstractNum>
  <w:abstractNum w:abstractNumId="39">
    <w:nsid w:val="42963E5A"/>
    <w:multiLevelType w:val="hybridMultilevel"/>
    <w:lvl w:ilvl="0">
      <w:lvlJc w:val="left"/>
      <w:lvlText w:val="(%1)"/>
      <w:numFmt w:val="decimal"/>
      <w:start w:val="1"/>
    </w:lvl>
  </w:abstractNum>
  <w:abstractNum w:abstractNumId="40">
    <w:nsid w:val="A0382C5"/>
    <w:multiLevelType w:val="hybridMultilevel"/>
    <w:lvl w:ilvl="0">
      <w:lvlJc w:val="left"/>
      <w:lvlText w:val="(%1)"/>
      <w:numFmt w:val="decimal"/>
      <w:start w:val="1"/>
    </w:lvl>
  </w:abstractNum>
  <w:abstractNum w:abstractNumId="41">
    <w:nsid w:val="8F2B15E"/>
    <w:multiLevelType w:val="hybridMultilevel"/>
    <w:lvl w:ilvl="0">
      <w:lvlJc w:val="left"/>
      <w:lvlText w:val="(%1)"/>
      <w:numFmt w:val="decimal"/>
      <w:start w:val="1"/>
    </w:lvl>
  </w:abstractNum>
  <w:abstractNum w:abstractNumId="42">
    <w:nsid w:val="1A32234B"/>
    <w:multiLevelType w:val="hybridMultilevel"/>
    <w:lvl w:ilvl="0">
      <w:lvlJc w:val="left"/>
      <w:lvlText w:val="(%1)"/>
      <w:numFmt w:val="decimal"/>
      <w:start w:val="1"/>
    </w:lvl>
  </w:abstractNum>
  <w:abstractNum w:abstractNumId="43">
    <w:nsid w:val="3B0FD379"/>
    <w:multiLevelType w:val="hybridMultilevel"/>
    <w:lvl w:ilvl="0">
      <w:lvlJc w:val="left"/>
      <w:lvlText w:val="•"/>
      <w:numFmt w:val="bullet"/>
      <w:start w:val="1"/>
    </w:lvl>
  </w:abstractNum>
  <w:abstractNum w:abstractNumId="44">
    <w:nsid w:val="68EB2F63"/>
    <w:multiLevelType w:val="hybridMultilevel"/>
    <w:lvl w:ilvl="0">
      <w:lvlJc w:val="left"/>
      <w:lvlText w:val="(%1)"/>
      <w:numFmt w:val="decimal"/>
      <w:start w:val="1"/>
    </w:lvl>
  </w:abstractNum>
  <w:abstractNum w:abstractNumId="45">
    <w:nsid w:val="4962813B"/>
    <w:multiLevelType w:val="hybridMultilevel"/>
    <w:lvl w:ilvl="0">
      <w:lvlJc w:val="left"/>
      <w:lvlText w:val="(%1)"/>
      <w:numFmt w:val="decimal"/>
      <w:start w:val="1"/>
    </w:lvl>
  </w:abstractNum>
  <w:abstractNum w:abstractNumId="46">
    <w:nsid w:val="60B6DF70"/>
    <w:multiLevelType w:val="hybridMultilevel"/>
    <w:lvl w:ilvl="0">
      <w:lvlJc w:val="left"/>
      <w:lvlText w:val="(%1)"/>
      <w:numFmt w:val="decimal"/>
      <w:start w:val="1"/>
    </w:lvl>
  </w:abstractNum>
  <w:abstractNum w:abstractNumId="47">
    <w:nsid w:val="6A5EE64"/>
    <w:multiLevelType w:val="hybridMultilevel"/>
    <w:lvl w:ilvl="0">
      <w:lvlJc w:val="left"/>
      <w:lvlText w:val="•"/>
      <w:numFmt w:val="bullet"/>
      <w:start w:val="1"/>
    </w:lvl>
  </w:abstractNum>
  <w:abstractNum w:abstractNumId="48">
    <w:nsid w:val="14330624"/>
    <w:multiLevelType w:val="hybridMultilevel"/>
    <w:lvl w:ilvl="0">
      <w:lvlJc w:val="left"/>
      <w:lvlText w:val="•"/>
      <w:numFmt w:val="bullet"/>
      <w:start w:val="1"/>
    </w:lvl>
  </w:abstractNum>
  <w:abstractNum w:abstractNumId="49">
    <w:nsid w:val="7FFFCA11"/>
    <w:multiLevelType w:val="hybridMultilevel"/>
    <w:lvl w:ilvl="0">
      <w:lvlJc w:val="left"/>
      <w:lvlText w:val="•"/>
      <w:numFmt w:val="bullet"/>
      <w:start w:val="1"/>
    </w:lvl>
  </w:abstractNum>
  <w:abstractNum w:abstractNumId="50">
    <w:nsid w:val="1A27709E"/>
    <w:multiLevelType w:val="hybridMultilevel"/>
    <w:lvl w:ilvl="0">
      <w:lvlJc w:val="left"/>
      <w:lvlText w:val="(%1)"/>
      <w:numFmt w:val="decimal"/>
      <w:start w:val="1"/>
    </w:lvl>
  </w:abstractNum>
  <w:abstractNum w:abstractNumId="51">
    <w:nsid w:val="71EA1109"/>
    <w:multiLevelType w:val="hybridMultilevel"/>
    <w:lvl w:ilvl="0">
      <w:lvlJc w:val="left"/>
      <w:lvlText w:val="(%1)"/>
      <w:numFmt w:val="decimal"/>
      <w:start w:val="4"/>
    </w:lvl>
  </w:abstractNum>
  <w:abstractNum w:abstractNumId="52">
    <w:nsid w:val="100F59DC"/>
    <w:multiLevelType w:val="hybridMultilevel"/>
    <w:lvl w:ilvl="0">
      <w:lvlJc w:val="left"/>
      <w:lvlText w:val="(%1)"/>
      <w:numFmt w:val="decimal"/>
      <w:start w:val="1"/>
    </w:lvl>
  </w:abstractNum>
  <w:abstractNum w:abstractNumId="53">
    <w:nsid w:val="7FB7E0AA"/>
    <w:multiLevelType w:val="hybridMultilevel"/>
    <w:lvl w:ilvl="0">
      <w:lvlJc w:val="left"/>
      <w:lvlText w:val="(%1)"/>
      <w:numFmt w:val="decimal"/>
      <w:start w:val="7"/>
    </w:lvl>
  </w:abstractNum>
  <w:abstractNum w:abstractNumId="54">
    <w:nsid w:val="6EB5BD4"/>
    <w:multiLevelType w:val="hybridMultilevel"/>
    <w:lvl w:ilvl="0">
      <w:lvlJc w:val="left"/>
      <w:lvlText w:val="(%1)"/>
      <w:numFmt w:val="decimal"/>
      <w:start w:val="1"/>
    </w:lvl>
  </w:abstractNum>
  <w:abstractNum w:abstractNumId="55">
    <w:nsid w:val="6F6DD9AC"/>
    <w:multiLevelType w:val="hybridMultilevel"/>
    <w:lvl w:ilvl="0">
      <w:lvlJc w:val="left"/>
      <w:lvlText w:val="(%1)"/>
      <w:numFmt w:val="decimal"/>
      <w:start w:val="3"/>
    </w:lvl>
  </w:abstractNum>
  <w:abstractNum w:abstractNumId="56">
    <w:nsid w:val="94211F2"/>
    <w:multiLevelType w:val="hybridMultilevel"/>
    <w:lvl w:ilvl="0">
      <w:lvlJc w:val="left"/>
      <w:lvlText w:val="(%1)"/>
      <w:numFmt w:val="decimal"/>
      <w:start w:val="1"/>
    </w:lvl>
  </w:abstractNum>
  <w:abstractNum w:abstractNumId="57">
    <w:nsid w:val="885E1B"/>
    <w:multiLevelType w:val="hybridMultilevel"/>
    <w:lvl w:ilvl="0">
      <w:lvlJc w:val="left"/>
      <w:lvlText w:val="(%1)"/>
      <w:numFmt w:val="lowerLetter"/>
      <w:start w:val="2"/>
    </w:lvl>
  </w:abstractNum>
  <w:abstractNum w:abstractNumId="58">
    <w:nsid w:val="76272110"/>
    <w:multiLevelType w:val="hybridMultilevel"/>
    <w:lvl w:ilvl="0">
      <w:lvlJc w:val="left"/>
      <w:lvlText w:val="(%1)"/>
      <w:numFmt w:val="decimal"/>
      <w:start w:val="1"/>
    </w:lvl>
  </w:abstractNum>
  <w:abstractNum w:abstractNumId="59">
    <w:nsid w:val="4C04A8AF"/>
    <w:multiLevelType w:val="hybridMultilevel"/>
    <w:lvl w:ilvl="0">
      <w:lvlJc w:val="left"/>
      <w:lvlText w:val="(%1)"/>
      <w:numFmt w:val="decimal"/>
      <w:start w:val="2"/>
    </w:lvl>
  </w:abstractNum>
  <w:abstractNum w:abstractNumId="60">
    <w:nsid w:val="1716703B"/>
    <w:multiLevelType w:val="hybridMultilevel"/>
    <w:lvl w:ilvl="0">
      <w:lvlJc w:val="left"/>
      <w:lvlText w:val="(%1)"/>
      <w:numFmt w:val="lowerLetter"/>
      <w:start w:val="2"/>
    </w:lvl>
  </w:abstractNum>
  <w:abstractNum w:abstractNumId="61">
    <w:nsid w:val="14E17E33"/>
    <w:multiLevelType w:val="hybridMultilevel"/>
    <w:lvl w:ilvl="0">
      <w:lvlJc w:val="left"/>
      <w:lvlText w:val="%1."/>
      <w:numFmt w:val="decimal"/>
      <w:start w:val="1"/>
    </w:lvl>
  </w:abstractNum>
  <w:abstractNum w:abstractNumId="62">
    <w:nsid w:val="3222E7CD"/>
    <w:multiLevelType w:val="hybridMultilevel"/>
    <w:lvl w:ilvl="0">
      <w:lvlJc w:val="left"/>
      <w:lvlText w:val="%1."/>
      <w:numFmt w:val="decimal"/>
      <w:start w:val="2"/>
    </w:lvl>
  </w:abstractNum>
  <w:abstractNum w:abstractNumId="63">
    <w:nsid w:val="74DE0EE3"/>
    <w:multiLevelType w:val="hybridMultilevel"/>
    <w:lvl w:ilvl="0">
      <w:lvlJc w:val="left"/>
      <w:lvlText w:val="(%1)"/>
      <w:numFmt w:val="lowerLetter"/>
      <w:start w:val="1"/>
    </w:lvl>
  </w:abstractNum>
  <w:abstractNum w:abstractNumId="64">
    <w:nsid w:val="68EBC550"/>
    <w:multiLevelType w:val="hybridMultilevel"/>
    <w:lvl w:ilvl="0">
      <w:lvlJc w:val="left"/>
      <w:lvlText w:val="(%1)"/>
      <w:numFmt w:val="lowerLetter"/>
      <w:start w:val="7"/>
    </w:lvl>
  </w:abstractNum>
  <w:abstractNum w:abstractNumId="65">
    <w:nsid w:val="2DF6D648"/>
    <w:multiLevelType w:val="hybridMultilevel"/>
    <w:lvl w:ilvl="0">
      <w:lvlJc w:val="left"/>
      <w:lvlText w:val="(%1)"/>
      <w:numFmt w:val="lowerLetter"/>
      <w:start w:val="19"/>
    </w:lvl>
  </w:abstractNum>
  <w:abstractNum w:abstractNumId="66">
    <w:nsid w:val="46B7D447"/>
    <w:multiLevelType w:val="hybridMultilevel"/>
    <w:lvl w:ilvl="0">
      <w:lvlJc w:val="left"/>
      <w:lvlText w:val="%1."/>
      <w:numFmt w:val="decimal"/>
      <w:start w:val="3"/>
    </w:lvl>
  </w:abstractNum>
  <w:abstractNum w:abstractNumId="67">
    <w:nsid w:val="4A2AC315"/>
    <w:multiLevelType w:val="hybridMultilevel"/>
    <w:lvl w:ilvl="0">
      <w:lvlJc w:val="left"/>
      <w:lvlText w:val="%1."/>
      <w:numFmt w:val="decimal"/>
      <w:start w:val="4"/>
    </w:lvl>
  </w:abstractNum>
  <w:abstractNum w:abstractNumId="68">
    <w:nsid w:val="39EE015C"/>
    <w:multiLevelType w:val="hybridMultilevel"/>
    <w:lvl w:ilvl="0">
      <w:lvlJc w:val="left"/>
      <w:lvlText w:val="%1."/>
      <w:numFmt w:val="decimal"/>
      <w:start w:val="5"/>
    </w:lvl>
    <w:lvl w:ilvl="1">
      <w:lvlJc w:val="left"/>
      <w:lvlText w:val="(%2)"/>
      <w:numFmt w:val="lowerLetter"/>
      <w:start w:val="1"/>
    </w:lvl>
  </w:abstractNum>
  <w:abstractNum w:abstractNumId="69">
    <w:nsid w:val="57FC4FBB"/>
    <w:multiLevelType w:val="hybridMultilevel"/>
    <w:lvl w:ilvl="0">
      <w:lvlJc w:val="left"/>
      <w:lvlText w:val="%1."/>
      <w:numFmt w:val="decimal"/>
      <w:start w:val="6"/>
    </w:lvl>
    <w:lvl w:ilvl="1">
      <w:lvlJc w:val="left"/>
      <w:lvlText w:val="(%2)"/>
      <w:numFmt w:val="lowerLetter"/>
      <w:start w:val="1"/>
    </w:lvl>
  </w:abstractNum>
  <w:abstractNum w:abstractNumId="70">
    <w:nsid w:val="CC1016F"/>
    <w:multiLevelType w:val="hybridMultilevel"/>
    <w:lvl w:ilvl="0">
      <w:lvlJc w:val="left"/>
      <w:lvlText w:val="(%1)"/>
      <w:numFmt w:val="lowerLetter"/>
      <w:start w:val="4"/>
    </w:lvl>
  </w:abstractNum>
  <w:abstractNum w:abstractNumId="71">
    <w:nsid w:val="43F18422"/>
    <w:multiLevelType w:val="hybridMultilevel"/>
    <w:lvl w:ilvl="0">
      <w:lvlJc w:val="left"/>
      <w:lvlText w:val="(%1)"/>
      <w:numFmt w:val="lowerLetter"/>
      <w:start w:val="5"/>
    </w:lvl>
  </w:abstractNum>
  <w:abstractNum w:abstractNumId="72">
    <w:nsid w:val="60EF0119"/>
    <w:multiLevelType w:val="hybridMultilevel"/>
    <w:lvl w:ilvl="0">
      <w:lvlJc w:val="left"/>
      <w:lvlText w:val="%1."/>
      <w:numFmt w:val="decimal"/>
      <w:start w:val="7"/>
    </w:lvl>
  </w:abstractNum>
  <w:abstractNum w:abstractNumId="73">
    <w:nsid w:val="26F324BA"/>
    <w:multiLevelType w:val="hybridMultilevel"/>
    <w:lvl w:ilvl="0">
      <w:lvlJc w:val="left"/>
      <w:lvlText w:val="%1."/>
      <w:numFmt w:val="decimal"/>
      <w:start w:val="8"/>
    </w:lvl>
    <w:lvl w:ilvl="1">
      <w:lvlJc w:val="left"/>
      <w:lvlText w:val="(%2)"/>
      <w:numFmt w:val="lowerLetter"/>
      <w:start w:val="1"/>
    </w:lvl>
  </w:abstractNum>
  <w:abstractNum w:abstractNumId="74">
    <w:nsid w:val="7F01579B"/>
    <w:multiLevelType w:val="hybridMultilevel"/>
    <w:lvl w:ilvl="0">
      <w:lvlJc w:val="left"/>
      <w:lvlText w:val="(%1)"/>
      <w:numFmt w:val="lowerLetter"/>
      <w:start w:val="4"/>
    </w:lvl>
  </w:abstractNum>
  <w:abstractNum w:abstractNumId="75">
    <w:nsid w:val="49DA307D"/>
    <w:multiLevelType w:val="hybridMultilevel"/>
    <w:lvl w:ilvl="0">
      <w:lvlJc w:val="left"/>
      <w:lvlText w:val="%1."/>
      <w:numFmt w:val="decimal"/>
      <w:start w:val="9"/>
    </w:lvl>
  </w:abstractNum>
  <w:abstractNum w:abstractNumId="76">
    <w:nsid w:val="7055A5F5"/>
    <w:multiLevelType w:val="hybridMultilevel"/>
    <w:lvl w:ilvl="0">
      <w:lvlJc w:val="left"/>
      <w:lvlText w:val="%1."/>
      <w:numFmt w:val="decimal"/>
      <w:start w:val="10"/>
    </w:lvl>
  </w:abstractNum>
  <w:abstractNum w:abstractNumId="77">
    <w:nsid w:val="5FB8370B"/>
    <w:multiLevelType w:val="hybridMultilevel"/>
    <w:lvl w:ilvl="0">
      <w:lvlJc w:val="left"/>
      <w:lvlText w:val="%1."/>
      <w:numFmt w:val="decimal"/>
      <w:start w:val="11"/>
    </w:lvl>
  </w:abstractNum>
  <w:abstractNum w:abstractNumId="78">
    <w:nsid w:val="50801EE1"/>
    <w:multiLevelType w:val="hybridMultilevel"/>
    <w:lvl w:ilvl="0">
      <w:lvlJc w:val="left"/>
      <w:lvlText w:val="%1."/>
      <w:numFmt w:val="decimal"/>
      <w:start w:val="12"/>
    </w:lvl>
    <w:lvl w:ilvl="1">
      <w:lvlJc w:val="left"/>
      <w:lvlText w:val="(%2)"/>
      <w:numFmt w:val="lowerLetter"/>
      <w:start w:val="1"/>
    </w:lvl>
  </w:abstractNum>
  <w:abstractNum w:abstractNumId="79">
    <w:nsid w:val="488AC1A"/>
    <w:multiLevelType w:val="hybridMultilevel"/>
    <w:lvl w:ilvl="0">
      <w:lvlJc w:val="left"/>
      <w:lvlText w:val="(%1)"/>
      <w:numFmt w:val="lowerRoman"/>
      <w:start w:val="3"/>
    </w:lvl>
  </w:abstractNum>
  <w:abstractNum w:abstractNumId="80">
    <w:nsid w:val="5FB8011C"/>
    <w:multiLevelType w:val="hybridMultilevel"/>
    <w:lvl w:ilvl="0">
      <w:lvlJc w:val="left"/>
      <w:lvlText w:val="%1."/>
      <w:numFmt w:val="decimal"/>
      <w:start w:val="13"/>
    </w:lvl>
  </w:abstractNum>
  <w:abstractNum w:abstractNumId="81">
    <w:nsid w:val="6AA78F7F"/>
    <w:multiLevelType w:val="hybridMultilevel"/>
    <w:lvl w:ilvl="0">
      <w:lvlJc w:val="left"/>
      <w:lvlText w:val="%1."/>
      <w:numFmt w:val="decimal"/>
      <w:start w:val="14"/>
    </w:lvl>
  </w:abstractNum>
  <w:abstractNum w:abstractNumId="82">
    <w:nsid w:val="7672BD23"/>
    <w:multiLevelType w:val="hybridMultilevel"/>
    <w:lvl w:ilvl="0">
      <w:lvlJc w:val="left"/>
      <w:lvlText w:val="%1."/>
      <w:numFmt w:val="decimal"/>
      <w:start w:val="15"/>
    </w:lvl>
  </w:abstractNum>
  <w:abstractNum w:abstractNumId="83">
    <w:nsid w:val="6FC75AF8"/>
    <w:multiLevelType w:val="hybridMultilevel"/>
    <w:lvl w:ilvl="0">
      <w:lvlJc w:val="left"/>
      <w:lvlText w:val="%1."/>
      <w:numFmt w:val="decimal"/>
      <w:start w:val="16"/>
    </w:lvl>
    <w:lvl w:ilvl="1">
      <w:lvlJc w:val="left"/>
      <w:lvlText w:val="(%2)"/>
      <w:numFmt w:val="lowerLetter"/>
      <w:start w:val="1"/>
    </w:lvl>
  </w:abstractNum>
  <w:abstractNum w:abstractNumId="84">
    <w:nsid w:val="6A5F7029"/>
    <w:multiLevelType w:val="hybridMultilevel"/>
    <w:lvl w:ilvl="0">
      <w:lvlJc w:val="left"/>
      <w:lvlText w:val="%1"/>
      <w:numFmt w:val="decimal"/>
      <w:start w:val="1"/>
    </w:lvl>
    <w:lvl w:ilvl="1">
      <w:lvlJc w:val="left"/>
      <w:lvlText w:val="(%2)"/>
      <w:numFmt w:val="lowerLetter"/>
      <w:start w:val="3"/>
    </w:lvl>
  </w:abstractNum>
  <w:abstractNum w:abstractNumId="85">
    <w:nsid w:val="7D5E18F8"/>
    <w:multiLevelType w:val="hybridMultilevel"/>
    <w:lvl w:ilvl="0">
      <w:lvlJc w:val="left"/>
      <w:lvlText w:val="%1."/>
      <w:numFmt w:val="decimal"/>
      <w:start w:val="17"/>
    </w:lvl>
    <w:lvl w:ilvl="1">
      <w:lvlJc w:val="left"/>
      <w:lvlText w:val="%2"/>
      <w:numFmt w:val="lowerLetter"/>
      <w:start w:val="1"/>
    </w:lvl>
  </w:abstractNum>
  <w:abstractNum w:abstractNumId="86">
    <w:nsid w:val="5F3534A4"/>
    <w:multiLevelType w:val="hybridMultilevel"/>
    <w:lvl w:ilvl="0">
      <w:lvlJc w:val="left"/>
      <w:lvlText w:val="(%1)"/>
      <w:numFmt w:val="lowerLetter"/>
      <w:start w:val="3"/>
    </w:lvl>
  </w:abstractNum>
  <w:abstractNum w:abstractNumId="87">
    <w:nsid w:val="73A1821B"/>
    <w:multiLevelType w:val="hybridMultilevel"/>
    <w:lvl w:ilvl="0">
      <w:lvlJc w:val="left"/>
      <w:lvlText w:val="%1."/>
      <w:numFmt w:val="decimal"/>
      <w:start w:val="18"/>
    </w:lvl>
    <w:lvl w:ilvl="1">
      <w:lvlJc w:val="left"/>
      <w:lvlText w:val="(%2)"/>
      <w:numFmt w:val="lowerLetter"/>
      <w:start w:val="1"/>
    </w:lvl>
  </w:abstractNum>
  <w:abstractNum w:abstractNumId="88">
    <w:nsid w:val="7DE67713"/>
    <w:multiLevelType w:val="hybridMultilevel"/>
    <w:lvl w:ilvl="0">
      <w:lvlJc w:val="left"/>
      <w:lvlText w:val="%1."/>
      <w:numFmt w:val="upperLetter"/>
      <w:start w:val="9"/>
    </w:lvl>
  </w:abstractNum>
  <w:abstractNum w:abstractNumId="89">
    <w:nsid w:val="555C55B5"/>
    <w:multiLevelType w:val="hybridMultilevel"/>
    <w:lvl w:ilvl="0">
      <w:lvlJc w:val="left"/>
      <w:lvlText w:val="%1."/>
      <w:numFmt w:val="upperLetter"/>
      <w:start w:val="35"/>
    </w:lvl>
  </w:abstractNum>
  <w:abstractNum w:abstractNumId="90">
    <w:nsid w:val="3FA62ACA"/>
    <w:multiLevelType w:val="hybridMultilevel"/>
    <w:lvl w:ilvl="0">
      <w:lvlJc w:val="left"/>
      <w:lvlText w:val="%1."/>
      <w:numFmt w:val="lowerLetter"/>
      <w:start w:val="1"/>
    </w:lvl>
  </w:abstractNum>
  <w:abstractNum w:abstractNumId="91">
    <w:nsid w:val="14FCE74E"/>
    <w:multiLevelType w:val="hybridMultilevel"/>
    <w:lvl w:ilvl="0">
      <w:lvlJc w:val="left"/>
      <w:lvlText w:val="(%1)"/>
      <w:numFmt w:val="lowerRoman"/>
      <w:start w:val="1"/>
    </w:lvl>
  </w:abstractNum>
  <w:abstractNum w:abstractNumId="92">
    <w:nsid w:val="6A3DD3E8"/>
    <w:multiLevelType w:val="hybridMultilevel"/>
    <w:lvl w:ilvl="0">
      <w:lvlJc w:val="left"/>
      <w:lvlText w:val="%1."/>
      <w:numFmt w:val="lowerLetter"/>
      <w:start w:val="2"/>
    </w:lvl>
  </w:abstractNum>
  <w:abstractNum w:abstractNumId="93">
    <w:nsid w:val="71C91298"/>
    <w:multiLevelType w:val="hybridMultilevel"/>
    <w:lvl w:ilvl="0">
      <w:lvlJc w:val="left"/>
      <w:lvlText w:val="%1."/>
      <w:numFmt w:val="lowerLetter"/>
      <w:start w:val="3"/>
    </w:lvl>
  </w:abstractNum>
  <w:abstractNum w:abstractNumId="94">
    <w:nsid w:val="9DAF632"/>
    <w:multiLevelType w:val="hybridMultilevel"/>
    <w:lvl w:ilvl="0">
      <w:lvlJc w:val="left"/>
      <w:lvlText w:val="%1."/>
      <w:numFmt w:val="lowerLetter"/>
      <w:start w:val="4"/>
    </w:lvl>
  </w:abstractNum>
  <w:abstractNum w:abstractNumId="95">
    <w:nsid w:val="53299938"/>
    <w:multiLevelType w:val="hybridMultilevel"/>
    <w:lvl w:ilvl="0">
      <w:lvlJc w:val="left"/>
      <w:lvlText w:val="%1."/>
      <w:numFmt w:val="upperLetter"/>
      <w:start w:val="61"/>
    </w:lvl>
    <w:lvl w:ilvl="1">
      <w:lvlJc w:val="left"/>
      <w:lvlText w:val="%2"/>
      <w:numFmt w:val="lowerLetter"/>
      <w:start w:val="1"/>
    </w:lvl>
  </w:abstractNum>
  <w:abstractNum w:abstractNumId="96">
    <w:nsid w:val="1FBFE8E0"/>
    <w:multiLevelType w:val="hybridMultilevel"/>
    <w:lvl w:ilvl="0">
      <w:lvlJc w:val="left"/>
      <w:lvlText w:val="%1."/>
      <w:numFmt w:val="lowerLetter"/>
      <w:start w:val="2"/>
    </w:lvl>
  </w:abstractNum>
  <w:abstractNum w:abstractNumId="97">
    <w:nsid w:val="5092CA79"/>
    <w:multiLevelType w:val="hybridMultilevel"/>
    <w:lvl w:ilvl="0">
      <w:lvlJc w:val="left"/>
      <w:lvlText w:val="%1."/>
      <w:numFmt w:val="lowerLetter"/>
      <w:start w:val="1"/>
    </w:lvl>
  </w:abstractNum>
  <w:abstractNum w:abstractNumId="98">
    <w:nsid w:val="1D545C4D"/>
    <w:multiLevelType w:val="hybridMultilevel"/>
    <w:lvl w:ilvl="0">
      <w:lvlJc w:val="left"/>
      <w:lvlText w:val="%1."/>
      <w:numFmt w:val="lowerLetter"/>
      <w:start w:val="2"/>
    </w:lvl>
  </w:abstractNum>
  <w:abstractNum w:abstractNumId="99">
    <w:nsid w:val="59ADEA3D"/>
    <w:multiLevelType w:val="hybridMultilevel"/>
    <w:lvl w:ilvl="0">
      <w:lvlJc w:val="left"/>
      <w:lvlText w:val="%1."/>
      <w:numFmt w:val="lowerLetter"/>
      <w:start w:val="3"/>
    </w:lvl>
  </w:abstractNum>
  <w:abstractNum w:abstractNumId="100">
    <w:nsid w:val="288F1A34"/>
    <w:multiLevelType w:val="hybridMultilevel"/>
    <w:lvl w:ilvl="0">
      <w:lvlJc w:val="left"/>
      <w:lvlText w:val="%1."/>
      <w:numFmt w:val="lowerLetter"/>
      <w:start w:val="4"/>
    </w:lvl>
  </w:abstractNum>
  <w:abstractNum w:abstractNumId="101">
    <w:nsid w:val="2A155DBC"/>
    <w:multiLevelType w:val="hybridMultilevel"/>
    <w:lvl w:ilvl="0">
      <w:lvlJc w:val="left"/>
      <w:lvlText w:val="%1."/>
      <w:numFmt w:val="upperLetter"/>
      <w:start w:val="22"/>
    </w:lvl>
  </w:abstractNum>
  <w:abstractNum w:abstractNumId="102">
    <w:nsid w:val="1D9F6E5F"/>
    <w:multiLevelType w:val="hybridMultilevel"/>
    <w:lvl w:ilvl="0">
      <w:lvlJc w:val="left"/>
      <w:lvlText w:val="%1."/>
      <w:numFmt w:val="upperLetter"/>
      <w:start w:val="24"/>
    </w:lvl>
  </w:abstractNum>
  <w:abstractNum w:abstractNumId="103">
    <w:nsid w:val="97E1B4E"/>
    <w:multiLevelType w:val="hybridMultilevel"/>
    <w:lvl w:ilvl="0">
      <w:lvlJc w:val="left"/>
      <w:lvlText w:val="%1."/>
      <w:numFmt w:val="decimal"/>
      <w:start w:val="1"/>
    </w:lvl>
    <w:lvl w:ilvl="1">
      <w:lvlJc w:val="left"/>
      <w:lvlText w:val="(%2)"/>
      <w:numFmt w:val="lowerLetter"/>
      <w:start w:val="1"/>
    </w:lvl>
  </w:abstractNum>
  <w:abstractNum w:abstractNumId="104">
    <w:nsid w:val="51088277"/>
    <w:multiLevelType w:val="hybridMultilevel"/>
    <w:lvl w:ilvl="0">
      <w:lvlJc w:val="left"/>
      <w:lvlText w:val="%1"/>
      <w:numFmt w:val="decimal"/>
      <w:start w:val="1"/>
    </w:lvl>
    <w:lvl w:ilvl="1">
      <w:lvlJc w:val="left"/>
      <w:lvlText w:val="(%2)"/>
      <w:numFmt w:val="lowerLetter"/>
      <w:start w:val="13"/>
    </w:lvl>
  </w:abstractNum>
  <w:abstractNum w:abstractNumId="105">
    <w:nsid w:val="1CA0C5FA"/>
    <w:multiLevelType w:val="hybridMultilevel"/>
    <w:lvl w:ilvl="0">
      <w:lvlJc w:val="left"/>
      <w:lvlText w:val="%1."/>
      <w:numFmt w:val="decimal"/>
      <w:start w:val="3"/>
    </w:lvl>
    <w:lvl w:ilvl="1">
      <w:lvlJc w:val="left"/>
      <w:lvlText w:val="(%2)"/>
      <w:numFmt w:val="lowerLetter"/>
      <w:start w:val="1"/>
    </w:lvl>
  </w:abstractNum>
  <w:abstractNum w:abstractNumId="106">
    <w:nsid w:val="53584BCB"/>
    <w:multiLevelType w:val="hybridMultilevel"/>
    <w:lvl w:ilvl="0">
      <w:lvlJc w:val="left"/>
      <w:lvlText w:val="%1."/>
      <w:numFmt w:val="decimal"/>
      <w:start w:val="6"/>
    </w:lvl>
    <w:lvl w:ilvl="1">
      <w:lvlJc w:val="left"/>
      <w:lvlText w:val="(%2)"/>
      <w:numFmt w:val="lowerLetter"/>
      <w:start w:val="1"/>
    </w:lvl>
    <w:lvl w:ilvl="2">
      <w:lvlJc w:val="left"/>
      <w:lvlText w:val="(%3)"/>
      <w:numFmt w:val="lowerLetter"/>
      <w:start w:val="35"/>
    </w:lvl>
  </w:abstractNum>
  <w:abstractNum w:abstractNumId="107">
    <w:nsid w:val="415E286C"/>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abstractNum>
  <w:abstractNum w:abstractNumId="108">
    <w:nsid w:val="7C58FD05"/>
    <w:multiLevelType w:val="hybridMultilevel"/>
    <w:lvl w:ilvl="0">
      <w:lvlJc w:val="left"/>
      <w:lvlText w:val="%1."/>
      <w:numFmt w:val="decimal"/>
      <w:start w:val="9"/>
    </w:lvl>
    <w:lvl w:ilvl="1">
      <w:lvlJc w:val="left"/>
      <w:lvlText w:val="%2"/>
      <w:numFmt w:val="lowerLetter"/>
      <w:start w:val="1"/>
    </w:lvl>
    <w:lvl w:ilvl="2">
      <w:lvlJc w:val="left"/>
      <w:lvlText w:val="%3"/>
      <w:numFmt w:val="lowerRoman"/>
      <w:start w:val="1"/>
    </w:lvl>
  </w:abstractNum>
  <w:abstractNum w:abstractNumId="109">
    <w:nsid w:val="23D86AAC"/>
    <w:multiLevelType w:val="hybridMultilevel"/>
    <w:lvl w:ilvl="0">
      <w:lvlJc w:val="left"/>
      <w:lvlText w:val="%1."/>
      <w:numFmt w:val="decimal"/>
      <w:start w:val="11"/>
    </w:lvl>
    <w:lvl w:ilvl="1">
      <w:lvlJc w:val="left"/>
      <w:lvlText w:val="(%2)"/>
      <w:numFmt w:val="lowerLetter"/>
      <w:start w:val="1"/>
    </w:lvl>
  </w:abstractNum>
  <w:abstractNum w:abstractNumId="110">
    <w:nsid w:val="45E6D486"/>
    <w:multiLevelType w:val="hybridMultilevel"/>
    <w:lvl w:ilvl="0">
      <w:lvlJc w:val="left"/>
      <w:lvlText w:val="$"/>
      <w:numFmt w:val="bullet"/>
      <w:start w:val="1"/>
    </w:lvl>
  </w:abstractNum>
  <w:abstractNum w:abstractNumId="111">
    <w:nsid w:val="5C10FE21"/>
    <w:multiLevelType w:val="hybridMultilevel"/>
    <w:lvl w:ilvl="0">
      <w:lvlJc w:val="left"/>
      <w:lvlText w:val="$"/>
      <w:numFmt w:val="bullet"/>
      <w:start w:val="1"/>
    </w:lvl>
  </w:abstractNum>
  <w:abstractNum w:abstractNumId="112">
    <w:nsid w:val="E7FFA2B"/>
    <w:multiLevelType w:val="hybridMultilevel"/>
    <w:lvl w:ilvl="0">
      <w:lvlJc w:val="left"/>
      <w:lvlText w:val="$"/>
      <w:numFmt w:val="bullet"/>
      <w:start w:val="1"/>
    </w:lvl>
  </w:abstractNum>
  <w:abstractNum w:abstractNumId="113">
    <w:nsid w:val="3C5991AA"/>
    <w:multiLevelType w:val="hybridMultilevel"/>
    <w:lvl w:ilvl="0">
      <w:lvlJc w:val="left"/>
      <w:lvlText w:val="$"/>
      <w:numFmt w:val="bullet"/>
      <w:start w:val="1"/>
    </w:lvl>
  </w:abstractNum>
  <w:abstractNum w:abstractNumId="114">
    <w:nsid w:val="4BD8591A"/>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jpe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jpe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jpeg"/><Relationship Id="rId70" Type="http://schemas.openxmlformats.org/officeDocument/2006/relationships/image" Target="media/image63.jpe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jpeg"/><Relationship Id="rId86" Type="http://schemas.openxmlformats.org/officeDocument/2006/relationships/image" Target="media/image79.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2019-12-06T20:56:48Z</dcterms:created>
  <dcterms:modified xsi:type="dcterms:W3CDTF">2019-12-06T20:56:48Z</dcterms:modified>
</cp:coreProperties>
</file>