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ind w:left="0" w:right="0" w:firstLine="3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00"/>
        <w:ind w:left="0" w:right="0" w:firstLine="360"/>
        <w:jc w:val="center"/>
        <w:rPr/>
      </w:pPr>
      <w:r>
        <w:rPr>
          <w:color w:val="000000"/>
        </w:rPr>
        <w:t> </w:t>
      </w:r>
      <w:r>
        <w:rPr>
          <w:rFonts w:ascii="Times New Roman;serif" w:hAnsi="Times New Roman;serif"/>
          <w:b/>
          <w:color w:val="000000"/>
          <w:sz w:val="20"/>
        </w:rPr>
        <w:t>Washington, D.C. 20549</w:t>
      </w:r>
    </w:p>
    <w:p>
      <w:pPr>
        <w:pStyle w:val="TextBody"/>
        <w:bidi w:val="0"/>
        <w:spacing w:lineRule="auto" w:line="288" w:before="0" w:after="200"/>
        <w:ind w:left="0" w:right="0" w:firstLine="360"/>
        <w:jc w:val="center"/>
        <w:rPr>
          <w:rFonts w:ascii="Times New Roman;serif" w:hAnsi="Times New Roman;serif"/>
          <w:b/>
          <w:color w:val="000000"/>
          <w:sz w:val="36"/>
        </w:rPr>
      </w:pPr>
      <w:r>
        <w:rPr>
          <w:rFonts w:ascii="Times New Roman;serif" w:hAnsi="Times New Roman;serif"/>
          <w:b/>
          <w:color w:val="000000"/>
          <w:sz w:val="36"/>
        </w:rPr>
        <w:t xml:space="preserve">FORM 10-K </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200"/>
        <w:ind w:left="0" w:right="0" w:firstLine="3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Commission file number 0-24531 </w:t>
      </w:r>
    </w:p>
    <w:p>
      <w:pPr>
        <w:pStyle w:val="TextBody"/>
        <w:bidi w:val="0"/>
        <w:spacing w:before="0" w:after="200"/>
        <w:ind w:left="0" w:right="0" w:firstLine="360"/>
        <w:jc w:val="center"/>
        <w:rPr/>
      </w:pPr>
      <w:r>
        <w:rPr/>
        <w:drawing>
          <wp:inline distT="0" distB="0" distL="0" distR="0">
            <wp:extent cx="42862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733425"/>
                    </a:xfrm>
                    <a:prstGeom prst="rect">
                      <a:avLst/>
                    </a:prstGeom>
                  </pic:spPr>
                </pic:pic>
              </a:graphicData>
            </a:graphic>
          </wp:inline>
        </w:drawing>
      </w:r>
      <w:bookmarkStart w:id="0" w:name="i-1"/>
      <w:bookmarkEnd w:id="0"/>
    </w:p>
    <w:p>
      <w:pPr>
        <w:pStyle w:val="TextBody"/>
        <w:bidi w:val="0"/>
        <w:spacing w:lineRule="auto" w:line="288" w:before="0" w:after="200"/>
        <w:ind w:left="0" w:right="0" w:firstLine="360"/>
        <w:jc w:val="center"/>
        <w:rPr>
          <w:rFonts w:ascii="Times New Roman;serif" w:hAnsi="Times New Roman;serif"/>
          <w:b/>
          <w:color w:val="000000"/>
          <w:sz w:val="36"/>
          <w:u w:val="single"/>
        </w:rPr>
      </w:pPr>
      <w:r>
        <w:rPr>
          <w:rFonts w:ascii="Times New Roman;serif" w:hAnsi="Times New Roman;serif"/>
          <w:b/>
          <w:color w:val="000000"/>
          <w:sz w:val="36"/>
          <w:u w:val="single"/>
        </w:rPr>
        <w:t>CoStar Group, Inc.</w:t>
      </w:r>
    </w:p>
    <w:p>
      <w:pPr>
        <w:pStyle w:val="TextBody"/>
        <w:bidi w:val="0"/>
        <w:spacing w:lineRule="auto" w:line="288" w:before="0" w:after="20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7481" w:type="dxa"/>
        <w:jc w:val="center"/>
        <w:tblInd w:w="0" w:type="dxa"/>
        <w:tblLayout w:type="fixed"/>
        <w:tblCellMar>
          <w:top w:w="28" w:type="dxa"/>
          <w:left w:w="28" w:type="dxa"/>
          <w:bottom w:w="28" w:type="dxa"/>
          <w:right w:w="28" w:type="dxa"/>
        </w:tblCellMar>
      </w:tblPr>
      <w:tblGrid>
        <w:gridCol w:w="1617"/>
        <w:gridCol w:w="1420"/>
        <w:gridCol w:w="1432"/>
        <w:gridCol w:w="109"/>
        <w:gridCol w:w="109"/>
        <w:gridCol w:w="109"/>
        <w:gridCol w:w="784"/>
        <w:gridCol w:w="784"/>
        <w:gridCol w:w="1117"/>
      </w:tblGrid>
      <w:tr>
        <w:trPr/>
        <w:tc>
          <w:tcPr>
            <w:tcW w:w="16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52-2091509</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i/>
                <w:color w:val="000000"/>
                <w:sz w:val="18"/>
              </w:rPr>
              <w:t>(State or other jurisdiction of</w:t>
            </w:r>
            <w:r>
              <w:rPr>
                <w:color w:val="000000"/>
              </w:rPr>
              <w:t xml:space="preserve"> </w:t>
            </w:r>
            <w:r>
              <w:rPr>
                <w:rFonts w:ascii="Times New Roman;serif" w:hAnsi="Times New Roman;serif"/>
                <w:b w:val="false"/>
                <w:i/>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i/>
                <w:color w:val="000000"/>
                <w:sz w:val="18"/>
              </w:rPr>
              <w:t>(I.R.S. Employer</w:t>
            </w:r>
            <w:r>
              <w:rPr>
                <w:color w:val="000000"/>
              </w:rPr>
              <w:t xml:space="preserve"> </w:t>
            </w:r>
            <w:r>
              <w:rPr>
                <w:rFonts w:ascii="Times New Roman;serif" w:hAnsi="Times New Roman;serif"/>
                <w:b w:val="false"/>
                <w:i/>
                <w:color w:val="000000"/>
                <w:sz w:val="18"/>
              </w:rPr>
              <w:t>Identification No.)</w:t>
            </w:r>
          </w:p>
        </w:tc>
      </w:tr>
    </w:tbl>
    <w:tbl>
      <w:tblPr>
        <w:tblW w:w="2150" w:type="dxa"/>
        <w:jc w:val="center"/>
        <w:tblInd w:w="0" w:type="dxa"/>
        <w:tblLayout w:type="fixed"/>
        <w:tblCellMar>
          <w:top w:w="28" w:type="dxa"/>
          <w:left w:w="28" w:type="dxa"/>
          <w:bottom w:w="28" w:type="dxa"/>
          <w:right w:w="28" w:type="dxa"/>
        </w:tblCellMar>
      </w:tblPr>
      <w:tblGrid>
        <w:gridCol w:w="342"/>
        <w:gridCol w:w="301"/>
        <w:gridCol w:w="303"/>
        <w:gridCol w:w="176"/>
        <w:gridCol w:w="176"/>
        <w:gridCol w:w="176"/>
        <w:gridCol w:w="198"/>
        <w:gridCol w:w="198"/>
        <w:gridCol w:w="28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50" w:type="dxa"/>
            <w:gridSpan w:val="9"/>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1201 Wilson Blvd</w:t>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Arlington</w:t>
            </w:r>
          </w:p>
        </w:tc>
        <w:tc>
          <w:tcPr>
            <w:tcW w:w="52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VA</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22209</w:t>
            </w:r>
          </w:p>
        </w:tc>
      </w:tr>
    </w:tbl>
    <w:p>
      <w:pPr>
        <w:pStyle w:val="TextBody"/>
        <w:bidi w:val="0"/>
        <w:spacing w:lineRule="auto" w:line="288" w:before="0" w:after="20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(zip code)</w:t>
      </w:r>
    </w:p>
    <w:p>
      <w:pPr>
        <w:pStyle w:val="TextBody"/>
        <w:bidi w:val="0"/>
        <w:spacing w:lineRule="auto" w:line="288" w:before="0" w:after="6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(202) 346-6500 </w:t>
      </w:r>
    </w:p>
    <w:p>
      <w:pPr>
        <w:pStyle w:val="TextBody"/>
        <w:bidi w:val="0"/>
        <w:spacing w:lineRule="auto" w:line="288" w:before="0" w:after="20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0" w:after="200"/>
        <w:ind w:left="0" w:right="0" w:firstLine="360"/>
        <w:jc w:val="both"/>
        <w:rPr>
          <w:color w:val="000000"/>
        </w:rPr>
      </w:pPr>
      <w:r>
        <w:rPr>
          <w:color w:val="000000"/>
        </w:rPr>
        <w:t> </w:t>
      </w:r>
      <w:r>
        <w:rPr>
          <w:rFonts w:ascii="Times New Roman;serif" w:hAnsi="Times New Roman;serif"/>
          <w:b w:val="false"/>
          <w:color w:val="000000"/>
          <w:sz w:val="20"/>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013"/>
        <w:gridCol w:w="890"/>
        <w:gridCol w:w="901"/>
        <w:gridCol w:w="499"/>
        <w:gridCol w:w="499"/>
        <w:gridCol w:w="501"/>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CSGP</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0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0" w:after="200"/>
        <w:ind w:left="0" w:right="0" w:firstLine="36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200"/>
        <w:ind w:left="0" w:right="0" w:firstLine="36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345" w:before="0" w:after="200"/>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r>
        <w:rPr>
          <w:color w:val="000000"/>
        </w:rPr>
        <w:t> </w:t>
      </w:r>
    </w:p>
    <w:p>
      <w:pPr>
        <w:pStyle w:val="TextBody"/>
        <w:bidi w:val="0"/>
        <w:spacing w:lineRule="auto" w:line="345" w:before="0" w:after="200"/>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r>
        <w:rPr>
          <w:color w:val="000000"/>
        </w:rPr>
        <w:t> </w:t>
      </w:r>
    </w:p>
    <w:p>
      <w:pPr>
        <w:pStyle w:val="TextBody"/>
        <w:bidi w:val="0"/>
        <w:spacing w:lineRule="auto" w:line="288" w:before="0" w:after="2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19" w:type="dxa"/>
        <w:jc w:val="center"/>
        <w:tblInd w:w="0" w:type="dxa"/>
        <w:tblLayout w:type="fixed"/>
        <w:tblCellMar>
          <w:top w:w="28" w:type="dxa"/>
          <w:left w:w="28" w:type="dxa"/>
          <w:bottom w:w="28" w:type="dxa"/>
          <w:right w:w="28" w:type="dxa"/>
        </w:tblCellMar>
      </w:tblPr>
      <w:tblGrid>
        <w:gridCol w:w="608"/>
        <w:gridCol w:w="535"/>
        <w:gridCol w:w="537"/>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bl>
    <w:p>
      <w:pPr>
        <w:pStyle w:val="TextBody"/>
        <w:bidi w:val="0"/>
        <w:spacing w:lineRule="auto" w:line="288" w:before="0" w:after="200"/>
        <w:ind w:left="0" w:right="0" w:firstLine="360"/>
        <w:jc w:val="center"/>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200"/>
        <w:ind w:left="0" w:right="0" w:firstLine="360"/>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lineRule="auto" w:line="288" w:before="0" w:after="200"/>
        <w:ind w:left="0" w:right="0" w:firstLine="360"/>
        <w:jc w:val="both"/>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0" w:after="200"/>
        <w:ind w:left="0" w:right="0" w:firstLine="360"/>
        <w:jc w:val="both"/>
        <w:rPr/>
      </w:pPr>
      <w:r>
        <w:rPr>
          <w:rFonts w:ascii="Times New Roman;serif" w:hAnsi="Times New Roman;serif"/>
          <w:b w:val="false"/>
          <w:color w:val="000000"/>
          <w:sz w:val="18"/>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0" w:after="200"/>
        <w:ind w:left="0" w:right="0" w:firstLine="360"/>
        <w:jc w:val="both"/>
        <w:rPr/>
      </w:pPr>
      <w:r>
        <w:rPr>
          <w:rFonts w:ascii="Times New Roman;serif" w:hAnsi="Times New Roman;serif"/>
          <w:b w:val="false"/>
          <w:color w:val="000000"/>
          <w:sz w:val="18"/>
        </w:rPr>
        <w:t>Indicate by check mark whether the registrant is a shell company (as defined in Rule 12b-2 of the Act). Yes ☐   No </w:t>
      </w:r>
      <w:r>
        <w:rPr>
          <w:rFonts w:ascii="Wingdings;sans-serif" w:hAnsi="Wingdings;sans-serif"/>
          <w:b w:val="false"/>
          <w:color w:val="000000"/>
          <w:sz w:val="18"/>
        </w:rPr>
        <w:t>x</w:t>
      </w:r>
    </w:p>
    <w:p>
      <w:pPr>
        <w:pStyle w:val="TextBody"/>
        <w:bidi w:val="0"/>
        <w:spacing w:lineRule="auto" w:line="288" w:before="0" w:after="2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2025, the aggregate market value of the common stock (based upon the closing price of the stock on the Nasdaq Global Select Market) of the registrant held by non-affiliates was approximately $33.9 billion. As of February 20, 2026, 419,793,301 shares of common stock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2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which is expected to be filed with the Securities and Exchange Commission within 120 days after the end of the registrant’s fiscal year ended December 31, 2025 are incorporated by reference into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7"/>
        <w:gridCol w:w="287"/>
        <w:gridCol w:w="289"/>
        <w:gridCol w:w="2970"/>
        <w:gridCol w:w="2950"/>
        <w:gridCol w:w="2961"/>
        <w:gridCol w:w="122"/>
        <w:gridCol w:w="122"/>
        <w:gridCol w:w="177"/>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3">
              <w:r>
                <w:rPr>
                  <w:rStyle w:val="InternetLink"/>
                  <w:rFonts w:ascii="Times New Roman;serif" w:hAnsi="Times New Roman;serif"/>
                  <w:b w:val="false"/>
                  <w:color w:val="0000FF"/>
                  <w:sz w:val="20"/>
                  <w:u w:val="single"/>
                </w:rPr>
                <w:t>Glossary of Terms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3">
              <w:r>
                <w:rPr>
                  <w:rStyle w:val="InternetLink"/>
                  <w:rFonts w:ascii="Times New Roman;serif" w:hAnsi="Times New Roman;serif"/>
                  <w:b w:val="false"/>
                  <w:color w:val="0000FF"/>
                  <w:sz w:val="20"/>
                  <w:u w:val="single"/>
                </w:rPr>
                <w:t>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9">
              <w:r>
                <w:rPr>
                  <w:rStyle w:val="InternetLink"/>
                  <w:rFonts w:ascii="Times New Roman;serif" w:hAnsi="Times New Roman;serif"/>
                  <w:b w:val="false"/>
                  <w:color w:val="0000FF"/>
                  <w:sz w:val="20"/>
                  <w:u w:val="single"/>
                </w:rPr>
                <w:t>Business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9">
              <w:r>
                <w:rPr>
                  <w:rStyle w:val="InternetLink"/>
                  <w:rFonts w:ascii="Times New Roman;serif" w:hAnsi="Times New Roman;serif"/>
                  <w:b w:val="false"/>
                  <w:color w:val="0000FF"/>
                  <w:sz w:val="20"/>
                  <w:u w:val="single"/>
                </w:rPr>
                <w:t>8</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22">
              <w:r>
                <w:rPr>
                  <w:rStyle w:val="InternetLink"/>
                  <w:rFonts w:ascii="Times New Roman;serif" w:hAnsi="Times New Roman;serif"/>
                  <w:b w:val="false"/>
                  <w:color w:val="0000FF"/>
                  <w:sz w:val="20"/>
                  <w:u w:val="single"/>
                </w:rPr>
                <w:t>Risk Factors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22">
              <w:r>
                <w:rPr>
                  <w:rStyle w:val="InternetLink"/>
                  <w:rFonts w:ascii="Times New Roman;serif" w:hAnsi="Times New Roman;serif"/>
                  <w:b w:val="false"/>
                  <w:color w:val="0000FF"/>
                  <w:sz w:val="20"/>
                  <w:u w:val="single"/>
                </w:rPr>
                <w:t>16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25">
              <w:r>
                <w:rPr>
                  <w:rStyle w:val="InternetLink"/>
                  <w:rFonts w:ascii="Times New Roman;serif" w:hAnsi="Times New Roman;serif"/>
                  <w:b w:val="false"/>
                  <w:color w:val="0000FF"/>
                  <w:sz w:val="20"/>
                  <w:u w:val="single"/>
                </w:rPr>
                <w:t>Unresolved Staff Comments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25">
              <w:r>
                <w:rPr>
                  <w:rStyle w:val="InternetLink"/>
                  <w:rFonts w:ascii="Times New Roman;serif" w:hAnsi="Times New Roman;serif"/>
                  <w:b w:val="false"/>
                  <w:color w:val="0000FF"/>
                  <w:sz w:val="20"/>
                  <w:u w:val="single"/>
                </w:rPr>
                <w:t>34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28">
              <w:r>
                <w:rPr>
                  <w:rStyle w:val="InternetLink"/>
                  <w:rFonts w:ascii="Times New Roman;serif" w:hAnsi="Times New Roman;serif"/>
                  <w:b w:val="false"/>
                  <w:color w:val="0000FF"/>
                  <w:sz w:val="20"/>
                  <w:u w:val="single"/>
                </w:rPr>
                <w:t>Cybersecurity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28">
              <w:r>
                <w:rPr>
                  <w:rStyle w:val="InternetLink"/>
                  <w:rFonts w:ascii="Times New Roman;serif" w:hAnsi="Times New Roman;serif"/>
                  <w:b w:val="false"/>
                  <w:color w:val="0000FF"/>
                  <w:sz w:val="20"/>
                  <w:u w:val="single"/>
                </w:rPr>
                <w:t>34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31">
              <w:r>
                <w:rPr>
                  <w:rStyle w:val="InternetLink"/>
                  <w:rFonts w:ascii="Times New Roman;serif" w:hAnsi="Times New Roman;serif"/>
                  <w:b w:val="false"/>
                  <w:color w:val="0000FF"/>
                  <w:sz w:val="20"/>
                  <w:u w:val="single"/>
                </w:rPr>
                <w:t>Properties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31">
              <w:r>
                <w:rPr>
                  <w:rStyle w:val="InternetLink"/>
                  <w:rFonts w:ascii="Times New Roman;serif" w:hAnsi="Times New Roman;serif"/>
                  <w:b w:val="false"/>
                  <w:color w:val="0000FF"/>
                  <w:sz w:val="20"/>
                  <w:u w:val="single"/>
                </w:rPr>
                <w:t>36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34">
              <w:r>
                <w:rPr>
                  <w:rStyle w:val="InternetLink"/>
                  <w:rFonts w:ascii="Times New Roman;serif" w:hAnsi="Times New Roman;serif"/>
                  <w:b w:val="false"/>
                  <w:color w:val="0000FF"/>
                  <w:sz w:val="20"/>
                  <w:u w:val="single"/>
                </w:rPr>
                <w:t>Legal Proceedings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34">
              <w:r>
                <w:rPr>
                  <w:rStyle w:val="InternetLink"/>
                  <w:rFonts w:ascii="Times New Roman;serif" w:hAnsi="Times New Roman;serif"/>
                  <w:b w:val="false"/>
                  <w:color w:val="0000FF"/>
                  <w:sz w:val="20"/>
                  <w:u w:val="single"/>
                </w:rPr>
                <w:t>36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37">
              <w:r>
                <w:rPr>
                  <w:rStyle w:val="InternetLink"/>
                  <w:rFonts w:ascii="Times New Roman;serif" w:hAnsi="Times New Roman;serif"/>
                  <w:b w:val="false"/>
                  <w:color w:val="0000FF"/>
                  <w:sz w:val="20"/>
                  <w:u w:val="single"/>
                </w:rPr>
                <w:t>Mine Safety Disclosures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37">
              <w:r>
                <w:rPr>
                  <w:rStyle w:val="InternetLink"/>
                  <w:rFonts w:ascii="Times New Roman;serif" w:hAnsi="Times New Roman;serif"/>
                  <w:b w:val="false"/>
                  <w:color w:val="0000FF"/>
                  <w:sz w:val="20"/>
                  <w:u w:val="single"/>
                </w:rPr>
                <w:t>36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II</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43">
              <w:r>
                <w:rPr>
                  <w:rStyle w:val="InternetLink"/>
                  <w:rFonts w:ascii="Times New Roman;serif" w:hAnsi="Times New Roman;serif"/>
                  <w:b w:val="false"/>
                  <w:color w:val="0000FF"/>
                  <w:sz w:val="20"/>
                  <w:u w:val="single"/>
                </w:rPr>
                <w:t>36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46">
              <w:r>
                <w:rPr>
                  <w:rStyle w:val="InternetLink"/>
                  <w:rFonts w:ascii="Times New Roman;serif" w:hAnsi="Times New Roman;serif"/>
                  <w:b w:val="false"/>
                  <w:color w:val="0000FF"/>
                  <w:sz w:val="20"/>
                  <w:u w:val="single"/>
                </w:rPr>
                <w:t>Reserved</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46">
              <w:r>
                <w:rPr>
                  <w:rStyle w:val="InternetLink"/>
                  <w:rFonts w:ascii="Times New Roman;serif" w:hAnsi="Times New Roman;serif"/>
                  <w:b w:val="false"/>
                  <w:color w:val="0000FF"/>
                  <w:sz w:val="20"/>
                  <w:u w:val="single"/>
                </w:rPr>
                <w:t>38</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49">
              <w:r>
                <w:rPr>
                  <w:rStyle w:val="InternetLink"/>
                  <w:rFonts w:ascii="Times New Roman;serif" w:hAnsi="Times New Roman;serif"/>
                  <w:b w:val="false"/>
                  <w:color w:val="0000FF"/>
                  <w:sz w:val="20"/>
                  <w:u w:val="single"/>
                </w:rPr>
                <w:t>38</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82">
              <w:r>
                <w:rPr>
                  <w:rStyle w:val="InternetLink"/>
                  <w:rFonts w:ascii="Times New Roman;serif" w:hAnsi="Times New Roman;serif"/>
                  <w:b w:val="false"/>
                  <w:color w:val="0000FF"/>
                  <w:sz w:val="20"/>
                  <w:u w:val="single"/>
                </w:rPr>
                <w:t>Quantitative and Qualitative Disclosures about Market Risk</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82">
              <w:r>
                <w:rPr>
                  <w:rStyle w:val="InternetLink"/>
                  <w:rFonts w:ascii="Times New Roman;serif" w:hAnsi="Times New Roman;serif"/>
                  <w:b w:val="false"/>
                  <w:color w:val="0000FF"/>
                  <w:sz w:val="20"/>
                  <w:u w:val="single"/>
                </w:rPr>
                <w:t>51</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85">
              <w:r>
                <w:rPr>
                  <w:rStyle w:val="InternetLink"/>
                  <w:rFonts w:ascii="Times New Roman;serif" w:hAnsi="Times New Roman;serif"/>
                  <w:b w:val="false"/>
                  <w:color w:val="0000FF"/>
                  <w:sz w:val="20"/>
                  <w:u w:val="single"/>
                </w:rPr>
                <w:t>Financial Statements and Supplementary Data</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85">
              <w:r>
                <w:rPr>
                  <w:rStyle w:val="InternetLink"/>
                  <w:rFonts w:ascii="Times New Roman;serif" w:hAnsi="Times New Roman;serif"/>
                  <w:b w:val="false"/>
                  <w:color w:val="0000FF"/>
                  <w:sz w:val="20"/>
                  <w:u w:val="single"/>
                </w:rPr>
                <w:t>52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8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88">
              <w:r>
                <w:rPr>
                  <w:rStyle w:val="InternetLink"/>
                  <w:rFonts w:ascii="Times New Roman;serif" w:hAnsi="Times New Roman;serif"/>
                  <w:b w:val="false"/>
                  <w:color w:val="0000FF"/>
                  <w:sz w:val="20"/>
                  <w:u w:val="single"/>
                </w:rPr>
                <w:t>52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91">
              <w:r>
                <w:rPr>
                  <w:rStyle w:val="InternetLink"/>
                  <w:rFonts w:ascii="Times New Roman;serif" w:hAnsi="Times New Roman;serif"/>
                  <w:b w:val="false"/>
                  <w:color w:val="0000FF"/>
                  <w:sz w:val="20"/>
                  <w:u w:val="single"/>
                </w:rPr>
                <w:t>Controls and Procedures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91">
              <w:r>
                <w:rPr>
                  <w:rStyle w:val="InternetLink"/>
                  <w:rFonts w:ascii="Times New Roman;serif" w:hAnsi="Times New Roman;serif"/>
                  <w:b w:val="false"/>
                  <w:color w:val="0000FF"/>
                  <w:sz w:val="20"/>
                  <w:u w:val="single"/>
                </w:rPr>
                <w:t>52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94">
              <w:r>
                <w:rPr>
                  <w:rStyle w:val="InternetLink"/>
                  <w:rFonts w:ascii="Times New Roman;serif" w:hAnsi="Times New Roman;serif"/>
                  <w:b w:val="false"/>
                  <w:color w:val="0000FF"/>
                  <w:sz w:val="20"/>
                  <w:u w:val="single"/>
                </w:rPr>
                <w:t>Other Information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94">
              <w:r>
                <w:rPr>
                  <w:rStyle w:val="InternetLink"/>
                  <w:rFonts w:ascii="Times New Roman;serif" w:hAnsi="Times New Roman;serif"/>
                  <w:b w:val="false"/>
                  <w:color w:val="0000FF"/>
                  <w:sz w:val="20"/>
                  <w:u w:val="single"/>
                </w:rPr>
                <w:t>53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97">
              <w:r>
                <w:rPr>
                  <w:rStyle w:val="InternetLink"/>
                  <w:rFonts w:ascii="Times New Roman;serif" w:hAnsi="Times New Roman;serif"/>
                  <w:b w:val="false"/>
                  <w:color w:val="0000FF"/>
                  <w:sz w:val="20"/>
                  <w:u w:val="single"/>
                </w:rPr>
                <w:t>Disclosure Regarding Foreign Jurisdictions that Prevent Inspections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94">
              <w:r>
                <w:rPr>
                  <w:rStyle w:val="InternetLink"/>
                  <w:rFonts w:ascii="Times New Roman;serif" w:hAnsi="Times New Roman;serif"/>
                  <w:b w:val="false"/>
                  <w:color w:val="0000FF"/>
                  <w:sz w:val="20"/>
                  <w:u w:val="single"/>
                </w:rPr>
                <w:t>53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III</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03">
              <w:r>
                <w:rPr>
                  <w:rStyle w:val="InternetLink"/>
                  <w:rFonts w:ascii="Times New Roman;serif" w:hAnsi="Times New Roman;serif"/>
                  <w:b w:val="false"/>
                  <w:color w:val="0000FF"/>
                  <w:sz w:val="20"/>
                  <w:u w:val="single"/>
                </w:rPr>
                <w:t>Directors, Executive Officers, and Corporate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03">
              <w:r>
                <w:rPr>
                  <w:rStyle w:val="InternetLink"/>
                  <w:rFonts w:ascii="Times New Roman;serif" w:hAnsi="Times New Roman;serif"/>
                  <w:b w:val="false"/>
                  <w:color w:val="0000FF"/>
                  <w:sz w:val="20"/>
                  <w:u w:val="singl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06">
              <w:r>
                <w:rPr>
                  <w:rStyle w:val="InternetLink"/>
                  <w:rFonts w:ascii="Times New Roman;serif" w:hAnsi="Times New Roman;serif"/>
                  <w:b w:val="false"/>
                  <w:color w:val="0000FF"/>
                  <w:sz w:val="20"/>
                  <w:u w:val="single"/>
                </w:rPr>
                <w:t>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06">
              <w:r>
                <w:rPr>
                  <w:rStyle w:val="InternetLink"/>
                  <w:rFonts w:ascii="Times New Roman;serif" w:hAnsi="Times New Roman;serif"/>
                  <w:b w:val="false"/>
                  <w:color w:val="0000FF"/>
                  <w:sz w:val="20"/>
                  <w:u w:val="singl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0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09">
              <w:r>
                <w:rPr>
                  <w:rStyle w:val="InternetLink"/>
                  <w:rFonts w:ascii="Times New Roman;serif" w:hAnsi="Times New Roman;serif"/>
                  <w:b w:val="false"/>
                  <w:color w:val="0000FF"/>
                  <w:sz w:val="20"/>
                  <w:u w:val="singl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12">
              <w:r>
                <w:rPr>
                  <w:rStyle w:val="InternetLink"/>
                  <w:rFonts w:ascii="Times New Roman;serif" w:hAnsi="Times New Roman;serif"/>
                  <w:b w:val="false"/>
                  <w:color w:val="0000FF"/>
                  <w:sz w:val="20"/>
                  <w:u w:val="single"/>
                </w:rPr>
                <w:t>Certain Relationships and Related Transactions, and Director Independence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12">
              <w:r>
                <w:rPr>
                  <w:rStyle w:val="InternetLink"/>
                  <w:rFonts w:ascii="Times New Roman;serif" w:hAnsi="Times New Roman;serif"/>
                  <w:b w:val="false"/>
                  <w:color w:val="0000FF"/>
                  <w:sz w:val="20"/>
                  <w:u w:val="singl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15">
              <w:r>
                <w:rPr>
                  <w:rStyle w:val="InternetLink"/>
                  <w:rFonts w:ascii="Times New Roman;serif" w:hAnsi="Times New Roman;serif"/>
                  <w:b w:val="false"/>
                  <w:color w:val="0000FF"/>
                  <w:sz w:val="20"/>
                  <w:u w:val="single"/>
                </w:rPr>
                <w:t>Principal Accountant Fees and Services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15">
              <w:r>
                <w:rPr>
                  <w:rStyle w:val="InternetLink"/>
                  <w:rFonts w:ascii="Times New Roman;serif" w:hAnsi="Times New Roman;serif"/>
                  <w:b w:val="false"/>
                  <w:color w:val="0000FF"/>
                  <w:sz w:val="20"/>
                  <w:u w:val="singl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PART IV</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21">
              <w:r>
                <w:rPr>
                  <w:rStyle w:val="InternetLink"/>
                  <w:rFonts w:ascii="Times New Roman;serif" w:hAnsi="Times New Roman;serif"/>
                  <w:b w:val="false"/>
                  <w:color w:val="0000FF"/>
                  <w:sz w:val="20"/>
                  <w:u w:val="single"/>
                </w:rPr>
                <w:t>Exhibits and Financial Statement Schedules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21">
              <w:r>
                <w:rPr>
                  <w:rStyle w:val="InternetLink"/>
                  <w:rFonts w:ascii="Times New Roman;serif" w:hAnsi="Times New Roman;serif"/>
                  <w:b w:val="false"/>
                  <w:color w:val="0000FF"/>
                  <w:sz w:val="20"/>
                  <w:u w:val="single"/>
                </w:rPr>
                <w:t>55</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24">
              <w:r>
                <w:rPr>
                  <w:rStyle w:val="InternetLink"/>
                  <w:rFonts w:ascii="Times New Roman;serif" w:hAnsi="Times New Roman;serif"/>
                  <w:b w:val="false"/>
                  <w:color w:val="0000FF"/>
                  <w:sz w:val="20"/>
                  <w:u w:val="single"/>
                </w:rPr>
                <w:t>Form 10-K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24">
              <w:r>
                <w:rPr>
                  <w:rStyle w:val="InternetLink"/>
                  <w:rFonts w:ascii="Times New Roman;serif" w:hAnsi="Times New Roman;serif"/>
                  <w:b w:val="false"/>
                  <w:color w:val="0000FF"/>
                  <w:sz w:val="20"/>
                  <w:u w:val="single"/>
                </w:rPr>
                <w:t>57</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27">
              <w:r>
                <w:rPr>
                  <w:rStyle w:val="InternetLink"/>
                  <w:rFonts w:ascii="Times New Roman;serif" w:hAnsi="Times New Roman;serif"/>
                  <w:b w:val="false"/>
                  <w:color w:val="0000FF"/>
                  <w:sz w:val="20"/>
                  <w:u w:val="single"/>
                </w:rPr>
                <w:t>Signatures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27">
              <w:r>
                <w:rPr>
                  <w:rStyle w:val="InternetLink"/>
                  <w:rFonts w:ascii="Times New Roman;serif" w:hAnsi="Times New Roman;serif"/>
                  <w:b w:val="false"/>
                  <w:color w:val="0000FF"/>
                  <w:sz w:val="20"/>
                  <w:u w:val="single"/>
                </w:rPr>
                <w:t>58</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88" w:before="0" w:after="200"/>
              <w:jc w:val="left"/>
              <w:rPr/>
            </w:pPr>
            <w:hyperlink w:anchor="ib08faba301d94dee895ca69fb9a28832_130">
              <w:r>
                <w:rPr>
                  <w:rStyle w:val="InternetLink"/>
                  <w:rFonts w:ascii="Times New Roman;serif" w:hAnsi="Times New Roman;serif"/>
                  <w:b w:val="false"/>
                  <w:color w:val="0000FF"/>
                  <w:sz w:val="20"/>
                  <w:u w:val="single"/>
                </w:rPr>
                <w:t>Index to Consolidated Financial Statements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30">
              <w:r>
                <w:rPr>
                  <w:rStyle w:val="InternetLink"/>
                  <w:rFonts w:ascii="Times New Roman;serif" w:hAnsi="Times New Roman;serif"/>
                  <w:b w:val="false"/>
                  <w:color w:val="000080"/>
                  <w:sz w:val="20"/>
                  <w:u w:val="single"/>
                </w:rPr>
                <w:t>F-</w:t>
              </w:r>
            </w:hyperlink>
            <w:hyperlink w:anchor="ib08faba301d94dee895ca69fb9a28832_130">
              <w:r>
                <w:rPr>
                  <w:rStyle w:val="InternetLink"/>
                  <w:rFonts w:ascii="Times New Roman;serif" w:hAnsi="Times New Roman;serif"/>
                  <w:b w:val="false"/>
                  <w:color w:val="000080"/>
                  <w:sz w:val="20"/>
                  <w:u w:val="single"/>
                </w:rPr>
                <w:t>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Glossary of Terms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abbreviations or acronyms used in this Annual Report on Form 10-K (this "Report") are defined below:</w:t>
      </w:r>
    </w:p>
    <w:tbl>
      <w:tblPr>
        <w:tblW w:w="10205" w:type="dxa"/>
        <w:jc w:val="left"/>
        <w:tblInd w:w="0" w:type="dxa"/>
        <w:tblLayout w:type="fixed"/>
        <w:tblCellMar>
          <w:top w:w="28" w:type="dxa"/>
          <w:left w:w="28" w:type="dxa"/>
          <w:bottom w:w="28" w:type="dxa"/>
          <w:right w:w="28" w:type="dxa"/>
        </w:tblCellMar>
      </w:tblPr>
      <w:tblGrid>
        <w:gridCol w:w="671"/>
        <w:gridCol w:w="442"/>
        <w:gridCol w:w="443"/>
        <w:gridCol w:w="3348"/>
        <w:gridCol w:w="2190"/>
        <w:gridCol w:w="3111"/>
      </w:tblGrid>
      <w:tr>
        <w:trPr/>
        <w:tc>
          <w:tcPr>
            <w:tcW w:w="6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1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2020 Credit Agreement</w:t>
            </w:r>
          </w:p>
        </w:tc>
        <w:tc>
          <w:tcPr>
            <w:tcW w:w="8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second amended and restated credit agreement, dated July 1, 2020, which amended and restated in its entirety the then-existing credit agreement originally entered into on April 1, 2014, as amended by the first amendment to the second amended and restated credit agreement, dated May 8, 2023 and was replaced by the 2024 Credit Agreement in May 2024</w:t>
            </w:r>
          </w:p>
          <w:p>
            <w:pPr>
              <w:pStyle w:val="TableContents"/>
              <w:bidi w:val="0"/>
              <w:spacing w:before="0" w:after="200"/>
              <w:jc w:val="left"/>
              <w:rPr/>
            </w:pPr>
            <w:r>
              <w:rPr/>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2024 Credit Agreement</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the Company entered into on May 24, 2024 that replaced the 2020 Credit Agreement </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Australian dollars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w:t>
            </w:r>
          </w:p>
        </w:tc>
        <w:tc>
          <w:tcPr>
            <w:tcW w:w="8649" w:type="dxa"/>
            <w:gridSpan w:val="3"/>
            <w:tcBorders/>
            <w:tcMar>
              <w:top w:w="0" w:type="dxa"/>
              <w:left w:w="0" w:type="dxa"/>
              <w:bottom w:w="0" w:type="dxa"/>
              <w:right w:w="0" w:type="dxa"/>
            </w:tcMar>
            <w:vAlign w:val="center"/>
          </w:tcPr>
          <w:p>
            <w:pPr>
              <w:pStyle w:val="TableContents"/>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Akamai Connected Cloud</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ACH</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Automated Clearing House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Average daily rate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AI Technologies</w:t>
            </w:r>
          </w:p>
        </w:tc>
        <w:tc>
          <w:tcPr>
            <w:tcW w:w="8649" w:type="dxa"/>
            <w:gridSpan w:val="3"/>
            <w:tcBorders/>
            <w:tcMar>
              <w:top w:w="0" w:type="dxa"/>
              <w:left w:w="0" w:type="dxa"/>
              <w:bottom w:w="0" w:type="dxa"/>
              <w:right w:w="0" w:type="dxa"/>
            </w:tcMar>
            <w:vAlign w:val="center"/>
          </w:tcPr>
          <w:p>
            <w:pPr>
              <w:pStyle w:val="TableContents"/>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AI and machine learning technologies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AOMs</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Structured equity vehicles operating under Domain's Agent Ownership Model. The AOMs function as strategic partnership tools that provide residential and commercial real estate agencies an economic stake in Domain-affiliated entities, creating a mechanism to reward long-term engagement and performance through profit-sharing rather than traditional commissions or rebates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Apartments.com Network</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Apartments.com, the flagship brand of our network of apartment marketing sites, and its network of rental websites including ApartmentFinder, ForRent.com</w:t>
            </w:r>
            <w:r>
              <w:rPr>
                <w:rFonts w:ascii="Times New Roman;serif" w:hAnsi="Times New Roman;serif"/>
                <w:b w:val="false"/>
                <w:color w:val="000000"/>
                <w:sz w:val="13"/>
              </w:rPr>
              <w:t>®</w:t>
            </w:r>
            <w:r>
              <w:rPr>
                <w:rFonts w:ascii="Times New Roman;serif" w:hAnsi="Times New Roman;serif"/>
                <w:b w:val="false"/>
                <w:color w:val="000000"/>
                <w:sz w:val="20"/>
              </w:rPr>
              <w:t>, AFTER55.com</w:t>
            </w:r>
            <w:r>
              <w:rPr>
                <w:rFonts w:ascii="Times New Roman;serif" w:hAnsi="Times New Roman;serif"/>
                <w:b w:val="false"/>
                <w:color w:val="000000"/>
                <w:sz w:val="13"/>
              </w:rPr>
              <w:t>®</w:t>
            </w:r>
            <w:r>
              <w:rPr>
                <w:rFonts w:ascii="Times New Roman;serif" w:hAnsi="Times New Roman;serif"/>
                <w:b w:val="false"/>
                <w:color w:val="000000"/>
                <w:sz w:val="20"/>
              </w:rPr>
              <w:t>, CorporateHousing.com</w:t>
            </w:r>
            <w:r>
              <w:rPr>
                <w:rFonts w:ascii="Times New Roman;serif" w:hAnsi="Times New Roman;serif"/>
                <w:b w:val="false"/>
                <w:color w:val="000000"/>
                <w:sz w:val="13"/>
              </w:rPr>
              <w:t>TM</w:t>
            </w:r>
            <w:r>
              <w:rPr>
                <w:rFonts w:ascii="Times New Roman;serif" w:hAnsi="Times New Roman;serif"/>
                <w:b w:val="false"/>
                <w:color w:val="000000"/>
                <w:sz w:val="20"/>
              </w:rPr>
              <w:t>, ForRentUniversity.com</w:t>
            </w:r>
            <w:r>
              <w:rPr>
                <w:rFonts w:ascii="Times New Roman;serif" w:hAnsi="Times New Roman;serif"/>
                <w:b w:val="false"/>
                <w:color w:val="000000"/>
                <w:sz w:val="13"/>
              </w:rPr>
              <w:t>®</w:t>
            </w:r>
            <w:r>
              <w:rPr>
                <w:rFonts w:ascii="Times New Roman;serif" w:hAnsi="Times New Roman;serif"/>
                <w:b w:val="false"/>
                <w:color w:val="000000"/>
                <w:sz w:val="20"/>
              </w:rPr>
              <w:t>, ApartmentHomeLiving.com, Apartamentos.com</w:t>
            </w:r>
            <w:r>
              <w:rPr>
                <w:rFonts w:ascii="Times New Roman;serif" w:hAnsi="Times New Roman;serif"/>
                <w:b w:val="false"/>
                <w:color w:val="000000"/>
                <w:sz w:val="13"/>
              </w:rPr>
              <w:t>TM</w:t>
            </w:r>
            <w:r>
              <w:rPr>
                <w:rFonts w:ascii="Times New Roman;serif" w:hAnsi="Times New Roman;serif"/>
                <w:b w:val="false"/>
                <w:color w:val="000000"/>
                <w:sz w:val="20"/>
              </w:rPr>
              <w:t>, WestsideRentals.com</w:t>
            </w:r>
            <w:r>
              <w:rPr>
                <w:rFonts w:ascii="Times New Roman;serif" w:hAnsi="Times New Roman;serif"/>
                <w:b w:val="false"/>
                <w:color w:val="000000"/>
                <w:sz w:val="13"/>
              </w:rPr>
              <w:t>®</w:t>
            </w:r>
            <w:r>
              <w:rPr>
                <w:rFonts w:ascii="Times New Roman;serif" w:hAnsi="Times New Roman;serif"/>
                <w:b w:val="false"/>
                <w:color w:val="000000"/>
                <w:sz w:val="20"/>
              </w:rPr>
              <w:t>, and Off Campus Partners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ASR</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Accelerated Share Repurchase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Assumed Matterport Plans</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Matterport 2021 Incentive Award Plan and Matterport, Inc. Amended and Restated 2011 Stock Incentive Plan assumed by CoStar Group in connection with the Matterport Acquisition</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AWS</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Amazon Web Services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BEAT</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Base erosion and anti-abuse minimum tax</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BizBuySell Network</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BizBuySell.com and its network of business for-sale websites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CoStar Group Board of Directors</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BureauxLocaux</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Comreal Info, a French société par actions simplifiée, the owner and operator of BureauxLocaux, a commercial real estate digital marketplace, in France</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CAN-SPAM Act</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Controlling the Assault of Non-Solicited Pornography and Marketing Act</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CCPA</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California Consumer Privacy Act, as amended by the California Privacy Rights Act</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Confidential Information</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Information about customers, employees, contractors, suppliers, vendors, and others such as landlords and tenants, including personal information such as names, addresses, phone numbers, email addresses, credit card information, biometric data, sensitive or confidential transaction and account information, social security numbers, birthdates and financial information such as trade secrets (for example, to facilitate the apartment rental application and payment process between a renter and property manager), as well as a broad range of proprietary and confidential business information, collectively</w:t>
            </w:r>
          </w:p>
        </w:tc>
      </w:tr>
      <w:tr>
        <w:trPr/>
        <w:tc>
          <w:tcPr>
            <w:tcW w:w="155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COSO</w:t>
            </w:r>
          </w:p>
        </w:tc>
        <w:tc>
          <w:tcPr>
            <w:tcW w:w="86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Committee of Sponsoring Organizations of the Treadway Commission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04"/>
        <w:gridCol w:w="708"/>
        <w:gridCol w:w="710"/>
        <w:gridCol w:w="2477"/>
        <w:gridCol w:w="2272"/>
        <w:gridCol w:w="3234"/>
      </w:tblGrid>
      <w:tr>
        <w:trPr/>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7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Group (also the “Company,” “we,” “us,” or “our”)</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CoStar Group, Inc., a Delaware corporation, one or more of its consolidated subsidiaries or operating segments, or the entirety of CoStar Group, Inc. and its consolidated subsidiaries</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Group Share</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share of the common stock of the Company, par value $0.01 per share</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UK</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CoStar UK Limited, a wholly owned subsidiary of CoStar Group</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Covenant Suspension Period</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period of time defined in the 2024 Credit Agreement in which we maintain a corporate investment grade rating from any two of Standard &amp; Poor’s Rating Services, Fitch Ratings, Inc. or Moody’s Investors Services, Inc. and no event of default is continuing</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CRI</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CoStar Realty Information, Inc., a Delaware corporation and wholly-owned subsidiary (and primary operating entity in the United States) of CoStar Group, Inc.</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 Holdings Australia Pty Limited</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 Acquisition</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CoStar's acquisition of Domain completed on August 27, 2025, pursuant to the Scheme Implementation Deed</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 Proposal</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non-binding indicative proposal to acquire 100% of the issued capital of Domain by way of scheme of arrangement for a cash consideration of A$4.43 per ordinary share of Domain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 SID</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binding Scheme Implementation Deed to acquire 100% of the issued capital of Domain for a cash consideration of A$4.43 per ordinary share of Domain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Domain Transaction</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transactions entered into by the Company to acquire Domain pursuant to the Domain SID</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DSA</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Digital Services Act</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Stock Units</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 (loss) before interest income or expense, net; other income or expense, net; loss on debt extinguishment; income taxes; depreciation; and amortization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EU AI Act</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European Union Artificial Intelligence Act</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EURIBOR</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Euro Interbank Offered Rate</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FCRA</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Credit Reporting Act</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FDII</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FTC</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 Trade Commission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GDPR</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Data Protection Regulation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GILTI</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Global Intangible Low Taxed Income Inclusion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GPP Plan</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U.K. Group Personal Pension Plan</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Homes.com</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One of the flagship brands of our residential products and a homes for-sale listings site, which manages workflow and marketing for residential real estate agents and brokers and allows homebuyers to view residential property listings, research communities, and connect with real estate agents and brokers</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H.R.1</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bill to provide for reconciliation pursuant to Title II of H. Con. Res. 14, commonly referred to as the One Big Beautiful Bill Act, signed into law on July 4, 2025</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 Systems</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Information technology networks, systems, and infrastructure to process, transmit, and store electronic information and to communicate among our locations around the world and with our clients and vendors, collectively</w:t>
            </w:r>
          </w:p>
        </w:tc>
      </w:tr>
      <w:tr>
        <w:trPr/>
        <w:tc>
          <w:tcPr>
            <w:tcW w:w="222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Land.com Network</w:t>
            </w:r>
          </w:p>
        </w:tc>
        <w:tc>
          <w:tcPr>
            <w:tcW w:w="798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network of sites featuring rural lands for sale including Land.com, LandsofAmerica, LandAndFarm, and LandWatch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14"/>
        <w:gridCol w:w="530"/>
        <w:gridCol w:w="531"/>
        <w:gridCol w:w="2763"/>
        <w:gridCol w:w="2377"/>
        <w:gridCol w:w="3390"/>
      </w:tblGrid>
      <w:tr>
        <w:trPr/>
        <w:tc>
          <w:tcPr>
            <w:tcW w:w="61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Landmark</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Landmark Media Enterprises, LLC</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LIBOR</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London Interbank Offered Rate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LoopNet Network</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network of online marketplaces lead by our flagship brand LoopNet.com and including LoopNet.co.uk, CityFeet.com, Showcase.com, BureauxLocaux, and Belbex.com enabling commercial property owners, landlords, and real estate brokers working on their behalf to advertise properties for-sale or for-lease and to submit detailed information about property listings</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Matching RSUs</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Awards of matching restricted stock units awarded under the Company's Management Stock Purchase Plan </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Matterport, LLC, formerly known as Matterport Inc., a Delaware corporation and provider of a technology platform that uses spatial data to transform physical buildings and spaces into dimensionally accurate, digital images</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 Acquisition</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CoStar's acquisition of Matterport completed on February 28, 2025, pursuant to the Matterport Merger Agreement</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 Common Stock</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 Class A common stock, par value $0.0001 per share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 Merger Agreement</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21, 2024, CoStar entered into an Agreement and Plan of Merger and Reorganization with Matterport, Matrix Merger Sub I LLC, and Matrix Merger Sub II LLC.</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Matterport Merger Exchange Ratio</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ratio of 0.03552 which was determined by the Matterport Merger Agreement and was set on the collar floor as the volume-weighted average price at which the CoStar Group Shares traded on the Nasdaq Global Select Market for the 20 consecutive Trading Days was below the Floor Price of a symmetrical collar of $77.42</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MLSs</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Multiple Listing Services</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MSPP</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Management Stock Purchase Plan</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Neptune Merger Sub</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Neptune V Merger Sub LLC, as Delaware limited liability company and a wholly-owned subsidiary of CRI</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NIS 2</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 and Information Security 2 Directive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OSA</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Online Safety Act 2023</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OnTheMarket</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OnTheMarket Limited, the operator of onthemarket.com, a U.K. residential property portal</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OnTheMarket Acquisition</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UK's acquisition of all the outstanding equity interest of OnTheMarket completed in December 2023, pursuant to Rule 2.7 of the United Kingdom City Code on Takeovers and Mergers. The acquisition was implemented by means of a court-sanctioned scheme of arrangement under the U.K. Companies Act 2006</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RentPath</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RentPath Holdings, Inc.</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Per Available Room</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Prior Stock Repurchase Program </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February 2025 that authorizes the repurchase of up to $500 million CoStar Group Shares</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Software As a Service </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U.S. Securities and Exchange Commission</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SEM</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Search Engine Marketing</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2.800% notes issued by CoStar Group, Inc. due July 15, 2030</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SEO</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Search Engine Optimization</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SONIA</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Sterling Overnight Index Average</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 Repurchase Program</w:t>
            </w:r>
          </w:p>
        </w:tc>
        <w:tc>
          <w:tcPr>
            <w:tcW w:w="853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December 2025 that authorizes the repurchase of up to $1.5 billion CoStar Group Shares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74"/>
        <w:gridCol w:w="506"/>
        <w:gridCol w:w="507"/>
        <w:gridCol w:w="2598"/>
        <w:gridCol w:w="2483"/>
        <w:gridCol w:w="3537"/>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6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STR</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brand for benchmarking hotel performance and providing market insights to the industry</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TCPA</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Telephone Consumer Protection Act (as implemented by the Telemarketing Sales Rule)</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forward-looking SOFR term rates administered by CME Group Benchmark Administration Limited</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Shareholder Return</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United Kingdom of Great Britain and Northern Ireland</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United States of America</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Visual Lease</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legal entity Visual Lease, LLC, a Delaware limited liability company and operator of Visual Lease, a SaaS platform for integrated lease management and lease accounting</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Visual Lease Acquisition</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CoStar's acquisition of all of the outstanding equity interest in Visual Lease completed on November 1, 2024, pursuant to the Visual Lease Merger Agreement</w:t>
            </w:r>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Visual Lease Merger Agreement</w:t>
            </w:r>
          </w:p>
        </w:tc>
        <w:tc>
          <w:tcPr>
            <w:tcW w:w="8618"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Agreement and Plan of Merger dated as of October 18, 2024, between CRI; Neptune Merger Sub; Visual Lease, LLC; and Shareholder Representative Services LLC as the Holder Representative, pursuant to which, among other things, and subject to its terms, Neptune Merger Sub merged with and into Visual Lease with Visual Lease surviving the merger as a wholly-owned subsidiary of CRI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 Sections of this Report that contain forward-looking statements include “Business,” “Risk Factors,” “Properties,” “Legal Proceedings,” “Management’s Discussion and Analysis of Financial Condition and Results of Operations,” “Quantitative and Qualitative Disclosures About Market Risk,” “Controls and Procedures,” and the Consolidated Financial Statements and related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AI Technologies, such as Homes AI;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and retain new clients;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develop and introduce new or updated online marketplace services, information, and analytics;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compete successfully against existing or future competitors in attracting advertisers and in general;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fluctuations and market cyclicality;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global economic uncertainties and downturns or a downturn or consolidation in the real estate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hire qualified persons for, or retain and continue to develop, our sales force, or unproductivity of our sales force;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retain and attract highly capable management and operating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downward pressure that our internal and external investments may place on our operating margins;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increase brand awareness;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new advertisers;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identify, finance, integrate, and/or manage costs related to acquisitions;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complete certain strategic transactions if a proposed transaction is subject to review or approval by regulatory authorities pursuant to applicable laws 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realize the benefits of the Matterport Acquisition or the Domain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inability of third-party suppliers upon which Matterport relies to fulfill its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cyberattacks and security vulnerabilities, and technical problems or disruptions;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significant costs associated with undertaking a large infrastructure project;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generate increased revenue from our current or future geographic expansion plans;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acceptance of credit cards and debit cards and facilitation of other customer payments;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climate-related events and other events beyond our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related to attention to climate-related risk and opportunities;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and maintain accurate, comprehensive, or reliable data;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obtain and maintain stable data feeds, or disruption of our data feeds;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enforce or defend our ownership and use of intellectual property;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use of new and evolving technologies, including AI, on our ability to protect our data and intellectual property from misappropriation by third parties;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defend against potential legal liability for collecting, displaying, or distributing information;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or retain listings from real estate brokers, agents, property owners, and apartment property managers;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establish relationships with third-party listing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comply with the rules and compliance requirements of MLSs;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open source software;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international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foreign currency exchange rate fluctuations;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indebtedness;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 lowering or withdrawal of the ratings assigned to our debt securities by rating agencies;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any actual or perceived failure to comply with privacy or data protection laws, regulations, or standards;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changes in tax laws, regulations, or fiscal and tax policies;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third-party claims, litigation, regulatory proceedings, or government investigations;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return on investment;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the specific timing, price, and size of repurchases under the Stock Repurchase Program, including that the Stock Repurchase Program may be suspended or discontinued at any time at the Company’s discretion. </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Report, the words “we,” “our,” “us,” “CoStar Group,” or the “Company” refer to CoStar Group, Inc. and its direct and indirect wholly-owned subsidiaries. This Report also refers to our websites, but information contained on those sites is not part of this Report.</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CoStar Group is a leading provider of online real estate marketplaces, information, analytics, and 3D digital twin technology in the property markets. Our mission is to digitize the world's real estate, empowering all people to discover properties, insights, and connections that improve their businesses and lives.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and operate leading online marketplaces for real estate in the U.S., Australia, Europe, Canada, and Asia-Pacific based on the numbers of unique visitors and site visits per month. We provide more information, analytics, and marketing services than many of our competitors; offer the most comprehensive commercial real estate database available; and have the largest commercial real estate research department in the industry. We have created and compiled a standardized platform of online marketplace services, information, and analytics where industry professionals, consumers of real estate, and the related business communities can continuously interact and facilitate transactions by efficiently accessing and exchanging accurate and standardized real estate-related information.</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strategy is to provide real estate industry professionals and consumers with critical knowledge to explore and complete transactions by offering the most comprehensive, timely, and standardized information on real estate, and the right tools to be able to effectively utilize that information. Over time, we have expanded and continue to expand our services for real estate online marketplaces, information, analytics, and 3D digital twin technology to address the evolving needs of the industry as it grows and evolves.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standardized platform includes the most comprehensive proprietary database of commercial real estate information in the industry; the largest research department in the commercial real estate industry; proprietary data collection, information management, and quality control systems; a large in-house product development team; a broad suite of web-based information, analytics, and online marketplace services; a large team of analysts and economists; risk management tools; 3D digital twin technology in the property markets; and a large, diverse base of clients.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spent more than 35 years building and acquiring databases of real estate information, which includes information on homes, schools, communities, commercial properties, leasing, sales, comparable sales, tenants, and demand statistics, as well as digital images, drone videos, and 3D tours, plot maps, and floor plans. This highly complex database is comprised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hundreds of data fields, tracking such categories as location, site and zoning information, building characteristics, space and unit characteristics and availability, tax assessments, true ownership, sales and lease comparables, residential rents, vacancies and concessions, space requirements, retail locations, mortgage and deed information, for-sale and for-lease listings, fund data, income and expense histories, tenant names, tenant credit scores, view of company locations, lease expirations, contact information, historical trends, forecasts, and demographic information. In addition to our internal efforts to grow the database, we have obtained and assimilated a number of proprietary databases. Our comprehensive commercial real estate database powers our information services, sources data used in our analytic services, and provides content for most of our online marketplace services and our auction platform. Our ability to utilize the same commercial real estate information across our standardized platform creates efficiencies in operations and improves data quality for our customers.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deliver our comprehensive commercial real estate information content to our customers primarily via an integrated solution of online service offerings that includes information about space available for-lease, comparable sales information, information about properties for-sale, tenant information, internet marketing services, risk management tools, analytical capabilities, information for clients’ websites, information about industry professionals and their business relationships, data integration, and industry news. We also operate complementary online marketplaces for commercial and residential real estate listings, apartment rentals, land for sale, and business for sale, as well as a commercial real estate auction platform. We have developed and we expect to continue to develop additional services leveraging our centralized database and 3D digital twin technology to meet the needs of our existing customers as well as potential new categories of customers. We also continue to leverage AI by deeply integrating it into our products and internal processes. AI is driving research efficiencies, improving data quality and increasing the pace of product development. We strive to cross-sell our services to our customers to best suit their needs.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CoStar Research</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Research Department.</w:t>
      </w:r>
      <w:r>
        <w:rPr>
          <w:color w:val="000000"/>
        </w:rPr>
        <w:t> </w:t>
      </w:r>
      <w:r>
        <w:rPr>
          <w:rFonts w:ascii="Times New Roman;serif" w:hAnsi="Times New Roman;serif"/>
          <w:b w:val="false"/>
          <w:color w:val="000000"/>
          <w:sz w:val="20"/>
        </w:rPr>
        <w:t xml:space="preserve">Our research professionals undergo an extensive training program so that we can maintain consistent research methods and processes throughout our research department. Our researchers collect and analyze commercial real estate information through phone calls, e-mails, and additional research methods including field inspections, public records review, news monitoring, third-party data feeds, and user entered content. We also use advanced technology, including AI, to improve how we collect and validate data and enhance the capabilities and insights we deliver to clients. We have also set up direct feeds from larger apartment sites, owners, brokers, and home builders.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researchers are responsible for maintaining the accuracy and reliability of our database information, training our clients to use CoStar Group products, and handling their customer service questions, creating a "one-touch" approach to customer care. Because of the importance commercial real estate professionals place on our data and our prominent position in the industry, many of these professionals routinely take the initiative and proactively report available space and transactions through our online tool, which we refer to as our Marketing Center, or directly to our researchers.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field research efforts include physical inspections of properties to research new availabilities, find additional property inventory, identify new construction, collect tenant information, verify existing information, photograph properties, and create high quality videos of interior spaces (including walk-through videos and Matterport 3D virtual tours), amenities, and exterior features of properties. A typical site inspection of a commercial property consists of photographing the building, capturing interior images, videos, and Matterport 3D tours, measuring the building, geo-coding the building, capturing “for-sale” or “for-lease” sign information, counting parking spaces, assessing property condition and construction, and gathering tenant information. Field researchers also canvass properties, collecting tenant data suite-by-suite.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leveraging our capabilities developed from our extensive commercial real estate research efforts to produce original, media rich content of neighborhoods, schools, parks, new home communities, condominium buildings' amenities, and common areas for our residential products. Our proprietary content is delivered at scale through a single integrated platform. Proprietary data, an integrated delivery platform and bespoke research processes underpin our product solutions. We use advanced technology, including AI, to improve data collection, data generation and data quality.</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Data and Image Providers.</w:t>
      </w:r>
      <w:r>
        <w:rPr>
          <w:color w:val="000000"/>
        </w:rPr>
        <w:t xml:space="preserve"> </w:t>
      </w:r>
      <w:r>
        <w:rPr>
          <w:rFonts w:ascii="Times New Roman;serif" w:hAnsi="Times New Roman;serif"/>
          <w:b w:val="false"/>
          <w:color w:val="000000"/>
          <w:sz w:val="20"/>
        </w:rPr>
        <w:t>We license a small portion of our data and images from public record providers and third-party data sources. Licensing agreements with these entities allow us to use a variety of commercial real estate information, including property ownership, tenant information, demographic information, maps, and aerial photographs, all of which enhance our services. These license agreements generally grant us a non-exclusive license to use the data and images in the creation and supplementation of our online marketplaces, information, and analytics.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Services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develop products, and deliver our services in two reportable segments, Commercial Real Estate and Residential Real Estate.</w:t>
      </w:r>
    </w:p>
    <w:p>
      <w:pPr>
        <w:pStyle w:val="TextBody"/>
        <w:bidi w:val="0"/>
        <w:spacing w:lineRule="auto" w:line="288" w:before="200" w:after="200"/>
        <w:ind w:left="0" w:right="0" w:firstLine="360"/>
        <w:jc w:val="both"/>
        <w:rPr>
          <w:rFonts w:ascii="Times New Roman;serif" w:hAnsi="Times New Roman;serif"/>
          <w:b/>
          <w:i/>
          <w:color w:val="000000"/>
          <w:sz w:val="20"/>
          <w:u w:val="single"/>
        </w:rPr>
      </w:pPr>
      <w:r>
        <w:rPr>
          <w:rFonts w:ascii="Times New Roman;serif" w:hAnsi="Times New Roman;serif"/>
          <w:b/>
          <w:i/>
          <w:color w:val="000000"/>
          <w:sz w:val="20"/>
          <w:u w:val="single"/>
        </w:rPr>
        <w:t>Commercial Real Estate</w:t>
      </w:r>
    </w:p>
    <w:p>
      <w:pPr>
        <w:pStyle w:val="TextBody"/>
        <w:bidi w:val="0"/>
        <w:spacing w:lineRule="auto" w:line="288" w:before="0" w:after="200"/>
        <w:ind w:left="0" w:right="0" w:firstLine="360"/>
        <w:jc w:val="both"/>
        <w:rPr/>
      </w:pPr>
      <w:r>
        <w:rPr>
          <w:rFonts w:ascii="Times New Roman;serif" w:hAnsi="Times New Roman;serif"/>
          <w:b w:val="false"/>
          <w:color w:val="000000"/>
          <w:sz w:val="20"/>
        </w:rPr>
        <w:t>Our Commercial Real Estate segment offers commercial real estate information and analytics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online marketplaces, and </w:t>
      </w:r>
      <w:r>
        <w:rPr>
          <w:rFonts w:ascii="Times New Roman;serif" w:hAnsi="Times New Roman;serif"/>
          <w:b w:val="false"/>
          <w:color w:val="000000"/>
          <w:sz w:val="20"/>
          <w:shd w:fill="FFFFFF" w:val="clear"/>
        </w:rPr>
        <w:t>3D digital twin technology</w:t>
      </w:r>
      <w:r>
        <w:rPr>
          <w:color w:val="000000"/>
        </w:rPr>
        <w:t xml:space="preserve"> </w:t>
      </w:r>
      <w:r>
        <w:rPr>
          <w:rFonts w:ascii="Times New Roman;serif" w:hAnsi="Times New Roman;serif"/>
          <w:b w:val="false"/>
          <w:color w:val="000000"/>
          <w:sz w:val="20"/>
        </w:rPr>
        <w:t xml:space="preserve">and its principal brands are: </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CoStar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offers subscription-based access to our platform of commercial real estate intelligence with several key features: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Properties -</w:t>
      </w:r>
      <w:r>
        <w:rPr>
          <w:color w:val="000000"/>
        </w:rPr>
        <w:t xml:space="preserve"> </w:t>
      </w:r>
      <w:r>
        <w:rPr>
          <w:rFonts w:ascii="Times New Roman;serif" w:hAnsi="Times New Roman;serif"/>
          <w:b w:val="false"/>
          <w:color w:val="000000"/>
          <w:sz w:val="20"/>
        </w:rPr>
        <w:t>Provides a comprehensive inventory of various property types, including office, industrial, retail, multifamily, hospitality, student housing, and land. It includes for-lease and for-sale listings, historical data, property analytics, building photographs, demographics, maps, and floor plans. Users can identify available space, evaluate opportunities, value assets, and analyze market conditions.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Leasing -</w:t>
      </w:r>
      <w:r>
        <w:rPr>
          <w:color w:val="000000"/>
        </w:rPr>
        <w:t xml:space="preserve"> </w:t>
      </w:r>
      <w:r>
        <w:rPr>
          <w:rFonts w:ascii="Times New Roman;serif" w:hAnsi="Times New Roman;serif"/>
          <w:b w:val="false"/>
          <w:color w:val="000000"/>
          <w:sz w:val="20"/>
        </w:rPr>
        <w:t>Offers data on lease transactions and tools to manage user-entered lease data. Subscribers can analyze lease datasets and perform cash flow analysis from both landlord and tenant perspectives.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 xml:space="preserve">Sales - </w:t>
      </w:r>
      <w:r>
        <w:rPr>
          <w:rFonts w:ascii="Times New Roman;serif" w:hAnsi="Times New Roman;serif"/>
          <w:b w:val="false"/>
          <w:color w:val="000000"/>
          <w:sz w:val="20"/>
        </w:rPr>
        <w:t>A database of commercial real estate sales transactions, useful for researching property comparables, identifying market trends, expediting appraisals, and supporting property valuations.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Tenants -</w:t>
      </w:r>
      <w:r>
        <w:rPr>
          <w:color w:val="000000"/>
        </w:rPr>
        <w:t xml:space="preserve"> </w:t>
      </w:r>
      <w:r>
        <w:rPr>
          <w:rFonts w:ascii="Times New Roman;serif" w:hAnsi="Times New Roman;serif"/>
          <w:b w:val="false"/>
          <w:color w:val="000000"/>
          <w:sz w:val="20"/>
        </w:rPr>
        <w:t>Provides detailed tenant information, including lease expirations, occupancy levels, and growth rates, allowing users to target prospective clients.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Owners</w:t>
      </w:r>
      <w:r>
        <w:rPr>
          <w:color w:val="000000"/>
        </w:rPr>
        <w:t xml:space="preserve"> </w:t>
      </w:r>
      <w:r>
        <w:rPr>
          <w:rFonts w:ascii="Times New Roman;serif" w:hAnsi="Times New Roman;serif"/>
          <w:b w:val="false"/>
          <w:color w:val="000000"/>
          <w:sz w:val="20"/>
        </w:rPr>
        <w:t>- Provides detailed portfolio information, including lease expirations, occupancy levels, and growth rates, allowing users to target prospective clients.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Markets</w:t>
      </w:r>
      <w:r>
        <w:rPr>
          <w:color w:val="000000"/>
        </w:rPr>
        <w:t xml:space="preserve"> </w:t>
      </w:r>
      <w:r>
        <w:rPr>
          <w:rFonts w:ascii="Times New Roman;serif" w:hAnsi="Times New Roman;serif"/>
          <w:b w:val="false"/>
          <w:color w:val="000000"/>
          <w:sz w:val="20"/>
        </w:rPr>
        <w:t>- Enables viewing and reporting on market and submarket trends, including leasing, vacancy, rental rates, construction, investment sales, and economic conditions. It covers all major real estate sectors and provides forecasts.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STR Benchmarking</w:t>
      </w:r>
      <w:r>
        <w:rPr>
          <w:color w:val="000000"/>
        </w:rPr>
        <w:t xml:space="preserve"> </w:t>
      </w:r>
      <w:r>
        <w:rPr>
          <w:rFonts w:ascii="Times New Roman;serif" w:hAnsi="Times New Roman;serif"/>
          <w:b w:val="false"/>
          <w:color w:val="000000"/>
          <w:sz w:val="20"/>
        </w:rPr>
        <w:t xml:space="preserve">- Provides hospitality benchmarking, allowing hotels to measure performance against competitors based on occupancy, ADR, and RevPAR.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Debt Solutions</w:t>
      </w:r>
      <w:r>
        <w:rPr>
          <w:color w:val="000000"/>
        </w:rPr>
        <w:t xml:space="preserve"> </w:t>
      </w:r>
      <w:r>
        <w:rPr>
          <w:rFonts w:ascii="Times New Roman;serif" w:hAnsi="Times New Roman;serif"/>
          <w:b w:val="false"/>
          <w:color w:val="000000"/>
          <w:sz w:val="20"/>
        </w:rPr>
        <w:t>- Provides tools for lenders to manage loan portfolios and risk, including portfolio surveillance, concentration risk monitoring, stress testing, and expected credit loss modeling.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offer SaaS platforms and related professional services under the CoStar Real Estate Manager and Visual Lease brands which provide real estate and lease management technology solutions for lease administration, lease accounting, and transaction management.</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LoopNet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LoopNet, the flagship brand of our network of commercial property marketing sites, is a top commercial real estate marketing site where property owners, landlords, and brokers can advertise properties for sale or lease on a site that supplements their listing with CoStar Group's database of property information and content. LoopNet offers a variety of subscription-based ad packages and enhancements. LoopNet Silver is designed for real estate professionals seeking maximum exposure and advanced marketing tools and markets listings to all LoopNet.com visitors. LoopNet Gold, Platinum, and Diamond Ads provide additional exposure on the LoopNet Network and retargeting across the web. With the Domain Acquisition, we also offer commercial real estate listings in Australia.</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Commercial Real Estate Offerings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other Commercial Real Estate Offerings include:</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Matterport's 3D digital twins allow users to capture and share spaces in immersive 3D and access AI powered property insights. These services are sold on a subscription basis. Matterport also provides capture services of spatial data and other add-on services to existing subscription customers and sells 3D capture cameras and third-party capture devices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BizBuySell is a marketplace for operating businesses and franchises for sale. Sellers pay to list their businesses, and buyers can search listings for free.</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Ten-X is a commercial real estate auction platform providing brokers, sellers, and buyers access to data-driven technology and marketing tools to expand market visibility and decrease time to close.</w:t>
      </w:r>
    </w:p>
    <w:p>
      <w:pPr>
        <w:pStyle w:val="TextBody"/>
        <w:bidi w:val="0"/>
        <w:spacing w:lineRule="auto" w:line="268" w:before="0" w:after="200"/>
        <w:ind w:left="0" w:right="0" w:firstLine="360"/>
        <w:jc w:val="left"/>
        <w:rPr>
          <w:rFonts w:ascii="Times New Roman;serif" w:hAnsi="Times New Roman;serif"/>
          <w:b/>
          <w:i/>
          <w:color w:val="000000"/>
          <w:sz w:val="20"/>
          <w:u w:val="single"/>
        </w:rPr>
      </w:pPr>
      <w:r>
        <w:rPr>
          <w:rFonts w:ascii="Times New Roman;serif" w:hAnsi="Times New Roman;serif"/>
          <w:b/>
          <w:i/>
          <w:color w:val="000000"/>
          <w:sz w:val="20"/>
          <w:u w:val="single"/>
        </w:rPr>
        <w:t>Residential Real Estate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residential marketplaces aggregate consumer demand for homes that they can rent or buy and we sell marketing and leads to the agents, owners, landlords, and property management companies that need to reach those consumers with their offerings. Our flagship brands in the U.S. are Apartments.com, Homes.com, and Land.com.</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Apartments.com is the flagship brand of our network of apartment marketing sites which allow property owners and managers to showcase their apartment community through increased exposure and media rich interactions that allow renters to view, engage, and connect with the community.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Homes.com allows property owners and real estate agents to reach renters and buyers on a your-listing your lead basis. Powered by Homes AI, consumers can find their dream home by engaging in natural, real-time, two-way conversations - by voice or text - to search, refine, and explore homes in an interactive experience that feels less like navigating a website and more like being guided by a deeply knowledgeable, trusted real estate advisor. Homes AI draws from our unmatched depth of property data, Matterport 3D digital twin technology, images, proprietary school data, neighborhood insights, and market intelligence to deliver bespoke guidance that empowers shoppers with the resources and confidence they need to find the perfect home.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Land.com is a premier marketplace to discover, buy, and sell rural real estate. Properties listed include farms, ranches, timberland, hunting land, mountain property, lake houses, river homes, beachfront homes and country homes on acreage.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Domain and OnTheMarket are our leading marketplaces in Australia and the U.K., respectively allowing real estate agents to advertise their listings.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services are typically distributed to our clients under subscription-based license agreements that typically renew automatically, a majority of which have a term of at least one year. Upon renewal, many of the subscription contract rates may change in accordance with contract provisions or as a result of contract renegotiations. To encourage regular use of our services, we generally charge a fixed monthly subscription fee rather than fees based on actual platform usage or number of paid clicks. Depending on the type of service, contract rates are generally based on the number of sites, number of users, organization size, the client's business focus, the client's geographic location, the number of properties reported on or analyzed, the number and types of services to which a client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(1) providing premium listings for individual properties on our marketplaces, (ii) providing data capture services to create digital twins, (iii) the sale of Matterport cameras and capture equipment, and (iv) auction fees from our Ten-X online auction platform for commercial real estate, which are generally calculated as a percentage of the final sales price for the commercial real estate property sold and recognized as revenue upon the successful closing of the sale of the auctioned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large number of parties involved in commercial and residential real estate industries and the related business community use the services to obtain information needed to conduct their businesses, including:</w:t>
      </w:r>
    </w:p>
    <w:tbl>
      <w:tblPr>
        <w:tblW w:w="6728" w:type="dxa"/>
        <w:jc w:val="center"/>
        <w:tblInd w:w="0" w:type="dxa"/>
        <w:tblLayout w:type="fixed"/>
        <w:tblCellMar>
          <w:top w:w="28" w:type="dxa"/>
          <w:left w:w="28" w:type="dxa"/>
          <w:bottom w:w="28" w:type="dxa"/>
          <w:right w:w="28" w:type="dxa"/>
        </w:tblCellMar>
      </w:tblPr>
      <w:tblGrid>
        <w:gridCol w:w="124"/>
        <w:gridCol w:w="109"/>
        <w:gridCol w:w="109"/>
        <w:gridCol w:w="1064"/>
        <w:gridCol w:w="1064"/>
        <w:gridCol w:w="1067"/>
        <w:gridCol w:w="109"/>
        <w:gridCol w:w="109"/>
        <w:gridCol w:w="109"/>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owners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Government agencies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Real estate agents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Mortgage-backed security issuers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Real estate developers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Appraisers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Sales and leasing brokers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Pension fund managers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managers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Reporters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Hospitality owners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Tenant vendors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Design and construction professionals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Building services vendors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Real estate investment trust managers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Communications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Investment and commercial bankers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Insurance companies’ managers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Mortgage bankers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Institutional advisors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Mortgage brokers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Investors and asset managers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Retailers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 streams are highly diversified. We are not presently dependent upon, and we do not anticipate becoming dependent upon, any one customer or a small number of customers.</w:t>
      </w:r>
    </w:p>
    <w:p>
      <w:pPr>
        <w:pStyle w:val="TextBody"/>
        <w:bidi w:val="0"/>
        <w:spacing w:lineRule="auto" w:line="288" w:before="200" w:after="200"/>
        <w:ind w:left="0" w:right="0" w:firstLine="36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sales strategy focuses on optimal service for existing customers, attracting new clients, and cross-selling our solutions. Our sales teams, primarily located in field offices across the U.S., Canada, the U.K., Spain, France, Germany, and Australia, sell multiple products. Our inside sales teams, primarily based in Richmond, VA, work lead lists, prospect for new customers, and perform product demonstrations.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Local offices support field sales and research, providing clients with a local presence. Field sales teams handle customer service, client satisfaction, and relationship building. Local offices also serve as hubs for training, market insights, product feedback, and industry connections. We manage client accounts through frequent meetings, product training, and updates on new enhancements.</w:t>
      </w:r>
    </w:p>
    <w:p>
      <w:pPr>
        <w:pStyle w:val="TextBody"/>
        <w:bidi w:val="0"/>
        <w:spacing w:lineRule="auto" w:line="26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we implemented targeted sales and marketing campaigns aimed at agents, brokers, property owners, investors, corporate and retail tenants and occupiers, as well as financial institutions and lenders in the United States, and will continue these efforts into 2026. Our marketing activities include in-person and virtual product demonstrations, targeted digital and social media campaigns, direct marketing, corporate and campaign-specific websites, press releases, earned media, participation in trade shows and industry events, company-hosted events, client referrals, and content marketing.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Digital and direct marketing, including SEM, SEO, paid advertising, social media, and display advertising, help us find prospective clients. Service demonstrations are our most effective sales method. We sponsor and attend industry events to reinforce relationships with core user groups.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Apartments.com and Homes.com, we use multi-channel marketing campaigns, including TV, radio, online ads, social media, email, public relations, SEM, and SEO. We plan to continue these methods and apply similar strategies for LoopNet, optimizing marketing investments.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Expansion and Growth</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expanded, and continue to expand, the coverage and depth of our online marketplace services, information, and analytics. We plan to continue to invest in our business and services, evaluate strategic growth opportunities, and pursue our key priorities as described below in Item 7. Management’s Discussion and Analysis of Financial Condition and Results of Operations. </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addition to organic growth, we have grown our business through strategic acquisitions. We acquired Visual Lease, Matterport, and Domain in November 2024, </w:t>
      </w:r>
      <w:r>
        <w:rPr>
          <w:rFonts w:ascii="Times New Roman;serif" w:hAnsi="Times New Roman;serif"/>
          <w:b w:val="false"/>
          <w:color w:val="000000"/>
          <w:sz w:val="20"/>
          <w:shd w:fill="FFFFFF" w:val="clear"/>
        </w:rPr>
        <w:t>February 2025, and August 2025,</w:t>
      </w:r>
      <w:r>
        <w:rPr>
          <w:color w:val="000000"/>
        </w:rPr>
        <w:t xml:space="preserve"> </w:t>
      </w:r>
      <w:r>
        <w:rPr>
          <w:rFonts w:ascii="Times New Roman;serif" w:hAnsi="Times New Roman;serif"/>
          <w:b w:val="false"/>
          <w:color w:val="000000"/>
          <w:sz w:val="20"/>
        </w:rPr>
        <w:t xml:space="preserve">respectively. We continue to integrate our recent acquisitions and the services they offer into our CoStar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4 and 8 of the Notes to the Consolidated Financial Statements included in Part IV of this Report, for further discussion of these acquisitions.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Proprietary Technology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IT professionals develop and enhance services for customers, maintain existing services, integrate current offerings, secure our real estate data, and provide research automation tools to improve data quality and research efficiency. They are responsible for our online marketplace services, analytics, and infrastructure, and for implementing technologies designed to increase research capacity and support data quality. Unique AI-enabled data collection and quality control mechanisms have been developed, and our enterprise information management system integrates sales, research, customer support, and accounting information. This system supports commercial real estate research, contact management, workflow automation, and daily quality checks. Additionally, fraud-detection and adaptive authentication technologies have been implemented to prevent unauthorized access. Our IT team also maintains servers and network components, ensuring uninterrupted service from multiple data centers and cloud platforms, with continuous monitoring for fast, reliable access and security.</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changed the composition of our segments from geography-based to product portfolio-based discussed under our Services above. This change aligns with the internal reporting used by the CODM to allocate resources and assess the performance of the business. See Notes 2, 3 and 13 of the Notes to the Consolidated Financial Statements included in Part IV of this Report for additional information on the segments change and revenue, significant expenses, EBITDA, and Adjusted EBITDA for each of our segments.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Our business depends on our ability to successfully provide real estate industry professionals and consumers with comprehensive, timely, and standardized information and arm them with the right tools to use, analyze, and transact in the information.</w:t>
      </w:r>
      <w:r>
        <w:rPr>
          <w:color w:val="000000"/>
        </w:rPr>
        <w:t xml:space="preserv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real estate-focused online marketplaces, information, and analytics generally is competitive, dynamic, and is constantly evolving as a result of technological advancements, customer preferences, and new products and offerings. As a result of our unique combination of products and services, we find that we compete with a variety of companies that provide online real estate-focused marketplace and internet listing services, publish and distribute information, benchmarks, and analytics, and provide marketing, real estate portfolio and lease management, and administrative software solutions. </w:t>
      </w:r>
    </w:p>
    <w:p>
      <w:pPr>
        <w:pStyle w:val="TextBody"/>
        <w:bidi w:val="0"/>
        <w:spacing w:lineRule="auto" w:line="288" w:before="0" w:after="200"/>
        <w:ind w:left="0" w:right="0" w:firstLine="360"/>
        <w:jc w:val="both"/>
        <w:rPr/>
      </w:pPr>
      <w:r>
        <w:rPr>
          <w:rFonts w:ascii="Times New Roman;serif" w:hAnsi="Times New Roman;serif"/>
          <w:b w:val="false"/>
          <w:color w:val="000000"/>
          <w:sz w:val="20"/>
        </w:rPr>
        <w:t>Competitive factors may vary across each of our Commercial Real Estate and Residential Real Estate segments and marketplaces; however, we believe we primarily compete on the basis of:</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and depth of the underlying databases;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and quantity of leads and, for multifamily, leases delivered;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Ease of use, flexibility, and functionality of the software;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Intuitiveness and appeal of the user interface;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Timeliness of the data, including listings;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Breadth of geographic coverage and services offered;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Completeness and accuracy of content;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Client service and support;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Perception that the service offered is the industry standard;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Effectiveness of marketing and sales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Proprietary nature of methodologies, databases, and technical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Vendor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Brand awareness and reputation, and satisfaction and loyalty among customers;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Adaptive and advanced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and size of real, authenticated and intent-driven unique platform visitors;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Use of AI both in our products and in our internal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especially with respect to those that compete with our businesses in our Residential Real Estate segment, are incumbent players that may have greater name recognition, resources, and increased adoption of AI services. Generally, as markets for real estate-focused online marketplaces, information, and analytics develop, additional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pPr>
      <w:r>
        <w:rPr>
          <w:rFonts w:ascii="Times New Roman;serif" w:hAnsi="Times New Roman;serif"/>
          <w:b w:val="false"/>
          <w:color w:val="000000"/>
          <w:sz w:val="20"/>
        </w:rPr>
        <w:t>(including companies that could have greater access to data, financial, product development, technical, analytic, or marketing resources than we do) may enter a market, and competition may intensify</w:t>
      </w:r>
      <w:r>
        <w:rPr>
          <w:rFonts w:ascii="Times New Roman;serif" w:hAnsi="Times New Roman;serif"/>
          <w:b w:val="false"/>
          <w:color w:val="000000"/>
          <w:sz w:val="24"/>
        </w:rPr>
        <w:t>.</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Proprietary Rights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protect our proprietary rights in our methodologies, database, software, trademarks, and other intellectual property, we depend upon a combination of laws related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Trade secret, misappropriation, unfair competition, copyright, trademark, computer fraud, database protection, and other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Registration of copyrights and trademarks;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Nondisclosure, and other contractual provisions with employees and consultants;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License agreements with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Patent protection;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measures.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generally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attempt to protect our proprietary databases, trade secrets, and proprietary information through confidentiality and agreements with our employees and consultants. Our services also include technical measures designed to detect, discourage, and prevent unauthorized access to and/or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pStyle w:val="TextBody"/>
        <w:bidi w:val="0"/>
        <w:spacing w:lineRule="auto" w:line="288" w:before="240" w:after="283"/>
        <w:ind w:left="0" w:right="0" w:firstLine="360"/>
        <w:jc w:val="both"/>
        <w:rPr/>
      </w:pPr>
      <w:r>
        <w:rPr>
          <w:rFonts w:ascii="Times New Roman;serif" w:hAnsi="Times New Roman;serif"/>
          <w:b w:val="false"/>
          <w:color w:val="000000"/>
          <w:sz w:val="20"/>
        </w:rPr>
        <w:t>We maintain U.S. and international trademark registrations for CoStar Group’s core service names and proactively file U.S. and international trademark applications covering our new and planned service names. We own U.S. federally registered trademarks for our brands and services including Apartments.com</w:t>
      </w:r>
      <w:r>
        <w:rPr>
          <w:rFonts w:ascii="Times New Roman;serif" w:hAnsi="Times New Roman;serif"/>
          <w:b w:val="false"/>
          <w:color w:val="000000"/>
          <w:sz w:val="13"/>
        </w:rPr>
        <w:t>®</w:t>
      </w:r>
      <w:r>
        <w:rPr>
          <w:rFonts w:ascii="Times New Roman;serif" w:hAnsi="Times New Roman;serif"/>
          <w:b w:val="false"/>
          <w:color w:val="000000"/>
          <w:sz w:val="20"/>
        </w:rPr>
        <w:t>, CoStar</w:t>
      </w:r>
      <w:r>
        <w:rPr>
          <w:rFonts w:ascii="Times New Roman;serif" w:hAnsi="Times New Roman;serif"/>
          <w:b w:val="false"/>
          <w:color w:val="000000"/>
          <w:sz w:val="13"/>
        </w:rPr>
        <w:t>®</w:t>
      </w:r>
      <w:r>
        <w:rPr>
          <w:rFonts w:ascii="Times New Roman;serif" w:hAnsi="Times New Roman;serif"/>
          <w:b w:val="false"/>
          <w:color w:val="000000"/>
          <w:sz w:val="20"/>
        </w:rPr>
        <w:t>, Domain</w:t>
      </w:r>
      <w:r>
        <w:rPr>
          <w:rFonts w:ascii="Times New Roman;serif" w:hAnsi="Times New Roman;serif"/>
          <w:b w:val="false"/>
          <w:color w:val="000000"/>
          <w:sz w:val="13"/>
        </w:rPr>
        <w:t>®</w:t>
      </w:r>
      <w:r>
        <w:rPr>
          <w:rFonts w:ascii="Times New Roman;serif" w:hAnsi="Times New Roman;serif"/>
          <w:b w:val="false"/>
          <w:color w:val="000000"/>
          <w:sz w:val="20"/>
        </w:rPr>
        <w:t>, Homes.com</w:t>
      </w:r>
      <w:r>
        <w:rPr>
          <w:rFonts w:ascii="Times New Roman;serif" w:hAnsi="Times New Roman;serif"/>
          <w:b w:val="false"/>
          <w:color w:val="000000"/>
          <w:sz w:val="13"/>
        </w:rPr>
        <w:t>®</w:t>
      </w:r>
      <w:r>
        <w:rPr>
          <w:rFonts w:ascii="Times New Roman;serif" w:hAnsi="Times New Roman;serif"/>
          <w:b w:val="false"/>
          <w:color w:val="000000"/>
          <w:sz w:val="20"/>
        </w:rPr>
        <w:t>, Land.com</w:t>
      </w:r>
      <w:r>
        <w:rPr>
          <w:rFonts w:ascii="Times New Roman;serif" w:hAnsi="Times New Roman;serif"/>
          <w:b w:val="false"/>
          <w:color w:val="000000"/>
          <w:sz w:val="13"/>
        </w:rPr>
        <w:t>®</w:t>
      </w:r>
      <w:r>
        <w:rPr>
          <w:rFonts w:ascii="Times New Roman;serif" w:hAnsi="Times New Roman;serif"/>
          <w:b w:val="false"/>
          <w:color w:val="000000"/>
          <w:sz w:val="20"/>
        </w:rPr>
        <w:t>, LoopNet</w:t>
      </w:r>
      <w:r>
        <w:rPr>
          <w:rFonts w:ascii="Times New Roman;serif" w:hAnsi="Times New Roman;serif"/>
          <w:b w:val="false"/>
          <w:color w:val="000000"/>
          <w:sz w:val="13"/>
        </w:rPr>
        <w:t>®</w:t>
      </w:r>
      <w:r>
        <w:rPr>
          <w:rFonts w:ascii="Times New Roman;serif" w:hAnsi="Times New Roman;serif"/>
          <w:b w:val="false"/>
          <w:color w:val="000000"/>
          <w:sz w:val="20"/>
        </w:rPr>
        <w:t>, Matterport</w:t>
      </w:r>
      <w:r>
        <w:rPr>
          <w:rFonts w:ascii="Times New Roman;serif" w:hAnsi="Times New Roman;serif"/>
          <w:b w:val="false"/>
          <w:color w:val="000000"/>
          <w:sz w:val="13"/>
        </w:rPr>
        <w:t>®</w:t>
      </w:r>
      <w:r>
        <w:rPr>
          <w:rFonts w:ascii="Times New Roman;serif" w:hAnsi="Times New Roman;serif"/>
          <w:b w:val="false"/>
          <w:color w:val="000000"/>
          <w:sz w:val="20"/>
        </w:rPr>
        <w:t>, and Visual Lease</w:t>
      </w:r>
      <w:r>
        <w:rPr>
          <w:rFonts w:ascii="Times New Roman;serif" w:hAnsi="Times New Roman;serif"/>
          <w:b w:val="false"/>
          <w:color w:val="000000"/>
          <w:sz w:val="13"/>
        </w:rPr>
        <w:t>®</w:t>
      </w:r>
      <w:r>
        <w:rPr>
          <w:rFonts w:ascii="Times New Roman;serif" w:hAnsi="Times New Roman;serif"/>
          <w:b w:val="false"/>
          <w:color w:val="000000"/>
          <w:sz w:val="20"/>
        </w:rPr>
        <w:t>, among many others. In the U.S., trademarks are generally valid so long as they are in use and are capable of indicating CoStar Group as the source of services. We consider our trademarks in the aggregate to constitute a valuable asset.</w:t>
      </w:r>
    </w:p>
    <w:p>
      <w:pPr>
        <w:pStyle w:val="TextBody"/>
        <w:bidi w:val="0"/>
        <w:spacing w:lineRule="auto" w:line="288" w:before="200" w:after="200"/>
        <w:ind w:left="0" w:right="0" w:firstLine="360"/>
        <w:jc w:val="both"/>
        <w:rPr/>
      </w:pPr>
      <w:r>
        <w:rPr>
          <w:rFonts w:ascii="Times New Roman;serif" w:hAnsi="Times New Roman;serif"/>
          <w:b w:val="false"/>
          <w:color w:val="000000"/>
          <w:sz w:val="20"/>
        </w:rPr>
        <w:t>In addition, we maintain a patent portfolio that protects certain of our systems and methodologies. We currently have over 100 issued patents, with 96 of those issued in the United States.</w:t>
      </w:r>
      <w:r>
        <w:rPr>
          <w:color w:val="000000"/>
        </w:rPr>
        <w:t xml:space="preserve"> </w:t>
      </w:r>
      <w:r>
        <w:rPr>
          <w:rFonts w:ascii="Times New Roman;serif" w:hAnsi="Times New Roman;serif"/>
          <w:b w:val="false"/>
          <w:color w:val="000000"/>
          <w:sz w:val="20"/>
        </w:rPr>
        <w:t xml:space="preserve">Our patent portfolio covers, among other things, our interface features, as well as the technology at the core of Matterport. We regard the rights protected by our patents as valuable to our business, but do not believe that our business is materially dependent on any single patent or portfolio of patents as a whole.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Governmental Regulation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with global operations, we are subject to various federal, state, local, and foreign laws and regulations. These laws and regulations, which may differ among jurisdictions, include, those related to financial and other disclosures, accounting standards, privacy and data protection, intellectual property, corporate governance, taxation, government contracting, trade, antitrust, employment, immigration and travel, and anti-corruption. The costs to comply with these governmental regulations are not material to the understanding of our business. For a further discussion of the risks associated with government regulations that may materially impact us, see “Risk Factors” included in Part I, Item 1A of this report.</w:t>
      </w:r>
    </w:p>
    <w:p>
      <w:pPr>
        <w:pStyle w:val="TextBody"/>
        <w:bidi w:val="0"/>
        <w:spacing w:lineRule="auto" w:line="288" w:before="200" w:after="200"/>
        <w:ind w:left="0" w:right="0" w:firstLine="36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people at CoStar Group are our greatest asset. With over 8,000 employees in 20 countries, our business is built on delivering excellence and innovation to our clients and supporting a workplace where our people can thrive.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CoStar Group’s core values define our culture and guide the behaviors that enable our teams to work collaboratively toward our shared mission of digitizing the world’s real estate. We have designed our human capital resources to strengthen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teams’ skills, drive business growth, support community and belonging, and reward successful outcomes with best-in-class compensation and benefits programs.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we expanded our in-person and online corporate training and development programs to the United Kingdom (and plan to expand them to colleagues in Australia). Our extensive sales training programs include in-depth new hire onboarding designed to accelerate growth, strengthen performance, and elevate the experience of every seller. We also launched several new continuous learning and coaching initiatives, including Leadership Labs, a knowledge-sharing forum for experienced leaders, Coach the Coach, which helps sales leaders refine their coaching skills and drive sustained team performance, and the Leaderboard to Leadership program, which develops high-performing individual contributors into future sales leaders.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assess employee engagement, we partner with a third-party vendor to conduct annual employee surveys. Insights and results gathered from the survey are shared with our leadership, managers, and employees, and inform our learning and development, communication, leadership, and employee experience strategies each year.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diversity of thought that comes from different perspectives and backgrounds enables us to design cutting-edge research, marketplace, and technology solutions that best serve our customers. Our Culture team, in collaboration with our employee resource groups, offers various culture and community engagement programs and educational opportunities to promote a sense of belonging and foster an inclusive environment for all individuals, regardless of their background.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Group’s total rewards approach provides competitive pay and benefits to attract and retain top talent. In addition to base salaries, compensation may include annual bonuses, commissions, and equity awards. Our comprehensive set of health and wellness benefits is both affordable and high quality, offering valuable support to employees and their families. While benefits and wellness offerings vary by location, they can include health care coverage, retirement benefits with company contributions, life and disability insurance, access to counseling and resources related to mental health, time away policies, tuition assistance, service awards of CoStar Group Shares, college savings benefits, company subsidized commuter benefits, legal services, employee stock purchase plan, and pet insurance.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we employed: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6,602 U.S.-based employees, representing approximately 78% of the overall employee population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1,155 employees in Asia and Oceania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608 employees in Europe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72 employees in Canada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4 employees in Latin America</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CoStar Group employees are represented by a labor union, and we have not experienced any work stoppages to date.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is common with many German companies, employees in our German subsidiary, Thomas Daily GmbH, have elected four fellow employees to form a Works Council (Betriebsrat), which represents their interests at the location. The Works Council has certain co-determination rights and rights to receive information from us and engage us in discussions under applicable law. In France, both Business Immo Holdings and ComReal have Works Councils (known as comité social et économique, or CSE) which are employee representative bodies.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investor relations internet website is http://www.costargroup.com/investors. The reports we file with or furnish to the SEC, including our annual report, quarterly reports, and current reports, as well as amendments to those reports, are available free of charge on our internet website as soon as reasonably practicable after we electronically file such material with, or furnish it to, the SEC. The SEC maintains an internet site that contains reports, proxy statements, information statements, and other information regarding issuers that file electronically with the SEC at https://www.sec.gov.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Summary of Risk Factors</w:t>
      </w:r>
    </w:p>
    <w:tbl>
      <w:tblPr>
        <w:tblW w:w="10205" w:type="dxa"/>
        <w:jc w:val="left"/>
        <w:tblInd w:w="0" w:type="dxa"/>
        <w:tblLayout w:type="fixed"/>
        <w:tblCellMar>
          <w:top w:w="28" w:type="dxa"/>
          <w:left w:w="28" w:type="dxa"/>
          <w:bottom w:w="28" w:type="dxa"/>
          <w:right w:w="28" w:type="dxa"/>
        </w:tblCellMar>
      </w:tblPr>
      <w:tblGrid>
        <w:gridCol w:w="241"/>
        <w:gridCol w:w="212"/>
        <w:gridCol w:w="212"/>
        <w:gridCol w:w="2990"/>
        <w:gridCol w:w="2725"/>
        <w:gridCol w:w="3825"/>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we are unable to attract and retain new clients, particularly subscribers to our information, analytics, and online marketplace services, our revenue and financial position will be adversely affected.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Failure to develop and introduce new or upgraded information, analytics, and online marketplace services or to shift focus from current services with less demand could decrease our revenue and our profitability.</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and rapidly changing market, and we may not be able to compete successfully against existing or future competitors in attracting advertisers, which could harm our business, results of operations, and financial condition.</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are subject to fluctuations and market cyclicality, which could negatively affect our stock price.</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Global economic uncertainties and downturns or a downturn or consolidation in the real estate industry may decrease customer demand for our services and adversely affect our business and results of operations. </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If we are unable to hire qualified people for, or retain and continue to develop our sales force, or if our sales force is unproductive, our revenue could be adversely affected.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business depends on retaining and attracting highly capable management and operating personnel.</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internal and external investments may place downward pressure on our operating margins.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or grow our current revenue and profit levels.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be unable to increase awareness of our brands, which could adversely affect our business.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our websites are not prominently featured in internet search engine results, if internet search engines integrate technologies or adopt ranking methodologies that decrease traffic to our websites, or if we are unable to maintain or increase traffic to our marketplaces, our business and operating results could be adversely affected.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real estate professionals or other advertisers reduce or cancel their advertising spending with us and we are unable to attract new advertisers, our operating results would be harmed.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we are unable to successfully identify, finance, integrate, and/or manage costs related to acquisitions, our business operations and financial position could be adversely affected.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strategic transactions may be subject to regulatory approvals and may not be completed as contemplated.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be unable to realize the benefits of the Matterport Acquisition or the Domain Acquisition.</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If third-party suppliers upon which Matterport relies are not able to fulfill its needs, Matterport's ability to timely and cost effectively bring its hardware products to market could be affected.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Cyberattacks and security vulnerabilities could result in serious harm to our reputation, business, and financial condition.</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Technical problems or disruptions could damage our reputation and lead to reduced demand for our information, analytics, and online marketplace services, lower revenue and increased costs.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significant costs associated with building our campus in Richmond, Virginia, have impacted and will continue to impact our financial condition and results of operations.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not be able to successfully expand geographically, which may negatively impact our business.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risks related to acceptance of credit cards and debit cards and facilitation of other customer payments.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Climate related events and other events beyond our control could harm our business.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Attention to corporate responsibility matters may require us to incur additional costs or otherwise adversely impact our business.</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data, intellectual property and listings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we are not able to obtain and maintain accurate, comprehensive, or reliable data, we could experience reduced demand for our services.</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we are unable to enforce or defend our ownership and use of intellectual property, our business, brands, competitive position, and operating results could be harmed.</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Use of new and evolving technologies, including AI, could impact our ability to protect our data and intellectual property from misappropriation by third parties. </w:t>
            </w:r>
          </w:p>
        </w:tc>
      </w:tr>
      <w:tr>
        <w:trPr/>
        <w:tc>
          <w:tcPr>
            <w:tcW w:w="6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54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be subject to legal liability for collecting, displaying, or distributing information.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57"/>
        <w:gridCol w:w="2814"/>
        <w:gridCol w:w="39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39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could be less attractive and our revenue may decrease if we fail to obtain or retain listings from third parties.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or establish relationships with third-party listing providers, maintain stable data feeds, or to comply with the rules and compliance requirements of MLSs.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00"/>
              <w:jc w:val="both"/>
              <w:rPr/>
            </w:pPr>
            <w:r>
              <w:rPr>
                <w:rFonts w:ascii="Times New Roman;serif" w:hAnsi="Times New Roman;serif"/>
                <w:b w:val="false"/>
                <w:color w:val="000000"/>
                <w:sz w:val="20"/>
              </w:rPr>
              <w:t>Failure to comply with the terms of the underlying open source software licenses could restrict our ability to deliver our products or services or subject us to litigation or other action</w:t>
            </w:r>
            <w:r>
              <w:rPr>
                <w:rFonts w:ascii="Times New Roman;serif" w:hAnsi="Times New Roman;serif"/>
                <w:b/>
                <w:color w:val="000000"/>
                <w:sz w:val="20"/>
              </w:rPr>
              <w:t>s</w:t>
            </w:r>
            <w:r>
              <w:rPr>
                <w:rFonts w:ascii="Times New Roman;serif" w:hAnsi="Times New Roman;serif"/>
                <w:b w:val="false"/>
                <w:color w:val="000000"/>
                <w:sz w:val="20"/>
              </w:rPr>
              <w:t>.</w:t>
            </w:r>
            <w:r>
              <w:rPr>
                <w:color w:val="000000"/>
              </w:rPr>
              <w:t xml:space="preserve"> </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expanding our operations outside of the United States, which may subject us to increased business, regulatory, and economic risks that could harm our business.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additional business risks from our international operations, including volatility in foreign currency exchange rates. </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indebtedness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significant indebtedness could decrease our flexibility and adversely affect our business, financial condition, and results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lowering or withdrawal of the ratings assigned to our debt securities by rating agencies may increase our future borrowing costs, reduce our access to capital, or result in the loss of certain covenant suspensions.</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regulatory compliance and legal matters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actual or perceived failure to comply with privacy laws and standards could adversely affect our business, financial condition, and results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Changes in tax laws, regulations, or fiscal and tax policies, or the manner of their interpretation or enforcement could adversely impact our financial performance.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Third-party claims, litigation, regulatory proceedings, or government investigations to which we are subject or in which we become involved, regardless of their merit, may significantly increase our expenses and adversely affect our stock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do not currently intend to pay dividends on our common stock and, consequently, your ability to achieve a return on your investment will depend on appreciation in the price of our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repurchases under our Stock Repurchase Program are discretionary, and we cannot guarantee that our Stock Repurchase Program will achieve the desired objectives. Share repurchases diminish our cash reserves and could also increase the volatility of the trading price of our common stock</w:t>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We may not be able to attract and retain new clients, which could adversely affect our revenue and financial position. Our success and revenue depend on attracting and retaining subscribers to our information, analytics, and online marketplace services, which generate the largest portion of our revenue. </w:t>
      </w:r>
      <w:r>
        <w:rPr>
          <w:rFonts w:ascii="Times New Roman;serif" w:hAnsi="Times New Roman;serif"/>
          <w:b w:val="false"/>
          <w:color w:val="000000"/>
          <w:sz w:val="20"/>
        </w:rPr>
        <w:t>Our renewal rate, net new booking and revenue may not grow, or could decrease, if we cannot attract new customers, continue to keep our cancellation rate low, and continue to sell new services to our existing customers, which may occur as a result of several factors, including, continuing global economic and geopolitical volatility, economic pressures, and the impact of inflation on our costs and on customer spending; the business failure of current clients; customer decisions that they do not need our services or to use alternative services; customers’ and potential customers’ budgetary constraints; consolidation in the real estate and/or financial services industries; data quality; technical problems; competitive pressures; or devaluation of the local currencies of international customers relative to the U.S. dollar which impairs the purchasing power of such customers.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We may not be able to successfully develop and introduce new or upgraded online marketplace services, information, and analytics that are attractive to our users and advertisers or successfully combine or shift focus from current services with less demand, which could decrease our revenue and our profitability.</w:t>
      </w:r>
      <w:r>
        <w:rPr>
          <w:color w:val="000000"/>
        </w:rPr>
        <w:t xml:space="preserve"> </w:t>
      </w:r>
      <w:r>
        <w:rPr>
          <w:rFonts w:ascii="Times New Roman;serif" w:hAnsi="Times New Roman;serif"/>
          <w:b w:val="false"/>
          <w:color w:val="000000"/>
          <w:sz w:val="20"/>
        </w:rPr>
        <w:t xml:space="preserve">Our future business and financial success will depend on our ability to continue to anticipate the needs of customers and potential customers and to successfully introduce new and upgraded services, including services that make our marketplaces useful for users and attractive to advertisers. To be successful, we must be able to quickly adapt to changes in the industry, as well as rapid technological changes, including AI Technologies, by continually enhancing our information, analytics, and online marketplace services. If we fail to introduce new and upgraded services in response to these changes in a timely and cost-efficient manner, or to adequately address the changing needs of our clients, our services could become less competitive or obsolete, which could adversely affect our business, results of operations, or financial condition. As a result, we must continually invest resources in research and development, both through internal investments and the acquisition of intellectual property from companies that we have acquired, to improve the appeal and comprehensiveness of our services, and effectively incorporate new technologies, which could have an adverse effect on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Developing new services and upgrades to services, as well as integrating and coordinating current services, imposes heavy burdens on our systems department, product development team, management, and researchers. The processes are costly, and our efforts to develop, integrate, and enhance our services may not be successful. In addition, launching and selling a new or upgraded service puts additional strain on our sales and marketing resources. If we are unsuccessful in obtaining greater market share or in obtaining widespread adoption of new or upgraded services, we may not be able to offset the expenses associated with the development, launch, and marketing of the new or upgraded service, which could have a material adverse effect on our financial results. For example, we have and will continue to invest significantly in developing our marketplaces and content, and, to generate brand awareness and site traffic, we have and will continue to invest significant resources in multi-channel marketing campaigns for select marketplaces. If these development efforts and marketing campaigns do not increase brand awareness, site traffic, subscriptions for marketplaces services, and/or revenue, the cost of these campaigns could have an adverse effect on our results of operation.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integrate acquired businesses, we continue to assess which services we believe will best meet the needs of our customers. If we eliminate or phase out a service and are not able to offer and successfully market and sell an alternative service, our revenue may decrease, which could have an adverse effect on our results of operations.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Competition could render our services uncompetitive and reduce our profitability. The markets for information systems and services and for online marketplaces in general are highly competitive and rapidly changing in response to changing consumer behavior and new technological advancements.</w:t>
      </w:r>
      <w:r>
        <w:rPr>
          <w:color w:val="000000"/>
        </w:rPr>
        <w:t xml:space="preserve"> </w:t>
      </w:r>
      <w:r>
        <w:rPr>
          <w:rFonts w:ascii="Times New Roman;serif" w:hAnsi="Times New Roman;serif"/>
          <w:b w:val="false"/>
          <w:color w:val="000000"/>
          <w:sz w:val="20"/>
        </w:rPr>
        <w:t>If we are unable to compete successfully against our existing or future competitors, our business, results of operations, or financial condition could be adversely affected. Our existing or future competitors may have greater name recognition, larger customer bases, better technology or data, lower prices, easier access to data, greater user traffic or greater financial, technical, or marketing resources than we have to provide services that users might view as superior to our offerings. Competition in these markets may increase if economic conditions or other circumstances cause customer bases and customer spending to decrease and service providers to compete for fewer customer resources. Competitors, or future competitors, may introduce different solutions that attract users away from our services, such as AI-powered platforms that provide access to real estate agents, real estate data, and related content without directing users to our marketplaces, or provide solutions similar to ours that have the advantage of better branding or marketing resources.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including the integration of generative AI Technologies in response to changing consumer behavior or user requirements. Moreover, rapid advancement of generative AI Technologies may reduce the barrier to entry for new competitors. Increased competition or failure to adapt effectively to technological shifts could result in lower revenue and higher expenses, which would reduce our profitability.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we compete to attract advertisers. To compete successfully for advertisers,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Our operating results and revenue are subject to fluctuations, and our quarterly financial results may be subject to market cyclicality, each of which could negatively affect our stock price.</w:t>
      </w:r>
      <w:r>
        <w:rPr>
          <w:color w:val="000000"/>
        </w:rPr>
        <w:t xml:space="preserve"> </w:t>
      </w:r>
      <w:r>
        <w:rPr>
          <w:rFonts w:ascii="Times New Roman;serif" w:hAnsi="Times New Roman;serif"/>
          <w:b w:val="false"/>
          <w:color w:val="000000"/>
          <w:sz w:val="20"/>
        </w:rPr>
        <w:t>The real estate market may be influenced by general economic conditions, economic cycles, changes in interest rates, seasonality, and many other factors, which in turn may impact our financial results. The different sectors of the large and fragmented real estate industry, such as office, industrial, retail, multifamily, single 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For example, we generally see higher sales of Apartments.com listing services during the peak summer rental season and higher CoStar sales towards the end of the year; however, sales fluctuate from year-to-year and may fluctuate more widely when there are changes in general economic conditions or the industry.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 expenses, and operating results may fluctuate from quarter to quarter. Our operating results, revenue, and expenses may fluctuate for many reasons, including those described in this paragraph and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Rates of subscriber adoption and retention;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Timing of our annual sales conference or significant marketing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pricing strategy and timing of changes;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and success of new service introductions and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shift of focus from certain services we offer or the phase out of services that overlap or are redundant with other services we offer;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and timing of our expenses and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and timing of non-cash stock-based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Acquisition-related costs or impairment charges associated with investments and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or consolidation in the real estate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Execution of our expansion and integration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of our sales force;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currency exchange rate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Inflation;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client budgets.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fluctuations could negatively affect our results of operations during the period in question and/or future periods or cause our stock price to decline. In addition, changes in accounting policies or practices may affect our level of net income. Fluctuations in our financial results, revenue, and expenses may cause the market price of our common stock to decline.</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Global economic uncertainties and downturns or a downturn or consolidation in the real estate industry may decrease customer demand for our services and adversely affect our business and results of operations. </w:t>
      </w:r>
      <w:r>
        <w:rPr>
          <w:rFonts w:ascii="Times New Roman;serif" w:hAnsi="Times New Roman;serif"/>
          <w:b w:val="false"/>
          <w:color w:val="000000"/>
          <w:sz w:val="20"/>
        </w:rPr>
        <w:t>Global economic uncertainties or downturns could adversely affect our business and results of operations, including financial and credit market fluctuations, changes in economic policy, elevated inflation and responsive actions, elevated interest rates, labor shortages, supply chain disruptions, trade uncertainty, political unrest, geographical instability, unanticipated disasters or global health events, or other impacts from the macroeconomic environment. Additionally, tariffs, trade barriers and restrictions, and other acts by governments to protect domestic markets or to retaliate against the trade tariffs and restrictions of other nations could negatively affect our business operations. These macroeconomic conditions could cause a decrease in customer spending and negatively affect the rate of growth of our business. The real estate market may be adversely impacted by many different factors, including lower than expected job growth or job losses resulting in reduced real estate demand; reduced real estate demand due to continued remote work policies or a period of or rising elevated interest rates, elevated inflation, slowing transaction volumes, and other macroeconomic trends that negatively impact investment returns; excessive speculation in new construction in localized markets resulting in increased vacancy rates and diminished rent growth; unanticipated disasters or global health events; and other adverse events such as decreased growth in the working age population resulting in reduced demand for all types of real estate. A downturn in the real estate market, including as a result of increased interest rates or a decline in leasing activity and absorption rates may affect our ability to generate revenue and may lead to more cancellations by our current or future customers, either of which could cause our revenue or our revenue growth rate to decline and reduce our profitability. A depressed real estate market has a negative impact on our core customer base, which could decrease demand for our online marketplaces, information, and analytics. Also, companies in this industry may consolidate, often in order to reduce expenses. Consolidation, or other cost-cutting measures by our customers, may lead to cancellations of our online marketplace services, information, and analytics by our customers, reduce the number of our existing clients, reduce the size of our target market, or increase our clients’ bargaining power, all of which could cause our revenue to decline and reduce our profitability. If cancellations, reductions of services, and failures to pay increase, and we are unable to offset the resulting decrease in revenue by increasing sales to new or existing customers, our revenue may decline or grow at lower rates.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we are unable to hire qualified persons for, or retain and continue to develop our sales force, or if our sales force is unproductive, our revenue could be adversely affected. </w:t>
      </w:r>
      <w:r>
        <w:rPr>
          <w:rFonts w:ascii="Times New Roman;serif" w:hAnsi="Times New Roman;serif"/>
          <w:b w:val="false"/>
          <w:color w:val="000000"/>
          <w:sz w:val="20"/>
        </w:rPr>
        <w:t>In order to support revenue and revenue growth, we need to continue to develop, train, and retain our sales force. Our ability to 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shift our sales force from their specialized positions to tackle a certain product or service with higher priority or long-term potential, our revenue growth from other products or services may decline, and we may experience decreased sales force productivity and increased sales force turnover and incur additional retention or hiring costs related to our sales force. If we are unable to hire qualified sales personnel and develop and retain our sales force, including sales force management, or if our sales force is unproductive, our revenue or growth rate could decline and our expenses could increase. We may face additional challenges in hiring employees in an increasingly competitive job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Our business depends on retaining and attracting highly capable management and operating personnel</w:t>
      </w:r>
      <w:r>
        <w:rPr>
          <w:rFonts w:ascii="Times New Roman;serif" w:hAnsi="Times New Roman;serif"/>
          <w:b w:val="false"/>
          <w:color w:val="000000"/>
          <w:sz w:val="20"/>
        </w:rPr>
        <w:t>. Our success depends in large part on our ability to retain and attract management and operating personnel, including our Founder and Chief Executive Officer, Andrew Florance, and our other officers, and key employees. Our business requires highly skilled technical, sales, management, web product and development, marketing, and research personnel, who are in high demand and are often subject to competing offers. The measures we use to attract and retain key personnel may not be enough to attract and retain the personnel we need or to offset the impact on our business of the loss of the services of Mr. Florance or other key officers or employees. If we were to lose the services of Mr. Florance for any reason, there could be a material adverse impact on our operations. The loss of other key personnel, including members of management, as well as key technology, product development, and marketing personnel, could also disrupt our operations and have an adverse effect on our business.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Our internal and external investments may place downward pressure on our operating margins. </w:t>
      </w:r>
      <w:r>
        <w:rPr>
          <w:rFonts w:ascii="Times New Roman;serif" w:hAnsi="Times New Roman;serif"/>
          <w:b w:val="false"/>
          <w:color w:val="000000"/>
          <w:sz w:val="20"/>
        </w:rPr>
        <w:t>To increase our revenue growth, we continue to invest significantly in our business, including internal investments in product and content development to expand the breadth and depth of services we provide to our customers and external investments in sales and marketing to generate brand awareness and traffic to our websites. Our operating margins may experience downward pressure in the short term as a result of these investments. Furthermore, our investments may not produce the expected results. If we are unable to successfully execute our investment strategy, we may experience decreases in our revenue, or revenue growth rate, and operating margins.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Introducing new products may be difficult and expensive. If we are unable to do so successfully, our brands may be adversely affected, and we may not be able to maintain or grow our current revenue and profit levels.</w:t>
      </w:r>
      <w:r>
        <w:rPr>
          <w:color w:val="000000"/>
        </w:rPr>
        <w:t xml:space="preserve"> </w:t>
      </w:r>
      <w:r>
        <w:rPr>
          <w:rFonts w:ascii="Times New Roman;serif" w:hAnsi="Times New Roman;serif"/>
          <w:b w:val="false"/>
          <w:color w:val="000000"/>
          <w:sz w:val="20"/>
        </w:rPr>
        <w:t xml:space="preserve">To remain competitive and stimulate consumer and business demand, we must successfully manage new product introductions and transitions of products and services. Our future success will depend in large part upon our ability to identify demand trends in our markets, and to quickly develop or acquire, market and sell products and services that satisfy these demands in a cost-effective manner. In order to differentiate our products from our competitors’ products, we must continue to increase our focus and capital investment in research and development and marketing and sales. For example, in February 2024, we launched our Homes.com monetization strategy. We have incurred, and expect to continue to incur, significant costs to develop and market Homes.com. If we are unable to attract and retain agent subscribers and consumers, we may not be able to execute our growth plans or recognize a return on the investments we have made into Homes.com. Failure to gain market acceptance for Homes.com or any other new product could impede our ability to maintain or grow current revenue levels or reduce profits for our other brands, adversely affect the image of our brands, erode our competitive position, and result in long-term harm to our business, and financial results. Extrapolations annualizing initial sales results may differ materially from actual results realized in future periods and may not take into account other future market conditions that may negatively affect those results. Additionally, we are in varying stages of development in relation to our products and internal business processes involving AI Technologies, and there can be no assurance that our investments in such technologies will achieve the expected benefits.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our products or services that incorporate AI Technologies,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Our failure to successfully develop and commercialize our products or services involving AI Technologies could harm our ability to expand our business; provide, improve and diversify our product offerings; continue our operations and efficiently manage our operating expenses; and respond effectively to competitive developments, which could adversely affect our business, results of operations, and financial condition.</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We may be unable to increase awareness of our brands, including CoStar, LoopNet, Matterport, BizBuySell, STR, Apartments.com, Homes.com, Land.com, OnTheMarket, and Domain which could adversely affect our business. </w:t>
      </w:r>
      <w:r>
        <w:rPr>
          <w:rFonts w:ascii="Times New Roman;serif" w:hAnsi="Times New Roman;serif"/>
          <w:b w:val="false"/>
          <w:color w:val="000000"/>
          <w:sz w:val="20"/>
        </w:rPr>
        <w:t>We rely heavily on our brands, which we believe are key assets of our company. Awareness and differentiation of our brands are important for attracting and expanding the number of users of, and subscribers to, our online marketplaces, such as the LoopNet Network, the Apartments.com Network, the Homes.com, OnTheMarket residential marketplaces, the Land.com Network, and Domain. We continue to invest significantly in sales and marketing as we seek to grow the numbers of users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our websites,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If our websites are not prominently featured in internet search engine results, if internet search engines integrate technologies or adopt ranking methodologies that decrease traffic to our websites, or we are unable to maintain or grow traffic to our marketplaces, our business and operating results could be adversely affected</w:t>
      </w:r>
      <w:r>
        <w:rPr>
          <w:rFonts w:ascii="Times New Roman;serif" w:hAnsi="Times New Roman;serif"/>
          <w:b/>
          <w:i/>
          <w:color w:val="000000"/>
          <w:sz w:val="20"/>
        </w:rPr>
        <w:t xml:space="preserve">. </w:t>
      </w:r>
      <w:r>
        <w:rPr>
          <w:rFonts w:ascii="Times New Roman;serif" w:hAnsi="Times New Roman;serif"/>
          <w:b w:val="false"/>
          <w:color w:val="000000"/>
          <w:sz w:val="20"/>
        </w:rPr>
        <w:t>Our ability to generate revenue from our marketplace business depends, in part, on our ability to attract users to our websites. Google, Bing, DuckDuckGo and other internet search engines drive traffic to our websites, including CoStar.com, the LoopNet Network, the Apartments.com Network, our Homes.com and OnTheMarket residential marketplaces, the Land.com Network, and BizBuySell Network. For example, when a user enters a search query for an apartment building name or address into an internet search engine, the internet search engine’s ranking of our Apartments.com or Homes.com webpages will determine how prominently such webpages are displayed on the search engine results page. Our ability to maintain prominent search result rankings and positioning is not entirely within our control. Our competitors’ SEO and SEM efforts may result in webpages from their websites receiving higher rankings than the webpages from our websites. Internet search engines could revise their algorithms and methodologies in ways that would adversely affect our search result rankings. Internet search engine providers could form partnerships or enter into other business relationships with our competitors resulting in competitors’ sites receiving higher search result rankings. Internet search engines are increasingly placing alternative search features (such as featured snippets, local map results, and other immersive experiences) on the search engine results page above or more prominently than search engine results. If our search result rankings are not prominently displayed, traffic to our websites may decline which could slow the growth of our user base. Our websites have experienced fluctuations in search result rankings in the past, and we anticipate similar fluctuations will occur in the future. In addition, if internet search engines expand their services into digital real estate marketplaces, they could leverage their scale, user base, and technology to compete with our websites. Such competition could reduce traffic to our websites, limit our marketplaces' visibility to customers, and diminish the value of our advertising and subscription products. If we experience a material reduction in the number of users directed to our websites through internet search engines or otherwise fail to maintain or increase traffic to our marketplaces, our ability to acquire additional subscribers or advertisers and deliver leads to and retain existing subscribers and advertisers could be adversely affected. As a result, our business, results of operations, and financial condition could be adversely affected. Increases in our operating expenses could negatively impact our operating results if we are unable to generate more revenue through increased sales of subscriptions to our marketplace products. Additionally,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which may impact the comparability of unique visitors between companies. For example, starting on July 1, 2024, Universal Analytics (UA), Google’s legacy analytics platform on which we historically relied for calculating monthly average unique visitors, was discontinued by Google. Prior to June 1, 2024, we measured average monthly unique visitors for all CoStar Group sites using Google’s Universal Analytics. Beginning June 1, 2024, average monthly unique visitors are measured using Google Analytics 4 (GA4), the replacement for Universal Analytics. Due to the change in methodologies, unique visitors reported prior to June 1, 2024 may not provide a meaningful comparison to unique visitors in subsequent periods.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real estate professionals or other advertisers reduce or cancel their advertising spending with us and we are unable to attract new advertisers, our operating results would be harmed. </w:t>
      </w:r>
      <w:r>
        <w:rPr>
          <w:rFonts w:ascii="Times New Roman;serif" w:hAnsi="Times New Roman;serif"/>
          <w:b w:val="false"/>
          <w:color w:val="000000"/>
          <w:sz w:val="20"/>
        </w:rPr>
        <w:t>Our marketplace businesses, including the LoopNet Network, the Apartments.com Network, the Homes.com, OnTheMarket and Domain residential marketplaces, and the Land.com Network, depend on advertising revenue generated primarily through sales to persons in the real estate industry, including broker, agents, property managers and owners, real estate agents, and other advertisers. Our ability to attract and retain advertisers, and ultimately to generate advertising revenue, depends on a number of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the number of unique visitors to, and users of, our websites and mobile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quantity and quality of the leads that we provide to our advertisers;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any marketing and product development efforts directed at attracting additional users and advertisers to our marketplaces;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Keeping pace with changes in technology and with our competitors;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Offering an attractive return on investment to our advertisers for their advertising dollars spent with us.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with respect to the Apartments.com Network and LoopNet Network, our ability to attract and retain advertisers also depends on the current apartment rental market and apartment vacancy rates and commercial rental market and vacancy rates, respectively. If vacancy rates are too high or too low, advertisers may not need to utilize our marketplace services.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advertisers who advertise on our marketplaces do not have long-term contracts. These advertisers could choose to modify or discontinue their relationships with us with little or no advance notice.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advertisers reduce or end their advertising spending with us and we are unable to attract new advertisers, our advertising revenue and business, results of operations, and financial condition could be adversely affected.</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we are not able to successfully identify, finance, integrate, and/or manage costs related to acquisitions, our business operations and financial position could be adversely affected. </w:t>
      </w:r>
      <w:r>
        <w:rPr>
          <w:rFonts w:ascii="Times New Roman;serif" w:hAnsi="Times New Roman;serif"/>
          <w:b w:val="false"/>
          <w:color w:val="000000"/>
          <w:sz w:val="20"/>
        </w:rPr>
        <w:t>We have expanded our markets and services in part through acquisitions of complementary businesses, services, databases, and technologies, and expect to continue to do so in the future. Our acquisition strategy depends on our ability to identify, and the availability of, suitable acquisition candidates. We are likely to incur costs in connection with proposed acquisitions, but may ultimately be unable or unwilling to consummate any particular proposed transaction for various reasons. For example, in 2021, the FTC withheld approval for our proposed acquisition of RentPath, the purchase agreement was subsequently terminated, and we incurred a termination fee of $52 million. We are also likely to incur severance costs and other integration costs post acquisition. Costs in connection with acquisitions and integrations may be higher than expected and could adversely affect our financial condition, results of operations, or prospects of the combined business. In addition, acquisitions involve numerous risks, including risks that we will not be able to realize or capitalize on synergies created through combinations; manage the integration of personnel and products or services; manage the integration of acquired infrastructure and controls; control potential increases in operating costs; manage geographically remote operations; maintain management’s attention on other business concerns and avoid potential disruptions in ongoing operations during an acquisition process or integration efforts; successfully enter markets and sectors in which we have either limited or no direct experience, including foreign markets whose practices, regulations, or laws may pose increased risk; and retain key employees, clients, or vendors, and other business partners of the acquired companies. We may not successfully integrate acquired businesses or assets and may not achieve anticipated benefits of an acquisition, including expected synergies. For example, we may be unable to fully integrate OnTheMarket, Visual Lease, Matterport, and Domain with CoStar Group when and as expected.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previously subject to a consent order agreed to among the FTC staff, CoStar Group, and LoopNet on April 17, 2012 in connection with the LoopNet merger. This consent order expired in August 2022, but if we become subject to similar orders in the future, compliance with such orders could prevent us from closing certain acquisitions or add significant time and cost to such acquisitions, ultimately making an acquisition prohibitive or preventing us from realizing its anticipated benefits.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External factors, such as compliance with laws and regulations and shifting market preferences, may also impact the successful integration of an acquired business. An acquired business could strain our system of internal controls and diminish its effectiveness. Acquisitions could result in dilutive issuances of equity securities, the incurrence of debt and substantial amortization expenses of other intangible assets. We may be unable to obtain financing on favorable terms, or at all, if necessary to finance future acquisitions, making it impossible or more costly to complete future acquisitions. If we are able to obtain financing, the terms may be onerous and restrict our operations. Further, certain acquisitions may be subject to regulatory approval, which can be time-consuming and costly to obtain or may be denied. If regulatory approval is obtained, the terms of any such approval may impose limitations on our ongoing operations or require us to divest assets or lines of business. If regulatory approval is denied, we may incur significant additional costs payable to an acquisition target as a result of failure to close the transaction. Significant break-up fees incurred in the future may adversely affect our results of operations and financial condition.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our acquisitions, we had approximately $6.7 billion of goodwill and intangibles as of December 31, 2025. Future acquisitions may increase this amount. If we are required to recognize goodwill and intangibles impairment charges in the future, this would negatively affect our financial results in the periods of such charges, which may reduce our profitability.</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We may not be able to complete certain strategic transactions if a proposed transaction is subject to review or approval by regulatory authorities pursuant to applicable laws or regulations. </w:t>
      </w:r>
      <w:r>
        <w:rPr>
          <w:rFonts w:ascii="Times New Roman;serif" w:hAnsi="Times New Roman;serif"/>
          <w:b w:val="false"/>
          <w:color w:val="000000"/>
          <w:sz w:val="20"/>
        </w:rPr>
        <w:t>Certain potential acquisitions, divestitures or other business combinations that we may pursue could be subject to review or approval by regulatory authorities pursuant to applicable laws or regulations. In particular, in the U.S., mergers may require certain filings and review by the Department of Justice or the FTC. In recent years, there has been enhanced regulatory scrutiny over certain of these transactions. In the event that we were to make an investment, acquisition, or disposition that was determined to be subject to regulatory review, and such regulatory approval or clearance is not obtained, or the review process is extended beyond the period of time that would permit such strategic transactions to be consummated, we may not be able to consummate such strategic transactions or counterparties may be deterred from pursuing potential strategic transactions with us. This may impair our ability to raise capital when needed and to pursue accretive transactions, which is an important part of our business model, and have an adverse effect on our business, results of operations, and financial condition. This may also subject us to significant and increased costs, expenses and fees, including, without limitation, legal, accounting, and financial advisory fees, as well as fees and expenses related to potential litigation costs or financing commitments.</w:t>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We may be unable to realize the benefits of the acquisition of either Matterport or Domain, which could have an adverse effect on us. </w:t>
      </w:r>
      <w:r>
        <w:rPr>
          <w:rFonts w:ascii="Times New Roman;serif" w:hAnsi="Times New Roman;serif"/>
          <w:b w:val="false"/>
          <w:color w:val="000000"/>
          <w:sz w:val="20"/>
        </w:rPr>
        <w:t xml:space="preserve">On February 28, 2025, the Company completed the Matterport Acquisition, and on August 27,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completed the Domain Acquisition. Following the acquisition of both companies, we have lost and can continue to lose key employees, incur higher than expected costs, anticipate the diversion of management attention, or the disruption of our ongoing businesses, which may adversely affect the combined company’s ability to maintain relationships with customers, vendors and employees or to achieve the anticipated benefits of the acquisition.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and we will continue to incur, transaction fees, including legal, regulatory, and other costs associated with closing the transaction,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the Matterport Acquisition and Domain Acquisition will depend in part on our ability to realize the anticipated business opportunities and growth prospects from combining our business with that of Matterport and Domain. We may never realize these business opportunities and growth prospects in the time frame expected, or at all. We do not have experience in Matterport’s business in 3D digital technology or in manufacturing cameras. Matterport’s business is also subject to risks and uncertainties. There can be no assurances we will have success in these industries. Integrating operations will require significant efforts and expenditures. If we are unable to successfully or timely integrate Matterport’s or Domain's business with ours, we may be unable to realize the growth, synergies, and other anticipated benefits resulting from the acquisition and our business could be adversely affected.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If third-party suppliers upon which Matterport relies are not able to fulfill its needs, Matterport’s ability to timely and cost effectively bring its hardware products to market could be affected.</w:t>
      </w:r>
      <w:r>
        <w:rPr>
          <w:color w:val="000000"/>
        </w:rPr>
        <w:t xml:space="preserve"> </w:t>
      </w:r>
      <w:r>
        <w:rPr>
          <w:rFonts w:ascii="Times New Roman;serif" w:hAnsi="Times New Roman;serif"/>
          <w:b w:val="false"/>
          <w:color w:val="000000"/>
          <w:sz w:val="20"/>
        </w:rPr>
        <w:t xml:space="preserve">Matterport relies on a limited number of suppliers to supply its hardware components for its cameras and other hardware products, including in some cases only a single supplier for some products and components. This reliance on a limited number of manufacturers increases its risks, since Matterport does not currently have proven reliable alternative or replacement manufacturers beyond these key parties. In the event of interruption, we may not be able to increase capacity from other sources or develop alternate or secondary sources, and if such sources become available, they may result in material additional costs and substantial delays.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Unexpected changes in business conditions, materials pricing, labor issues, wars, trade policies, natural disasters, health epidemics, trade and shipping disruptions, port congestions, and other factors beyond our or our suppliers’ control could also affect these suppliers’ ability to deliver components to us or to remain solvent and operational. Such disruptions could adversely affect our business if we are not able to meet customer demands. In addition, some of our suppliers are located in China. Our access to suppliers in China may be limited or impaired as a result of tariffs, including those that have been recently introduced by the current U.S. administration, or other government restrictions in response to geopolitical factors. There is no guarantee we may be able to continually use alternative suppliers and alternative parts as we scale production to meet our growth targets. Additionally, if our suppliers do not accurately forecast and effectively allocate production or if they are not willing to allocate sufficient production to us, it may reduce our access to components and require us to search for new suppliers. The unavailability of any component or supplier could result in production delays, idle manufacturing facilities, product design changes, and loss of access to important technology and tools for producing and supporting our products, as well as impact our capacity expansion and our ability to fulfill our obligations under customer contracts. Moreover, new product launches or product design changes by us have required, and may in the future require, us to procure additional components in a short amount of time. Our suppliers may not be willing or able to sustainably meet our timelines or our cost, quality, and volume needs, or to do so may cost us more, which may require us to replace them with other 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face supply constraints for any of the reasons described above, it may not be possible to obtain or increase supplies on acceptable terms, which may undermine our ability to satisfy customer demands in a timely manner. For example, it may take a significant amount of time to identify a manufacturer that has the capability and resources to build and supply necessary hardware components in sufficient volume. Identifying suitable suppliers can be an extensive process that requires us to become satisfied with our suppliers’ quality control, technical capabilities, responsiveness and service, financial stability, regulatory compliance, and labor and other ethical practices. Accordingly, a loss of any significant suppliers or manufacturers would have an adverse effect on our business, financial condition, and operating results. </w:t>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Cyberattacks and security vulnerabilities could result in material harm to our reputation, business, and financial condition. </w:t>
      </w:r>
      <w:r>
        <w:rPr>
          <w:rFonts w:ascii="Times New Roman;serif" w:hAnsi="Times New Roman;serif"/>
          <w:b w:val="false"/>
          <w:color w:val="000000"/>
          <w:sz w:val="20"/>
        </w:rPr>
        <w:t>Our business relies on IT Systems and involves the generation, collection, storage, processing, and transmission of Confidential Information, including personal information and proprietary business information, by us and by third-party providers we rely on. We own and manage IT Systems but also rely on third-party managed IT Systems that we do not control and a broad array of third-party products and services to support our business operations. Because we make extensive use of third-party service providers, such as cloud and SaaS services, significant cyberattacks that disrupt or result in unauthorized access to third-party IT Systems could materially impact our operations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Tools and techniques (including AI) used to obtain unauthorized, improper, or illegal access to a target’s systems, data, or customers’ data, disable or degrade services, or sabotage systems are constantly evolving and have become increasingly complex and sophisticated. It is increasingly difficult to detect, investigate, and remediate cyber-attacks, and attacks often are not recognized or detected until after they have been launched against a target. We expect that unauthorized parties will continue to attempt to gain access to or disrupt our IT systems or facilities through various means, including hacking into IT Systems or facilities or those of our customers or vendors, installing malware (including ransomware) or attempting to fraudulently induce (for example, through spear phishing attacks or social engineering) our employees, customers, vendors, or other users of IT Systems into disclosing access credentials or other sensitive information to access our IT Systems.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Numerous and evolving cybersecurity risks, including from diverse threat actors, such as state-sponsored organizations, opportunistic hackers and hacktivists, as well as through diverse attack vectors, such as advanced cyberattacks, phishing, social engineering schemes, malware (including ransomware), malfeasance by insiders, human or technological error, and as a result of bugs, misconfigurations, or exploited vulnerabilities in software or hardware, could threaten the confidentiality, availability, and integrity of Confidential Information and our IT systems. Efforts by us, our customers, our vendors and other users of our IT Systems to prevent, detect, and respond to data security incidents cannot guarantee protection due to attackers increasingly using tools and techniques that are designed to circumvent controls, to avoid detection, and to remove or obfuscate forensic evidence. There can be no assurance that our cybersecurity risk management program and processes, including our policies, controls, or procedures, will be fully implemented, complied with or effective in protecting our IT Systems and Confidential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IT Systems are vulnerable to cyberattacks and security breaches involving our customers’ or our employees’ Confidential Information, including personal or proprietary information, that is stored on or accessible through those systems. We have experienced and expect to continue to experience in the future, cyberattacks as well as breaches of our security measures due to human error, malfeasance, system errors or vulnerabilities, or other irregularities. In the past, for example, one of our vendors providing IT infrastructure management software was compromised by cyberattacks. We are also regularly exposed to vulnerabilities in widely deployed third-party software that we use in the ordinary course of business. Moreover, given the nature of complex software and services like ours, and the scanning tools that we deploy across our networks, infrastructure,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To date, these cyberattacks and vulnerabilities have not had a material adverse effect on our operations, but there can be no guarantee that material attacks or incidents will not occur in the future.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past three years, we have not experienced a material cybersecurity incident, but any actual or perceived cybersecurity incidents or breaches of our security could result in any or all of the following, among other things, any of which could adversely affect our business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 of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Unavailability of our systems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Unauthorized or improper disclosures of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Unauthorized or improper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Harm to our reputation and brands;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breach notification requirements, regulatory scrutiny, enforcement actions, legal proceedings and claims, (including class action lawsuits), and other legal and financial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Remediation, system restoration, incident response, and compliance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customer confidence in, or decreased use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Diversion of the attention of management from the operation of our business;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Contractual penalties or other payments as a result of third-party losses or claims.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significant cyberattacks or data security breaches affecting companies that we acquire and/or that provide us services (including data center and cloud computing providers) could materially impact our business. Further, we may not be able to recover any or all damages suffered as a result of security breaches or other security incidents from such third-party providers.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coverage under our insurance policies for cybersecurity and related issues may not be adequate to reimburse us for losses caused by cyberattacks or other security incidents or be available on economically reasonable terms or at all.</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Technical problems or disruptions that affect either our customers’ ability to access our services, or the software, internal applications, database, and network systems underlying our services, could damage our reputation and lead to reduced demand for our online marketplace services, information, and analytics, lower revenue and increase costs. </w:t>
      </w:r>
      <w:r>
        <w:rPr>
          <w:rFonts w:ascii="Times New Roman;serif" w:hAnsi="Times New Roman;serif"/>
          <w:b w:val="false"/>
          <w:color w:val="000000"/>
          <w:sz w:val="20"/>
        </w:rPr>
        <w:t xml:space="preserve">Our business, brands, and reputation depend upon the satisfactory performance, reliability, and availability of our websites, the internet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service providers. Interruptions in these systems, whether due to system failures, computer viruses, software errors, physical or electronic break-ins, or malicious hacks or attacks on our systems (such as denial of service attacks or use of malware such as ransomware) could affect the security and availability of our services on our mobile applications and our websites and prevent or inhibit users’ access to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software, internal applications, and systems underlying our services are complex and may not be error-free. We may encounter technical problems when we attempt to enhance our software, internal applications, and systems. Our users rely on our services to conduct their own businesses. Disruptions in, technical problems with, or reductions in ability to access our services for any reason could damage our users’ businesses, harm our reputation, result in additional costs, or reduce demand for our online marketplace services, information, and analytics, any of which could harm our business, results of operations, and financial condition.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AWS and ACC are distributed computing infrastructure platforms for business operations, commonly referred to as “cloud” computing services. We currently run a majority of our computing on AWS and ACC and have built our software and computer systems to use computing, storage capabilities, bandwidth, and other services provided by AWS and ACC. Given this, any significant disruption of or interference with AWS or ACC, whether temporary, regular, or prolonged, would negatively impact our operations and our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maintain communications, network, and computer hardware used to operate some of our mobile applications and websites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network providers, private network providers, internet service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The significant costs associated with undertaking a large infrastructure project to build out our campus in Richmond, Virginia, have impacted and will continue to impact our financial condition and results of operations. </w:t>
      </w:r>
      <w:r>
        <w:rPr>
          <w:rFonts w:ascii="Times New Roman;serif" w:hAnsi="Times New Roman;serif"/>
          <w:b w:val="false"/>
          <w:color w:val="000000"/>
          <w:sz w:val="20"/>
        </w:rPr>
        <w:t>In December 2021, we announced our plans to expand our research and technology center in Richmond, Virginia. These plans have required and will continue to require significant capital expenditures over the next several years and our business plans may change. Future changes in growth or fluctuations in cash flow may also negatively impact our ability to finance this project. Additionally, actual capital expenditures could vary materially from our projected capital expenditures, which could negatively impact our business, operating results, and financial condition. If we are provided with any grants, tax credits, abatements, or other incentives related to this expansion effort and do not meet requirements associated with those incentives, we may not be able to benefit from those incentives, which could cause the cost of the project to be significantly more than anticipated or significantly increase our taxes above what we currently expect. To date, we have financed construction with cash on hand and plan to finance the remainder of construction in the same way. Use of cash on hand to finance construction has and will continue to reduce the amount of cash available for other corporate uses and could also reduce our ability to meet our scheduled debt service obligations or to meet the covenants required to borrow additional funds under our 2024 Credit Agreement. Any of the foregoing may adversely affect our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Our current or future geographic expansion plans may not result in increased revenue, which may negatively impact our business, results of operations, and financial position. </w:t>
      </w:r>
      <w:r>
        <w:rPr>
          <w:rFonts w:ascii="Times New Roman;serif" w:hAnsi="Times New Roman;serif"/>
          <w:b w:val="false"/>
          <w:color w:val="000000"/>
          <w:sz w:val="20"/>
        </w:rPr>
        <w:t>Expanding into new markets and increasing the depth of our coverage in existing markets imposes additional burdens on our research, systems development, sales, marketing, and general managerial resources. If we are unable to manage our expansion efforts effectively, if our expansion efforts take longer or are more expensive than planned, or we are not successful in marketing and selling our services in existing or new markets, our expansion may have a material adverse effect on our financial position by increasing our expenses without increasing our revenue.</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We are subject to a number of risks related to acceptance of credit cards and debit cards and facilitation of other customer payments. </w:t>
      </w:r>
      <w:r>
        <w:rPr>
          <w:rFonts w:ascii="Times New Roman;serif" w:hAnsi="Times New Roman;serif"/>
          <w:b w:val="false"/>
          <w:color w:val="000000"/>
          <w:sz w:val="20"/>
        </w:rPr>
        <w:t>We depend on processing vendors to process a significant number of credit and debit card transactions and ACH payments, for payments made to us directly by customers for our services, by renters to landlords using our online leasing services, or by real estate agents to purchase our Homes.com services. If we or any one or more of these service providers fail to maintain adequate systems to authorize and process credit card transactions, one or more of the major credit card companies could disallow our continued use of their payment products. If we are unable to maintain our chargeback rate or refund rates at acceptable levels, our processing vendors may increase our transaction fees or terminate their relationships with us. We could lose customers if we are not able to continue to use payment products of the major credit card companies. Further, if we or any one or more of these service providers fail to maintain adequate systems for authorization and processing of credit, debit, ACH or similar payments, or if any such service provider were to terminate or modify its relationship with us unexpectedly, our ability to process those customer transactions would be adversely affected, which could decrease sales, discourage customers away from our marketplace services, result in potential legal liability, and harm our business and reputation.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payment methods that we offer also subject us to potential fraud and theft by criminals, who are becoming increasingly sophisticated, seeking to obtain unauthorized access to or exploit weaknesses that may exist in the payment systems. If we fail to comply with applicable rules or requirements for the payment methods we accept,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payment transactions, we may face civil liability, diminished public perception of our security measures, loss of customers, and higher costs, each of which could harm our business, results of operations, and financial condition.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Climate-related events and other events beyond our control could harm our business. </w:t>
      </w:r>
      <w:r>
        <w:rPr>
          <w:rFonts w:ascii="Times New Roman;serif" w:hAnsi="Times New Roman;serif"/>
          <w:b w:val="false"/>
          <w:color w:val="000000"/>
          <w:sz w:val="20"/>
        </w:rPr>
        <w:t>Natural disasters, disease outbreaks and pandemics, power shortages, terrorism, political unrest, telecommunications failure, vandalism, geopolitical instability, war, climate related events, and other events beyond our control could negatively impact our operations or otherwise harm our business. Such events may result in damage or loss of service to our data centers or other infrastructure that our operations rely on, potentially reducing the attractiveness of real estate in areas we provide services, causing delays in product development or availability, or result in losses of critical data, any of which may adversely impact our operations.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impacts of climate-related events on the global economy and our industry are rapidly evolving. Physical impacts of climate-related events (including, but not limited to, floods, droughts, more frequent and/or intense storms, and wildfires) may disrupt our operations, as well as the operations of our suppliers and customers. Longer-term physical impacts may also result in changing consumer preferences, which may adversely impact demand for certain of our products. Transition impacts of climate-related events can also subject us to increased regulations, reporting requirements (such as the State of California disclosure rules and the European Union’s Corporate Sustainability Reporting Directive), standards, or expectations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regarding the environmental and/or social impacts, risks, and opportunities of our business. Failure to disclose accurate information in a timely manner may also adversely affect our reputation, business, or financial performance.</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Attention to corporate responsibility matters may require us to incur additional costs or otherwise adversely impact our business. </w:t>
      </w:r>
      <w:r>
        <w:rPr>
          <w:rFonts w:ascii="Times New Roman;serif" w:hAnsi="Times New Roman;serif"/>
          <w:b w:val="false"/>
          <w:color w:val="000000"/>
          <w:sz w:val="20"/>
        </w:rPr>
        <w:t>Any engagement in voluntary initiatives (including disclosures) to improve our corporate responsibility profile and respond to stakeholder expectations, can be costly, subject to conditions outside our control, and fail to have the desired effects. For example, many corporate responsibility initiatives leverage methodologies and data that are complex and continue to evolve. As with other companies, our approach to such matters also evolves, and we cannot guarantee that our approach will align with any particular stakeholder’s expectations or preferences. Moreover, various stakeholders have different, and at times conflicting expectations. For example, while some policymakers have adopted requirements for various disclosures or actions on climate or other corporate responsibility matters, policymakers in other jurisdictions have adopted laws to constrain consideration of corporate responsibility matters in certain circumstances. Additional actions may be taken by both proponents and opponents of corporate responsibility matters to advance their expectations. Any failure to successfully navigate such expectations may result in adverse impacts. Responding to such matters entails inherent costs, and any failure to successfully navigate such expectations could adversely impact our business. Various of our customers, suppliers, and other stakeholders are also subject to such expectations, which may result in additional or augmented risks to our business.</w:t>
      </w:r>
    </w:p>
    <w:p>
      <w:pPr>
        <w:pStyle w:val="TextBody"/>
        <w:bidi w:val="0"/>
        <w:spacing w:lineRule="auto" w:line="288" w:before="200" w:after="20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our data, intellectual property, and listings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we are not able to obtain and maintain accurate, comprehensive, or reliable data, we could experience reduced demand for our online marketplace services, information, and analytics. </w:t>
      </w:r>
      <w:r>
        <w:rPr>
          <w:rFonts w:ascii="Times New Roman;serif" w:hAnsi="Times New Roman;serif"/>
          <w:b w:val="false"/>
          <w:color w:val="000000"/>
          <w:sz w:val="20"/>
        </w:rPr>
        <w:t>Our success depends on our clients’ confidence in the comprehensiveness, accuracy, and reliability of the data and analysis we provide.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Establishing and maintaining accurate and reliable data and analysis is challenging. If our data, including the data we obtain from third parties or directly from brokers through the Marketing Center feature on CoStar and LoopNet, or analysis is not current, accurate, comprehensive, or reliable, we could experience reduced demand for our services or be subject to legal claims by our customers, either of which could result in lower revenue and higher expenses. If we are no longer able to obtain certain data from third parties or from brokers, our brands and our business, results of operations, and financial condition could be materially impacted.</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we are unable to enforce or defend our ownership and use of intellectual property, our business, brands, competitive position, and operating results could be harmed. </w:t>
      </w:r>
      <w:r>
        <w:rPr>
          <w:rFonts w:ascii="Times New Roman;serif" w:hAnsi="Times New Roman;serif"/>
          <w:b w:val="false"/>
          <w:color w:val="000000"/>
          <w:sz w:val="20"/>
        </w:rPr>
        <w:t>The success of our business depends in large part on our intellectual property, including intellectual property involved in our methodologies, databases,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We find our proprietary content on competitors’ sites.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have cost us and could continue to cost us a significant amount of time and money and distract management’s attention from operating our business. In addition, if we do not prevail on an intellectual property claim, this could result in a change to our methodology or online marketplace services, information, and analytics, and could reduce our profitability.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trademark, trade secret, patent, and copyright protection may not be available in every country in which we provide our services. The laws of certain countries do not protect proprietary rights to the same extent as the laws of the U.S. and, therefore, in certain jurisdictions, we may be unable to protect our intellectual property and our proprietary technology adequately against unauthorized third-party copying or use, which could harm our competitive position. This risk will increase as we continue to expand our business into new international jurisdictions.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Use of new and evolving technologies, including AI, could impact our ability to protect our data and intellectual property from misappropriation by third parties. </w:t>
      </w:r>
      <w:r>
        <w:rPr>
          <w:rFonts w:ascii="Times New Roman;serif" w:hAnsi="Times New Roman;serif"/>
          <w:b w:val="false"/>
          <w:color w:val="000000"/>
          <w:sz w:val="20"/>
        </w:rPr>
        <w:t xml:space="preserve">We have expended significant resources to develop proprietary content and any misappropriation of our data could reduce the value of that content or our return on investment related to that content, which could harm our competitive position and results of operations. Third parties may misappropriate our data through website scraping, robots, or other means, and aggregate and display this data on their websites. In addition, “copycat” websites may misappropriate data on our website and attempt to imitate our brands or the functionality of our website. We may not be able to detect all such websites in a timely manner and, even if we could, technological and legal measures available to us may be insufficient to stop their operations and the misappropriation of our data. Any measures that we may take to enforce our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could require us to expend significant financial or other resources. AI Technologies are becoming increasingly powerful and sophisticated, and third parties (including our competitors) and “copycat” websites may utilize AI Technologies to misappropriate our data more quickly and at a larger scale than in the past. Use of AI also increases the risk of cyberattacks and data breaches, which can occur more quickly and evolve more rapidly when AI Technologies are used.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scope of intellectual property protection in the field of AI and machine learning is currently under development, and there is uncertainty and ongoing litigation in different jurisdictions as to the degree and extent of protection warranted for AI and machine learning systems and their relevant system outputs. For example, the law is uncertain across jurisdictions regarding the copyright ownership of content that is produced in whole or in part by generative AI tools. If we fail to obtain protection for the intellectual property rights concerning our AI Technologies or their outputs that we seek to claim as proprietary, or later have our intellectual property rights invalidated or otherwise diminished, which could adversely affect our business, reputation and financial condition.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use of AI Technologies, whether by us or by third parties, may increase the risk that our data, intellectual property or confidential information will be inadvertently disclosed, which may result in reputational harm, competitive harm, or legal liability and adversely affect our business, results of operations, or financial condition.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We may be subject to legal liability for collecting, displaying, or distributing information, or integrating generative AI Technologies in our products and services. </w:t>
      </w:r>
      <w:r>
        <w:rPr>
          <w:rFonts w:ascii="Times New Roman;serif" w:hAnsi="Times New Roman;serif"/>
          <w:b w:val="false"/>
          <w:color w:val="000000"/>
          <w:sz w:val="20"/>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online marketplaces, information, and analytics to users. These risks may be exacerbated from impacts, or perceived impacts, of emerging technologies (including, but not limited to, AI Technologies integrated into our products and services). There is a risk that the generative AI Technologies (i.e., AI Technologies that can produce and output new content, software code, data and information) that we incorporate into our products and services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Measures designed to ensure the accuracy of such AI generated content, may not always be successful, and in some cases, we may need to rely on end users to report such inaccuracies.</w:t>
      </w:r>
    </w:p>
    <w:p>
      <w:pPr>
        <w:pStyle w:val="TextBody"/>
        <w:bidi w:val="0"/>
        <w:spacing w:lineRule="auto" w:line="288" w:before="0" w:after="0"/>
        <w:ind w:left="0" w:right="0" w:firstLine="360"/>
        <w:jc w:val="both"/>
        <w:rPr/>
      </w:pPr>
      <w:r>
        <w:rPr>
          <w:rFonts w:ascii="Times New Roman;serif" w:hAnsi="Times New Roman;serif"/>
          <w:b w:val="false"/>
          <w:color w:val="000000"/>
          <w:sz w:val="20"/>
        </w:rPr>
        <w:t>In addition, in the EU, the DSA governs, among other things, our potential liability for illegal services/products or content on our platforms, obligations around traceability of business users, and requires enhanced transparency measures, including in relation to any recommendation systems (including the main parameters used by such systems and any available options for recipients to modify or influence them). Further, the DSA contains general requirements that user interfaces may not deceive or manipulate users which are yet to be clarified further by guidance. Similarly, in the United Kingdom, the OSA establishes an extensive regulatory framework for certain user-to-user and search services and imposes obligations to protect users from illegal content</w:t>
      </w:r>
      <w:r>
        <w:rPr>
          <w:rFonts w:ascii="Times New Roman;serif" w:hAnsi="Times New Roman;serif"/>
          <w:b w:val="false"/>
          <w:color w:val="0000FF"/>
          <w:sz w:val="20"/>
        </w:rPr>
        <w:t>.</w:t>
      </w:r>
      <w:r>
        <w:rPr>
          <w:color w:val="000000"/>
        </w:rPr>
        <w:t xml:space="preserve"> </w:t>
      </w:r>
      <w:r>
        <w:rPr>
          <w:rFonts w:ascii="Times New Roman;serif" w:hAnsi="Times New Roman;serif"/>
          <w:b w:val="false"/>
          <w:color w:val="000000"/>
          <w:sz w:val="20"/>
        </w:rPr>
        <w:t>The DSA and the OSA may increase our compliance costs, require changes to our user interfaces, processes, operations, and business practices which may adversely affect our ability to attract, retain and provide our services to customers, and may otherwise adversely affect our business, operations and financial condition. Failure to comply with the DSA can result in fines of up to 6% of total annual worldwide turnover and recipients of services have the right to seek compensation from providers in respect of damage or loss suffered due to infringement by the provider to comply with the DSA, and failure to comply with the OSA can result in fines of up to 10% of total annual worldwide turnover or £18 million, whichever is higher.</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If we are unable to obtain or retain listings from real estate brokers, agents, property owners, and apartment property managers, our marketplace services could be less attractive to current or potential customers, which could reduce our revenue. </w:t>
      </w:r>
      <w:r>
        <w:rPr>
          <w:rFonts w:ascii="Times New Roman;serif" w:hAnsi="Times New Roman;serif"/>
          <w:b w:val="false"/>
          <w:color w:val="000000"/>
          <w:sz w:val="20"/>
        </w:rPr>
        <w:t>The value of our real estate marketplace services to our customers depends on our ability to increase the number of property listings provided and searches conducted. As the number of listings increases, so does the utility of a marketplace’s search, listing, and marketing services. We depend substantially on brokers, agents, property owners and, in the case of apartment rentals, property managers to submit listings to our marketplaces. If these parties choose not to continue their listings with us, or choose to list them with a competitor, our marketplace services could be less attractive to other real estate industry transaction participants, resulting in reduced revenue.</w:t>
      </w:r>
    </w:p>
    <w:p>
      <w:pPr>
        <w:pStyle w:val="TextBody"/>
        <w:bidi w:val="0"/>
        <w:spacing w:lineRule="auto" w:line="288" w:before="20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We may not be able to maintain or establish relationships with third-party listing providers, which could limit the information we have to power our products and services and impair our ability to maintain stable data feeds and attract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pPr>
      <w:r>
        <w:rPr>
          <w:rFonts w:ascii="Times New Roman;serif" w:hAnsi="Times New Roman;serif"/>
          <w:b w:val="false"/>
          <w:i/>
          <w:color w:val="000000"/>
          <w:sz w:val="20"/>
        </w:rPr>
        <w:t>retain customers.</w:t>
      </w:r>
      <w:r>
        <w:rPr>
          <w:color w:val="000000"/>
        </w:rPr>
        <w:t xml:space="preserve"> </w:t>
      </w:r>
      <w:r>
        <w:rPr>
          <w:rFonts w:ascii="Times New Roman;serif" w:hAnsi="Times New Roman;serif"/>
          <w:b w:val="false"/>
          <w:color w:val="000000"/>
          <w:sz w:val="20"/>
        </w:rPr>
        <w:t xml:space="preserve">Our ability to attract agents and consumers to Homes.com, its websites, and mobile applications, and other residential real estate tools depends, to some degree, on us providing timely access to comprehensive and accurate real estate listings and information. We get listings data primarily from MLSs in the markets we serve. We also source listings data from public records, other third-party listing providers, and other sources. Many of our agreements with real estate listing providers may be terminated with limited notice or cause. Many of our competitors and other real estate websites have similar access to MLSs and listing data and may be able to source certain real estate information faster or more efficiently than we can. Because MLS participation is voluntary, brokers and homeowners may decline to post their listings data to their local MLS or may seek to change or limit the way that data is distributed. Another industry participant or group could create a new listings data service, which could impact the relative quality or quantity of information of our listing providers. The loss of existing relationships with MLSs and other listing providers, whether due to termination of agreements, loss of MLS memberships, or otherwise, changes to our rights to use or timely access listing data or an inability to continue to add new listing providers or changes to the way real estate information is shared, may negatively impact our listing data quality and our ability to maintain stable data feeds. Data feeds could also be disrupted as a result of class action lawsuits, settlements, or governmental investigations involving the MLSs or other industry organizations, regardless of whether we are involved. This could markedly decrease the quantity and quality of the sale and rental data we provide, reduce customer confidence in our products and services, and cause customers to go elsewhere for real estate listings and information, which could severely harm our business, results of operations, and financial condition. </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If we fail to comply with the rules and compliance requirements of MLSs, our access to and use of listings data may be restricted or terminated and we may be unable to maintain stable data feeds</w:t>
      </w:r>
      <w:r>
        <w:rPr>
          <w:rFonts w:ascii="Times New Roman;serif" w:hAnsi="Times New Roman;serif"/>
          <w:b w:val="false"/>
          <w:color w:val="000000"/>
          <w:sz w:val="20"/>
        </w:rPr>
        <w:t xml:space="preserve">. Our products and services access and use listings data through MLS memberships and must comply with each MLS’s rules and compliance requirements to maintain their access to listings data and remain a member in good standing. Each MLS has adopted its own rules, policies, and agreement terms governing, among other things, how MLS data may be used and how listings data must be displayed on our websites and mobile applications. MLS members are also subject to compliance operations requirements and, as a result, must respond to complaints lodged by the MLS or other MLS participants on required timelines. MLS rules vary among markets and are in some cases inconsistent between MLSs, such that we are required to customize our websites, mobile applications, or services to accommodate differences between MLS rules. Handling complaints received by MLS members across markets may create heightened operational or financial risks with short response and resolution deadlines. Complying with the rules and compliance requirements of each MLS requires significant investment, including personnel, technology, and development resources, and the exercise of considerable judgment. Rules and compliance requirements of MLSs may be changed across markets, including potential for targeted changes in response to our operations. If we are deemed to be noncompliant with an MLS’s rules or to have provided improper responses to or resolution of complaints, we may face disciplinary sanctions by that MLS, which could include monetary fines, restricting, or terminating our access to that MLS’s data, or other disciplinary measures. Data feeds could also be disrupted as a result of class action lawsuits, settlements, or governmental investigations involving the MLSs or other industry organizations, regardless of whether we are involved. The loss or degradation of this listings data could materially and adversely affect traffic to our websites and mobile applications, which could severely harm our business, results of operations, and financial condition. </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Some of our products or services contain third-party open source software components, and failure to comply with the terms of the underlying open source software licenses could restrict our ability to deliver our products or services or subject us to litigation or other action</w:t>
      </w:r>
      <w:r>
        <w:rPr>
          <w:rFonts w:ascii="Times New Roman;serif" w:hAnsi="Times New Roman;serif"/>
          <w:b/>
          <w:i/>
          <w:color w:val="000000"/>
          <w:sz w:val="20"/>
        </w:rPr>
        <w: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Some of our products or services contain software components licensed to us by third-party authors under “open source” licenses, and we expect to continue to incorporate such open source software in our products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these products and introduce malware into our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open source components used in the development of our products and services contain licenses requiring that we make portions of our source code publicly available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For example, our Matterport platform incorporates software that is licensed under open source licenses, which could require release of proprietary code if such platform was released or distributed in any manner that would trigger such a requirement to third parties. Additionally, some open source projects have vulnerabilities and architectural instabilities and are provided without warranties or support services to actively provide us with patched versions when available, and which, if not properly addressed, could negatively affect the performance of the platform.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terms of many open source licenses have not been interpreted by U.S. or foreign courts, and there is a risk that these licenses could be construed in a way that could impose unanticipated conditions or restrictions on our ability to provide or distribute our products or services. From time to time, there have been claims challenging the ownership of open source software against companies that incorporate open source software into their products or services, and the licensors of such open source software provide no warranties or indemnities with respect to such claims. As a result, we could be subject to lawsuits by parties claiming ownership of what we believe to be open source software. Moreover, we cannot assure you that our processes for monitoring and managing our use of open source software in our products and services will be effective.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subject to significant damages, enjoined from the sale of subscriptions to certain products or services, or other liability, or required to seek costly licenses from third parties to continue providing our products or services on terms that, if available at all, are not economically feasible, to re-engineer our products or services, to discontinue or delay the provision of our products or services if re-engineering could not be accomplished on a timely basis, or to make generally available, in source code form, our proprietary code, any of which would adversely affect our business, financial condition, and results of operations.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International operations expose us to additional business risks, which may reduce our profitability. </w:t>
      </w:r>
      <w:r>
        <w:rPr>
          <w:rFonts w:ascii="Times New Roman;serif" w:hAnsi="Times New Roman;serif"/>
          <w:b w:val="false"/>
          <w:color w:val="000000"/>
          <w:sz w:val="20"/>
        </w:rPr>
        <w:t>Our international operations and expansion subject us to additional business, regulatory, and economic risks, including: currency exchange rate fluctuations; difficulty in adapting to the differing business practices and laws in foreign countries, including differing laws regarding privacy data protection and technology regulation; difficulty in managing foreign operations; limited protection for intellectual property rights in some countries; difficulty in collecting accounts receivable and longer collection periods; costs of enforcing contractual obligations; impact of recessions in economies outside the U.S.; geopolitical instability, terrorism, and war;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sometimes exceeds the profit generated from such expansion, which reduces our profitability and may adversely affect our financial position.</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Fluctuating foreign currency exchange rates may negatively impact our business, results of operations, and financial position. </w:t>
      </w:r>
      <w:r>
        <w:rPr>
          <w:rFonts w:ascii="Times New Roman;serif" w:hAnsi="Times New Roman;serif"/>
          <w:b w:val="false"/>
          <w:color w:val="000000"/>
          <w:sz w:val="20"/>
        </w:rPr>
        <w:t>A portion of our business is denominated in foreign currencies. We translate sales and other results denominated in foreign currency into U.S. dollars for our financial statements. During periods of a strengthening U.S. dollar, our reported international sales and earnings could be reduced because foreign currencies may translate into fewer U.S. dollars. Foreign currency exchange rates have fluctuated and may continue to fluctuate.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foreign currency exchange rate fluctuations may negatively impact our international revenue, which in turn affects our consolidated revenue.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rate fluctuations resulting in a decline in the respective local currency may decrease the value of our foreign assets, as well as decrease our revenue and earnings from our foreign subsidiaries, which would reduce our profitability and adversely affect our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We have a significant amount of indebtedness, which could decrease our flexibility and adversely affect our business, financial condition, and results of operations. </w:t>
      </w:r>
      <w:r>
        <w:rPr>
          <w:rFonts w:ascii="Times New Roman;serif" w:hAnsi="Times New Roman;serif"/>
          <w:b w:val="false"/>
          <w:color w:val="000000"/>
          <w:sz w:val="20"/>
        </w:rPr>
        <w:t>As of December 31, 2025, we had $1.0 billion of Senior Notes outstanding and an additional approximately $1.1 billion available to be drawn under the 2024 Credit Agreement. Borrowings under the 2024 Credit Agreement bear interest at varying rates and expose us to interest rate risk. There can be no assurance that our future cash flows will be sufficient to make payments of interest or principal on the Senior Notes or any amounts due and payable under the 2024 Credit Agreement.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 Furthermore, we may incur substantial additional indebtedness, including secured indebtedness, and if we incur additional indebtedness or other liabilities, the related risks that we face could intensify.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domestic subsidiaries to, among other things, (i) incur additional indebtedness, (ii) incur liens, (iii) pay dividends or make certain other restricted payments, investments or acquisitions, (iv) merge or consolidate with another person, and (v) sell, assign, lease, or otherwise dispose of all or substantially all of our assets. In addition, the 2024 Credit Agreement requires us to comply with a maintenance covenant that we will not exceed a total net leverage ratio, calculated as total consolidated debt, net of up to $1.0 billion of unrestricted cash and cash equivalents, to consolidated EBITDA, of 4.50 to 1.00. The operating restrictions and financial covenants in the 2024 Credit Agreement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breach of the covenants under the 2024 Credit Agreement or the indenture that governs the Senior Notes could result in an event of default under the applicable indebtedness. Such a default may allow the creditors to accelerate the related debt and may result in the acceleration of any other debt to which a cross-acceleration provision applies. In the event the holders of the Senior Notes or our other debt accelerate the repayment of our borrowings, we and our subsidiaries may not have sufficient assets to repay that indebtedness.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2024, we entered into the 2024 Credit Agreement which replaces the Company's 2020 Credit Agreement. Borrowings under the 2024 Credit Agreement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 It is unclear, however, whether Term SOFR, SONIA or EURIBOR will retain market acceptance as a LIBOR replacement tool, and we may need to renegotiate the 2024 Credit Agreement if other LIBOR alternatives are established and become more widely adopted. Each of Term SOFR, SONIA and EURIBOR differ from LIBOR, both in the actual rate and how it is calculated. It is not possible to predict what effect the change to Term SOFR, SONIA, and EURIBOR may have on our interest rates.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indebtedness increases our vulnerability to general adverse economic and industry conditions; requires us to dedicate a portion of our cash flow from operations to payments on indebtedness, reducing the availability of cash flow to fund capital expenditures, marketing, and other general corporate activities; limits our ability to borrow additional funds; and may limit our flexibility in planning for, or reacting to, changes in our business and the industries in which we operate.</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A lowering or withdrawal of the ratings assigned to our debt securities by rating agencies may increase our future borrowing costs, reduce our access to capital, or result in the loss of certain covenant suspensions. </w:t>
      </w:r>
      <w:r>
        <w:rPr>
          <w:rFonts w:ascii="Times New Roman;serif" w:hAnsi="Times New Roman;serif"/>
          <w:b w:val="false"/>
          <w:color w:val="000000"/>
          <w:sz w:val="20"/>
        </w:rPr>
        <w:t>Our debt rating could be lowered or withdrawn entirely by a rating agency if, in that rating agency’s judgment, future circumstances relating to the basis of the rating, such as adverse changes, warrant. Any future lowering of our ratings likely would make it more difficult or more expensive for us to obtain additional debt financing.</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during a Covenant Suspension Period, certain customary negative and affirmative covenants contained in the 2024 Credit Agreement are suspended, including the covenants restricting affiliate transactions, incurrence of indebtedness, investments, asset sales, and restricted payments. A lowering of one or both of our investment grade ratings would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increased compliance costs and would impose certain operating restrictions, either of which could be materially adverse to our operations and financial results.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regulatory compliance and legal matters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Our actual or perceived failure to comply with privacy, security and evolving AI and data-related laws and standards could adversely affect our business, financial condition, and results of operations. </w:t>
      </w:r>
      <w:r>
        <w:rPr>
          <w:rFonts w:ascii="Times New Roman;serif" w:hAnsi="Times New Roman;serif"/>
          <w:b w:val="false"/>
          <w:color w:val="000000"/>
          <w:sz w:val="20"/>
        </w:rPr>
        <w:t>We depend on IT Systems. We own and manage some IT Systems but also rely on third-party service providers and vendors for a range of products and services, including cloud products/services, that are critical to internal and/or external customer-facing operations. In the course of our business, we and certain of our third-party providers collect, use, transmit, and disclose Confidential Information, including personal data about our employees, current and potential customers, and employees of third parties we work with.</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we are subject to a variety of state, national, and international laws and regulations that apply to the collection, use, retention, protection, disclosure, transfer, and other processing of personal information, including, but not limited to, the EU and UK GDPR (together, the "GDPR") and CCPA. These laws and regulations are evolving, with new or modified laws and regulations proposed and implemented frequently and existing laws and regulations subject to new or different interpretations. For example, in the EEA and the UK, the GDPR comprehensively regulates our use of personal data, including cross-border transfers of personal data out of the EEA and UK, in respect of which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we may have to make operational changes, it could otherwise affect the manner in which we provide our services, and could adversely affect our business, operations and financial condition. Failure to comply with the GDPR could result in penalties for noncompliance.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or civil claims (including class actions). The CCPA, among other things, provides rights to California residents related to their personal information, places limitations on data uses, and creates new audit requirements for higher risk data. The CCPA also provides for civil penalties for violations, as well as a private right of action for data breaches that may increase data breach litigation. Other state privacy laws apply to operations, and similar laws have been proposed, and likely will continue to be proposed, in other states and at the federal level, and if passed, may have potentially conflicting requirements that would make compliance challenging.</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risks we face under applicable privacy laws, we are subject to evolving consumer protection and marketing laws and increased litigation and government enforcement by the Federal Trade Commission and state Attorneys General. These agencies are aggressively interpreting and enforcing federal and state consumer protection laws in relation to very broad sales and marketing and advertising contexts. There are also federal laws covering our activities that are a source of potential liability for our business, including the CAN-SPAM Act, the TCPA, and the FCRA. In particular, any claims that we have violated the TCPA could be costly to litigate and could expose us to substantial statutory damages or settlement costs.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enjoined in judicial proceedings from being enforced or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Already, certain existing legal regimes (e.g., relating to data privacy) regulate certain aspects of AI Technologies, and new laws regulating AI Technologies have either entered into force in the United States and the EU in 2025 or are expected to enter into force in 2026.</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Europe, the EU AI Act entered into force and established a comprehensive, risk-based governance framework for AI in the EU market. The majority of the substantive requirements will apply from August 2, 2026. The EU AI Act applies to companies that develop, use and/or provide AI in the EU and, depending on the use case, includes requirements around transparency, conformity assessments and monitoring, risk assessments, human oversight, security, accuracy, general purpose AI and foundation models and fines for breach of up to 7% of worldwide annual turnover. Once fully applicable, the EU AI Act will have a material impact on the way AI is regulated in the EU, and together with developing guidance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decisions in this area, may affect our use of AI Technologies and our ability to provide, improve, or commercialize our services, and could require additional compliance measures and changes to our operations and processes.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failure or alleged failure to comply with the EU AI Act (and other AI related regulations), and privacy, data protection, or consumer protection laws could lead to government enforcement actions and litigation and significant penalties against us, and could materially adversely affect our reputation, business, financial condition, cash flows, and results of operations. Compliance with any of the foregoing laws and regulations can be costly, can delay or impede the development of new products, and may require us to change the way we operate.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Separately, the EU Data Act came into effect on September 12, 2025, establishing new requirements for manufacturers of connected products and providers of related services to such products, and providers of data processing services (including cloud, SaaS) into the EU. The Data Act imposes data access, sharing, design and transparency requirements on manufacturers of connected products, providers of related services and data holders. It also requires providers to facilitate customers switching to other providers/ on-premise solutions and porting their data within certain timeframes, remove technical, contractual, and commercial obstacles to service switching (including switching charges), and include certain mandatory terms in customer contracts. Failure to comply with the Data Act can result in regulatory enforcement and fines, civil claims, and reputational damage. The Data Act, together with developing guidance in this area, may require changes to our products, customer contracts, operations, and business practices, increase our compliance costs, require adjustments to our revenue recognition practices, and adversely affect our financial condition, business, and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EU’s NIS 2 and its EU Member State transpositions and implementing regulations impose security obligations, including on online marketplace providers. We may be required to implement additional security measures and/or operational changes and incur additional costs which could adversely affect our business, operations and financial condition.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possible that additional new laws and regulations will be adopted in the United States and in other non-U.S. jurisdictions, or that existing laws and regulations, including competition and antitrust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 xml:space="preserve">Changes in tax laws, regulations, or fiscal and tax policies, or the manner of their interpretation or enforcement could adversely impact our financial performance. </w:t>
      </w:r>
      <w:r>
        <w:rPr>
          <w:rFonts w:ascii="Times New Roman;serif" w:hAnsi="Times New Roman;serif"/>
          <w:b w:val="false"/>
          <w:color w:val="000000"/>
          <w:sz w:val="20"/>
        </w:rPr>
        <w:t xml:space="preserve">New tax laws or regulations, or changes in existing laws or regulations, or the manner of their interpretation or enforcement, could increase our cost of doing business. In addition, from time to time, U.S. and foreign tax authorities, including state and local governments, consider legislation that could increase our effective tax rate. Further, the Organization for Economic Co-operation and Development has a framework to implement a global minimum corporate tax of 15% for companies with global revenue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Although we do not expect Pillar 2 to have a material impact on our effective tax rate or our consolidated results of operations, financial position, and cash flows at this time, certain implementation details have yet to be developed, and the enactment of certain of these changes has not yet taken effect in all jurisdictions in which we operate. As a result, these changes may have adverse consequences for us, may increase our compliance costs, and may increase the amount of tax we are required to pay in certain jurisdictions. </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Third-party claims, litigation, regulatory proceedings, or government investigations to which we are subject or in which we become involved, regardless of their merit, may significantly increase our expenses and adversely affect our stock price.</w:t>
      </w:r>
      <w:r>
        <w:rPr>
          <w:color w:val="000000"/>
        </w:rPr>
        <w:t xml:space="preserve"> </w:t>
      </w:r>
      <w:r>
        <w:rPr>
          <w:rFonts w:ascii="Times New Roman;serif" w:hAnsi="Times New Roman;serif"/>
          <w:b w:val="false"/>
          <w:color w:val="000000"/>
          <w:sz w:val="20"/>
        </w:rPr>
        <w:t xml:space="preserve">From time to time we may be subject to third-party claims, lawsuits, regulatory proceedings, or government investigations into whether our business practices comport with applicable law, which may include claims with respect to intellectual property, cybersecurity, privacy, data protection, antitrust, breach of contract, employment, mergers and acquisitions, and other matters. For example, on February 20, 2024, several individuals who allegedly rented “luxury” hotel rooms in metropolitan areas in the United States filed a putative antitrust class action alleging that through CoStar's STR hospitality industry benchmarking products, the hotel defendants agreed to share competitively sensitive price and supply information regarding luxury hotel rooms, and that the sharing of that information has allowed the hotel defendants to increase prices for luxury hotel rooms. While we intend to vigorously defend against this lawsuit, we are unable to predict the outcome or estimate the amount of loss, if any, that may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there has been increased scrutiny on the multifamily rental sector, and in particular on revenue management systems that allegedly employ algorithmic software and pricing recommendations. We do not offer price recommendations or employ algorithmic pricing software. Nonetheless, some of our customers or potential customers may be involved in litigation and regulatory investigations, and settlements in such cases could impact the multifamily industry in ways that have an adverse effect on us. Moreover, if state and/or federal legislation regulating the use of third-party algorithmic revenue management systems by multifamily apartment rental companies is passed with language that moves beyond the scope of the current cases and investigations, the impact to us is difficult to predict. Although changes arising from these lawsuits and investigations are uncertain and challenging to predict, they could result in outcomes that materially impact our business, financial condition, and results of operations. Lawsuits, government investigations and new legislation related to antitrust matters may, among other things, be costly to comply with, result in negative publicity, require significant management time and attention and subject us to remedies or burdensome requirements that adversely affect our business.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Regardless of the merit of such claims, proceedings or investigations, defending against them could cost us a significant amount of time and money, result in negative publicity, and/or adversely affect our stock price. In addition, if any claims or proceedings are decided against us or if a settlement requires us to pay a large monetary amount or take other action that materially restricts or impedes our operations, our profitability could be significantly reduced and our financial position could be adversely affected.</w:t>
      </w:r>
    </w:p>
    <w:p>
      <w:pPr>
        <w:pStyle w:val="TextBody"/>
        <w:bidi w:val="0"/>
        <w:spacing w:lineRule="auto" w:line="288" w:before="200" w:after="200"/>
        <w:ind w:left="0" w:right="0" w:firstLine="360"/>
        <w:jc w:val="both"/>
        <w:rPr/>
      </w:pPr>
      <w:r>
        <w:rPr>
          <w:rFonts w:ascii="Times New Roman;serif" w:hAnsi="Times New Roman;serif"/>
          <w:b w:val="false"/>
          <w:i/>
          <w:color w:val="000000"/>
          <w:sz w:val="20"/>
        </w:rPr>
        <w:t>We do not currently intend to pay dividends on our common stock and, consequently, your ability to achieve a return on your investment will depend on appreciation in the price of our common stock.</w:t>
      </w:r>
      <w:r>
        <w:rPr>
          <w:color w:val="000000"/>
        </w:rPr>
        <w:t xml:space="preserve"> </w:t>
      </w:r>
      <w:r>
        <w:rPr>
          <w:rFonts w:ascii="Times New Roman;serif" w:hAnsi="Times New Roman;serif"/>
          <w:b w:val="false"/>
          <w:color w:val="000000"/>
          <w:sz w:val="20"/>
        </w:rPr>
        <w:t>We have never declared or paid any cash dividends on our common stock and do not intend to do so for the foreseeable future. We currently intend to invest our future earnings, if any, to finance our growth or share repurchases. In addition, provisions of the 2024 Credit Agreement governing our credit facilities limit our ability to pay cash dividends. Therefore, you are not likely to receive any dividends on your common stock for the foreseeable future and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Stock repurchases under our Stock Repurchase Program are discretionary, and we cannot guarantee that our Stock Repurchase Program will achieve the desired objectives. Share repurchases diminish our cash reserves and could also increase the volatility of the trading price of our common stock. </w:t>
      </w:r>
      <w:r>
        <w:rPr>
          <w:rFonts w:ascii="Times New Roman;serif" w:hAnsi="Times New Roman;serif"/>
          <w:b w:val="false"/>
          <w:color w:val="000000"/>
          <w:sz w:val="20"/>
        </w:rPr>
        <w:t>In February 2025, the Board of Directors approved the Prior Stock Repurchase Program which authorized the repurchase of up to $500 million of the CoStar Group Shares. The repurchases under the Prior Stock Repurchase Program were completed in December 2025. In December 2025, the Board of Directors approved a Stock Repurchase Program which authorizes, but does not obligate, the repurchase of up to $1.5 billion of the CoStar Group Shares. Repurchases may be made from time to time at management's discretion through open market purchases, privately negotiated transactions or other transactions in accordance with applicable securities laws. The timing and amount of any such repurchases will be determined based on share price, market conditions, legal requirements, and other relevant factors. The Stock Repurchase Program has no time limit and can be discontinued at any time at the Company’s discretion. There can be no assurance as to the timing or number of shares of any repurchases in the future. We cannot guarantee that the Stock Repurchase Program will be fully consummated, that it will enhance long-term stockholder value, or that it will successfully mitigate the dilutive effect of employee equity awards. Any repurchases will reduce the amount of cash we have available to fund working capital, capital expenditures, strategic acquisitions or business opportunities, and other general corporate requirements. In addition, the Stock Repurchase Program could affect the trading price of our common stock and increase volatility, and any announcement of a termination of this Stock Repurchase Program may result in a decrease in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Cybersecurity Risk Management and Strategy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program is guided by the National Institute of Standards and Technology Cybersecurity Framework (NIST CSF). This does not imply that we meet any particular technical standards, specifications, or requirements at all times; rather, we use the NIST CSF as a guide to help us identify, assess, and manage cybersecurity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relevant to our business. Additionally, we engage a third-party vendor regularly to benchmark our information security program’s maturity against the NIST CSF.</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risk management program and shares common methodologies, reporting channels, and governance processes that apply across the Company's risk management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elements of our cybersecurity risk management program include, but are not limited to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a.Internal and external asset identification, assessment, monitoring, and classification procedures to evaluate cybersecurity risks and inform mitigation efforts;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 security team principally responsible for managing (1) our cybersecurity risk assessment processes, (2) our cyber processes, and (3) our cyber threat and incident response;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c.The use of external service providers, where appropriate, to assess defenses, analyze threat intelligence, or otherwise assist with aspects of our security controls;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d.Cybersecurity awareness training of our employees, software development teams, incident response personnel, and senior management;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 cybersecurity incident response plan that includes procedures for responding to cybersecurity incidents; and regular tabletop exercises to assess our response readiness;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 third-party risk management process for key service providers, suppliers, and vendors who access critical systems and data based on risk profile;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 formal information security training program for all employees.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We have not identified material risks from known cybersecurity threats, including as a result of any prior cybersecurity incidents that have materially affected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serif" w:hAnsi="Times New Roman;serif"/>
          <w:b w:val="false"/>
          <w:i/>
          <w:color w:val="000000"/>
          <w:sz w:val="20"/>
        </w:rPr>
        <w:t>Risk Factors – “Cyberattacks and security vulnerabilities could result in material harm to our reputation, business, and financial condition.”</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Technical problems or disruptions that affect either our customers’ ability to access our services, or the software, internal applications, database, and network systems underlying our services, could damage our reputation and lead to reduced demand for our online marketplace services, information, and analytics, lower revenue and increase costs.”</w:t>
      </w:r>
    </w:p>
    <w:p>
      <w:pPr>
        <w:pStyle w:val="TextBody"/>
        <w:bidi w:val="0"/>
        <w:spacing w:lineRule="auto" w:line="288" w:before="20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Cybersecurity Governance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considers cybersecurity risk as part of its risk oversight function and has delegated to the Audit Committee oversight of cybersecurity and generative AI risks, controls, and procedures. Our Chief Technology Officer (CTO) is responsible for oversight of our cybersecurity risk management program. Our Vice President of Cyber Security (VPCS), who reports up to the CTO, is responsible for day-to-day assessment and management of cybersecurity risk, including supervising both our internal cybersecurity personnel and our retained external cybersecurity consultants. Our CTO is also responsible for overseeing the material risks and strategic opportunities associated with AI.</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receives reports from the CTO on our cybersecurity risks and our use of AI. In addition, the CTO updates the Audit Committee, as necessary, regarding any significant cybersecurity incidents. The Audit Committee reports to the full Board of Directors regarding its activities, including those related to cybersecurity and AI.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CTO and VPCS assist the management team in staying informed about and monitoring the prevention, detection, mitigation, and remediation of cybersecurity threats. Our CTO has over 25 years of information technology experience, including leadership experience managing global product development, information security, IT infrastructure and engineering. He holds a M.S. in information systems from George Washington University and a B.A. in computer science from State University of New York—Geneseo. The VPCS has over 20 years of information security and technology experience, including 10 years in senior leadership roles in service provider, enterprise, and military environments. He holds an MBA from Georgetown University, a M.S. in information systems from Virginia Tech University, and a B.S. in computer information technology from Purdue University. Additionally, our management team’s experience includes industry-recognized certifications, such as CISSP, CISM, and CISA, decades of experience as part of our IT team, and previous cybersecurity leadership positions at various Fortune 500 companies and U.S. Defense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CTO and VPCS are informed about and monitor the prevention, detection, mitigation, and remediation of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2025, we relocated our headquarters to our owned building at 1201 Wilson Blvd., in Arlington, Virginia, occupying approximately 198,000 square feet. We exited our previous headquarters located at 1331 L Street, NW, in downtown Washington, D.C., with a lease that expired on May 31, 2025.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staff in Richmond, Virginia is located in an owned building at 501 S 5th Street, where we occupy approximately 310,000 square feet, an owned building located at 901 Semmes Avenue, where we occupy approximately 117,000 square feet, leased space at 951 E Byrd St., where we occupy approximately 165,000 square feet, and leased space at 901 E Byrd St., where we occupy approximately 46,000 square feet. These locations primarily house research, product development, and sales functions. All of our owned properties are held under fee simple ownership and are not materially encumbered.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Internationally, our principal facility in the U.K. is located in London, where we occupy approximately 52,000 square feet of office space. Our lease for this facility has a term ending November 10, 2034. We exited our previous London location when the lease expired on August 31, 2025. Our principal facility in Australia is located in Sydney, where we occupy approximately 95,000 square feet, with a lease term ending June 30, 2031. Additionally, we lease space for our operations in Paris, France; Madrid, Spain; Freiburg, Germany; and Manila, Philippines.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operate certain research, development, and sales functions out of additional leased office spaces in Irvine, California; San Diego, California; and Atlanta, Georgia. Additionally, we lease office space in a variety of other metropolitan areas. These locations include, among others, the following: Nashville, Tennessee; Norfolk, Virginia; Boston, Massachusetts; New York, New York; San Francisco, California; Los Angeles, California; and Sunnyvale, California.</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these facilities are suitable and appropriately support our business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we are involved in litigation incidental to the conduct of our business, including, among others, the legal actions discussed under “Contingencies” in Note 12 “Commitments and Contingencies” of the Notes to our Consolidated Financial Statements included in Part IV of this Report. While our management presently believes that the ultimate outcome of these proceedings, individually and in the aggregate, will not materially harm our business, financial position, future results of operations, or liquidity, legal proceedings are inherently uncertain, and unfavorable rulings could, individually or in the aggregate, have a material adverse effect on our business, financial position, future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“CSGP.” As of January 31, 2026, there were 1,620 holders of record of our common stock.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Dividend Policy. We have never declared or paid any dividends on our common stock. We do not anticipate paying any dividends on our common stock during the foreseeable future, but intend to invest our future earnings, if any, to finance our growth and share repurchases.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 Issues of Unregistered Securities. We did not issue any unregistered securities during the year ended December 31, 2025.</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Issuer Purchases of Equity Securities. The following table summarizes our repurchases of common stock for the quarter ended December 31, 2025 (in millions,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530"/>
        <w:gridCol w:w="328"/>
        <w:gridCol w:w="332"/>
        <w:gridCol w:w="109"/>
        <w:gridCol w:w="109"/>
        <w:gridCol w:w="109"/>
        <w:gridCol w:w="491"/>
        <w:gridCol w:w="491"/>
        <w:gridCol w:w="492"/>
        <w:gridCol w:w="109"/>
        <w:gridCol w:w="109"/>
        <w:gridCol w:w="109"/>
        <w:gridCol w:w="287"/>
        <w:gridCol w:w="838"/>
        <w:gridCol w:w="148"/>
        <w:gridCol w:w="109"/>
        <w:gridCol w:w="109"/>
        <w:gridCol w:w="109"/>
        <w:gridCol w:w="778"/>
        <w:gridCol w:w="778"/>
        <w:gridCol w:w="780"/>
        <w:gridCol w:w="109"/>
        <w:gridCol w:w="109"/>
        <w:gridCol w:w="109"/>
        <w:gridCol w:w="561"/>
        <w:gridCol w:w="1643"/>
        <w:gridCol w:w="420"/>
      </w:tblGrid>
      <w:tr>
        <w:trPr/>
        <w:tc>
          <w:tcPr>
            <w:tcW w:w="53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Approximate Dollar Value of Shares that May Yet Be Purchased Under Plans or Programs</w:t>
            </w:r>
            <w:r>
              <w:rPr>
                <w:rFonts w:ascii="Times New Roman;serif" w:hAnsi="Times New Roman;serif"/>
                <w:b/>
                <w:color w:val="000000"/>
                <w:sz w:val="13"/>
              </w:rPr>
              <w:t>(2)</w:t>
            </w:r>
          </w:p>
        </w:tc>
      </w:tr>
      <w:tr>
        <w:trPr/>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October 1 through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November 1 through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December 1 through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includes CoStar Group Shares tendered by employees to the Company to satisfy the employees' minimum tax withholding obligations arising as a result of vesting of restricted stock grants under the Company’s 2025 Stock Incentive Plan, for which shares were purchased by the Company based on their fair market value on the trading day immediately preceding the vesting date.</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 February 2025, the Board of Directors approved the Prior Stock Repurchase Program which authorized the repurchase up to $500 million of Costar Group Shares. During the fourth quarter of 2025, the Company repurchased 5.7 million CoStar Group Shares for an aggregate cost of $385 million under the Prior Stock Repurchase Program. The repurchases under the Prior Stock Repurchase Agreement were completed in December 2025. In December 2025, the Board of Directors approved a Stock Repurchase Program which authorizes, but does not obligate, the repurchase of up to $1.5 billion of CoStar Group Shares. No shares were repurchased under the Stock Repurchase Program during the fourth quarter of 2025. See Note 14 for further discussion regarding the Prior Stock Repurchase Program, Stock Repurchase Program, and stock repurchase activity.</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Stock Price Performance Graph</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stock performance graph below shows how an initial investment of $100 in our common stock would have compared to:</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an equal investment in the S&amp;P 500 Index,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an equal investment in the S&amp;P Composite 1500 Real Estate Index.</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comparison covers the period beginning December 31, 2020 and ending on December 31, 2025, and assumes the reinvestment of any dividends. Note that this performance is historical and is not necessarily indicative of future price performance.</w:t>
      </w:r>
    </w:p>
    <w:p>
      <w:pPr>
        <w:pStyle w:val="TextBody"/>
        <w:bidi w:val="0"/>
        <w:spacing w:before="200" w:after="200"/>
        <w:ind w:left="0" w:right="0" w:firstLine="360"/>
        <w:jc w:val="both"/>
        <w:rPr/>
      </w:pPr>
      <w:r>
        <w:rPr/>
        <w:drawing>
          <wp:inline distT="0" distB="0" distL="0" distR="0">
            <wp:extent cx="6286500" cy="3609975"/>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6286500" cy="3609975"/>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0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728"/>
        <w:gridCol w:w="609"/>
        <w:gridCol w:w="61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72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12/31/25</w:t>
            </w:r>
          </w:p>
        </w:tc>
      </w:tr>
      <w:tr>
        <w:trPr/>
        <w:tc>
          <w:tcPr>
            <w:tcW w:w="1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S&amp;P Composite 1500 Real Estate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and in Item 1A. under the heading “Risk Factors,” as well as those described from time to time in our filings with the SEC.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Quarterly Reports on Form 10-Q, Current Reports on Form 8-K, other filings with the SEC, and the consolidated financial statements and related notes included in Part IV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CoStar Group is a leading provider of online real estate marketplaces, information, analytics, and 3D digital twin technology in the property markets, based on the numbers of unique visitors and site visits per month; provides more information, analytics, and marketing services than many of our competitors; offers the most comprehensive commercial real estate database available; and has the largest commercial real estate research department in the industry. We have created and compiled a standardized platform of real estate information and analytics and online marketplaces where industry professionals, consumers of commercial and residential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residential, land, mixed-use, and hospitality. </w:t>
      </w:r>
    </w:p>
    <w:p>
      <w:pPr>
        <w:pStyle w:val="TextBody"/>
        <w:bidi w:val="0"/>
        <w:spacing w:lineRule="auto" w:line="288" w:before="200" w:after="200"/>
        <w:ind w:left="0" w:right="0" w:firstLine="360"/>
        <w:jc w:val="both"/>
        <w:rPr/>
      </w:pPr>
      <w:r>
        <w:rPr>
          <w:rFonts w:ascii="Times New Roman;serif" w:hAnsi="Times New Roman;serif"/>
          <w:b w:val="false"/>
          <w:color w:val="000000"/>
          <w:sz w:val="20"/>
        </w:rPr>
        <w:t>We operate, develop products, and deliver our services in two reportable segments, Commercial Real Estate and Residential Real Estate. Our Commercial Real Estate segment offers commercial real estate information and analytics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online marketplaces, and </w:t>
      </w:r>
      <w:r>
        <w:rPr>
          <w:rFonts w:ascii="Times New Roman;serif" w:hAnsi="Times New Roman;serif"/>
          <w:b w:val="false"/>
          <w:color w:val="000000"/>
          <w:sz w:val="20"/>
          <w:shd w:fill="FFFFFF" w:val="clear"/>
        </w:rPr>
        <w:t>3D digital twin technology</w:t>
      </w:r>
      <w:r>
        <w:rPr>
          <w:color w:val="000000"/>
        </w:rPr>
        <w:t xml:space="preserve"> </w:t>
      </w:r>
      <w:r>
        <w:rPr>
          <w:rFonts w:ascii="Times New Roman;serif" w:hAnsi="Times New Roman;serif"/>
          <w:b w:val="false"/>
          <w:color w:val="000000"/>
          <w:sz w:val="20"/>
        </w:rPr>
        <w:t>and its principal brands are CoStar, including CoStar Real Estate Manager and CoStar with STR benchmarking, LoopNet, Matterport, BizBuySell, and Ten-X. Our Residential Real Estate segment hosts marketplaces which aggregate consumer demand for homes that they can rent or buy and we sell marketing and leads to the agents, owners, landlords, and property management companies that need to reach those consumers with their offerings. Our flagship brands in the U.S. are Apartments.com, Homes.com, and Land.com. Domain and OnTheMarket are our leading marketplaces in Australia and the U.K.,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changed the composition of our segments from geography-based to product portfolio-based. This change aligns with the internal reporting used by the CODM to allocate resources and assess the performance of the business. See Notes 2, 3 and 13 of the Notes to the Consolidated Financial Statements included in Part IV of this Report for additional information on the segments change.</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Our services are primarily derived from a databas</w:t>
      </w:r>
      <w:r>
        <w:rPr>
          <w:rFonts w:ascii="Times New Roman;serif" w:hAnsi="Times New Roman;serif"/>
          <w:b w:val="false"/>
          <w:color w:val="000000"/>
          <w:sz w:val="20"/>
        </w:rPr>
        <w:t>e of building-specific information and offer customers specialized tools for accessing, analyzing, and using our information. Over time, we have enhanced and expanded, and we expect to continue to enhance and expand, our existing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are typically distributed to our customers under subscription-based license agreements that generally renew automatically, a majority of which have a term of at least one year. Upon renewal, many of the subscription contract rates may change in accordance with contract provisions or as a result of contract renegotiations. To encourage customers to 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(i) providing premium listings for individual properties on our marketplaces, (ii) providing data capture services to create digital twins, (iii) the sale of Matterport cameras and capture equipment, and (iv) Ten-X auction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principal services are described in the following paragraphs: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Real Estate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CoStar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CoStar also provides benchmarking for the hospitality industry under the STR brand, lease analytical capabilities, and risk management and other debt solutions for lenders. We also offer SaaS for lease management under the CoStar Real Estate Manager and Visual Lease brands.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LoopNet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LoopNet Network of commercial real estate websites offers online marketplace services that enable commercial property owners, landlords, and real estate agents working on their behalf to advertise properties for sale or for lease. Commercial real estate agents, buyers, and tenants use the LoopNet Network of online marketplace services to search for available property listings that meet their criteria. With the Domain Acquisition, we also offer commercial real estate listings in Australia.</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Commercial Real Estate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Commercial Real Estate includes revenue from the Matterport Acquisition, BizBuySell Network, and Ten-X's online auctions for commercial real estate. Matterport primarily provides hosting services for its 3D digital twins on a subscription basis. Matterport also provides capture services of spatial data and other add-on services to existing subscription customers and sells 3D capture cameras and accessories. Our BizBuySell Network provides online marketplaces for businesses and franchises for sale.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Commercial Real Estate's revenue growth rate for the year ending December 31, 2026 to moderate compared to the revenue growth rate for the year ended December 31, 2025, due to the lack of benefit from the Matterport Acquisition realized in 2025.</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Residential Real Estate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residential marketplaces enable renters and homebuyers to find their dream homes by combining our proprietary research and neighborhood content with listing information, while enabling property owners, managers, and real estate agents to advertise their properties. Our flagship brands in the U.S. are Apartments.com, Homes.com, and Land.com. Apartments.com and Land.com provide comprehensive advertising on a subscription basis. Homes.com offers real estate agents subscription memberships promoting the agent's listings and profile on our websites, as well as the ability for real estate agents and homeowners to promote a single listing. Domain and OnTheMarket are our primary brands in Australia and the U.K., respectively. Domain primarily provides agents premium listings on a transactional basis. OnTheMarket hosts agents' listings on a subscription basis. We expect Residential Real Estate's revenue growth rate for the year ending December 31, 2026 to accelerate compared to the revenue growth rate for the year ended December 31, 2025, due to a full year's benefit of the Domain Acquisition completed in August 2025 and an increase in the number of Homes.com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Subscription-based Services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from service offerings that are distributed to our customers under subscription-based agreements that typically renew automatically and have a term of at least one year. We recognize subscription revenue on a straight-line basis over the life of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our annualized net new bookings of subscription-based services on all contracts were approximately $308 million, $250 million, and $286 million, 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 over time. Revenue from our subscription-based contracts were approximately 93%, 96%, and 95% of total revenue for the years ended December 31, 2025, 2024, and 2023, respectively.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trailing 12 months ended December 31, 2025, 2024, and 2023, our contract renewal rates for existing company-wide CoStar Group subscription-based services for contracts with a term of at least one year were approximately 89%, 89%, and 90%, respectively; and, therefore, our cancellation rates for those services during the same periods were approximately 11%, 11%, and 10%, respectively.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 from our subscription-based contracts with a term of at least one year were approximately 76%, 81%, and 82% of total revenue for the trailing 12 months ended December 31, 2025, 2024, and 2023, respectively. The decrease in the percentage of our revenue from subscription-based contracts with a term of at least one year from 2024 to 2025 was primarily due to Domain, which sells listings on its platforms on a transactional basis, as well as the transactional products and services sold by Matterport.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Development, Investments, and Expansion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our business and our services, evaluate strategic growth opportunities, and pursue our key priorities as described below. We are committed to supporting, improving, and enhancing our information, analytics, and online marketplace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key priorities for 2026 currently include: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Integration of our residential platforms. Deploying Homes.com in Australia and the U.K. through the integrations of our Domain and OnTheMarket businesses. Leveraging rentals marketing and lead generation across platforms, in particular, Apartments.com and Homes.com. Scaling Homes.com through new product releases including depth advertising and the new homes builder program. Continue to develop new and improved tools for residential agents and brokers to help amplify their reach.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Launching additional AI-enabled features across our products. We plan to extend the revolutionary capability of Homes AI across the Company’s portfolio of leading platforms, including Apartments.com, CoStar, LoopNet, Land.com and BizBuySell.com - ushering in a new era of intelligent, conversational real estate discovery. Our AI capabilities draw from property data, Matterport 3D digital twin technology, images, proprietary school data, neighborhood insights, and market intelligence.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Continuing to expand our CoStar offerings with additional modules, including new data and enhanced analytics. We plan to add new homes data, valuation capabilities, lease benchmarking data, and debt benchmarking. These enhancements will continue to drive new subscribers and additional usage under one platform.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International expansion of LoopNet and CoStar. We launched our LoopNet branded advertising products in Spain and France and continue to expand our footprint of commercial listings in these markets. We plan to continue integrating Domain and expect to launch LoopNet into the Australian market. In addition, we expect to launch CoStar in France and Australia.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Leveraging technology and AI capabilities in our internal processes. We are using advanced technology, including AI, to improve data collection, data generation, and data quality. AI is driving research efficiencies, improving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quality, and increasing the pace of product development. Proprietary data, an integrated delivery platform, and bespoke research processes underpin our product solutions.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discussion of our Company, strategy, and products, see our business overview set forth in "Item 1. Business"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Adjusted Net Income, and Adjusted EPS.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EBITDA is our net income (loss) before interest income or expense, net, other expense or income, net, loss on debt extinguishment, income taxes, depreciation and amortization.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disclose EBITDA on a consolidated and an operating segment basis in our earnings releases, investor conference calls, and filings with the SEC.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margin represents Adjusted EBITDA divided by revenue for the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and loss on debt extinguishment, as well as amortization of acquired intangible assets and other related costs, and then subtracting an assumed provision for 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disclose Adjusted EBITDA, Adjusted EBITDA margin, and Adjusted Net Income on a consolidated basis in our earnings releases, investor conference calls, and filings with the SEC.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view EBITDA, Adjusted EBITDA, Adjusted EBITDA margin, Adjusted Net Income, and Adjusted EPS as operating performance measures. We believe that the most directly comparable GAAP financial measure to EBITDA, Adjusted EBITDA, and Adjusted Net Income is net income. We believe the most directly comparable GAAP financial measure to Adjusted EPS and Adjusted EBITDA margin are earnings per diluted share and net income (loss) divided by revenue, respectively. In calculating EBITDA, Adjusted EBITDA, Adjusted EBITDA margin, Adjusted Net Income, and Adjusted EPS,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EBITDA margin, Adjusted Net Income, and Adjusted EPS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Adjusted EBITDA margin, Adjusted Net Income, and Adjusted EPS as a substitute for any GAAP financial measure, including net income (loss) and earnings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Adjusted Net Income, and Adjusted EPS.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EBITDA margin, Adjusted Net Income, and Adjusted EPS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35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and losses on equity investments acquired in prospective targets and related to deal-contingent financial instruments, restructuring and related costs, including certain advisory fees, and loss on debt extinguishment. Adjusted EBITDA, Adjusted EBITDA margin, Adjusted Net Income, and Adjusted EPS exclude these charges and provide meaningful information about the operating performance of our business, apart from charges for amortization of acquired intangible assets, depreciation and other amortization; acquisition- and integration-related costs, restructuring and related costs, including certain advisory fees, and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restructuring and related costs, including certain advisory fees,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Adjusted Net Income, or Adjusted EPS to provide a financial measure by which to compare our operating performance against that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financial items that have been excluded from net income (loss) to calculate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cost of revenue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Income tax expense may be useful for investors to consider because it generally represents the taxes that may be payable for the period and the change in deferred income taxes during the period and may reduce the amount of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otherwise available for use in our business. However, we do not consider the amount of income tax expense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additional financial items that have been excluded from EBITDA to calculate Adjusted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 lived assets.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items that have been excluded from our net income to calculate Adjusted Net Income and Adjusted EPS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These items are discussed above with respect to the calculation of Adjusted EBITDA together with the material limitations associated with using non-GAAP financial measures as compared to net income (loss). In addition to these exclusions from net income, we subtract an assumed provision for income taxes to calculate Adjusted EPS. In 2025, 2024, and 2023, we assume a 26.0% tax rate, which approximates our historical long-term statutory corporate tax rate, excluding the impact of discrete items.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our selected consolidated results of operations for the indicated periods (in millions and as a percentage of total revenue):</w:t>
      </w:r>
    </w:p>
    <w:tbl>
      <w:tblPr>
        <w:tblW w:w="10205" w:type="dxa"/>
        <w:jc w:val="left"/>
        <w:tblInd w:w="0" w:type="dxa"/>
        <w:tblLayout w:type="fixed"/>
        <w:tblCellMar>
          <w:top w:w="28" w:type="dxa"/>
          <w:left w:w="28" w:type="dxa"/>
          <w:bottom w:w="28" w:type="dxa"/>
          <w:right w:w="28" w:type="dxa"/>
        </w:tblCellMar>
      </w:tblPr>
      <w:tblGrid>
        <w:gridCol w:w="1429"/>
        <w:gridCol w:w="1103"/>
        <w:gridCol w:w="1107"/>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271"/>
        <w:gridCol w:w="109"/>
        <w:gridCol w:w="109"/>
        <w:gridCol w:w="109"/>
        <w:gridCol w:w="211"/>
        <w:gridCol w:w="616"/>
        <w:gridCol w:w="109"/>
        <w:gridCol w:w="109"/>
        <w:gridCol w:w="109"/>
        <w:gridCol w:w="109"/>
        <w:gridCol w:w="210"/>
        <w:gridCol w:w="211"/>
        <w:gridCol w:w="318"/>
      </w:tblGrid>
      <w:tr>
        <w:trPr/>
        <w:tc>
          <w:tcPr>
            <w:tcW w:w="142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before="0" w:after="200"/>
              <w:jc w:val="left"/>
              <w:rPr/>
            </w:pPr>
            <w:r>
              <w:rPr/>
              <w:t> </w:t>
            </w:r>
          </w:p>
        </w:tc>
        <w:tc>
          <w:tcPr>
            <w:tcW w:w="65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6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Total operating expenses</w:t>
            </w:r>
            <w:r>
              <w:rPr>
                <w:rFonts w:ascii="Times New Roman;serif" w:hAnsi="Times New Roman;serif"/>
                <w:b w:val="false"/>
                <w:color w:val="000000"/>
                <w:sz w:val="13"/>
              </w:rPr>
              <w:t>(1)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Income (loss) from operations</w:t>
            </w:r>
            <w:r>
              <w:rPr>
                <w:rFonts w:ascii="Times New Roman;serif" w:hAnsi="Times New Roman;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Income before income taxes</w:t>
            </w:r>
            <w:r>
              <w:rPr>
                <w:rFonts w:ascii="Times New Roman;serif" w:hAnsi="Times New Roman;serif"/>
                <w:b w:val="false"/>
                <w:color w:val="000000"/>
                <w:sz w:val="13"/>
              </w:rPr>
              <w:t>(1)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Net income</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Amounts may not foot due to rounding.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our revenue by type of service (in millions and as a percentage of total revenue):</w:t>
      </w:r>
    </w:p>
    <w:tbl>
      <w:tblPr>
        <w:tblW w:w="9413" w:type="dxa"/>
        <w:jc w:val="center"/>
        <w:tblInd w:w="0" w:type="dxa"/>
        <w:tblLayout w:type="fixed"/>
        <w:tblCellMar>
          <w:top w:w="28" w:type="dxa"/>
          <w:left w:w="28" w:type="dxa"/>
          <w:bottom w:w="28" w:type="dxa"/>
          <w:right w:w="28" w:type="dxa"/>
        </w:tblCellMar>
      </w:tblPr>
      <w:tblGrid>
        <w:gridCol w:w="1031"/>
        <w:gridCol w:w="908"/>
        <w:gridCol w:w="910"/>
        <w:gridCol w:w="211"/>
        <w:gridCol w:w="616"/>
        <w:gridCol w:w="109"/>
        <w:gridCol w:w="109"/>
        <w:gridCol w:w="109"/>
        <w:gridCol w:w="109"/>
        <w:gridCol w:w="209"/>
        <w:gridCol w:w="212"/>
        <w:gridCol w:w="271"/>
        <w:gridCol w:w="109"/>
        <w:gridCol w:w="109"/>
        <w:gridCol w:w="109"/>
        <w:gridCol w:w="211"/>
        <w:gridCol w:w="616"/>
        <w:gridCol w:w="109"/>
        <w:gridCol w:w="109"/>
        <w:gridCol w:w="109"/>
        <w:gridCol w:w="109"/>
        <w:gridCol w:w="209"/>
        <w:gridCol w:w="212"/>
        <w:gridCol w:w="271"/>
        <w:gridCol w:w="109"/>
        <w:gridCol w:w="109"/>
        <w:gridCol w:w="109"/>
        <w:gridCol w:w="211"/>
        <w:gridCol w:w="616"/>
        <w:gridCol w:w="109"/>
        <w:gridCol w:w="109"/>
        <w:gridCol w:w="109"/>
        <w:gridCol w:w="109"/>
        <w:gridCol w:w="209"/>
        <w:gridCol w:w="212"/>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2023</w:t>
            </w:r>
            <w:r>
              <w:rPr>
                <w:rFonts w:ascii="Times New Roman;serif" w:hAnsi="Times New Roman;serif"/>
                <w:b/>
                <w:color w:val="000000"/>
                <w:sz w:val="13"/>
              </w:rPr>
              <w:t>(1)</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Total revenue</w:t>
            </w:r>
            <w:r>
              <w:rPr>
                <w:rFonts w:ascii="Times New Roman;serif" w:hAnsi="Times New Roman;serif"/>
                <w:b w:val="false"/>
                <w:color w:val="000000"/>
                <w:sz w:val="10"/>
              </w:rPr>
              <w:t>(2)(3)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See Note 2 of the Notes to the Consolidated Financial Statements included in Part IV of this Report for additional information.</w:t>
      </w:r>
    </w:p>
    <w:p>
      <w:pPr>
        <w:pStyle w:val="TextBody"/>
        <w:bidi w:val="0"/>
        <w:spacing w:lineRule="auto" w:line="288" w:before="0" w:after="20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further discussion of our Company, strategy, and products, see our business overview set forth in "Item 1. Business" in this Report.</w:t>
        <w:br/>
      </w: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Comparison of Year Ended December 31, 2025 and Year Ended December 31, 2024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our selected consolidated results of operations for the years ended December 31, 2025 and 2024 (in millions):</w:t>
      </w:r>
    </w:p>
    <w:tbl>
      <w:tblPr>
        <w:tblW w:w="10205" w:type="dxa"/>
        <w:jc w:val="left"/>
        <w:tblInd w:w="0" w:type="dxa"/>
        <w:tblLayout w:type="fixed"/>
        <w:tblCellMar>
          <w:top w:w="28" w:type="dxa"/>
          <w:left w:w="28" w:type="dxa"/>
          <w:bottom w:w="28" w:type="dxa"/>
          <w:right w:w="28" w:type="dxa"/>
        </w:tblCellMar>
      </w:tblPr>
      <w:tblGrid>
        <w:gridCol w:w="1543"/>
        <w:gridCol w:w="1321"/>
        <w:gridCol w:w="1329"/>
        <w:gridCol w:w="211"/>
        <w:gridCol w:w="616"/>
        <w:gridCol w:w="109"/>
        <w:gridCol w:w="109"/>
        <w:gridCol w:w="109"/>
        <w:gridCol w:w="109"/>
        <w:gridCol w:w="211"/>
        <w:gridCol w:w="616"/>
        <w:gridCol w:w="109"/>
        <w:gridCol w:w="109"/>
        <w:gridCol w:w="109"/>
        <w:gridCol w:w="109"/>
        <w:gridCol w:w="407"/>
        <w:gridCol w:w="929"/>
        <w:gridCol w:w="210"/>
        <w:gridCol w:w="109"/>
        <w:gridCol w:w="109"/>
        <w:gridCol w:w="109"/>
        <w:gridCol w:w="341"/>
        <w:gridCol w:w="324"/>
        <w:gridCol w:w="948"/>
      </w:tblGrid>
      <w:tr>
        <w:trPr/>
        <w:tc>
          <w:tcPr>
            <w:tcW w:w="154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4193" w:type="dxa"/>
            <w:gridSpan w:val="3"/>
            <w:tcBorders/>
            <w:tcMar>
              <w:top w:w="0" w:type="dxa"/>
              <w:left w:w="0" w:type="dxa"/>
              <w:bottom w:w="0" w:type="dxa"/>
              <w:right w:w="0" w:type="dxa"/>
            </w:tcMar>
            <w:vAlign w:val="center"/>
          </w:tcPr>
          <w:p>
            <w:pPr>
              <w:pStyle w:val="TableContents"/>
              <w:bidi w:val="0"/>
              <w:spacing w:before="0" w:after="200"/>
              <w:jc w:val="left"/>
              <w:rPr/>
            </w:pPr>
            <w:r>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pPr>
            <w:r>
              <w:rPr>
                <w:rFonts w:ascii="Times New Roman;serif" w:hAnsi="Times New Roman;serif"/>
                <w:b w:val="false"/>
                <w:color w:val="000000"/>
                <w:sz w:val="20"/>
              </w:rPr>
              <w:t>NM</w:t>
            </w:r>
            <w:r>
              <w:rPr>
                <w:rFonts w:ascii="Times New Roman;serif" w:hAnsi="Times New Roman;serif"/>
                <w:b w:val="false"/>
                <w:color w:val="000000"/>
                <w:sz w:val="13"/>
              </w:rPr>
              <w:t>(2)</w:t>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9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3"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See Note 2 of the Notes to the Consolidated Financial Statements included in Part IV of this Report for additional information.</w:t>
      </w:r>
    </w:p>
    <w:p>
      <w:pPr>
        <w:pStyle w:val="TextBody"/>
        <w:bidi w:val="0"/>
        <w:spacing w:lineRule="auto" w:line="288" w:before="0" w:after="20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Not meaningful.</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Revenue increased $511 million, or 19%, to $3.2 billion, driven by the following: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$272 million, or 18%, to $1.8 billion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$103 million, or 9%, due to an increase in subscribers and inflation-based price increases and an increase of $35 million of revenue from the Visual Lease Acquisition completed in November 2024,</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$30 million, or 11%, due to an increase in the number of paid listings and an increase in the average price per listing, as well as $6 million of CRE listings revenue from the Domain Acquisition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of $139 million, or 181% due to $147 million of revenue from the Matterport Acquisition, partially offset by a reduction in auction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$239 million, or 20%, to $1.5 billion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the number of agents and properties advertised on our network, partially offset by a reduction in average price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$95 million of revenue from the Domain Acquisition completed in August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color w:val="000000"/>
        </w:rPr>
        <w:t xml:space="preserve"> </w:t>
      </w:r>
      <w:r>
        <w:rPr>
          <w:rFonts w:ascii="Times New Roman;serif" w:hAnsi="Times New Roman;serif"/>
          <w:b w:val="false"/>
          <w:color w:val="000000"/>
          <w:sz w:val="20"/>
        </w:rPr>
        <w:t>Gross profit increased $383 million, or 18%, to $2.6 billion in 2025, and the gross profit percentage decreased from 80% to 79%. The increase in gross profit was due to higher revenue partially offset by an increase in the cost of revenue. Cost of revenue increased $128 million, or 23% to $686 million and, as a percentage of revenue, increased from 20% to 21%. The increase in cost of revenue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amortization expense for the acquired technology and trade names from the Matterport Acquisition and the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$28 million in costs related to sales of Matterport equipment and capture services,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and related overheads of $34 million primarily related to additional headcount from the Matterport Acquisition and the Domain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$18 million, primarily driven by product web hosting costs due to the Matterport Acquisition and the Domain Acquisition, and growth in our core products,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payment processing fees of $6 million, primarily due to growth in revenue.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Expenses (Excluding Customer Base Amortization)</w:t>
      </w:r>
      <w:r>
        <w:rPr>
          <w:rFonts w:ascii="Times New Roman;serif" w:hAnsi="Times New Roman;serif"/>
          <w:b w:val="false"/>
          <w:color w:val="000000"/>
          <w:sz w:val="20"/>
        </w:rPr>
        <w:t>. Selling and marketing expenses increased $196 million, or 14%, to $1.6 billion and, as a percentage of revenue, decreased from 50% to 48%.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personnel costs and related overheads, primarily related to sales hiring and the sales force from the Matterport Acquisition and the Domain Acquisition,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commissions expense of $36 million,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occupancy, equipment costs and supplies of $10 million related to our sales force,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$8 million related to sales force travel, conferences, and development activities,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$5 million in third-party commissions driven by the Matterport Acquisition,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marketing expenses of $10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$80 million, or 25% to $406 million and, as a percentage of revenue, increased from 12% to 13%.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and related overheads, primarily due to additional headcount from the Matterport and Domain Acquisitions, as well as costs for our existing employees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$4 million, primarily driven by the Matterport Acquisition.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$110 million, or 25%, to $549 million and, as a percentage of revenue, increased from 16% to 17%. The increase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and related overheads primarily related to additional headcount from the Matterport Acquisition and the Domain Acquisition, as well as costs for our existing employees,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professional service fees of $19 million, primarily related to acquisition activities and costs to defend our intellectual property,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$14 million, primarily driven by the Matterport Acquisition.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$74 million, or 168%, to $118 million and, as a percentage of revenue, increased from 2% to 4%. The increase was primarily due to the Matterport Acquisition, Domain Acquisition, and Visual Lease Acquisition.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xml:space="preserve">. Interest income, net decreased $103 million, or 48%, to $110 million. The decrease was primarily due to a decrease in our cash and cash equivalents, primarily driven by the Matterport and Domain Acquisition, and the Prior Stock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Income tax expense decreased $48 million, or 68%, to $23 million and the effective tax rate was 77% of income before income taxes compared to 34% of income before income taxes for the year ended December 31, 2024. The decrease in income tax expense was primarily attributable to lower U.S. income. The increase in the effective tax rate is primarily attributable to lower U.S. income.</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Comparison of Year Ended December 31, 2024 and Year Ended December 31, 2023</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our selected consolidated results of operations for the years ended December 31, 2024 and 2023 (in millions):</w:t>
      </w:r>
    </w:p>
    <w:tbl>
      <w:tblPr>
        <w:tblW w:w="10205" w:type="dxa"/>
        <w:jc w:val="left"/>
        <w:tblInd w:w="0" w:type="dxa"/>
        <w:tblLayout w:type="fixed"/>
        <w:tblCellMar>
          <w:top w:w="28" w:type="dxa"/>
          <w:left w:w="28" w:type="dxa"/>
          <w:bottom w:w="28" w:type="dxa"/>
          <w:right w:w="28" w:type="dxa"/>
        </w:tblCellMar>
      </w:tblPr>
      <w:tblGrid>
        <w:gridCol w:w="1547"/>
        <w:gridCol w:w="1325"/>
        <w:gridCol w:w="1333"/>
        <w:gridCol w:w="211"/>
        <w:gridCol w:w="616"/>
        <w:gridCol w:w="109"/>
        <w:gridCol w:w="109"/>
        <w:gridCol w:w="109"/>
        <w:gridCol w:w="109"/>
        <w:gridCol w:w="211"/>
        <w:gridCol w:w="616"/>
        <w:gridCol w:w="109"/>
        <w:gridCol w:w="109"/>
        <w:gridCol w:w="109"/>
        <w:gridCol w:w="109"/>
        <w:gridCol w:w="407"/>
        <w:gridCol w:w="930"/>
        <w:gridCol w:w="211"/>
        <w:gridCol w:w="109"/>
        <w:gridCol w:w="109"/>
        <w:gridCol w:w="109"/>
        <w:gridCol w:w="327"/>
        <w:gridCol w:w="325"/>
        <w:gridCol w:w="947"/>
      </w:tblGrid>
      <w:tr>
        <w:trPr/>
        <w:tc>
          <w:tcPr>
            <w:tcW w:w="154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rPr>
              <w:t>2023</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pPr>
            <w:r>
              <w:rPr>
                <w:rFonts w:ascii="Times New Roman;serif" w:hAnsi="Times New Roman;serif"/>
                <w:b w:val="false"/>
                <w:color w:val="000000"/>
                <w:sz w:val="20"/>
              </w:rPr>
              <w:t>NM</w:t>
            </w:r>
            <w:r>
              <w:rPr>
                <w:rFonts w:ascii="Times New Roman;serif" w:hAnsi="Times New Roman;serif"/>
                <w:b w:val="false"/>
                <w:color w:val="000000"/>
                <w:sz w:val="13"/>
              </w:rPr>
              <w:t>(2)</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Refer to Note 2 of the Notes to the Consolidated Financial Statements included in Part IV of this Report for additional information.</w:t>
      </w:r>
    </w:p>
    <w:p>
      <w:pPr>
        <w:pStyle w:val="TextBody"/>
        <w:bidi w:val="0"/>
        <w:spacing w:lineRule="auto" w:line="288" w:before="0" w:after="20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Not meaningful.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$281 million, or 11%, to $2.7 billion, driven by the following: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$72 million, or 5%, to $1.5 billion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CoStar revenue of $60 million, or 5%, due to an increase in subscribers and inflation-based price increases and $7 million of revenue from the Visual Lease Acquisition completed in November 2024,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$17 million, or 6%, due to an increase in the average price per listing and an increase in the number of listings,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Other Commercial Real Estate of $5 million or 6%, due to a reduction in auction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$209 million, or 21%, to $1.2 billion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the number of agents and properties advertised on our network,</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$83 million from customers selecting higher priced packages on renewals and increases in prices for existing customers,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$39 million from a full year's results of OnTheMarket, which was acquired in December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comparison of gross profit, cost of revenue, and expenses for the fiscal year ended December 31, 2024 to the year ended December 31, 2023, see Item 7, Management’s Discussion and Analysis of Financial Condition and Results of Operations in our Annual Report on the Form 10-K for the year ended December 31, 2024, which was filed with the SEC on February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Comparison of Business Segment Results for Year Ended December 31, 2025 and Year Ended December 31, 2024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business by product portfolio in two operating segments, with the primary areas of measurement and decision-making being Commercial Real Estate and Residential Real Estate. Segment reporting is based on the management approach, whereby external segment reporting is aligned with the internal reporting used by the CODM, which is the Company’s Chief Executive Officer. The CODM relies on an internal management reporting process that provides operating segment revenue, EBITDA, and Adjusted EBITDA for making decisions and assessing performance as the source of the Company’s reportable segments. Adjusted EBITDA is used by management internally to measure operating and management performance and to evaluate the performance of the business. Operating results by segment include items that are directly attributable to each segment and also include shared expenses such as legal, including settlements and fines, corporate infrastructure and support costs, facilities, and IT expenses from our integrated platform. Shared expenses are primarily allocated based on revenue or headcount. There are no intersegment transactions. Refer to Note 2 and Note 13 of the Notes to the Consolidated Financial Statements included in Part IV of this Report for additional information.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$70 million to $672 million for the year ended December 31, 2025. The increase was primarily driven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higher personnel costs, primarily attributable to the Matterport and Visual Lease Acquisitions completed in February 2025 and November 2024, respectively, as well as higher costs related to headcount growth within existing brands,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$58 million increase in general and administrative expenses, largely attributable to incremental expenses from Matterport's post-acquisition operations, including costs of product web hosting, sales of Matterport equipment, and capture services, and third-party commissions,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$13 million increase in marketing expenses, primarily related to the Matterport Acquisition.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Adjusted EBITDA improved by $131 million to a loss of $230 million for the year ended December 31, 2025. The improvement was primarily driven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$24 million decrease in marketing expenses,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primarily driven by higher sales headcount from existing brands, as well as an increase in headcount from the Domain Acquisition,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 $29 million increase in general and administrative expenses for product hosting and occupancy costs, driven largely by the Domain Acquisition, and to a lesser extent from our existing brands.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Comparison of Business Segment Results for Year Ended December 31, 2024 and Year Ended December 31, 2023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recast certain prior period disclosures to align with the way we internally manage our business. Refer to Note 2 and Note 13 of the Notes to the Consolidated Financial Statements included in Part IV of this Report for additional information.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$66 million to $602 million for the year ended December 31, 2024. The increase was primarily driven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$28 million decrease in marketing expenses,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general and administrative expenses, largely related to professional services associated with defending our intellectual property and other legal matters, as well as product hosting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 $15 million increase in personnel costs for existing employees, as well as incremental costs related to the Visual Lease Acquisition completed in November 2024.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Adjusted EBITDA decreased $317 million to a loss of $361 million for the year ended December 31, 2024. The decrease was primarily driven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$327 million increase in marketing expenses,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$143 million increase in personnel costs, reflecting headcount growth within our sales organization for existing brands and the impact of the OnTheMarket acquisition,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w:t>
      </w:r>
      <w:r>
        <w:rPr>
          <w:color w:val="EE2724"/>
        </w:rPr>
        <w:t xml:space="preserve"> </w:t>
      </w:r>
      <w:r>
        <w:rPr>
          <w:rFonts w:ascii="Times New Roman;serif" w:hAnsi="Times New Roman;serif"/>
          <w:b w:val="false"/>
          <w:color w:val="000000"/>
          <w:sz w:val="20"/>
        </w:rPr>
        <w:t>increase in general and administrative expenses largely driven by higher product hosting costs, professional services incurred defending our intellectual property, and occupancy costs,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increase in revenue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balance of cash, cash equivalents, and restricted cash, which was $1.7 billion as of December 31, 2025, along with cash generated by ongoing operations and continued access to capital markets, will be sufficient to satisfy our cash requirements over the next 12 months and beyond. Our material cash requirements include the following contractual and other obligations.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As of December 31, 2025, we had outstanding an aggregate principal amount of $1.0 billion of Senior Notes due July 15, 2030. Future interest payments associated with the Senior Notes are $140 million, with $28 million payable within 12 months.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We have operating and finance lease arrangements for office facilities, data centers, and certain vehicles. As of December 31, 2025, we had fixed operating lease payment obligations of $161 million, with $29 million payable within 12 months, and fixed finance lease payment obligations of $12 million, with $6 million payable within 12 months.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Purchase Obligations.</w:t>
      </w:r>
      <w:r>
        <w:rPr>
          <w:color w:val="000000"/>
        </w:rPr>
        <w:t xml:space="preserve"> </w:t>
      </w:r>
      <w:r>
        <w:rPr>
          <w:rFonts w:ascii="Times New Roman;serif" w:hAnsi="Times New Roman;serif"/>
          <w:b w:val="false"/>
          <w:color w:val="000000"/>
          <w:sz w:val="20"/>
        </w:rPr>
        <w:t>Our purchase obligations are associated with agreements that are enforceable and legally binding and that specify all significant terms, including fixed or minimum services to be used, fixed, minimum or variable price provisions, and the approximate timing of the transaction and have an original term greater than one year. The services acquired under these agreements primarily relate to web hosting, sponsorship agreements, third-party data or listings, and software subscriptions. As of December 31, 2025, we had purchase obligations of $205 million, with $115 million payable within 12 months.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Construction Commitments.</w:t>
      </w:r>
      <w:r>
        <w:rPr>
          <w:color w:val="000000"/>
        </w:rPr>
        <w:t xml:space="preserve"> </w:t>
      </w:r>
      <w:r>
        <w:rPr>
          <w:rFonts w:ascii="Times New Roman;serif" w:hAnsi="Times New Roman;serif"/>
          <w:b w:val="false"/>
          <w:color w:val="000000"/>
          <w:sz w:val="20"/>
        </w:rPr>
        <w:t xml:space="preserve">We are expanding our Richmond, Virginia campus, which is expected to result in a material cash requirement in 2026. We broke ground on the expansion in November 2022 and expect construction to be substantially completed in the first half of 2026. We have engaged a project manager, architects, and a general contractor on terms that generally require payments as services are provided or construction is performed. As of December 31, 2025, we are obligated to spend an additional $155 million as further work is performed under these contracts. We intend to fund these expenditures with cash on hand.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Stock Repurchase Program. </w:t>
      </w:r>
      <w:r>
        <w:rPr>
          <w:rFonts w:ascii="Times New Roman;serif" w:hAnsi="Times New Roman;serif"/>
          <w:b w:val="false"/>
          <w:color w:val="000000"/>
          <w:sz w:val="20"/>
        </w:rPr>
        <w:t xml:space="preserve">In February 2025, the Board of Directors approved the Prior Stock Repurchase Program which authorized the repurchase of up to $500 million of CoStar Group Shares. The repurchases under the Prior Stock Repurchase Agreement were completed in December 2025. In December 2025, the Board of Directors approved a Stock Repurchase Program which authorizes, but does not obligate, the repurchase of up to $1.5 billion of CoStar Group Shares. Stock repurchases may be effected through open market and privately negotiated purchases, from time to time as market conditions shall warrant, or such other method as advised by the Company’s advisors, including without limitation pursuant to an accelerated share repurchase program or issuer self-tender offer. Repurchases may be made from time to time at management's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discretion, and the timing and amount of any such repurchases will be determined based on share price, market conditions, legal requirements, and other relevant factors. The program has no time limit and can be discontinued at any time at the Company’s discretion.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7.1 million CoStar Group Shares for an aggregate cost of $500 million under the Prior Stock Repurchase Program, including shares repurchased under an ASR agreement. As a result, no balance remains available for repurchases under that program. No shares were repurchased under the Stock Repurchase Program during the year ended December 31, 2025. As of December 31, 2025, $1.5 billion remained available for repurchases under the Stock Repurchase Program. We currently expect to repurchase approximately $700 million of CoStar Group Shares during 2026, including a planned $500 million accelerated share repurchase of CoStar Group Shares to be executed in the first quarter of 2026, followed by approximately $200 million of additional open-market repurchases during the remainder of the year.</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Cash on Hand.</w:t>
      </w:r>
      <w:r>
        <w:rPr>
          <w:color w:val="000000"/>
        </w:rPr>
        <w:t xml:space="preserve"> </w:t>
      </w:r>
      <w:r>
        <w:rPr>
          <w:rFonts w:ascii="Times New Roman;serif" w:hAnsi="Times New Roman;serif"/>
          <w:b w:val="false"/>
          <w:color w:val="000000"/>
          <w:sz w:val="20"/>
        </w:rPr>
        <w:t>Cash, cash equivalents, and restricted cash decreased to $1.7 billion as of December 31, 2025, compared to cash and cash equivalents of $4.7 billion as of December 31, 2024. The decrease in cash, cash equivalents and restricted cash for the year ended December 31, 2025 was primarily due to $2.8 billion of cash used in investing activities and $559 million of cash used in financing activities, partially offset by cash provided by operating activities of $430 million.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year ended December 31, 2025 was $430 million compared to $393 million for the year ended December 31, 2024. The $37 million increase in net cash provided by operating activities was primarily driven by an increase in non-cash expenses, partially offset by a decrease in working capital of $149 million and a decrease in net income.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2025 was $2.8 billion compared to $913 million for the year ended December 31, 2024, primarily driven by the Matterport Acquisition and the Domain Acquisition, including the initial purchase of equity securities of Domain, partially offset by proceeds from the sale of investments and a decrease in purchases of property, equipment, and other assets for new campuses.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2025 was $559 million compared to $14 million for the year ended December 31, 2024. The increase in net cash used in financing activities was primarily driven by repurchases of CoStar Group Shares under the Prior Stock Repurchase Program and repurchases of restricted stock to satisfy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conformity with GAAP requires management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Intangible assets and goodwill,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taxes,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our accounting policy for intangible assets and goodwill, we further supplement in Note 2 of the Notes to the Consolidated Financial Statements included in Part IV of this Report with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the impairment of identifiable intangibles and goodwill whenever events or changes in circumstances indicate that the carrying value may not be recoverable. Judgments made by management relate to the expected useful lives of intangible assets and our ability to recover the carrying value of such assets. The accuracy of these judgments may be adversely affected by several factors, including the factors listed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underperformance relative to historical or projected future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changes in the manner of our use of the acquired assets or the strategy for our overall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negative industry or economic trends; or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Significant decline in our market capitalization relative to net book value for a sustained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determine that the carrying value of intangible assets may not be recovered based upon the existence of one or more of the above indicators, we test for impairment.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future economic benefits arising from a business combination and is calculated as the excess of purchase consideration paid in a business combination over the fair value of assets of the net identifiable assets acquired. Goodwill is not amortized, but instead tested for impairment at least annually by each reporting unit, or more frequently if an event or other circumstance indicates that the fair value of a reporting unit may be below its carrying amount. We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we elect to bypass the qualitative assessment, we then perform a quantitative assessment by determining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and determined by management to be commensurate with the risk in our current business model. Assumptions about the growth rate and future financial performance of a reporting unit are based on our forecasts, business plans, economic projections, and anticipated future cash flows. These assumptions are subject to change from period-to-period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 The fair value of each reporting unit is compared to the carrying amount of the reporting unit. If the carrying value of the reporting unit exceeds the fair value, then an impairment loss is recognized for the difference.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Note 2 of the Notes to the Consolidated Financial Statements included in Part IV of this Report, in the fourth quarter of 2025 there was a change to our reporting units. As a result of this change, we allocated goodwill to our new reporting units using a relative fair value approach. In addition, the Company performed a quantitative goodwill impairment assessment for all reporting units immediately prior and subsequent to the reallocation and determined that no goodwill impairment existed.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 in-depth discussion of each of our significant accounting policies, including further information regarding estimates and assumptions involved in their application, see Note 2 of the Notes to the Consolidated Financial Statements included in Part IV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of the Notes to the Consolidated Financial Statements included in Part IV of this Report for further discussion of recent accounting pronouncements,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information, analytics, and online marketplace services to real estate and related business communities within the regions where we operate, which primarily include North America, Asia-Pacific, Europe, and Latin America. The functional currency for a majority of our operations is the local currency, with the exception of certain international locations for which the functional currency is the British Pound or U.S. Dollar.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the British Pound, Canadian Dollar, Australian Dollar, and Euro may have an impact on our business, results of operations, and financial position. For the years ended December 31, 2025 and December 31, 2024, revenue denominated in foreign currencies were approximately 9% and 5% of total revenue, respectively. For the years ended December 31, 2025 and December 31, 2024, our revenue would have decreased by approximately $29 million and $14 million, respectively, if the U.S. dollar exchange rate used strengthened by 10%. For the years ended December 31, 2025 and December 31, 2024, our revenue would have increased by approximately $29 million and $14 million, respectively, if the U.S. dollar exchange rate used weakened by 10%. In addition, we have assets and liabilities denominated in foreign currencies. As of December 31, 2025, accumulated other comprehensive loss included a gain from foreign currency translation adjustments of approximately $80 million.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believe we have material exposure to market risks associated with changes in interest rates related to cash equivalent securities held as of December 31, 2025. As of December 31, 2025, we had $1.7 billion of cash,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and restricted cash.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interest rate market risk in connection with our revolving credit facility. On May 20, 2024, we entered into the 2024 Credit Agreement, which provides for variable rate borrowings of up to $1.1 billion.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December 31, 2025. See Note 10 of the Notes to the Consolidated Financial Statements included in Part IV of this Report for additional information regarding our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approximately $6.7 billion of goodwill and intangible assets as of December 31, 2025. As of December 31, 2025,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 exceeds its fair value. We continue to monitor these assumptions and their effect on the estimated recoverability of our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Statements meeting the requirements of Regulation S-X, including reports of independent registered public accounting firm Ernst &amp; Young LLP, are set forth beginning at page F-1. Supplementary data is set forth in “Management’s Discussion and Analysis of Financial Condition and Results of Operations” under the caption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filed or submitted under the Exchange Act is recorded, processed, summarized, and reported, within the time periods specified in the SEC’s rules and forms. These controls also are designed to ensure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systems of controls and procedures, no matter how well designed and operated, can provide only reasonable assurance of achieving its objectives. Accordingly, management is required to apply judgment in evaluating the cost-benefit relationship of possible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the supervision and with the participation of our management, including our Chief Executive Officer and our Chief Financial Officer, we evaluated the effectiveness of our disclosure controls and procedures. Based on this evaluation, our Chief Executive Officer and Chief Financial Officer concluded that our disclosure controls and procedures were effective as of December 31, 2025, and were operating at a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integrate the internal controls over financial reporting of recent acquisitions. These activities may require modifications to certain processes, systems, and other components of internal controls over financial reporting. Consistent with our process changes, we evaluate the design and effectiveness of the internal controls as part of our overall assessment of disclosure controls and procedures.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integration activities associated with recent acquisitions, there were no changes in our internal control over financial reporting during the most recent fiscal quarter that have materially affected, or are reasonably likely to materially affect our internal control over financial reporting.</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CoStar Group is responsible for establishing and maintaining adequate internal control over financial reporting and assessing its effectiveness. Internal control over financial reporting, as defined by the SEC, is a process designed by, or under the supervision of, the Company’s principal executive and principal financial officers to provide reasonable assurance regarding the reliability of financial reporting and the preparation of financial statements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control over financial reporting is supported by written policies and procedures, which (1) pertain to the maintenance of records that, in reasonable detail, accurately and fairly reflect transactions and asset dispositions; (2) provide reasonable assurance that transactions are recorded as necessary to permit preparation of financial statements in accordance with GAAP, and that receipts and expenditures are made only in accordance with management's and directors' authorization; and (3) provide reasonable assurance regarding prevention or timely detection of unauthorized acquisition, use, or disposition of assets that could have a material effect on the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due to changes in conditions, or that the degree of compliance with the policies or procedures may deteriorate.</w:t>
      </w:r>
    </w:p>
    <w:p>
      <w:pPr>
        <w:pStyle w:val="TextBody"/>
        <w:bidi w:val="0"/>
        <w:spacing w:lineRule="auto" w:line="268" w:before="0" w:after="200"/>
        <w:ind w:left="0" w:right="0" w:firstLine="360"/>
        <w:jc w:val="both"/>
        <w:rPr/>
      </w:pPr>
      <w:r>
        <w:rPr>
          <w:rFonts w:ascii="Times New Roman;serif" w:hAnsi="Times New Roman;serif"/>
          <w:b w:val="false"/>
          <w:color w:val="000000"/>
          <w:sz w:val="20"/>
        </w:rPr>
        <w:t xml:space="preserve">Management assessed the effectiveness of internal control over financial reporting as of December 31, 2025, using the criteria established in </w:t>
      </w:r>
      <w:r>
        <w:rPr>
          <w:rFonts w:ascii="Times New Roman;serif" w:hAnsi="Times New Roman;serif"/>
          <w:b w:val="false"/>
          <w:i/>
          <w:color w:val="000000"/>
          <w:sz w:val="20"/>
        </w:rPr>
        <w:t>Internal Control – Integrated Framework (2013 framework)</w:t>
      </w:r>
      <w:r>
        <w:rPr>
          <w:color w:val="000000"/>
        </w:rPr>
        <w:t xml:space="preserve"> </w:t>
      </w:r>
      <w:r>
        <w:rPr>
          <w:rFonts w:ascii="Times New Roman;serif" w:hAnsi="Times New Roman;serif"/>
          <w:b w:val="false"/>
          <w:color w:val="000000"/>
          <w:sz w:val="20"/>
        </w:rPr>
        <w:t>issued by COSO. This assessment included evaluating the design and testing of the operational effectiveness of our internal control over financial reporting. Based on this assessment, management concluded that internal control over financial reporting was effective as of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Ernst &amp; Young LLP, our independent registered public accounting firm, audited the financial statements included in this report and issued an attestation report on the effectiveness of internal control over financial reporting, a copy of which is included in this Report.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completed the Matterport Acquisition and Domain Acquisition in February 2025 and August 2025, respectively. As permitted by the SEC, we have elected to exclude the internal controls of these acquisitions, which have not been integrated into our existing processes and controls, from our assessment of the effectiveness of internal control over financial reporting as of December 31, 2025. The excluded financial position of Matterport and Domain collectively represented less than 5% of our total assets, excluding the preliminary value of goodwill and other intangible assets as of December 31, 2025, and less than 10% of our revenue for the year then ended. We will include the internal controls of Matterport and Domain in our assessment of the effectiveness of our internal control over financial reporting as of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Insider Trading Arrangements Intended to Satisfy the Affirmative Defense of Rule 10b5-1(c)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2025, two officers of the Company entered into trading plans intended to satisfy the affirmative defense of Rule 10b5-1(c) of the Exchange Act (each such trading plan, a "Plan"), as discussed below.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14, 2025, Cynthia Cann, Chief Accounting Officer, entered into a Plan that provides for the sale of up to 3,986 CoStar Group Shares. Ms. Cann’s plan terminates on July 31, 2026, for a duration of 259 days.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4, 2025, Michael Desmarais, Chief Human Resources Officer, entered into a Plan that provides for the sale of up to 5,000 CoStar Group Shares. Mr. Desmarais's Plan terminates on July 31, 2026, for a duration of 239 days.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other directors or officers, as defined in Rule 16a-1(f),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has adopted a Code of Business Conduct and Ethics for its directors, officers, contractors, and employees, including its principal executive, financial and accounting officers, or persons performing similar functions. Copies of the Code may be found in the “Investors” section of the Company’s website at https://investors.costargroup.com/corporate-governance/governance-documents. We intend to disclose future amendments to certain provisions of our Codes, or waivers of such provisions granted to executive officers and directors, as required by the SEC rules on the Company's website within four business days following the date of such amendment or waiver.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Compliance Policy that governs the purchase, sale, and/or other dispositions of our securities by directors, officers, and employees that is reasonably designed to promote compliance with insider trading laws, rules, regulations, and NYSE listing standards. A copy of our Insider Trading Compliance Policy is included as Exhibit 19.1 to this Report.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information required by this Item is incorporated by reference to our Proxy Statement for our 2026 annual meeting of stockholders under the captions “Director Nominees,” “Executive Officers,” Corporate Governance Highlights,” “Board Committees,” “Insider trading arrangements and policies,” and, if applicable, “Delinquent Section 16(a)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our 2026 annual meeting of stockholders under the captions “Compensation Discussion and Analysis,” “Director Compensation,” “Compensation Committee Interlocks and Insider Participation,” and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our 2026 annual meeting of stockholders under the captions “Equity Compensation Plan Information” and “Stock Ownership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our 2026 annual meeting of stockholders under the captions “Certain Relationships and Related Transactions” and “Corporate Governance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Proxy Statement for our 2026 annual meeting of stockholders under the caption “Ratification of the Appointment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(a)(1) The following financial statements are filed as a part of this Report: CoStar Group, Inc.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(a)(2) Financial statement schedules: 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(a)(3) The documents required to be filed as exhibits to this Report under Item 601 of Regulation S-K are listed as follows:</w:t>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01"/>
        <w:gridCol w:w="265"/>
        <w:gridCol w:w="266"/>
        <w:gridCol w:w="109"/>
        <w:gridCol w:w="109"/>
        <w:gridCol w:w="109"/>
        <w:gridCol w:w="2640"/>
        <w:gridCol w:w="2640"/>
        <w:gridCol w:w="3766"/>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FF"/>
                <w:sz w:val="20"/>
              </w:rPr>
              <w:t>#</w:t>
            </w:r>
            <w:hyperlink r:id="rId4">
              <w:r>
                <w:rPr>
                  <w:rStyle w:val="InternetLink"/>
                  <w:rFonts w:ascii="Times New Roman;serif" w:hAnsi="Times New Roman;serif"/>
                  <w:b w:val="false"/>
                  <w:color w:val="0000FF"/>
                  <w:sz w:val="20"/>
                  <w:u w:val="single"/>
                </w:rPr>
                <w:t xml:space="preserve">2.1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Agreement and Plan of Merger and Reorganization dated April 21, 2024, by and among CoStar Group, Inc., Matterport, Inc., Matrix Merger Sub, Inc. and Matrix Merger Sub II LLC (Incorporated by reference to Exhibit 2.1 to the Registrant’s Current Report on Form 8-K filed with the SEC on April 22, 2024).</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5">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Fourth Amended and Restated Certificate of Incorporation of CoStar Group, Inc. (Incorporated by reference to Exhibit 3.1 to the Registrant's Current Report on Form 8-K filed with the SEC on June 7, 2021).</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6">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Fourth Amended and Restated By-Laws of CoStar Group, Inc. (Incorporated by reference to Exhibit 3.1 to the Registrant’s Current Report on Form 8-K filed with the SEC on May 9, 2022).</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7">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Specimen Common Stock Certificate (Incorporated by reference to Exhibit 4.1 to the Registration Statement on Form S-4 of the Registrant (Reg. No. 333-174214) filed with the SEC on June 3, 2011).</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8">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Description of the Registrant's Securities Registered Pursuant to Section 12 of the Securities Exchange Act of 1934 (Incorporated by reference to Exhibit 4.2 to the Registrant's Annual Report on Form 10-K filed with the SEC on February 23, 2022).</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9">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Indenture, dated as of July 1, 2020, by and among CoStar Group, Inc., as issuer, the guarantors named therein and Wilmington Trust, National Association, as trustee, relating to the 2.800% Senior Notes due 2030, including the form of 2.800% Senior Notes due 2030 (Incorporated by reference to Exhibit 4.1 to the Registrant’s Current Report on Form 8-K filed with the SEC on July 1, 2020).</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fldChar w:fldCharType="begin"/>
            </w:r>
            <w:r>
              <w:rPr>
                <w:rStyle w:val="InternetLink"/>
                <w:sz w:val="20"/>
                <w:u w:val="single"/>
                <w:b w:val="false"/>
                <w:rFonts w:ascii="Times New Roman;serif" w:hAnsi="Times New Roman;serif"/>
                <w:color w:val="0000FF"/>
              </w:rPr>
              <w:instrText xml:space="preserve"> HYPERLINK "https://www.sec.gov/Archives/edgar/data/1057352/000119312525107493/d821281ddef14a.htm" \l "toc821281_48"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*10.1</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2025 Stock Incentive Plan (Incorporated by reference to Appendix B to Registrant’s Definitive Proxy Statement on Schedule 14A filed with the SEC on April 30,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10">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2025 Stock Incentive Plan Restricted Stock Grant Agreement between the Registrant and certain of its officers, directors and employees (Incorporated by reference to Exhibit 10.2 to the Registrant’s Quarterly Report on Form 10-Q filed with the SEC on October 29,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11">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2025 Stock Incentive Plan Restricted Stock Unit Grant Agreement between the Registrant and certain of its officers, directors and employees (Incorporated by reference to Exhibit 10.3 to the Registrant’s Quarterly Report on Form 10-Q filed with the SEC on October 29,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12">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2025 Stock Incentive Plan Restricted Stock Grant Agreement for Service Awards between the Registrant and certain of its officers, directors and employees (Incorporated by reference to Exhibit 10.4 to the Registrant’s Quarterly Report on Form 10-Q filed with the SEC on October 29,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ex1052025formofpsuagreem.htm">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2025 Stock Incentive Plan Performance Stock Unit Grant Agreement between the Registrant and certain of its officers (filed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3">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2016 Stock Incentive Plan (Incorporated by reference to Exhibit 4.4 to the Registration Statement on Form S-8 of the Registrant (Reg. No. 333-212278) filed with the SEC on June 28, 2016).</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4">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First Amendment to the CoStar Group, Inc. 2016 Stock Incentive Plan (Incorporated by reference to Exhibit 10.1 to the Registrant’s Quarterly Report on Form 10-Q filed with the SEC on April 25, 2018). </w:t>
            </w:r>
          </w:p>
        </w:tc>
      </w:tr>
      <w:tr>
        <w:trPr/>
        <w:tc>
          <w:tcPr>
            <w:tcW w:w="832"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5">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Restricted Stock Grant Agreement between the Registrant and certain of its officers, directors and employees (Incorporated by reference to Exhibit 10.3 to the Registrant’s Quarterly Report on Form 10-Q filed with the SEC on July 28, 2016).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0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311"/>
        <w:gridCol w:w="273"/>
        <w:gridCol w:w="274"/>
        <w:gridCol w:w="109"/>
        <w:gridCol w:w="109"/>
        <w:gridCol w:w="109"/>
        <w:gridCol w:w="2733"/>
        <w:gridCol w:w="2593"/>
        <w:gridCol w:w="369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6">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Restricted Stock Grant Agreement for Service Awards between the Registrant and certain of its officers and employees (Incorporated by reference to Exhibit 10.4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7">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Restricted Stock Unit Grant Agreement between the Registrant and certain of its officers and employees (Incorporated by reference to Exhibit 10.5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8">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Incentive Stock Option Grant Agreement between the Registrant and certain of its officers and employees (Incorporated by reference to Exhibit 10.6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19">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Incentive Stock Option Grant Agreement between the Registrant and Andrew C. Florance (Incorporated by reference to Exhibit 10.7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0">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Nonqualified Stock Option Grant Agreement between the Registrant and certain of its officers, directors and employees (Incorporated by reference to Exhibit 10.8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1">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CoStar Group, Inc. 2016 Plan Nonqualified Stock Option Grant Agreement between the Registrant and Andrew C. Florance (Incorporated by reference to Exhibit 10.9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2">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2016 Cash Incentive Plan (Incorporated by reference to Exhibit 10.2 to the Registrant’s Quarterly Report on Form 10-Q filed with the SEC on July 28, 2016).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ex1016costar-2026annualc.htm">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2026 Cash Incentive Plan (filed herewith).</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3">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Employee Stock Purchase Plan (Incorporated by reference to Exhibit 4.4 to the Registrant’s Registration Statement on Form S-8 ( Reg. No. 333-258220) filed with the SEC on July 28, 2021).</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4">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Canadian Addendum to CoStar Group ESPP (Incorporated by reference to Exhibit 10.22 to the Registrant's Annual Report on Form 10-K filed with the SEC on February 20, 2025).</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101920251231.htm">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Amended and Restated CoStar Group, Inc. Management Stock Purchase Plan (filed herewith).</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w:anchor="csgp-ex102020251231.htm">
              <w:r>
                <w:rPr>
                  <w:rStyle w:val="InternetLink"/>
                  <w:rFonts w:ascii="Times New Roman;serif" w:hAnsi="Times New Roman;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Summary of Non-Employee Director Compensation (filed herewith).</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5">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Employment Agreement for Andrew C. Florance (Incorporated by reference to Exhibit 10.2 to Amendment No. 1 to the Registrant's Registration Statement on Form S-1 (Reg. No. 333-47953) filed with the SEC on April 27, 1998).</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val="false"/>
                <w:color w:val="0000FF"/>
                <w:sz w:val="20"/>
              </w:rPr>
              <w:t>*</w:t>
            </w:r>
            <w:hyperlink r:id="rId26">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First Amendment to Andrew C. Florance Employment Agreement, effective January 1, 2009 (Incorporated by reference to Exhibit 10.16 to the Registrant’s Annual Report on Form 10-K filed with the SEC on February 24, 2009).</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27">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Second Amendment to Andrew C. Florance Employment Agreement, entered into January 6, 2026 (Incorporated by reference to Exhibit 10.1 to the Registrant's Current Report on Form 8-K filed with the SEC on January 7, 2026).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28">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Form of Indemnification Agreement between the Registrant and each of its officers and directors (Incorporated by reference to Exhibit 10.1 to the Registrant’s Quarterly Report on Form 10-Q filed with the SEC on May 7, 2004).</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29">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Amended Executive Severance Plan, dated as of February 13, 2026 (Incorporated by reference to Exhibit 10.1 to the Registrant's Current Report on Form 8-K filed with the SEC on February 13, 2026).</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0">
              <w:r>
                <w:rPr>
                  <w:rStyle w:val="InternetLink"/>
                  <w:rFonts w:ascii="Times New Roman;serif" w:hAnsi="Times New Roman;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Deed of Office Lease by and between GLL L-Street 1331, LLC and CoStar Realty Information, Inc., dated February 18, 2011, and made effective as of June 1, 2010 (Incorporated by reference to Exhibit 10.1 to the Registrant’s Quarterly Report on form 10-Q filed with the SEC on April 29, 2011).</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1">
              <w:r>
                <w:rPr>
                  <w:rStyle w:val="InternetLink"/>
                  <w:rFonts w:ascii="Times New Roman;serif" w:hAnsi="Times New Roman;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Credit Agreement, dated as of May 24, 2024, by and among CoStar Group, Inc., as borrower, the lenders party thereto and Bank of America, N.A., as administrative agent (Incorporated by reference to Exhibit 10.1 to the Registrant’s Current Report on Form 8-K filed with the SEC on May 31, 2024).</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2">
              <w:r>
                <w:rPr>
                  <w:rStyle w:val="InternetLink"/>
                  <w:rFonts w:ascii="Times New Roman;serif" w:hAnsi="Times New Roman;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Support Agreement, dated as of April 6, 2025, among the Company, D. E. Shaw &amp; Co., L.P. and D. E. Shaw Oculus Portfolios, L.L.C (Incorporated by reference to Exhibit 10.1 to the Registrant’s Current Report on Form 8-K filed with the SEC on April 7, 2025). </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3">
              <w:r>
                <w:rPr>
                  <w:rStyle w:val="InternetLink"/>
                  <w:rFonts w:ascii="Times New Roman;serif" w:hAnsi="Times New Roman;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Support Agreement, dated as of April 6, 2025, among the Company and Third Point parties thereto (Incorporated by reference to Exhibit 10.2 to the Registrant’s Current Report on Form 8-K filed with the SEC on April 7, 2025).</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4">
              <w:r>
                <w:rPr>
                  <w:rStyle w:val="InternetLink"/>
                  <w:rFonts w:ascii="Times New Roman;serif" w:hAnsi="Times New Roman;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Matterport, Inc. 2021 Incentive Award Plan (Incorporated by reference to Exhibit 99.1 to the Registrant’s Registration Statement on Form S-8 (File No. 333-285422) filed with the SEC on February 28,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0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98"/>
        <w:gridCol w:w="262"/>
        <w:gridCol w:w="263"/>
        <w:gridCol w:w="109"/>
        <w:gridCol w:w="109"/>
        <w:gridCol w:w="109"/>
        <w:gridCol w:w="2751"/>
        <w:gridCol w:w="2600"/>
        <w:gridCol w:w="370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5">
              <w:r>
                <w:rPr>
                  <w:rStyle w:val="InternetLink"/>
                  <w:rFonts w:ascii="Times New Roman;serif" w:hAnsi="Times New Roman;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Form of Option Agreement under the Matterport, Inc. 2021 Incentive Award Plan (Incorporated by reference to Exhibit 99.2 to the Registrant’s Registration Statement on Form S-8 (File No. 333-285422) filed with the SEC on February 28,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6">
              <w:r>
                <w:rPr>
                  <w:rStyle w:val="InternetLink"/>
                  <w:rFonts w:ascii="Times New Roman;serif" w:hAnsi="Times New Roman;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Form of Restricted Stock Unit Agreement under the Matterport, Inc. 2021 Incentive Award Plan (Incorporated by reference to Exhibit 99.3 to the Registrant’s Registration Statement on Form S-8 (File No. 333-285422) filed with the SEC on February 28,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7">
              <w:r>
                <w:rPr>
                  <w:rStyle w:val="InternetLink"/>
                  <w:rFonts w:ascii="Times New Roman;serif" w:hAnsi="Times New Roman;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Matterport, Inc. Amended and Restated 2011 Stock Incentive Plan (Incorporated by reference to Exhibit 99.4 to the Registrant’s Registration Statement on Form S-8 (File No. 333-285422) filed with the SEC on February 28,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8">
              <w:r>
                <w:rPr>
                  <w:rStyle w:val="InternetLink"/>
                  <w:rFonts w:ascii="Times New Roman;serif" w:hAnsi="Times New Roman;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Form of Option Agreement under the Matterport, Inc. Amended and Restated 2011 Stock Incentive Plan (Incorporated by reference to Exhibit 99.5 to the Registrant’s Registration Statement on Form S-8 (File No. 333-285422) filed with the SEC on February 28,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39">
              <w:r>
                <w:rPr>
                  <w:rStyle w:val="InternetLink"/>
                  <w:rFonts w:ascii="Times New Roman;serif" w:hAnsi="Times New Roman;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Form of Restricted Stock Unit Agreement under the Matterport, Inc. Amended and Restated 2011 Stock Incentive Plan (Incorporated by reference to Exhibit 99.6 to the Registrant’s Registration Statement on Form S-8 (File No. 333-285422) filed with the SEC on February 28,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40">
              <w:r>
                <w:rPr>
                  <w:rStyle w:val="InternetLink"/>
                  <w:rFonts w:ascii="Times New Roman;serif" w:hAnsi="Times New Roman;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Scheme Implementation Deed, dated May 9, 2025, by and between CoStar Group, Inc., Domain Holdings Australia Limited and Andromeda Australia SubCo Pty Limited (Incorporated by reference to Exhibit 10.1 to the Registrant’s Current Report on Form 8-K filed with the SEC on May 9,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41">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Insider Trading Compliance Policy (Incorporated by reference to Exhibit 19.1 to the Registrant's Annual Report on Form 10-K filed with the SEC on February 20, 2025).</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21120251231.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Subsidiaries of the Registrant (filed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23120251231.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Consent of Ernst &amp; Young LLP, Independent Registered Public Accounting Firm (filed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3112025123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 (filed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31220251231.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 (filed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3212025123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 1350, as adopted pursuant to Section 906 of the Sarbanes-Oxley Act of 2002 (furnished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w:anchor="csgp-ex32220251231.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 1350, as adopted pursuant to Section 906 of the Sarbanes-Oxley Act of 2002 (furnished herewith).</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pPr>
            <w:hyperlink r:id="rId42">
              <w:r>
                <w:rPr>
                  <w:rStyle w:val="InternetLink"/>
                  <w:rFonts w:ascii="Times New Roman;serif" w:hAnsi="Times New Roman;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 Policy for Recovery of Erroneously Awarded Compensation (Incorporated by reference to Exhibit 97 to the Registrant's Annual Report on Form 10-K filed February 22, 2024).</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Annual Report on Form 10-K for the year ended December 31, 2025, formatted in Inline XBRL: (i) Consolidated Statements of Operations; (ii) Consolidated Statements of Comprehensive Income; (iii) Consolidated Balance Sheets; (iv) Consolidated Statements of Cash Flows; and (v) Notes to Consolidated Financial Statements, tagged as blocks of text and including detailed tags.</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3"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cover page from the Registrant's Annual Report on Form 10-K for the year ended December 31, 2025, formatted in Inline XBRL (included as Exhibit 101).</w:t>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Schedules and exhibits (or similar attachments) have been omitted from this exhibit pursuant to Item 601(a)(5) of Regulation S-K. The Company will furnish copies of the such schedules (or similar attachments)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200"/>
        <w:ind w:left="0" w:right="0" w:firstLine="360"/>
        <w:jc w:val="both"/>
        <w:rPr>
          <w:color w:val="000000"/>
        </w:rPr>
      </w:pPr>
      <w:r>
        <w:rPr>
          <w:color w:val="000000"/>
        </w:rPr>
        <w:t> </w:t>
      </w:r>
    </w:p>
    <w:tbl>
      <w:tblPr>
        <w:tblW w:w="5776" w:type="dxa"/>
        <w:jc w:val="left"/>
        <w:tblInd w:w="0" w:type="dxa"/>
        <w:tblLayout w:type="fixed"/>
        <w:tblCellMar>
          <w:top w:w="28" w:type="dxa"/>
          <w:left w:w="28" w:type="dxa"/>
          <w:bottom w:w="28" w:type="dxa"/>
          <w:right w:w="28" w:type="dxa"/>
        </w:tblCellMar>
      </w:tblPr>
      <w:tblGrid>
        <w:gridCol w:w="580"/>
        <w:gridCol w:w="511"/>
        <w:gridCol w:w="513"/>
        <w:gridCol w:w="321"/>
        <w:gridCol w:w="321"/>
        <w:gridCol w:w="321"/>
        <w:gridCol w:w="930"/>
        <w:gridCol w:w="930"/>
        <w:gridCol w:w="134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4172" w:type="dxa"/>
            <w:gridSpan w:val="6"/>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 Andrew C. Florance</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individual whose signature appears below constitutes and appoints Andrew C. Florance and Christian M. Lown,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as amended, this report has been signed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00"/>
        <w:ind w:left="0" w:right="0" w:firstLine="360"/>
        <w:jc w:val="both"/>
        <w:rPr/>
      </w:pPr>
      <w:r>
        <w:rPr/>
      </w:r>
    </w:p>
    <w:tbl>
      <w:tblPr>
        <w:tblW w:w="7493" w:type="dxa"/>
        <w:jc w:val="center"/>
        <w:tblInd w:w="0" w:type="dxa"/>
        <w:tblLayout w:type="fixed"/>
        <w:tblCellMar>
          <w:top w:w="28" w:type="dxa"/>
          <w:left w:w="28" w:type="dxa"/>
          <w:bottom w:w="28" w:type="dxa"/>
          <w:right w:w="28" w:type="dxa"/>
        </w:tblCellMar>
      </w:tblPr>
      <w:tblGrid>
        <w:gridCol w:w="818"/>
        <w:gridCol w:w="721"/>
        <w:gridCol w:w="726"/>
        <w:gridCol w:w="109"/>
        <w:gridCol w:w="109"/>
        <w:gridCol w:w="109"/>
        <w:gridCol w:w="975"/>
        <w:gridCol w:w="975"/>
        <w:gridCol w:w="989"/>
        <w:gridCol w:w="109"/>
        <w:gridCol w:w="109"/>
        <w:gridCol w:w="109"/>
        <w:gridCol w:w="477"/>
        <w:gridCol w:w="477"/>
        <w:gridCol w:w="681"/>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Louise S. Sams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Louise S. Sams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Andrew C. Florance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President and a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Christian M. Lown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Cynthia C. Cann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Cynthia C. Cann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John C. Berisford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John C. Berisford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Angelique G. Brunner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Angelique G. Brunner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Rachel C. Glaser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Rachel C. Glaser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John W.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John W.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Christine M.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Christine M.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Robert W. Musslewhite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Robert W. Musslewhite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before="0" w:after="200"/>
        <w:ind w:left="0" w:right="0" w:firstLine="360"/>
        <w:jc w:val="center"/>
        <w:rPr/>
      </w:pPr>
      <w:r>
        <w:rPr/>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455" w:type="dxa"/>
        <w:jc w:val="center"/>
        <w:tblInd w:w="0" w:type="dxa"/>
        <w:tblLayout w:type="fixed"/>
        <w:tblCellMar>
          <w:top w:w="28" w:type="dxa"/>
          <w:left w:w="28" w:type="dxa"/>
          <w:bottom w:w="28" w:type="dxa"/>
          <w:right w:w="28" w:type="dxa"/>
        </w:tblCellMar>
      </w:tblPr>
      <w:tblGrid>
        <w:gridCol w:w="2508"/>
        <w:gridCol w:w="2205"/>
        <w:gridCol w:w="2217"/>
        <w:gridCol w:w="154"/>
        <w:gridCol w:w="154"/>
        <w:gridCol w:w="217"/>
      </w:tblGrid>
      <w:tr>
        <w:trPr/>
        <w:tc>
          <w:tcPr>
            <w:tcW w:w="250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Reports of Independent Registered Public Accounting Firm (PCAOB ID Number 42)</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33">
              <w:r>
                <w:rPr>
                  <w:rStyle w:val="InternetLink"/>
                  <w:rFonts w:ascii="Times New Roman;serif" w:hAnsi="Times New Roman;serif"/>
                  <w:b w:val="false"/>
                  <w:color w:val="000080"/>
                  <w:sz w:val="20"/>
                  <w:u w:val="single"/>
                </w:rPr>
                <w:t>F-</w:t>
              </w:r>
            </w:hyperlink>
            <w:hyperlink w:anchor="ib08faba301d94dee895ca69fb9a28832_133">
              <w:r>
                <w:rPr>
                  <w:rStyle w:val="InternetLink"/>
                  <w:rFonts w:ascii="Times New Roman;serif" w:hAnsi="Times New Roman;serif"/>
                  <w:b w:val="false"/>
                  <w:color w:val="000080"/>
                  <w:sz w:val="20"/>
                  <w:u w:val="single"/>
                </w:rPr>
                <w:t>2</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36">
              <w:r>
                <w:rPr>
                  <w:rStyle w:val="InternetLink"/>
                  <w:rFonts w:ascii="Times New Roman;serif" w:hAnsi="Times New Roman;serif"/>
                  <w:b w:val="false"/>
                  <w:color w:val="000080"/>
                  <w:sz w:val="20"/>
                  <w:u w:val="single"/>
                </w:rPr>
                <w:t>F-</w:t>
              </w:r>
            </w:hyperlink>
            <w:hyperlink w:anchor="ib08faba301d94dee895ca69fb9a28832_136">
              <w:r>
                <w:rPr>
                  <w:rStyle w:val="InternetLink"/>
                  <w:rFonts w:ascii="Times New Roman;serif" w:hAnsi="Times New Roman;serif"/>
                  <w:b w:val="false"/>
                  <w:color w:val="000080"/>
                  <w:sz w:val="20"/>
                  <w:u w:val="single"/>
                </w:rPr>
                <w:t>7</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39">
              <w:r>
                <w:rPr>
                  <w:rStyle w:val="InternetLink"/>
                  <w:rFonts w:ascii="Times New Roman;serif" w:hAnsi="Times New Roman;serif"/>
                  <w:b w:val="false"/>
                  <w:color w:val="000080"/>
                  <w:sz w:val="20"/>
                  <w:u w:val="single"/>
                </w:rPr>
                <w:t>F-</w:t>
              </w:r>
            </w:hyperlink>
            <w:hyperlink w:anchor="ib08faba301d94dee895ca69fb9a28832_139">
              <w:r>
                <w:rPr>
                  <w:rStyle w:val="InternetLink"/>
                  <w:rFonts w:ascii="Times New Roman;serif" w:hAnsi="Times New Roman;serif"/>
                  <w:b w:val="false"/>
                  <w:color w:val="000080"/>
                  <w:sz w:val="20"/>
                  <w:u w:val="single"/>
                </w:rPr>
                <w:t>8</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42">
              <w:r>
                <w:rPr>
                  <w:rStyle w:val="InternetLink"/>
                  <w:rFonts w:ascii="Times New Roman;serif" w:hAnsi="Times New Roman;serif"/>
                  <w:b w:val="false"/>
                  <w:color w:val="000080"/>
                  <w:sz w:val="20"/>
                  <w:u w:val="single"/>
                </w:rPr>
                <w:t>F-</w:t>
              </w:r>
            </w:hyperlink>
            <w:hyperlink w:anchor="ib08faba301d94dee895ca69fb9a28832_142">
              <w:r>
                <w:rPr>
                  <w:rStyle w:val="InternetLink"/>
                  <w:rFonts w:ascii="Times New Roman;serif" w:hAnsi="Times New Roman;serif"/>
                  <w:b w:val="false"/>
                  <w:color w:val="000080"/>
                  <w:sz w:val="20"/>
                  <w:u w:val="single"/>
                </w:rPr>
                <w:t>9</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Changes in Stockholders’ Equity</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45">
              <w:r>
                <w:rPr>
                  <w:rStyle w:val="InternetLink"/>
                  <w:rFonts w:ascii="Times New Roman;serif" w:hAnsi="Times New Roman;serif"/>
                  <w:b w:val="false"/>
                  <w:color w:val="000080"/>
                  <w:sz w:val="20"/>
                  <w:u w:val="single"/>
                </w:rPr>
                <w:t>F-</w:t>
              </w:r>
            </w:hyperlink>
            <w:hyperlink w:anchor="ib08faba301d94dee895ca69fb9a28832_145">
              <w:r>
                <w:rPr>
                  <w:rStyle w:val="InternetLink"/>
                  <w:rFonts w:ascii="Times New Roman;serif" w:hAnsi="Times New Roman;serif"/>
                  <w:b w:val="false"/>
                  <w:color w:val="000080"/>
                  <w:sz w:val="20"/>
                  <w:u w:val="single"/>
                </w:rPr>
                <w:t>10</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48">
              <w:r>
                <w:rPr>
                  <w:rStyle w:val="InternetLink"/>
                  <w:rFonts w:ascii="Times New Roman;serif" w:hAnsi="Times New Roman;serif"/>
                  <w:b w:val="false"/>
                  <w:color w:val="000080"/>
                  <w:sz w:val="20"/>
                  <w:u w:val="single"/>
                </w:rPr>
                <w:t>F-</w:t>
              </w:r>
            </w:hyperlink>
            <w:hyperlink w:anchor="ib08faba301d94dee895ca69fb9a28832_148">
              <w:r>
                <w:rPr>
                  <w:rStyle w:val="InternetLink"/>
                  <w:rFonts w:ascii="Times New Roman;serif" w:hAnsi="Times New Roman;serif"/>
                  <w:b w:val="false"/>
                  <w:color w:val="000080"/>
                  <w:sz w:val="20"/>
                  <w:u w:val="single"/>
                </w:rPr>
                <w:t>11</w:t>
              </w:r>
            </w:hyperlink>
          </w:p>
        </w:tc>
      </w:tr>
      <w:tr>
        <w:trPr/>
        <w:tc>
          <w:tcPr>
            <w:tcW w:w="6930"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25" w:type="dxa"/>
            <w:gridSpan w:val="3"/>
            <w:tcBorders/>
            <w:tcMar>
              <w:top w:w="0" w:type="dxa"/>
              <w:left w:w="0" w:type="dxa"/>
              <w:bottom w:w="0" w:type="dxa"/>
              <w:right w:w="0" w:type="dxa"/>
            </w:tcMar>
            <w:vAlign w:val="center"/>
          </w:tcPr>
          <w:p>
            <w:pPr>
              <w:pStyle w:val="TableContents"/>
              <w:bidi w:val="0"/>
              <w:spacing w:lineRule="auto" w:line="288" w:before="0" w:after="200"/>
              <w:jc w:val="right"/>
              <w:rPr/>
            </w:pPr>
            <w:hyperlink w:anchor="ib08faba301d94dee895ca69fb9a28832_151">
              <w:r>
                <w:rPr>
                  <w:rStyle w:val="InternetLink"/>
                  <w:rFonts w:ascii="Times New Roman;serif" w:hAnsi="Times New Roman;serif"/>
                  <w:b w:val="false"/>
                  <w:color w:val="000080"/>
                  <w:sz w:val="20"/>
                  <w:u w:val="single"/>
                </w:rPr>
                <w:t>F-</w:t>
              </w:r>
            </w:hyperlink>
            <w:hyperlink w:anchor="ib08faba301d94dee895ca69fb9a28832_151">
              <w:r>
                <w:rPr>
                  <w:rStyle w:val="InternetLink"/>
                  <w:rFonts w:ascii="Times New Roman;serif" w:hAnsi="Times New Roman;serif"/>
                  <w:b w:val="false"/>
                  <w:color w:val="000080"/>
                  <w:sz w:val="20"/>
                  <w:u w:val="singl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To the Stockholders and the Board of Directors of CoStar Group, Inc.</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CoStar Group, Inc.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 xml:space="preserve">Critical Audit Matters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424"/>
        <w:gridCol w:w="372"/>
        <w:gridCol w:w="375"/>
        <w:gridCol w:w="109"/>
        <w:gridCol w:w="109"/>
        <w:gridCol w:w="109"/>
        <w:gridCol w:w="2850"/>
        <w:gridCol w:w="2417"/>
        <w:gridCol w:w="3440"/>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Highly Automated Revenue Systems related to Subscription Revenue </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 derives revenues primarily by (i) providing access to its proprietary database of commercial real estate information and (ii) providing online marketplaces for professional property management companies, property owners, real estate agents and brokers and landlords, in each case, typically through a fixed fee for its subscription-based services. Revenues from subscription-based contracts are approximately 93% of total revenues for the current year and are recognized on a straight-line basis over the term of the agreement. The Company’s revenue recognition process involves several applications responsible for the initiation, processing, and recording of transactions. These applications interface with the Company’s enterprise resource planning system through automated and manual journal entries to accurately reflect revenue.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20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520"/>
        <w:gridCol w:w="372"/>
        <w:gridCol w:w="373"/>
        <w:gridCol w:w="109"/>
        <w:gridCol w:w="109"/>
        <w:gridCol w:w="109"/>
        <w:gridCol w:w="2521"/>
        <w:gridCol w:w="2521"/>
        <w:gridCol w:w="3571"/>
      </w:tblGrid>
      <w:tr>
        <w:trPr/>
        <w:tc>
          <w:tcPr>
            <w:tcW w:w="5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to calculate, aggregate, and record revenue relies on multiple internally developed and external software programs and systems and involves interfacing significant volumes of data across the systems. Auditing the Company's accounting for revenue from subscription-based contracts was challenging and complex due to the high volume of individually-low-monetary-value transactions, dependency on the effective design and operation of multiple applications, some of which are specifically designed for the Company's business, and the use of multiple data sources in the revenue recognition process. Given the complexity of the information technology (IT) environment, the required involvement of professionals with expertise in IT to identify, test, and evaluate the revenue data flows, systems, and automated controls, we considered the audit of the Company’s subscription revenue-generating transactions to be a critical audit matter.</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performed procedures related to the Company’s internal controls that included, among others, obtaining an understanding, evaluating the design, and testing the operating effectiveness of internal controls over the Company’s accounting for subscription revenue. We tested the controls over the initiation and billing of new and recurring subscriptions and the provisioning of customers. We tested the controls related to the key application interfaces between the provisioning, billing, and accounting systems and tested IT general controls related to access to the relevant applications and data, and changes made to the relevant systems, configurations and interfaces.</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performed substantive audit procedures that included, among others, testing the Company’s accounting for revenue from contracts with customers, by testing, on a sample basis, the completeness and accuracy of the underlying data within the Company’s billing system.</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performed data analytics by extracting data from the general ledger to evaluate the completeness and accuracy of recorded revenue and deferred revenue amounts, tracing a sample of sales transactions to source data, including evidence of cash receipt.</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Valuation of Certain Identified Intangible Assets Related to the Acquisitions of Matterport, LLC and Domain Holdings Australia Pty Limited</w:t>
            </w:r>
          </w:p>
        </w:tc>
      </w:tr>
      <w:tr>
        <w:trPr/>
        <w:tc>
          <w:tcPr>
            <w:tcW w:w="1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discussed in Note 4 of the consolidated financial statements, during the year ended December 31, 2025, the Company completed the acquisitions of Matterport, LLC (“Matterport”) and Domain Holdings Australia Pty Limited (“Domain”) for an aggregate purchase price of approximately $3.9 billion. These transactions were accounted for as business combinations using the acquisition method of accounting, which requires, among other things, the identifiable assets acquired and liabilities assumed in the acquiree to be measured at their acquisition-date fair value. Any excess of the fair value of consideration transferred over the fair value of the identifiable assets acquired and liabilities assumed is recorded as goodwill.</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Auditing the Company’s accounting for its acquisitions of Matterport and Domain was complex due to the significant estimation uncertainty in the Company’s determination of the fair value of the identifiable intangible assets, which totaled $1.5 billion and consisted of customer relationships, developed technology, and trade name intangible assets. The Company used a discounted cash flow model to measure the customer relationship intangible assets and the relief from royalty approach to value the developed technology and trade name intangible assets. The significant assumptions used in the valuation of the intangible assets included discount rates, royalty rates, customer attrition rates, annual revenue growth rates, and EBITDA margin. These significant assumptions are forward looking and could be affected by future economic and market conditions. </w:t>
            </w:r>
          </w:p>
        </w:tc>
      </w:tr>
      <w:tr>
        <w:trPr/>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internal controls over the identification and valuation of the identified intangible assets including management’s review of the valuation models applied and significant underlying assumptions.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20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test the estimated fair value of the acquired intangible assets, we performed audit procedures that included, among others, evaluating the Company’s valuation methodologies used, evaluating the significant assumptions discussed above, and testing the completeness and accuracy of the underlying data supporting the significant assumptions. We involved our valuation specialists to assist in evaluating the methodology and certain significant assumptions used in the fair value estimates. For example, we compared the significant assumptions to current industry, market and economic trends as well as to historical results of the acquired business and to other guidelines used by companies within the same industry. In addition, we performed a sensitivity analysis on the significant assumptions to evaluate the change in the fair values of the intangible assets that would result from the changes in assumptions.</w:t>
            </w:r>
          </w:p>
        </w:tc>
      </w:tr>
    </w:tbl>
    <w:p>
      <w:pPr>
        <w:pStyle w:val="TextBody"/>
        <w:bidi w:val="0"/>
        <w:spacing w:before="0" w:after="200"/>
        <w:ind w:left="0" w:right="0" w:firstLine="360"/>
        <w:jc w:val="center"/>
        <w:rPr/>
      </w:pPr>
      <w:r>
        <w:rPr/>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60"/>
        <w:ind w:left="0" w:right="0" w:firstLine="360"/>
        <w:jc w:val="left"/>
        <w:rPr/>
      </w:pPr>
      <w:r>
        <w:rPr/>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1994.</w:t>
      </w:r>
    </w:p>
    <w:p>
      <w:pPr>
        <w:pStyle w:val="TextBody"/>
        <w:bidi w:val="0"/>
        <w:spacing w:before="0" w:after="60"/>
        <w:ind w:left="0" w:right="0" w:firstLine="360"/>
        <w:jc w:val="both"/>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To the Stockholders and the Board of Directors of CoStar Group, Inc.</w:t>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CoStar Group, Inc.’s internal control over financial reporting as of December 31, 2025, based on criteria established in Internal Control—Integrated Framework issued by the Committee of Sponsoring Organizations of the Treadway Commission (2013 framework) (the COSO criteria). In our opinion, CoStar Group, Inc. (the Company) maintained, in all material respects, effective internal control over financial reporting as of December 31, 2025, based on the COSO criteria.</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Matterport, LLC and Domain Holdings Australia Pty Limited, which are included in the 2025 consolidated financial statements of the Company and collectively constituted less than 5% of total assets, excluding the preliminary value of goodwill and other intangible assets as of December 31, 2025, and less than 10% of total revenues for the year then ended. Our audit of internal control over financial reporting of the Company also did not include an evaluation of the internal control over financial reporting of Matterport, LLC and Domain Holdings Australia Pty Limited.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changes in stockholders' equity and cash flows for each of the three years in the period ended December 31, 2025 and the related notes and our report dated February 25, 2026 expressed an unqualified opinion thereon.</w:t>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60"/>
        <w:ind w:left="0" w:right="0" w:firstLine="360"/>
        <w:jc w:val="both"/>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8682" w:type="dxa"/>
        <w:jc w:val="left"/>
        <w:tblInd w:w="0" w:type="dxa"/>
        <w:tblLayout w:type="fixed"/>
        <w:tblCellMar>
          <w:top w:w="28" w:type="dxa"/>
          <w:left w:w="28" w:type="dxa"/>
          <w:bottom w:w="28" w:type="dxa"/>
          <w:right w:w="28" w:type="dxa"/>
        </w:tblCellMar>
      </w:tblPr>
      <w:tblGrid>
        <w:gridCol w:w="1871"/>
        <w:gridCol w:w="1649"/>
        <w:gridCol w:w="1655"/>
        <w:gridCol w:w="211"/>
        <w:gridCol w:w="616"/>
        <w:gridCol w:w="109"/>
        <w:gridCol w:w="109"/>
        <w:gridCol w:w="109"/>
        <w:gridCol w:w="109"/>
        <w:gridCol w:w="211"/>
        <w:gridCol w:w="616"/>
        <w:gridCol w:w="109"/>
        <w:gridCol w:w="109"/>
        <w:gridCol w:w="109"/>
        <w:gridCol w:w="109"/>
        <w:gridCol w:w="211"/>
        <w:gridCol w:w="616"/>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7658" w:type="dxa"/>
        <w:jc w:val="left"/>
        <w:tblInd w:w="0" w:type="dxa"/>
        <w:tblLayout w:type="fixed"/>
        <w:tblCellMar>
          <w:top w:w="28" w:type="dxa"/>
          <w:left w:w="28" w:type="dxa"/>
          <w:bottom w:w="28" w:type="dxa"/>
          <w:right w:w="28" w:type="dxa"/>
        </w:tblCellMar>
      </w:tblPr>
      <w:tblGrid>
        <w:gridCol w:w="1547"/>
        <w:gridCol w:w="1357"/>
        <w:gridCol w:w="1370"/>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3202"/>
        <w:gridCol w:w="2424"/>
        <w:gridCol w:w="2394"/>
        <w:gridCol w:w="196"/>
        <w:gridCol w:w="646"/>
        <w:gridCol w:w="109"/>
        <w:gridCol w:w="109"/>
        <w:gridCol w:w="109"/>
        <w:gridCol w:w="109"/>
        <w:gridCol w:w="196"/>
        <w:gridCol w:w="556"/>
        <w:gridCol w:w="155"/>
      </w:tblGrid>
      <w:tr>
        <w:trPr/>
        <w:tc>
          <w:tcPr>
            <w:tcW w:w="3202"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2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185"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802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02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02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4,681 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commission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Deposits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9,257 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Accrued wages and commissions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Litigation 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Lease and 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2.0 million shares authorized; zero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 billion shares authorized at December 31, 2025 and 2024; and 425.0 million issued and 417.9 million outstanding as of December 31, 2025 and 409.5 million issued and outstanding as of December 31, 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Treasury stock, 7.1 million shares, cost basis at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Stockholders' equity attributable to CoStar Group</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Equity attributable to NCI</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9,257 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center"/>
        <w:rPr/>
      </w:pPr>
      <w:r>
        <w:rPr>
          <w:color w:val="000000"/>
        </w:rPr>
        <w:t> </w:t>
      </w: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00"/>
        <w:ind w:left="0" w:right="0" w:firstLine="360"/>
        <w:jc w:val="both"/>
        <w:rPr/>
      </w:pPr>
      <w:r>
        <w:rPr/>
      </w:r>
    </w:p>
    <w:tbl>
      <w:tblPr>
        <w:tblW w:w="12372" w:type="dxa"/>
        <w:jc w:val="left"/>
        <w:tblInd w:w="0" w:type="dxa"/>
        <w:tblLayout w:type="fixed"/>
        <w:tblCellMar>
          <w:top w:w="28" w:type="dxa"/>
          <w:left w:w="28" w:type="dxa"/>
          <w:bottom w:w="28" w:type="dxa"/>
          <w:right w:w="28" w:type="dxa"/>
        </w:tblCellMar>
      </w:tblPr>
      <w:tblGrid>
        <w:gridCol w:w="734"/>
        <w:gridCol w:w="236"/>
        <w:gridCol w:w="216"/>
        <w:gridCol w:w="278"/>
        <w:gridCol w:w="278"/>
        <w:gridCol w:w="211"/>
        <w:gridCol w:w="109"/>
        <w:gridCol w:w="109"/>
        <w:gridCol w:w="109"/>
        <w:gridCol w:w="269"/>
        <w:gridCol w:w="331"/>
        <w:gridCol w:w="151"/>
        <w:gridCol w:w="109"/>
        <w:gridCol w:w="109"/>
        <w:gridCol w:w="109"/>
        <w:gridCol w:w="211"/>
        <w:gridCol w:w="601"/>
        <w:gridCol w:w="119"/>
        <w:gridCol w:w="109"/>
        <w:gridCol w:w="109"/>
        <w:gridCol w:w="109"/>
        <w:gridCol w:w="214"/>
        <w:gridCol w:w="477"/>
        <w:gridCol w:w="120"/>
        <w:gridCol w:w="109"/>
        <w:gridCol w:w="109"/>
        <w:gridCol w:w="109"/>
        <w:gridCol w:w="393"/>
        <w:gridCol w:w="694"/>
        <w:gridCol w:w="219"/>
        <w:gridCol w:w="109"/>
        <w:gridCol w:w="109"/>
        <w:gridCol w:w="109"/>
        <w:gridCol w:w="196"/>
        <w:gridCol w:w="556"/>
        <w:gridCol w:w="109"/>
        <w:gridCol w:w="109"/>
        <w:gridCol w:w="109"/>
        <w:gridCol w:w="109"/>
        <w:gridCol w:w="266"/>
        <w:gridCol w:w="756"/>
        <w:gridCol w:w="149"/>
        <w:gridCol w:w="109"/>
        <w:gridCol w:w="109"/>
        <w:gridCol w:w="109"/>
        <w:gridCol w:w="293"/>
        <w:gridCol w:w="608"/>
        <w:gridCol w:w="165"/>
        <w:gridCol w:w="109"/>
        <w:gridCol w:w="109"/>
        <w:gridCol w:w="109"/>
        <w:gridCol w:w="196"/>
        <w:gridCol w:w="55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Stockholders’ Equity Attributable to CoStar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Equity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Balance at January 1, 2023</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 surrendered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Management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408.1 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Management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409.5 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5,232 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Domain Acquisition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Change in NCI</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Distributions to NCI</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Management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Stock repurchases under stock repurchase programs (7.1 million shares)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Common stock issued for Matterport Acquisition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8,334 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446" w:type="dxa"/>
        <w:jc w:val="left"/>
        <w:tblInd w:w="0" w:type="dxa"/>
        <w:tblLayout w:type="fixed"/>
        <w:tblCellMar>
          <w:top w:w="28" w:type="dxa"/>
          <w:left w:w="28" w:type="dxa"/>
          <w:bottom w:w="28" w:type="dxa"/>
          <w:right w:w="28" w:type="dxa"/>
        </w:tblCellMar>
      </w:tblPr>
      <w:tblGrid>
        <w:gridCol w:w="2236"/>
        <w:gridCol w:w="1960"/>
        <w:gridCol w:w="1968"/>
        <w:gridCol w:w="196"/>
        <w:gridCol w:w="556"/>
        <w:gridCol w:w="109"/>
        <w:gridCol w:w="109"/>
        <w:gridCol w:w="109"/>
        <w:gridCol w:w="109"/>
        <w:gridCol w:w="196"/>
        <w:gridCol w:w="556"/>
        <w:gridCol w:w="109"/>
        <w:gridCol w:w="109"/>
        <w:gridCol w:w="109"/>
        <w:gridCol w:w="109"/>
        <w:gridCol w:w="196"/>
        <w:gridCol w:w="556"/>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Amortization of deferred commissions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Credit loss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Other 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Prepaid expenses, other current assets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Deferred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Proceeds from sale and settlement of investments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 for new campuses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Purchases of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Repurchase of restricted stock to satisfy tax withholding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Effect of foreign currency exchange rates on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5,216 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 xml:space="preserve">Income taxes paid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Supplemental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Consideration owed for acquisitions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 and non-cash landlord incentives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CoStar Group (the "Company") is a leading global provider of real estate information, analytics, online marketplaces, and 3D digital twin technology. The Company has created and compiled a standardized platform of real estate information and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which are Commercial Real Estate and Residential Real Estate. </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acquired OnTheMarket, Visual Lease, Matterport, and Domain in December 2023, November 2024, February 2025, and August 2025, respectively. See Note 4 for further discussion of these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 owned subsidiaries. All intercompany balances and transactions have been eliminated in consolidation. Accounting policies are consistent for each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bookmarkStart w:id="2" w:name="i11683881820e404dbc14df4a72fbce2a_1693"/>
      <w:bookmarkEnd w:id="2"/>
      <w:r>
        <w:rPr>
          <w:rFonts w:ascii="Times New Roman;serif" w:hAnsi="Times New Roman;serif"/>
          <w:b/>
          <w:color w:val="000000"/>
          <w:sz w:val="20"/>
        </w:rPr>
        <w:t xml:space="preserve">Principles of Consolidation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CoStar Group, Inc. and all entities in which we have a controlling financial interest. To determine whether such an interest exists, we assess whether the entity qualifies as a VIE.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consolidate VIEs when we are the primary beneficiary. We are deemed the primary beneficiary of a VIE when we have both (a) the power to direct the activities of the VIE that most significantly impact its economic performance, and (b) the obligation to absorb losses or the right to receive benefits that could potentially be significant to the VIE.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whether we are the primary beneficiary, we consider various factors regarding the nature of our involvement with the VIE, including our economic interests, voting rights, authority to appoint or remove directors, and ability to authorize key decisions. We also analyze the VIE’s design, including its capital structure, cash flows, and classes of shares.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Domain Acquisition, the Company obtained ownership interests in the AOMs, which are considered VIEs for which the Company is the primary beneficiary. Domain introduced the AOMs to incentivize real estate agents to increase their use of Domain's depth products by allowing agents to share in a portion of Domain's earnings in return for placing premium, higher-value advertisements on the Domain platform. Domain provides corporate services to the VIEs under services agreements. In addition, CoStar has issued letters of support to the VIEs, committing to provide financial support in the event that the VIEs are unable to meet their liabilities independently.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for additional details regarding the Domain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Recast of Certain Prior Period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fourth quarter of 2025, the Company changed the composition of the Company's segments from geography-based to product-portfolio-based. This change aligns with the internal reporting used by the CODM for assessing performance and allocating resources. Prior period segment disclosures have been recast to conform to the current presentation, except where it was impracticable to do so. These changes primarily impacted Notes 3 and 13.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recast of prior period information did not affect the consolidated balance sheets, consolidated statements of operations, or other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lives and recoverability of long-lived and intangible assets, goodwill impairment assessment, income taxes, accounting for business combinations, stock-based compensation, estimating the Company's incremental borrowing rate for its leases, the determination of stand-alone selling prices of various performance obligations,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 and expenses. Actual results could differ from these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refunds and returns and any taxes collected from customers, which are subsequently remitted to governmental authorities. </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Nature of Products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 primarily by (i) providing access to its proprietary database of commercial real estate information, including benchmarking and analytics for the hospitality industry and analytics for lenders and (ii) providing online marketplaces for professional property management companies, property owners, real estate agents and brokers, and landlords, in each case, typically through a fixed monthly fee for its subscription-based advertising services. Other subscription-based services include (i) real estate and lease management solutions to commercial customers and real estate investors, (ii) access to applications to manage workflow for residential real estate agents, and (iii) access to its AI-powered spatial data platform to create high-fidelity and high-accuracy digital twins of physical spaces.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digital twins hosted, the number of transactions and average transaction size a broker or agent has closed, and the prominence and placement of a customer's advertised properties in the search results. The Company’s subscription-based license, advertising packages, and membership agreements generally renew automatically, and a majority have a term of at least one year. Revenue from our subscription-based contracts was approximately 93%, 96%, and 95% of total revenue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derives revenue from transaction-based services including: (i) providing premium listings for individual properties on our marketplaces, (ii) providing data capture services to create digital twins, (iii) the sale of Matterport cameras and capture equipment, (iv) Ten-X's auctions, and (v) ancillary products and services that are sold on an ad hoc basis.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the satisfaction of its performance obligations (upon transfer of control of promised services to its customers) in an amount that reflects the consideration to which it expects to be entitled to in exchange for those services. Revenue from subscription-based services is recognized on a straight-line basis over the term of the agreement. Revenue from premium listings sold on a transactional basis is recognized over the estimated period the advertisements will be active. Revenue from all other transaction-based services is recognized when the promised product or services are delivered, which, in the case of property auctions, is at the time of a successful closing of the sale of the auctioned property. Revenue from product sales is recognized upon control transferring to the customers, which is generally upon shipment. Revenue for sales of Matterport cameras are recorded net of estimates of returns, as buyers are entitled to return the camera within 30 days from the date of purchase for a full refund. These rights are accounted for as variable consideration and recognized as a reduction to the revenue recognized.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limited circumstances, the Company's contracts with customers include promises to transfer multiple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and Other Receivables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results from amounts billed in advance to customers or cash received from customers in advance of the Company's fulfillment of its performance obligations and is recognized as those obligations are satisfied.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Assets Recognized from Costs to Obtain a Contract with a Customer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sales commissions are considered incremental and recoverable costs of obtaining a contract with a customer. Sales commissions incurred for obtaining new contracts are deferred and then amortized as selling and marketing expenses (excluding customer base amortization) over a period of benefit that the Company has determined to be three years. The amortization periods were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3 for further discussion of the Company's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principally consists of salaries, benefits, bonuses, stock-based compensation expenses, and other indirect costs for the Company's researchers who collect and analyze the real estate data that is the basis for the Company's information, analytics, and online marketplace services and for employees that support these products. Additionally, cost of revenue includes amortization of acquired trade names, technology, and certain other intangible assets; product hosting costs; credit card and other transaction fees relating to processing customer transactions; cost of data from third-party data sources; costs of capture services; and costs of Matterport cameras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income (loss). Currency gains and losses on the translation of intercompany loans made to foreign subsidiaries that are of a long-term investment nature are also included in accumulated other comprehensive income (loss). Gains and losses resulting from transactions denominated in a currency other than the functional currency of the entity are included in other income (expense), net in the consolidated statements of operations using the average exchange rates in effect during the period. The Company recognized a net foreign currency loss of $6 million, a net foreign currency loss of $1 million, and a net foreign currency gain of $3 million for the years ended December 31, 2025, 2024, and 2023, respectively, which are included in other income (expense),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were as follows (in millions):</w:t>
      </w:r>
    </w:p>
    <w:tbl>
      <w:tblPr>
        <w:tblW w:w="6308" w:type="dxa"/>
        <w:jc w:val="left"/>
        <w:tblInd w:w="0" w:type="dxa"/>
        <w:tblLayout w:type="fixed"/>
        <w:tblCellMar>
          <w:top w:w="28" w:type="dxa"/>
          <w:left w:w="28" w:type="dxa"/>
          <w:bottom w:w="28" w:type="dxa"/>
          <w:right w:w="28" w:type="dxa"/>
        </w:tblCellMar>
      </w:tblPr>
      <w:tblGrid>
        <w:gridCol w:w="1630"/>
        <w:gridCol w:w="1430"/>
        <w:gridCol w:w="1439"/>
        <w:gridCol w:w="211"/>
        <w:gridCol w:w="361"/>
        <w:gridCol w:w="109"/>
        <w:gridCol w:w="109"/>
        <w:gridCol w:w="109"/>
        <w:gridCol w:w="109"/>
        <w:gridCol w:w="211"/>
        <w:gridCol w:w="43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amounts reclassified out of accumulated other comprehensive income (loss) to the consolidated statements of operations for both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expenses advertising costs as incurred. Advertising costs include digital marketing, television, radio, print, and other media advertising. Advertising costs were $830 million, $845 million, and $550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Research and Development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salaries, consulting services, and other direct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is computed by dividing net income by the weighted-average number of common shares outstanding during the period on a basic and diluted basis. The Company's potentially dilutive securities include outstanding stock options, and unvested stock-based awards, which include restricted stock awards that vest over a specific service period, restricted stock awards with a performance condition, restricted stock awards with a performance condition and a market condition, restricted stock units, and Matching RSUs awarded under the MSPP. Shares underlying unvested restricted stock awards that vest based on a performance condition and those that vest based on a performance and market condition that have not been achieved as of the end of the period are not included in the computation of basic or diluted earnings per share. Diluted earnings per share considers the impact of potentially dilutive securities except when the inclusion of the potentially dilutive securities would have an anti-dilutive effect.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15 for further discussion of the Company's calculation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instruments issued in exchange for services performed by officers, employees, and directors of the Company are accounted for using a fair-value based method and the fair value of such equity instruments is recognized as expense 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a performance condition or both a performance and a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awards, and restricted stock units issued under equity incentive plans, stock purchases under the ESPP, and DSUs and Matching RSUs awarded under the MSPP included in the Company’s consolidated statements of operations were as follows (in millions):</w:t>
      </w:r>
    </w:p>
    <w:tbl>
      <w:tblPr>
        <w:tblW w:w="8066" w:type="dxa"/>
        <w:jc w:val="left"/>
        <w:tblInd w:w="0" w:type="dxa"/>
        <w:tblLayout w:type="fixed"/>
        <w:tblCellMar>
          <w:top w:w="28" w:type="dxa"/>
          <w:left w:w="28" w:type="dxa"/>
          <w:bottom w:w="28" w:type="dxa"/>
          <w:right w:w="28" w:type="dxa"/>
        </w:tblCellMar>
      </w:tblPr>
      <w:tblGrid>
        <w:gridCol w:w="1887"/>
        <w:gridCol w:w="1662"/>
        <w:gridCol w:w="1670"/>
        <w:gridCol w:w="211"/>
        <w:gridCol w:w="466"/>
        <w:gridCol w:w="109"/>
        <w:gridCol w:w="109"/>
        <w:gridCol w:w="109"/>
        <w:gridCol w:w="109"/>
        <w:gridCol w:w="211"/>
        <w:gridCol w:w="361"/>
        <w:gridCol w:w="109"/>
        <w:gridCol w:w="109"/>
        <w:gridCol w:w="109"/>
        <w:gridCol w:w="109"/>
        <w:gridCol w:w="211"/>
        <w:gridCol w:w="36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84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(excluding customer base amortization)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0"/>
              <w:jc w:val="right"/>
              <w:rPr/>
            </w:pPr>
            <w:r>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record the GILTI under the current-period cost method.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new federal tax legislation, H.R.1, was enacted. The relevant effects of this legislation include making 100 percent bonus depreciation permanent, the permanent restoration of the ability of taxpayers to immediately expense certain domestic research and experimental expenditures, and the restoration of EBITDA-based interest deduction limitations. In addition, H.R.1 includes international tax provisions, including eliminating the net deemed tangible income return, decreasing the tax rates and taxable income computations applicable to GILTI and FDII, and permanently increasing the BEAT rate. Upon enactment in the third quarter of 2025, the legislation (i) did not materially impact our effective tax rate, (ii) decreased our cash income tax liability and (iii) increased our deferred tax liability. We continue to evaluate the provisions of the legislation and its potential effects on our consolidated balance sheets, consolidated statements of operations, and consolidated statements of cash flows, and disclosures addressing any material financial statement impact will be provided in future periods as the impact of the legislation is determined.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11 for further discussion of the Company's accounting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Loss Contingencies and Litigation Expense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Deal-Contingent Foreign Currency Forward Contracts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9, 2025, the Company entered into deal-contingent foreign currency forward contracts to manage the risk of appreciation of the Australian dollar-denominated purchase price related to the Domain Transaction. Deal-contingent foreign currency forward contracts had an aggregate notional amount of A$2.4 billion ($1.5 billion). These derivative instruments were entered into as economic hedges and do not qualify for hedge accounting. The contracts were settled on August 22, 2025. The Company recognized a loss of $10 million for the year ended December 31, 2025 related to these contracts. The losses were recorded in other income (expense), net, 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for further discussion regarding the Company's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when purchased to be cash equivalents. Restricted cash consists of cash deposited as collateral related to a litigation bond in a third-party insured account. See Note 12 for further discussion regarding the Company's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are included in the following line items in the consolidated balance sheets and consolidated statements of cash flows (in millions):</w:t>
      </w:r>
    </w:p>
    <w:tbl>
      <w:tblPr>
        <w:tblW w:w="7810" w:type="dxa"/>
        <w:jc w:val="left"/>
        <w:tblInd w:w="0" w:type="dxa"/>
        <w:tblLayout w:type="fixed"/>
        <w:tblCellMar>
          <w:top w:w="28" w:type="dxa"/>
          <w:left w:w="28" w:type="dxa"/>
          <w:bottom w:w="28" w:type="dxa"/>
          <w:right w:w="28" w:type="dxa"/>
        </w:tblCellMar>
      </w:tblPr>
      <w:tblGrid>
        <w:gridCol w:w="1445"/>
        <w:gridCol w:w="1269"/>
        <w:gridCol w:w="1276"/>
        <w:gridCol w:w="387"/>
        <w:gridCol w:w="1135"/>
        <w:gridCol w:w="202"/>
        <w:gridCol w:w="109"/>
        <w:gridCol w:w="109"/>
        <w:gridCol w:w="109"/>
        <w:gridCol w:w="380"/>
        <w:gridCol w:w="1110"/>
        <w:gridCol w:w="279"/>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22"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Concentration of Credit Risk and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 base creates a lack of dependence on any individual customer that mitigates the risk of nonpayment of the Company’s accounts receivable. No single customer accounted for more than 5% of the Company’s revenue for each of the years ended December 31, 2025, 2024, and 2023. The carrying amount of the accounts receivable approximates the net realizable value.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cash at major financial institutions that often exceed Federal Deposit Insurance Corporation-insured limits. The Company manages its credit risk associated with cash concentrations by diversifying cash holdings across AAA-rated Government and Treasury Money Market Funds and multiple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write-off trends. Based on the Company’s experience, the customer's delinquency status, which is analyzed periodically, is the strongest indicator of the credit quality of the underlying trade receivables. The Company’s policy is to write-off trade receivables when they are deemed uncollectible. </w:t>
      </w:r>
    </w:p>
    <w:p>
      <w:pPr>
        <w:pStyle w:val="TextBody"/>
        <w:bidi w:val="0"/>
        <w:spacing w:lineRule="auto" w:line="288" w:before="0" w:after="120"/>
        <w:ind w:left="0" w:right="0" w:firstLine="360"/>
        <w:jc w:val="both"/>
        <w:rPr>
          <w:rFonts w:ascii="Times New Roman;serif" w:hAnsi="Times New Roman;serif"/>
          <w:b w:val="false"/>
          <w:color w:val="252525"/>
          <w:sz w:val="20"/>
        </w:rPr>
      </w:pPr>
      <w:r>
        <w:rPr>
          <w:rFonts w:ascii="Times New Roman;serif" w:hAnsi="Times New Roman;serif"/>
          <w:b w:val="false"/>
          <w:color w:val="252525"/>
          <w:sz w:val="20"/>
        </w:rPr>
        <w:t>The following table details the activity related to the allowance for credit losses for trade receivables (in millions):</w:t>
      </w:r>
    </w:p>
    <w:tbl>
      <w:tblPr>
        <w:tblW w:w="6972" w:type="dxa"/>
        <w:jc w:val="left"/>
        <w:tblInd w:w="0" w:type="dxa"/>
        <w:tblLayout w:type="fixed"/>
        <w:tblCellMar>
          <w:top w:w="28" w:type="dxa"/>
          <w:left w:w="28" w:type="dxa"/>
          <w:bottom w:w="28" w:type="dxa"/>
          <w:right w:w="28" w:type="dxa"/>
        </w:tblCellMar>
      </w:tblPr>
      <w:tblGrid>
        <w:gridCol w:w="1533"/>
        <w:gridCol w:w="1345"/>
        <w:gridCol w:w="1352"/>
        <w:gridCol w:w="211"/>
        <w:gridCol w:w="361"/>
        <w:gridCol w:w="109"/>
        <w:gridCol w:w="109"/>
        <w:gridCol w:w="109"/>
        <w:gridCol w:w="109"/>
        <w:gridCol w:w="211"/>
        <w:gridCol w:w="361"/>
        <w:gridCol w:w="109"/>
        <w:gridCol w:w="109"/>
        <w:gridCol w:w="109"/>
        <w:gridCol w:w="109"/>
        <w:gridCol w:w="211"/>
        <w:gridCol w:w="36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Current-period provision for expected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related to the Matterport Acquisition as of December 31, 2025 consisted of the following (in millions):</w:t>
      </w:r>
    </w:p>
    <w:tbl>
      <w:tblPr>
        <w:tblW w:w="4604" w:type="dxa"/>
        <w:jc w:val="left"/>
        <w:tblInd w:w="0" w:type="dxa"/>
        <w:tblLayout w:type="fixed"/>
        <w:tblCellMar>
          <w:top w:w="28" w:type="dxa"/>
          <w:left w:w="28" w:type="dxa"/>
          <w:bottom w:w="28" w:type="dxa"/>
          <w:right w:w="28" w:type="dxa"/>
        </w:tblCellMar>
      </w:tblPr>
      <w:tblGrid>
        <w:gridCol w:w="1027"/>
        <w:gridCol w:w="902"/>
        <w:gridCol w:w="906"/>
        <w:gridCol w:w="600"/>
        <w:gridCol w:w="728"/>
        <w:gridCol w:w="44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Purchased parts and raw materials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noncancellable portion of the lease term, plus any periods covered by an option to extend the lease if it is reasonably certain that the option will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related to the Company's operating leases are generally recognized as a single ratable lease cost over the lease term.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further discussion of the Company’s accounting for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net of accumulated depreciation and amortization. All repairs and maintenance costs are expensed as incurred. Construction in progress includes expenditures for construction and improvements to our campuses and are stated at cost. Costs related to acquisition of additional aircraft components or the replacement of existing aircraft components are capitalized and depreciated over the estimated useful life of the aircraft or the added or replaced component, whichever is less. Depreciation and amortization are calculated on a straight-line basis over the following estimated useful lives of the assets:</w:t>
      </w:r>
    </w:p>
    <w:tbl>
      <w:tblPr>
        <w:tblW w:w="6042" w:type="dxa"/>
        <w:jc w:val="center"/>
        <w:tblInd w:w="0" w:type="dxa"/>
        <w:tblLayout w:type="fixed"/>
        <w:tblCellMar>
          <w:top w:w="28" w:type="dxa"/>
          <w:left w:w="28" w:type="dxa"/>
          <w:bottom w:w="28" w:type="dxa"/>
          <w:right w:w="28" w:type="dxa"/>
        </w:tblCellMar>
      </w:tblPr>
      <w:tblGrid>
        <w:gridCol w:w="1003"/>
        <w:gridCol w:w="882"/>
        <w:gridCol w:w="890"/>
        <w:gridCol w:w="109"/>
        <w:gridCol w:w="109"/>
        <w:gridCol w:w="109"/>
        <w:gridCol w:w="861"/>
        <w:gridCol w:w="861"/>
        <w:gridCol w:w="1218"/>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Buildings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Twenty to thirty-nine years </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Aircraft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Ten to twenty years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Five to ten years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Four to five years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Three to five years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Shorter of lease terms or useful life</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Qualifying internal-use software costs incurred during the application development stage, which consist primarily of internal product development costs, are capitalized and amortized over the estimated useful life of the asset. All other costs are expensed as incurred. The Company removes fully depreciated property and equipment from the cost and accumulated depreciation amounts disclosed in the period they become fully depreciated.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Long-Lived Assets, Intangible Assets, and 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 The Company capitalizes interest costs during the construction phase. Capitalized interest is added to the cost of the underlying asset upon substantial completion and amortized over the estimated useful life of the asset.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and data, customer base assets, trade names, and other intangible assets are related to the Company’s acquisitions. Acquired technology and data is amortized on a straight-line basis over periods ranging from 2 years to 10 years. Acquired intangible assets characterized as customer base assets consist of acquired customer contracts and the related customer relationships and are amortized over periods ranging from 5 years to 20 years. Acquired customer bases are amortized on an accelerated or straight-line basis depending on the expected economic benefit of the intangible asset. Acquired trade names and other intangible assets are amortized on a straight-line basis over periods ranging from 2 years to 15 years. The Company removes fully amortized intangible assets from the cost and accumulated amortization amounts disclosed.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allocates goodwill to reporting units based on the reporting unit expected to benefit from the business combination. A reporting unit is defined as an operating segment or one level below an operating segment. We evaluate our reporting units on an annual basis and, if necessary, reassign goodwill using a relative fair value allocation approach. 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4, 8, and 9 for further discussion of the Company's acquisitions, goodwill, and intangible assets,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Leasing Operations and Other Expense/Income,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closed on the purchase of an office tower and the land on which it rests in Arlington, Virginia. In January 2025, the Company relocated its headquarters from Washington, D.C. to Arlington, VA occupying approximately 30% of the building. The Company has and intends to continue to build out further space in this building to support anticipated growth and expansion of its operations in the coming years. As of December 31, 2025, the Company occupied approximately 50% of the property with the remainder leased or available to be leased to third parties. Maintenance, physical facilities, leasing, property management, and other key responsibilities related to property ownership are outsourced to professional real-estate managers. The office tower measures approximately 550,000 rentable square feet.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purchase of this building as an asset acquisition at the cost to acquire, including transaction costs. The Company estimated the fair values of acquired tangible assets (consisting of land, buildings, improvements, and other assets), identified intangible assets and liabilities (consisting of in-place leases and above- and below-market leases), and other liabilities based on its evaluation of information and estimates available at the date of acquisition. Based on these estimates, the Company allocated the total cost to the identified assets acquired and liabilities assumed based on their relative fair value.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building and building improvements consists of the physical structure containing rentable area, as well as amenities such as parking structures, and was valued as if vacant, using the cost approach, which uses replacement cost data obtained from industry recognized guides less depreciation as an input to estimate the fair value, with consideration given to its age, functionality, use classification, construction quality, replacement cost new, and accumulated depreciation (effective age vs. economic life). The Company also considered the value of the building using an income approach. The income approach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uses market leasing assumptions to estimate the fair value of the property as if vacant assuming lease-up at prevailing market rental rates over a market-based lease-up period, including deductions for lost-rent during lease-up and leasing costs. The cost and income approaches are reconciled to arrive at an estimated building fair value. The Company assessed the fair value of land based on market comparisons.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identified intangible assets and liabilities were determined based on the following: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value allocable to the above- or below-market component of an acquired in-place lease is determined based upon the present value (using a discount rate that reflects the risks associated with the acquired lease) of the difference between: (i) the contractual amounts to be received pursuant to the lease over its remaining term and (ii) management's estimate of the amounts that would be received using market rates current at the time of the acquisition for the remaining term of the lease. Amounts allocated to above-market leases are recorded as above-market leases in intangible assets, net in the consolidated balance sheets. These intangible assets are amortized on a straight-line basis as a component of leasing operations to other income (expense), net in the consolidated statements of operations over the remaining terms of the respective leases.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Factors considered in determining the value allocable to in-place leases during hypothetical lease-up periods related to space that is leased at the time of acquisition include: (i) lost rent and operating cost recoveries during the hypothetical lease-up period and (ii) theoretical leasing commissions required to execute similar leases. These intangible assets are recorded as in-place leases in intangible assets, net in the consolidated balance sheets and are amortized to other income (expense), net in the consolidated statements of operations over the remaining terms of the existing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cost of the land and building was $343 million and was allocated to the following components (in millions):</w:t>
      </w:r>
    </w:p>
    <w:tbl>
      <w:tblPr>
        <w:tblW w:w="6174" w:type="dxa"/>
        <w:jc w:val="left"/>
        <w:tblInd w:w="0" w:type="dxa"/>
        <w:tblLayout w:type="fixed"/>
        <w:tblCellMar>
          <w:top w:w="28" w:type="dxa"/>
          <w:left w:w="28" w:type="dxa"/>
          <w:bottom w:w="28" w:type="dxa"/>
          <w:right w:w="28" w:type="dxa"/>
        </w:tblCellMar>
      </w:tblPr>
      <w:tblGrid>
        <w:gridCol w:w="1026"/>
        <w:gridCol w:w="902"/>
        <w:gridCol w:w="906"/>
        <w:gridCol w:w="799"/>
        <w:gridCol w:w="799"/>
        <w:gridCol w:w="802"/>
        <w:gridCol w:w="211"/>
        <w:gridCol w:w="466"/>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 and building improvements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Above-market leases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cash paid for this asset acquisition was included in the caption purchases of property, equipment, and other assets for new campuses in the consolidated statement of cash flows. The Company records the third-party rental activity from this building's operations and leases, including building depreciation and operating expenses for space occupied by tenants, as other income (expense), net in the consolidated statements of operations.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and a building tenant modified a lease agreement to reduce the leased space and extend the lease term of a portion of the remaining space. Among other provisions, the modified lease agreement required the tenant to make a $48 million buyout payment, in two equal installments which were received in the fourth quarter of 2024 and the second quarter in 2025. The buyout payments are recognized in other income (expense), net in the consolidated statements of operations ratably over the modified lease term. The tenant surrendered certain space concurrently with the execution of the modified lease agreement and the Company has outfit this space to host its employees.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lease income as of December 31, 2025 and December 31, 2024 was as follows (in millions):</w:t>
      </w:r>
    </w:p>
    <w:tbl>
      <w:tblPr>
        <w:tblW w:w="9221" w:type="dxa"/>
        <w:jc w:val="left"/>
        <w:tblInd w:w="0" w:type="dxa"/>
        <w:tblLayout w:type="fixed"/>
        <w:tblCellMar>
          <w:top w:w="28" w:type="dxa"/>
          <w:left w:w="28" w:type="dxa"/>
          <w:bottom w:w="28" w:type="dxa"/>
          <w:right w:w="28" w:type="dxa"/>
        </w:tblCellMar>
      </w:tblPr>
      <w:tblGrid>
        <w:gridCol w:w="853"/>
        <w:gridCol w:w="749"/>
        <w:gridCol w:w="753"/>
        <w:gridCol w:w="1013"/>
        <w:gridCol w:w="1013"/>
        <w:gridCol w:w="1018"/>
        <w:gridCol w:w="533"/>
        <w:gridCol w:w="914"/>
        <w:gridCol w:w="278"/>
        <w:gridCol w:w="109"/>
        <w:gridCol w:w="109"/>
        <w:gridCol w:w="109"/>
        <w:gridCol w:w="514"/>
        <w:gridCol w:w="880"/>
        <w:gridCol w:w="37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 lease income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pPr>
      <w:r>
        <w:rPr>
          <w:rFonts w:ascii="Times New Roman;serif" w:hAnsi="Times New Roman;serif"/>
          <w:b w:val="false"/>
          <w:color w:val="000000"/>
          <w:sz w:val="20"/>
        </w:rPr>
        <w:t xml:space="preserve">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w:t>
      </w:r>
      <w:r>
        <w:rPr>
          <w:color w:val="000000"/>
        </w:rPr>
        <w:t>“</w:t>
      </w:r>
      <w:r>
        <w:rPr>
          <w:rFonts w:ascii="Times New Roman;serif" w:hAnsi="Times New Roman;serif"/>
          <w:b w:val="false"/>
          <w:color w:val="000000"/>
          <w:sz w:val="20"/>
        </w:rPr>
        <w:t>lease income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as variable lease income in the same period as the related expenses are incurred. Variable lease income was not material for the years ended December 31, 2025 and December 31, 2024. Components of other income (expense), net related to leasing operations for the years ended December 31, 2025 and December 31, 2024 were as follows (in millions):</w:t>
      </w:r>
    </w:p>
    <w:tbl>
      <w:tblPr>
        <w:tblW w:w="10205" w:type="dxa"/>
        <w:jc w:val="left"/>
        <w:tblInd w:w="0" w:type="dxa"/>
        <w:tblLayout w:type="fixed"/>
        <w:tblCellMar>
          <w:top w:w="28" w:type="dxa"/>
          <w:left w:w="28" w:type="dxa"/>
          <w:bottom w:w="28" w:type="dxa"/>
          <w:right w:w="28" w:type="dxa"/>
        </w:tblCellMar>
      </w:tblPr>
      <w:tblGrid>
        <w:gridCol w:w="2166"/>
        <w:gridCol w:w="1849"/>
        <w:gridCol w:w="1855"/>
        <w:gridCol w:w="526"/>
        <w:gridCol w:w="902"/>
        <w:gridCol w:w="272"/>
        <w:gridCol w:w="272"/>
        <w:gridCol w:w="272"/>
        <w:gridCol w:w="272"/>
        <w:gridCol w:w="526"/>
        <w:gridCol w:w="902"/>
        <w:gridCol w:w="391"/>
      </w:tblGrid>
      <w:tr>
        <w:trPr/>
        <w:tc>
          <w:tcPr>
            <w:tcW w:w="216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Lease income</w:t>
            </w:r>
            <w:r>
              <w:rPr>
                <w:rFonts w:ascii="Times New Roman;serif" w:hAnsi="Times New Roman;serif"/>
                <w:b w:val="false"/>
                <w:color w:val="000000"/>
                <w:sz w:val="13"/>
              </w:rPr>
              <w:t>(1)</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expense from leasing operations</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c>
          <w:tcPr>
            <w:tcW w:w="17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$4 million and $10 million of amortization expense of above-market leases for the years ended December 31, 2025 and December 31, 2024, respectively.</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maturity analysis of the annual undiscounted cash flows of operating lease payments to be received as of December 31, 2025 (in millions):</w:t>
      </w:r>
    </w:p>
    <w:tbl>
      <w:tblPr>
        <w:tblW w:w="4230" w:type="dxa"/>
        <w:jc w:val="left"/>
        <w:tblInd w:w="0" w:type="dxa"/>
        <w:tblLayout w:type="fixed"/>
        <w:tblCellMar>
          <w:top w:w="28" w:type="dxa"/>
          <w:left w:w="28" w:type="dxa"/>
          <w:bottom w:w="28" w:type="dxa"/>
          <w:right w:w="28" w:type="dxa"/>
        </w:tblCellMar>
      </w:tblPr>
      <w:tblGrid>
        <w:gridCol w:w="938"/>
        <w:gridCol w:w="822"/>
        <w:gridCol w:w="835"/>
        <w:gridCol w:w="474"/>
        <w:gridCol w:w="812"/>
        <w:gridCol w:w="349"/>
      </w:tblGrid>
      <w:tr>
        <w:trPr/>
        <w:tc>
          <w:tcPr>
            <w:tcW w:w="93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86"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6"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86"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Building depreciation and operating expenses for space occupied by the Company are allocated between cost of revenue, selling and marketing (excluding customer base amortization), software development, and general and administrative expenses on the consolidated statement of operations based on the headcount of the respective departments occupying the building.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for further discussion of the Company's accounting for its outstanding debt, revolving credit facility, and related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value of any NCI in the acquiree and the fair value of any previous equity interest in the acquiree over the fair values of these identifiable assets and liabilities is recorded as goodwill. In a business combination achieved in stages, the Company shall remeasure its previously held equity interest in the acquiree at its acquisition-date fair value and recognize the resulting gain or loss, if any, in results of operations.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has elected the practical expedient provided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a part of the fair value estimates of assets acquired and liabilities assumed and, if so, to determine their estimated amounts.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cannot reasonably determine the fair value of a pre-acquisition contingency (non-income tax related) by the end of the measurement period, which is generally the case given the nature of such matters, the Company will recognize an asset or a liability for such pre-acquisition contingency if: (i) 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consolidated statements of operations and comprehensive income and could have a material impact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costs associated with business combinations are expensed as incurred, and are included in general and administrative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adopted ASU No. 2023-07 (Topic 280),</w:t>
      </w:r>
      <w:r>
        <w:rPr>
          <w:color w:val="000000"/>
        </w:rPr>
        <w:t xml:space="preserve"> </w:t>
      </w:r>
      <w:r>
        <w:rPr>
          <w:rFonts w:ascii="Times New Roman;serif" w:hAnsi="Times New Roman;serif"/>
          <w:b w:val="false"/>
          <w:i/>
          <w:color w:val="000000"/>
          <w:sz w:val="20"/>
        </w:rPr>
        <w:t xml:space="preserve">Improvements to Reportable Segment Disclosures </w:t>
      </w:r>
      <w:r>
        <w:rPr>
          <w:rFonts w:ascii="Times New Roman;serif" w:hAnsi="Times New Roman;serif"/>
          <w:b w:val="false"/>
          <w:color w:val="000000"/>
          <w:sz w:val="20"/>
        </w:rPr>
        <w:t xml:space="preserve">effective January 1, 2024. This guidance requires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adoption resulted in expanded segment reporting disclosures, with no impacts to the Company's financial condition and results of operations. </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In December 2023, the FASB issued ASU No. 2023-09 (Topic 740),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(Topic 740). The ASU requires disaggregated information about a reporting entity’s effective tax rate reconciliation as well as an expansion of other income tax disclosures. The ASU is effective on a prospective basis for annual reporting periods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after December 15, 2024. The adoption of this standard impacted our disclosures only and did not affect the Company's financial position or the results of its operations.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rFonts w:ascii="Times New Roman;serif" w:hAnsi="Times New Roman;serif"/>
          <w:b w:val="false"/>
          <w:color w:val="000000"/>
          <w:sz w:val="20"/>
        </w:rPr>
        <w:t>. The ASU revises current guidance for determining the accounting acquirer for a transaction effected primarily by exchanging equity interests in which the legal acquiree is a VIE that meets the definition of a business. The amendments differ from current U.S.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this ASU to determine its impact on the Company's disclosures.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The ASU provides a practical expedient for estimating expected credit losses on current accounts receivable and current contract assets arising from transactions accounted for under ASC 606. Under the expedient, entities may assume that current conditions as of the balance sheet date do not change for the remaining life of the asset when developing reasonable and supportable forecasts as part of estimating expected credit losses. The ASU is effective for annual reporting periods beginning after December 15, 2025 and interim reporting periods within those annual reporting periods. Early adoption is permitted, and the amendments should be applied prospectively. We do not expect the adoption of ASU 2025-05 to have a material impact on our consolidated financial statements and related disclosures.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The ASU eliminates all references to prescriptive and sequential software project stages throughout Subtopic 350-40. An entity is required to begin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The ASU is effective for annual reporting periods beginning after December 15, 2027 and interim reporting periods within those annual reporting periods. Entities may adopt the new guidance using a prospective transition approach, a modified transition approach that is based on the status of the project and whether software costs were capitalized before the date of adoption, or a retrospective transition approach. Early adoption is permitted as of the beginning of an annual reporting period. The Company is currently evaluating the impact this ASU will have on its consolidated financial statements and related disclosures.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December 2025, the FASB issued ASU No. 2025</w:t>
        <w:noBreakHyphen/>
        <w:t xml:space="preserve">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The ASU provides technical corrections and clarifications to various Topics, including diluted earnings per share, the transfer of receivables from contracts with customers, among other improvements. The ASU is effective for annual reporting periods beginning after December 15, 2026, and interim reporting periods within those annual periods. Early adoption is permitted in an interim or annual period in which financial statements have not yet been issued or made available for issuance. The Company is currently evaluating the impact this ASU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3.    REVENUE FROM CONTRACTS WITH CUSTOMERS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operating segment and type of service consist of the following (in millions): </w:t>
      </w:r>
    </w:p>
    <w:tbl>
      <w:tblPr>
        <w:tblW w:w="6071" w:type="dxa"/>
        <w:jc w:val="left"/>
        <w:tblInd w:w="0" w:type="dxa"/>
        <w:tblLayout w:type="fixed"/>
        <w:tblCellMar>
          <w:top w:w="28" w:type="dxa"/>
          <w:left w:w="28" w:type="dxa"/>
          <w:bottom w:w="28" w:type="dxa"/>
          <w:right w:w="28" w:type="dxa"/>
        </w:tblCellMar>
      </w:tblPr>
      <w:tblGrid>
        <w:gridCol w:w="928"/>
        <w:gridCol w:w="817"/>
        <w:gridCol w:w="819"/>
        <w:gridCol w:w="211"/>
        <w:gridCol w:w="616"/>
        <w:gridCol w:w="109"/>
        <w:gridCol w:w="109"/>
        <w:gridCol w:w="109"/>
        <w:gridCol w:w="109"/>
        <w:gridCol w:w="211"/>
        <w:gridCol w:w="616"/>
        <w:gridCol w:w="109"/>
        <w:gridCol w:w="109"/>
        <w:gridCol w:w="109"/>
        <w:gridCol w:w="109"/>
        <w:gridCol w:w="211"/>
        <w:gridCol w:w="61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color w:val="000000"/>
        </w:rPr>
      </w:pPr>
      <w:r>
        <w:rPr>
          <w:color w:val="000000"/>
        </w:rPr>
        <w: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recast certain prior period disclosures to align with the way we internally manage our business. See Note 2 for additional information.</w:t>
      </w:r>
    </w:p>
    <w:p>
      <w:pPr>
        <w:pStyle w:val="TextBody"/>
        <w:bidi w:val="0"/>
        <w:spacing w:lineRule="auto" w:line="288"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domiciled in the U.S. and revenue earned outside the U.S. were $350 million, $162 million, and $106 million for years ended December 31, 2025, 2024, and 2023, respectively.</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as of December 31, 2025 and 2024 was as follows (in millions):</w:t>
      </w:r>
    </w:p>
    <w:tbl>
      <w:tblPr>
        <w:tblW w:w="6937" w:type="dxa"/>
        <w:jc w:val="left"/>
        <w:tblInd w:w="0" w:type="dxa"/>
        <w:tblLayout w:type="fixed"/>
        <w:tblCellMar>
          <w:top w:w="28" w:type="dxa"/>
          <w:left w:w="28" w:type="dxa"/>
          <w:bottom w:w="28" w:type="dxa"/>
          <w:right w:w="28" w:type="dxa"/>
        </w:tblCellMar>
      </w:tblPr>
      <w:tblGrid>
        <w:gridCol w:w="706"/>
        <w:gridCol w:w="620"/>
        <w:gridCol w:w="623"/>
        <w:gridCol w:w="1013"/>
        <w:gridCol w:w="1013"/>
        <w:gridCol w:w="1018"/>
        <w:gridCol w:w="211"/>
        <w:gridCol w:w="466"/>
        <w:gridCol w:w="109"/>
        <w:gridCol w:w="109"/>
        <w:gridCol w:w="109"/>
        <w:gridCol w:w="109"/>
        <w:gridCol w:w="211"/>
        <w:gridCol w:w="4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 revenue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deferred revenue for the period were as follows (in millions):</w:t>
      </w:r>
    </w:p>
    <w:tbl>
      <w:tblPr>
        <w:tblW w:w="7835" w:type="dxa"/>
        <w:jc w:val="left"/>
        <w:tblInd w:w="0" w:type="dxa"/>
        <w:tblLayout w:type="fixed"/>
        <w:tblCellMar>
          <w:top w:w="28" w:type="dxa"/>
          <w:left w:w="28" w:type="dxa"/>
          <w:bottom w:w="28" w:type="dxa"/>
          <w:right w:w="28" w:type="dxa"/>
        </w:tblCellMar>
      </w:tblPr>
      <w:tblGrid>
        <w:gridCol w:w="2538"/>
        <w:gridCol w:w="2230"/>
        <w:gridCol w:w="2236"/>
        <w:gridCol w:w="211"/>
        <w:gridCol w:w="466"/>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 recognized in the current period from the amounts in the beginning balance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New deferrals, net of amounts recognized in the current period</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Effects of foreign currency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This balance includes $46 million of net new deferrals from the acquisitions completed in 2025. See Note 4 for further discussion of acquisitions.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Contract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December 31, 2025 and 2024 were as follows (in millions):</w:t>
      </w:r>
    </w:p>
    <w:tbl>
      <w:tblPr>
        <w:tblW w:w="6938" w:type="dxa"/>
        <w:jc w:val="left"/>
        <w:tblInd w:w="0" w:type="dxa"/>
        <w:tblLayout w:type="fixed"/>
        <w:tblCellMar>
          <w:top w:w="28" w:type="dxa"/>
          <w:left w:w="28" w:type="dxa"/>
          <w:bottom w:w="28" w:type="dxa"/>
          <w:right w:w="28" w:type="dxa"/>
        </w:tblCellMar>
      </w:tblPr>
      <w:tblGrid>
        <w:gridCol w:w="641"/>
        <w:gridCol w:w="563"/>
        <w:gridCol w:w="566"/>
        <w:gridCol w:w="1143"/>
        <w:gridCol w:w="1143"/>
        <w:gridCol w:w="1148"/>
        <w:gridCol w:w="211"/>
        <w:gridCol w:w="361"/>
        <w:gridCol w:w="109"/>
        <w:gridCol w:w="109"/>
        <w:gridCol w:w="109"/>
        <w:gridCol w:w="109"/>
        <w:gridCol w:w="211"/>
        <w:gridCol w:w="36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w:t>
            </w:r>
          </w:p>
        </w:tc>
        <w:tc>
          <w:tcPr>
            <w:tcW w:w="343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was reduced by a net of $2 million from contract assets for the years ended both December 31, 2025 and 2024.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Unsatisfied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contract consideration for which revenue had not been recognized due to unsatisfied performance obligations was $527 million at December 31, 2025, which the Company expects to recognize over the next four years. This amount does not include contract consideration for contracts with a duration of one year or less.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Commissions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Commissions expense is included in selling and marketing expense (excluding customer base amortization) in the Company's consolidated statements of operations. Commissions expense activity for the years ended December 31, 2025, 2024, and 2023, was as follows (in millions):</w:t>
      </w:r>
    </w:p>
    <w:tbl>
      <w:tblPr>
        <w:tblW w:w="6911" w:type="dxa"/>
        <w:jc w:val="left"/>
        <w:tblInd w:w="0" w:type="dxa"/>
        <w:tblLayout w:type="fixed"/>
        <w:tblCellMar>
          <w:top w:w="28" w:type="dxa"/>
          <w:left w:w="28" w:type="dxa"/>
          <w:bottom w:w="28" w:type="dxa"/>
          <w:right w:w="28" w:type="dxa"/>
        </w:tblCellMar>
      </w:tblPr>
      <w:tblGrid>
        <w:gridCol w:w="1394"/>
        <w:gridCol w:w="1227"/>
        <w:gridCol w:w="1233"/>
        <w:gridCol w:w="211"/>
        <w:gridCol w:w="466"/>
        <w:gridCol w:w="109"/>
        <w:gridCol w:w="109"/>
        <w:gridCol w:w="109"/>
        <w:gridCol w:w="109"/>
        <w:gridCol w:w="211"/>
        <w:gridCol w:w="466"/>
        <w:gridCol w:w="109"/>
        <w:gridCol w:w="109"/>
        <w:gridCol w:w="109"/>
        <w:gridCol w:w="109"/>
        <w:gridCol w:w="211"/>
        <w:gridCol w:w="46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Commissions incurred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Commissions capitalized in the current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commissions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losses on commissions as of both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4.    ACQUISITIONS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Domain</w:t>
      </w:r>
    </w:p>
    <w:p>
      <w:pPr>
        <w:pStyle w:val="TextBody"/>
        <w:bidi w:val="0"/>
        <w:spacing w:lineRule="auto" w:line="288" w:before="200" w:after="200"/>
        <w:ind w:left="0" w:right="0" w:firstLine="360"/>
        <w:jc w:val="both"/>
        <w:rPr/>
      </w:pPr>
      <w:r>
        <w:rPr>
          <w:rFonts w:ascii="Times New Roman;serif" w:hAnsi="Times New Roman;serif"/>
          <w:b w:val="false"/>
          <w:color w:val="000000"/>
          <w:sz w:val="20"/>
        </w:rPr>
        <w:t>In February 2025, in connection with the Domain Proposal, the Company acquired approximately 17% of the ordinary shares of Domain, one of Australia's leading property marketplaces, at A$4.20 per share for a total purchase price of A$452 million (</w:t>
      </w:r>
      <w:r>
        <w:rPr>
          <w:rFonts w:ascii="Times New Roman;serif" w:hAnsi="Times New Roman;serif"/>
          <w:b w:val="false"/>
          <w:color w:val="000000"/>
          <w:sz w:val="20"/>
          <w:shd w:fill="FFFFFF" w:val="clear"/>
        </w:rPr>
        <w:t>$285 million</w:t>
      </w:r>
      <w:r>
        <w:rPr>
          <w:rFonts w:ascii="Times New Roman;serif" w:hAnsi="Times New Roman;serif"/>
          <w:b w:val="false"/>
          <w:color w:val="000000"/>
          <w:sz w:val="20"/>
        </w:rPr>
        <w:t>). In May 2025, the Company entered into an agreement to acquire the remaining issued capital of Domain not previously held by CoStar Group by way of Scheme of Arr</w:t>
      </w:r>
      <w:r>
        <w:rPr>
          <w:rFonts w:ascii="Times New Roman;serif" w:hAnsi="Times New Roman;serif"/>
          <w:b w:val="false"/>
          <w:color w:val="000000"/>
          <w:sz w:val="20"/>
          <w:shd w:fill="FFFFFF" w:val="clear"/>
        </w:rPr>
        <w:t xml:space="preserve">angement. In August 2025, the Company completed the </w:t>
      </w:r>
      <w:r>
        <w:rPr>
          <w:rFonts w:ascii="Times New Roman;serif" w:hAnsi="Times New Roman;serif"/>
          <w:b w:val="false"/>
          <w:color w:val="000000"/>
          <w:sz w:val="20"/>
        </w:rPr>
        <w:t>Domain Acquisition</w:t>
      </w:r>
      <w:r>
        <w:rPr>
          <w:color w:val="000000"/>
          <w:shd w:fill="FFFFFF" w:val="clear"/>
        </w:rPr>
        <w:t xml:space="preserve"> </w:t>
      </w:r>
      <w:r>
        <w:rPr>
          <w:rFonts w:ascii="Times New Roman;serif" w:hAnsi="Times New Roman;serif"/>
          <w:b w:val="false"/>
          <w:color w:val="000000"/>
          <w:sz w:val="20"/>
          <w:shd w:fill="FFFFFF" w:val="clear"/>
        </w:rPr>
        <w:t xml:space="preserve">pursuant to which (i) the Company spent </w:t>
      </w:r>
      <w:r>
        <w:rPr>
          <w:rFonts w:ascii="Times New Roman;serif" w:hAnsi="Times New Roman;serif"/>
          <w:b w:val="false"/>
          <w:color w:val="000000"/>
          <w:sz w:val="20"/>
        </w:rPr>
        <w:t>A$2.5 billion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$1.6 billion</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acquire the remaining 83% of Domain's ordinary shares; and (ii) Domain shareholders received total cash consideration of A$4.43 per Domain ordinary share, less a one-time special dividend of A$0.088 per share declared and paid by Domain prior to closing. The Domain Acquisition positions the Company to leverage Domain's portfolio of property brands in Australia and CoStar's technology, scale, and innovation to improve customer experience, value, and access to CoStar's brands and product offerings.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As of the closing of the Domain Acquisition, the fair value of the Company's 17% investment was approximately A$465 million ($300 million), measured based on the fair value implied by the consideration transferred. The acquisition was completed as a step-acquisition, and the Company recognized a gain of $14 million, inclusive of dividend income, as a result of remeasuring its previously held equity interest</w:t>
      </w:r>
      <w:r>
        <w:rPr>
          <w:color w:val="000000"/>
          <w:shd w:fill="FFFFFF" w:val="clear"/>
        </w:rPr>
        <w:t xml:space="preserve"> </w:t>
      </w:r>
      <w:r>
        <w:rPr>
          <w:rFonts w:ascii="Times New Roman;serif" w:hAnsi="Times New Roman;serif"/>
          <w:b w:val="false"/>
          <w:color w:val="000000"/>
          <w:sz w:val="20"/>
          <w:shd w:fill="FFFFFF" w:val="clear"/>
        </w:rPr>
        <w:t>for the year ended</w:t>
      </w:r>
      <w:r>
        <w:rPr>
          <w:color w:val="000000"/>
        </w:rPr>
        <w:t xml:space="preserve">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gains were recorded in other income (expense), net, in the consolidated statements of operations.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Domain Acquisition was $1.6 billion, which consisted of the following (in millions):</w:t>
      </w:r>
    </w:p>
    <w:tbl>
      <w:tblPr>
        <w:tblW w:w="7175" w:type="dxa"/>
        <w:jc w:val="left"/>
        <w:tblInd w:w="0" w:type="dxa"/>
        <w:tblLayout w:type="fixed"/>
        <w:tblCellMar>
          <w:top w:w="28" w:type="dxa"/>
          <w:left w:w="28" w:type="dxa"/>
          <w:bottom w:w="28" w:type="dxa"/>
          <w:right w:w="28" w:type="dxa"/>
        </w:tblCellMar>
      </w:tblPr>
      <w:tblGrid>
        <w:gridCol w:w="2231"/>
        <w:gridCol w:w="1963"/>
        <w:gridCol w:w="2000"/>
        <w:gridCol w:w="211"/>
        <w:gridCol w:w="616"/>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Settlement of existing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cash settled equity awards related to pre-combination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Domain Acquisition (in millions):</w:t>
      </w:r>
    </w:p>
    <w:tbl>
      <w:tblPr>
        <w:tblW w:w="10205" w:type="dxa"/>
        <w:jc w:val="left"/>
        <w:tblInd w:w="0" w:type="dxa"/>
        <w:tblLayout w:type="fixed"/>
        <w:tblCellMar>
          <w:top w:w="28" w:type="dxa"/>
          <w:left w:w="28" w:type="dxa"/>
          <w:bottom w:w="28" w:type="dxa"/>
          <w:right w:w="28" w:type="dxa"/>
        </w:tblCellMar>
      </w:tblPr>
      <w:tblGrid>
        <w:gridCol w:w="1256"/>
        <w:gridCol w:w="953"/>
        <w:gridCol w:w="959"/>
        <w:gridCol w:w="432"/>
        <w:gridCol w:w="1263"/>
        <w:gridCol w:w="223"/>
        <w:gridCol w:w="109"/>
        <w:gridCol w:w="109"/>
        <w:gridCol w:w="109"/>
        <w:gridCol w:w="614"/>
        <w:gridCol w:w="1183"/>
        <w:gridCol w:w="318"/>
        <w:gridCol w:w="109"/>
        <w:gridCol w:w="109"/>
        <w:gridCol w:w="109"/>
        <w:gridCol w:w="503"/>
        <w:gridCol w:w="1470"/>
        <w:gridCol w:w="377"/>
      </w:tblGrid>
      <w:tr>
        <w:trPr/>
        <w:tc>
          <w:tcPr>
            <w:tcW w:w="125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Preliminary: August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Updated Preliminary: August 27, 2025</w:t>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NCI in Domain’s partially-owned subsidiaries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color w:val="000000"/>
              </w:rPr>
            </w:pPr>
            <w:r>
              <w:rPr>
                <w:color w:val="000000"/>
              </w:rPr>
              <w: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net assets of Domain were recorded at their estimated fair values upon initial consolidation and the NCI was recorded to fair value as measurement period adjustments. In valuing the acquired assets, assumed liabilities and NCI,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The primary areas that remain subject to additional information include certain tax matters, the fair value of acquired intangibles, and contingencies.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Domain Acquisition, their related estimated useful lives (in years) and their respective amortization methods. The intangible assets were included in the Company's International operating segment prior to the reallocation described in Note 2:</w:t>
      </w:r>
    </w:p>
    <w:tbl>
      <w:tblPr>
        <w:tblW w:w="8466" w:type="dxa"/>
        <w:jc w:val="left"/>
        <w:tblInd w:w="0" w:type="dxa"/>
        <w:tblLayout w:type="fixed"/>
        <w:tblCellMar>
          <w:top w:w="28" w:type="dxa"/>
          <w:left w:w="28" w:type="dxa"/>
          <w:bottom w:w="28" w:type="dxa"/>
          <w:right w:w="28" w:type="dxa"/>
        </w:tblCellMar>
      </w:tblPr>
      <w:tblGrid>
        <w:gridCol w:w="722"/>
        <w:gridCol w:w="635"/>
        <w:gridCol w:w="637"/>
        <w:gridCol w:w="513"/>
        <w:gridCol w:w="1137"/>
        <w:gridCol w:w="269"/>
        <w:gridCol w:w="109"/>
        <w:gridCol w:w="109"/>
        <w:gridCol w:w="109"/>
        <w:gridCol w:w="639"/>
        <w:gridCol w:w="639"/>
        <w:gridCol w:w="641"/>
        <w:gridCol w:w="109"/>
        <w:gridCol w:w="109"/>
        <w:gridCol w:w="109"/>
        <w:gridCol w:w="580"/>
        <w:gridCol w:w="580"/>
        <w:gridCol w:w="82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Brand and trade names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2 - 5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Domain Acquisition includes, but is not limited to: (i) the expected synergies and other benefits that the Company believes will result from combining Domain's operations with the Company's operations and (ii) any intangible assets that do not qualify for separate recognition, such as the assembled workforce. Of the $1,244 million of goodwill recorded as part of the Domain Acquisition, $994 million was allocated to Residential Real Estate and $250 million to Commercial Real Estate, of which none is expected to be deductible for income tax purposes. Transaction costs associated with the Domain Acquisition were $20 million for the year ended December 31, 2025 and consist primarily of advisory, legal, accounting, and other professional service costs. These costs are included within general and administrative expenses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Matterport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comprised of innovative software, spatial data-driven data science, and 3D capture technology, has broken down the barriers that have kept the largest asset class in the world, buildings and physical spaces, offline and underutilized for so long. The Company intends to integrate Matterport's 3D digital twin technology with its information service products and online marketplaces to allow buyers, sellers, and renters to explore properties with greater depth and insight.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(the "Matterport Acquisition Consideration"), with fractional shares of CoStar Group Shares paid in cash.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$273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Matterport Acquisition was $1.9 billion, which consisted of the following (in millions):</w:t>
      </w:r>
    </w:p>
    <w:tbl>
      <w:tblPr>
        <w:tblW w:w="4491" w:type="dxa"/>
        <w:jc w:val="left"/>
        <w:tblInd w:w="0" w:type="dxa"/>
        <w:tblLayout w:type="fixed"/>
        <w:tblCellMar>
          <w:top w:w="28" w:type="dxa"/>
          <w:left w:w="28" w:type="dxa"/>
          <w:bottom w:w="28" w:type="dxa"/>
          <w:right w:w="28" w:type="dxa"/>
        </w:tblCellMar>
      </w:tblPr>
      <w:tblGrid>
        <w:gridCol w:w="1266"/>
        <w:gridCol w:w="1110"/>
        <w:gridCol w:w="1134"/>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CoStar Group Shares (11.7 million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rollover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Matterport Acquisition (in millions):</w:t>
      </w:r>
    </w:p>
    <w:tbl>
      <w:tblPr>
        <w:tblW w:w="10205" w:type="dxa"/>
        <w:jc w:val="left"/>
        <w:tblInd w:w="0" w:type="dxa"/>
        <w:tblLayout w:type="fixed"/>
        <w:tblCellMar>
          <w:top w:w="28" w:type="dxa"/>
          <w:left w:w="28" w:type="dxa"/>
          <w:bottom w:w="28" w:type="dxa"/>
          <w:right w:w="28" w:type="dxa"/>
        </w:tblCellMar>
      </w:tblPr>
      <w:tblGrid>
        <w:gridCol w:w="966"/>
        <w:gridCol w:w="836"/>
        <w:gridCol w:w="840"/>
        <w:gridCol w:w="477"/>
        <w:gridCol w:w="1394"/>
        <w:gridCol w:w="247"/>
        <w:gridCol w:w="109"/>
        <w:gridCol w:w="109"/>
        <w:gridCol w:w="109"/>
        <w:gridCol w:w="639"/>
        <w:gridCol w:w="1233"/>
        <w:gridCol w:w="332"/>
        <w:gridCol w:w="109"/>
        <w:gridCol w:w="109"/>
        <w:gridCol w:w="109"/>
        <w:gridCol w:w="554"/>
        <w:gridCol w:w="1620"/>
        <w:gridCol w:w="413"/>
      </w:tblGrid>
      <w:tr>
        <w:trPr/>
        <w:tc>
          <w:tcPr>
            <w:tcW w:w="9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Preliminary: 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Updated Preliminary: February 28, 2025</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Available for sale investments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color w:val="000000"/>
              </w:rPr>
            </w:pPr>
            <w:r>
              <w:rPr>
                <w:color w:val="000000"/>
              </w:rPr>
              <w:t>—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During the year ended December 31, 2025, the Company reassessed its estimates and inputs as new information about facts and circumstances that existed as of the acquisition date became known. As a result, the Company recorded a $30 million reduction in goodwill as a result of measurement period adjustments. The reduction to goodwill consists primarily of adjustments relating to deferred tax assets for net operating losses. The primary areas that remain subject to additional information are the Company's assessment contingencies, including those discussed in Note 11 and fair value assessment of certain acquired intangibles.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Matterport Acquisition, their related estimated useful lives (in years), and their respective amortization methods. The intangible assets were included in the Company's North America operating segment prior to the reallocation described in Note 2:</w:t>
      </w:r>
    </w:p>
    <w:tbl>
      <w:tblPr>
        <w:tblW w:w="8467" w:type="dxa"/>
        <w:jc w:val="left"/>
        <w:tblInd w:w="0" w:type="dxa"/>
        <w:tblLayout w:type="fixed"/>
        <w:tblCellMar>
          <w:top w:w="28" w:type="dxa"/>
          <w:left w:w="28" w:type="dxa"/>
          <w:bottom w:w="28" w:type="dxa"/>
          <w:right w:w="28" w:type="dxa"/>
        </w:tblCellMar>
      </w:tblPr>
      <w:tblGrid>
        <w:gridCol w:w="723"/>
        <w:gridCol w:w="634"/>
        <w:gridCol w:w="638"/>
        <w:gridCol w:w="513"/>
        <w:gridCol w:w="1137"/>
        <w:gridCol w:w="269"/>
        <w:gridCol w:w="109"/>
        <w:gridCol w:w="109"/>
        <w:gridCol w:w="109"/>
        <w:gridCol w:w="639"/>
        <w:gridCol w:w="639"/>
        <w:gridCol w:w="641"/>
        <w:gridCol w:w="109"/>
        <w:gridCol w:w="109"/>
        <w:gridCol w:w="109"/>
        <w:gridCol w:w="580"/>
        <w:gridCol w:w="580"/>
        <w:gridCol w:w="820"/>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was associated with the Company's North America operating segment prior to the reallocation described in Note 2, of which none is expected to be deductible for income tax purposes. Transaction costs associated with the Matterport Acquisition were $18 million during the year ended December 31, 2025 and consist primarily of legal, accounting, and other professional service costs. These costs are included within general and administrative expenses on the consolidated statements of operations.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Visual Lease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CoStar acquired Visual Lease for total consideration of $277 million, in accordance with the terms under the Visual Lease Merger Agreement. Visual Lease is the operator of a SaaS platform for integrated lease management and lease accounting.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acquisition (in millions):</w:t>
      </w:r>
    </w:p>
    <w:tbl>
      <w:tblPr>
        <w:tblW w:w="5939" w:type="dxa"/>
        <w:jc w:val="left"/>
        <w:tblInd w:w="0" w:type="dxa"/>
        <w:tblLayout w:type="fixed"/>
        <w:tblCellMar>
          <w:top w:w="28" w:type="dxa"/>
          <w:left w:w="28" w:type="dxa"/>
          <w:bottom w:w="28" w:type="dxa"/>
          <w:right w:w="28" w:type="dxa"/>
        </w:tblCellMar>
      </w:tblPr>
      <w:tblGrid>
        <w:gridCol w:w="1336"/>
        <w:gridCol w:w="1173"/>
        <w:gridCol w:w="1180"/>
        <w:gridCol w:w="571"/>
        <w:gridCol w:w="1262"/>
        <w:gridCol w:w="417"/>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Final: November 1, 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assets of Visual Lease were recorded at their estimated fair values. In valuing the acquired assets and assumed liabilities, fair value estimates were based primarily on future expected cash flows, market rate assumptions for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obligations, and appropriate discount rates. The key assumptions used in the valuation include discount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Visual Lease Acquisition, their related estimated useful lives (in years), and their respective amortization methods. The intangible assets were included in the Company's North America operating segment prior to the reallocation described in Note 2:</w:t>
      </w:r>
    </w:p>
    <w:tbl>
      <w:tblPr>
        <w:tblW w:w="8421" w:type="dxa"/>
        <w:jc w:val="left"/>
        <w:tblInd w:w="0" w:type="dxa"/>
        <w:tblLayout w:type="fixed"/>
        <w:tblCellMar>
          <w:top w:w="28" w:type="dxa"/>
          <w:left w:w="28" w:type="dxa"/>
          <w:bottom w:w="28" w:type="dxa"/>
          <w:right w:w="28" w:type="dxa"/>
        </w:tblCellMar>
      </w:tblPr>
      <w:tblGrid>
        <w:gridCol w:w="706"/>
        <w:gridCol w:w="621"/>
        <w:gridCol w:w="622"/>
        <w:gridCol w:w="513"/>
        <w:gridCol w:w="1137"/>
        <w:gridCol w:w="269"/>
        <w:gridCol w:w="109"/>
        <w:gridCol w:w="109"/>
        <w:gridCol w:w="109"/>
        <w:gridCol w:w="639"/>
        <w:gridCol w:w="639"/>
        <w:gridCol w:w="641"/>
        <w:gridCol w:w="109"/>
        <w:gridCol w:w="109"/>
        <w:gridCol w:w="109"/>
        <w:gridCol w:w="580"/>
        <w:gridCol w:w="580"/>
        <w:gridCol w:w="820"/>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val="false"/>
                <w:color w:val="000000"/>
                <w:sz w:val="20"/>
              </w:rPr>
              <w:t>Straight-line</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Database technology</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val="false"/>
                <w:color w:val="000000"/>
                <w:sz w:val="20"/>
              </w:rPr>
              <w:t>Straight-line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Visual Lease Acquisition includes but is not limited to: (i) the expected synergies and other benefits that the Company believes will result from combining its operations with our CoStar Real Estate Manager operations and (ii) any intangible assets that do not qualify for separate recognition, such as the assembled workforce. The $150 million of goodwill recorded as part of the acquisition is associated with the Company's North America operating segment prior to the reallocation described in Note 2, of which $133 million is expected to be deductible for income tax purposes. Transaction costs associated with the Visual Lease Acquisition were $7 million.</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OnTheMarket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12, 2023, CoStar UK acquired OnTheMarket, the operator of onthemarket.com, a U.K. residential property portal. At the time of closing, CoStar UK acquired all of the then issued ordinary share capital of OnTheMarket for cash consideration of 110 pence per share or £94 million ($118 million). OnTheMarket had certain share option contracts that had not been exercised at the time of closing for which CoStar UK has established a liability for £2 million ($3 million). This resulted in total consideration of £96 million ($120 million). Certain shares outstanding at the time of the closing resulted from contracts held by employees of OnTheMarket or its subsidiaries that required OnTheMarket to withhold income and employment taxes of £4 million ($5 million) which represented consideration payable at December 31, 2023 and were remitted in January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acquisition (in millions):</w:t>
      </w:r>
    </w:p>
    <w:tbl>
      <w:tblPr>
        <w:tblW w:w="6451" w:type="dxa"/>
        <w:jc w:val="center"/>
        <w:tblInd w:w="0" w:type="dxa"/>
        <w:tblLayout w:type="fixed"/>
        <w:tblCellMar>
          <w:top w:w="28" w:type="dxa"/>
          <w:left w:w="28" w:type="dxa"/>
          <w:bottom w:w="28" w:type="dxa"/>
          <w:right w:w="28" w:type="dxa"/>
        </w:tblCellMar>
      </w:tblPr>
      <w:tblGrid>
        <w:gridCol w:w="1337"/>
        <w:gridCol w:w="1173"/>
        <w:gridCol w:w="1180"/>
        <w:gridCol w:w="109"/>
        <w:gridCol w:w="109"/>
        <w:gridCol w:w="109"/>
        <w:gridCol w:w="109"/>
        <w:gridCol w:w="590"/>
        <w:gridCol w:w="1304"/>
        <w:gridCol w:w="431"/>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Final: December 12,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wages and commissions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assets of OnTheMarket were recorded at their estimated fair values. In valuing the acquired assets and assumed liabilities, fair value estimates were based primarily on future expected cash flows, market rate assumptions for contractual obligations, and appropriate discount rates. The estimated fair value of the customer base assets incorporated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assumptions that had a material impact on the estimated fair value, such as discount rates, projected revenue growth rates, customer attrition rates, and profit margins.</w:t>
      </w:r>
    </w:p>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OnTheMarket Acquisition, their related estimated useful lives (in years) and their respective amortization methods. The intangible assets were included in the Company's International operating segment prior to the reallocation described in Note 2:</w:t>
      </w:r>
    </w:p>
    <w:tbl>
      <w:tblPr>
        <w:tblW w:w="9075" w:type="dxa"/>
        <w:jc w:val="center"/>
        <w:tblInd w:w="0" w:type="dxa"/>
        <w:tblLayout w:type="fixed"/>
        <w:tblCellMar>
          <w:top w:w="28" w:type="dxa"/>
          <w:left w:w="28" w:type="dxa"/>
          <w:bottom w:w="28" w:type="dxa"/>
          <w:right w:w="28" w:type="dxa"/>
        </w:tblCellMar>
      </w:tblPr>
      <w:tblGrid>
        <w:gridCol w:w="705"/>
        <w:gridCol w:w="621"/>
        <w:gridCol w:w="623"/>
        <w:gridCol w:w="109"/>
        <w:gridCol w:w="109"/>
        <w:gridCol w:w="109"/>
        <w:gridCol w:w="109"/>
        <w:gridCol w:w="109"/>
        <w:gridCol w:w="109"/>
        <w:gridCol w:w="593"/>
        <w:gridCol w:w="1017"/>
        <w:gridCol w:w="309"/>
        <w:gridCol w:w="109"/>
        <w:gridCol w:w="109"/>
        <w:gridCol w:w="109"/>
        <w:gridCol w:w="639"/>
        <w:gridCol w:w="639"/>
        <w:gridCol w:w="641"/>
        <w:gridCol w:w="109"/>
        <w:gridCol w:w="109"/>
        <w:gridCol w:w="109"/>
        <w:gridCol w:w="580"/>
        <w:gridCol w:w="580"/>
        <w:gridCol w:w="82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Customer 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val="false"/>
                <w:color w:val="000000"/>
                <w:sz w:val="20"/>
              </w:rPr>
              <w:t>Straight-line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val="false"/>
                <w:color w:val="000000"/>
                <w:sz w:val="20"/>
              </w:rPr>
              <w:t>Straight-line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OnTheMarket Acquisition includes, but is not limited to: (i) the expected synergies and other benefits that the Company believes will result from combining its operations with international operations and (ii) any intangible assets that do not qualify for separate recognition, such as the assembled workforce. The $62 million of goodwill recorded as part of the acquisition is associated with the Company's International operating segment prior to the reallocation described in Note 2, of which none is expected to be deductible for income tax purposes. Transaction costs associated with the OnTheMarket Acquisition were $11 million. </w:t>
      </w:r>
    </w:p>
    <w:p>
      <w:pPr>
        <w:pStyle w:val="TextBody"/>
        <w:bidi w:val="0"/>
        <w:spacing w:lineRule="auto" w:line="288" w:before="200" w:after="200"/>
        <w:ind w:left="0" w:right="0" w:firstLine="360"/>
        <w:jc w:val="both"/>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The unaudited pro forma financial information presented below reflects the consolidated results of operations of the Company assuming both the Domain Acquisition and Matterport Acquisition had taken place on January 1, 2024, Visual Lease Acquisition had taken place on January 1, 2023 and OnTheMarket Acquisition had taken place on January 1, 2022. </w:t>
      </w:r>
      <w:r>
        <w:rPr>
          <w:rFonts w:ascii="Times New Roman;serif" w:hAnsi="Times New Roman;serif"/>
          <w:b w:val="false"/>
          <w:color w:val="000000"/>
          <w:sz w:val="20"/>
          <w:shd w:fill="FFFFFF" w:val="clear"/>
        </w:rPr>
        <w:t xml:space="preserve">The material pro forma adjustments primarily consist of incremental amortization expense based on the preliminary fair value of the intangible assets acquired, increased compensation expense relating to the issuance of certain equity plans in connection with the acquisitions, accounting policy alignment adjustments, and the income tax impact of the aforementioned pro forma adjustments. </w:t>
      </w:r>
      <w:r>
        <w:rPr>
          <w:rFonts w:ascii="Times New Roman;serif" w:hAnsi="Times New Roman;serif"/>
          <w:b w:val="false"/>
          <w:color w:val="000000"/>
          <w:sz w:val="20"/>
        </w:rPr>
        <w:t>The unaudited pro forma financial information, as presented below, is for informational purposes only and is not necessarily indicative of the results of operations that would have been achieved if the acquisitions had not taken place on the dates listed above.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in the aggregate, was as follows (in millions):</w:t>
      </w:r>
    </w:p>
    <w:tbl>
      <w:tblPr>
        <w:tblW w:w="5036" w:type="dxa"/>
        <w:jc w:val="center"/>
        <w:tblInd w:w="0" w:type="dxa"/>
        <w:tblLayout w:type="fixed"/>
        <w:tblCellMar>
          <w:top w:w="28" w:type="dxa"/>
          <w:left w:w="28" w:type="dxa"/>
          <w:bottom w:w="28" w:type="dxa"/>
          <w:right w:w="28" w:type="dxa"/>
        </w:tblCellMar>
      </w:tblPr>
      <w:tblGrid>
        <w:gridCol w:w="553"/>
        <w:gridCol w:w="487"/>
        <w:gridCol w:w="489"/>
        <w:gridCol w:w="211"/>
        <w:gridCol w:w="616"/>
        <w:gridCol w:w="109"/>
        <w:gridCol w:w="109"/>
        <w:gridCol w:w="109"/>
        <w:gridCol w:w="109"/>
        <w:gridCol w:w="211"/>
        <w:gridCol w:w="616"/>
        <w:gridCol w:w="109"/>
        <w:gridCol w:w="109"/>
        <w:gridCol w:w="109"/>
        <w:gridCol w:w="109"/>
        <w:gridCol w:w="211"/>
        <w:gridCol w:w="61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the Domain Acquisition on the Company's revenue and net income in the consolidated statements of operations from August 27, 2025 through December 31, 2025 was an increase of $105 million and a decrease of $28 million, respectively. The impact of the Matterport Acquisition on the Company's revenue and net income in the consolidated statements of operations from February 28, 2025 through December 31, 2025 was an increase of $147 million and a decrease of $146 million respectively. The impact of the Visual Lease Acquisition on the Company's revenue and net income in the consolidated statements of operations from November 1, 2024 through December 31, 2024 was not material. The impact of the OnTheMarket Acquisition on the Company's revenue and net income in the consolidated statements of operations from December 12, 2023 through December 31, 2023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5.    INVESTMENTS AND FAIR VALUE MEASUREMENTS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assets and liabilities recorded or disclosed at fair value on the consolidated balance sheets based upon the level of judgment associated with inputs used to measure their fair value. The categories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either directly or indirectly observable.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for which little or no market data exists, therefore requiring an entity to develop its own assumptions.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comprised Level 1 cash equivalents with original maturities of three months or less in the amount of $1.4 billion and $4.5 billion as of December 31, 2025 and 2024, respectively. The Company had no Level 2 or Level 3 financial assets measured at fair value as of December 31, 2025 and 2024.</w:t>
      </w:r>
    </w:p>
    <w:p>
      <w:pPr>
        <w:pStyle w:val="TextBody"/>
        <w:bidi w:val="0"/>
        <w:spacing w:lineRule="auto" w:line="288" w:before="0" w:after="200"/>
        <w:ind w:left="0" w:right="0" w:firstLine="360"/>
        <w:jc w:val="both"/>
        <w:rPr>
          <w:rFonts w:ascii="Times New Roman;serif" w:hAnsi="Times New Roman;serif"/>
          <w:b/>
          <w:color w:val="000000"/>
          <w:sz w:val="20"/>
        </w:rPr>
      </w:pPr>
      <w:r>
        <w:rPr>
          <w:rFonts w:ascii="Times New Roman;serif" w:hAnsi="Times New Roman;serif"/>
          <w:b/>
          <w:color w:val="000000"/>
          <w:sz w:val="20"/>
        </w:rPr>
        <w:t>Available-for-sale Debt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Matterport Acquisition, the Company acquired $204 million of available-for-sale debt securities, inclusive of $2 million of accrued interest. These securities were sold for net proceeds of $203 million resulting in a negligible realized loss in the first quarter of 2025.</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other financial instruments, including cash deposits, accounts receivable, accounts payable, accrued expenses, and Senior Notes. The carrying value for such financial instruments, other than the Senior Notes, each approximated their fair values as of December 31, 2025 and 2024. The estimated fair value of the Company's outstanding Senior Notes using quoted prices from the over-the-counter markets, considered Level 2 inputs, was $900 million as of both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its office facilities, data centers, and certain vehicles. The Company's leases have remaining terms up to nine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Lease costs related to the Company's operating and finance leases included in the consolidated statements of operations were as follows (in millions): </w:t>
      </w:r>
    </w:p>
    <w:tbl>
      <w:tblPr>
        <w:tblW w:w="7916" w:type="dxa"/>
        <w:jc w:val="left"/>
        <w:tblInd w:w="0" w:type="dxa"/>
        <w:tblLayout w:type="fixed"/>
        <w:tblCellMar>
          <w:top w:w="28" w:type="dxa"/>
          <w:left w:w="28" w:type="dxa"/>
          <w:bottom w:w="28" w:type="dxa"/>
          <w:right w:w="28" w:type="dxa"/>
        </w:tblCellMar>
      </w:tblPr>
      <w:tblGrid>
        <w:gridCol w:w="1873"/>
        <w:gridCol w:w="1645"/>
        <w:gridCol w:w="1656"/>
        <w:gridCol w:w="211"/>
        <w:gridCol w:w="361"/>
        <w:gridCol w:w="109"/>
        <w:gridCol w:w="109"/>
        <w:gridCol w:w="109"/>
        <w:gridCol w:w="109"/>
        <w:gridCol w:w="211"/>
        <w:gridCol w:w="361"/>
        <w:gridCol w:w="109"/>
        <w:gridCol w:w="109"/>
        <w:gridCol w:w="109"/>
        <w:gridCol w:w="109"/>
        <w:gridCol w:w="211"/>
        <w:gridCol w:w="361"/>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7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Finance lease costs primarily relate to vehicles used by the Company's research teams, and the amortization of the ROU assets are recorded to cost of revenue in the consolidated statements of operations. The impact of lease costs related to short-term leases was not material for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operating leases was as follows (in millions): </w:t>
      </w:r>
    </w:p>
    <w:tbl>
      <w:tblPr>
        <w:tblW w:w="9447" w:type="dxa"/>
        <w:jc w:val="left"/>
        <w:tblInd w:w="0" w:type="dxa"/>
        <w:tblLayout w:type="fixed"/>
        <w:tblCellMar>
          <w:top w:w="28" w:type="dxa"/>
          <w:left w:w="28" w:type="dxa"/>
          <w:bottom w:w="28" w:type="dxa"/>
          <w:right w:w="28" w:type="dxa"/>
        </w:tblCellMar>
      </w:tblPr>
      <w:tblGrid>
        <w:gridCol w:w="1450"/>
        <w:gridCol w:w="1272"/>
        <w:gridCol w:w="1283"/>
        <w:gridCol w:w="1014"/>
        <w:gridCol w:w="1014"/>
        <w:gridCol w:w="1017"/>
        <w:gridCol w:w="223"/>
        <w:gridCol w:w="493"/>
        <w:gridCol w:w="286"/>
        <w:gridCol w:w="115"/>
        <w:gridCol w:w="115"/>
        <w:gridCol w:w="115"/>
        <w:gridCol w:w="223"/>
        <w:gridCol w:w="493"/>
        <w:gridCol w:w="334"/>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Year Ended December 31, </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millions):</w:t>
      </w:r>
    </w:p>
    <w:tbl>
      <w:tblPr>
        <w:tblW w:w="8651" w:type="dxa"/>
        <w:jc w:val="left"/>
        <w:tblInd w:w="0" w:type="dxa"/>
        <w:tblLayout w:type="fixed"/>
        <w:tblCellMar>
          <w:top w:w="28" w:type="dxa"/>
          <w:left w:w="28" w:type="dxa"/>
          <w:bottom w:w="28" w:type="dxa"/>
          <w:right w:w="28" w:type="dxa"/>
        </w:tblCellMar>
      </w:tblPr>
      <w:tblGrid>
        <w:gridCol w:w="2126"/>
        <w:gridCol w:w="1864"/>
        <w:gridCol w:w="1874"/>
        <w:gridCol w:w="211"/>
        <w:gridCol w:w="361"/>
        <w:gridCol w:w="109"/>
        <w:gridCol w:w="109"/>
        <w:gridCol w:w="109"/>
        <w:gridCol w:w="109"/>
        <w:gridCol w:w="211"/>
        <w:gridCol w:w="361"/>
        <w:gridCol w:w="109"/>
        <w:gridCol w:w="109"/>
        <w:gridCol w:w="109"/>
        <w:gridCol w:w="109"/>
        <w:gridCol w:w="211"/>
        <w:gridCol w:w="40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Financing cash flows used in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7.    PROPERTY AND EQUIPMENT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millions):</w:t>
      </w:r>
    </w:p>
    <w:tbl>
      <w:tblPr>
        <w:tblW w:w="5934" w:type="dxa"/>
        <w:jc w:val="left"/>
        <w:tblInd w:w="0" w:type="dxa"/>
        <w:tblLayout w:type="fixed"/>
        <w:tblCellMar>
          <w:top w:w="28" w:type="dxa"/>
          <w:left w:w="28" w:type="dxa"/>
          <w:bottom w:w="28" w:type="dxa"/>
          <w:right w:w="28" w:type="dxa"/>
        </w:tblCellMar>
      </w:tblPr>
      <w:tblGrid>
        <w:gridCol w:w="1336"/>
        <w:gridCol w:w="1175"/>
        <w:gridCol w:w="1179"/>
        <w:gridCol w:w="211"/>
        <w:gridCol w:w="616"/>
        <w:gridCol w:w="109"/>
        <w:gridCol w:w="109"/>
        <w:gridCol w:w="109"/>
        <w:gridCol w:w="109"/>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Furniture, office equipment, and vehicles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approximately $64 million, $57 million and $34 million, for the years ended December 31, 2025, 2024, and 2023, respectively. For the years ended December 31, 2025 and 2024, the Company removed $55 million and $27 million, respectively, of property and equipment that was fully depreciated from property and equipment, gross and accumulated depreciation and amortization, which had no impact on the Company's financial results.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table above are $263 million and $266 million of buildings and improvements and $27 million and $13 million of accumulated depreciation and amortization related to assets which are partially rented out as operating leases where the Company is the lessor as of December 31, 2025 and 2024, respectively. Materially all of our property and equipment is located in North America.</w:t>
      </w:r>
    </w:p>
    <w:p>
      <w:pPr>
        <w:pStyle w:val="TextBody"/>
        <w:bidi w:val="0"/>
        <w:spacing w:before="14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8.    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realigned our business segments. The table below (in millions) presents the changes in the carrying amount of goodwill by operating segment prior to the realignment and the recast of goodwill under the new segments. See Note 2 for additional information:</w:t>
      </w:r>
    </w:p>
    <w:tbl>
      <w:tblPr>
        <w:tblW w:w="10205" w:type="dxa"/>
        <w:jc w:val="left"/>
        <w:tblInd w:w="0" w:type="dxa"/>
        <w:tblLayout w:type="fixed"/>
        <w:tblCellMar>
          <w:top w:w="28" w:type="dxa"/>
          <w:left w:w="28" w:type="dxa"/>
          <w:bottom w:w="28" w:type="dxa"/>
          <w:right w:w="28" w:type="dxa"/>
        </w:tblCellMar>
      </w:tblPr>
      <w:tblGrid>
        <w:gridCol w:w="1656"/>
        <w:gridCol w:w="1431"/>
        <w:gridCol w:w="1439"/>
        <w:gridCol w:w="473"/>
        <w:gridCol w:w="1359"/>
        <w:gridCol w:w="239"/>
        <w:gridCol w:w="109"/>
        <w:gridCol w:w="109"/>
        <w:gridCol w:w="109"/>
        <w:gridCol w:w="443"/>
        <w:gridCol w:w="1296"/>
        <w:gridCol w:w="230"/>
        <w:gridCol w:w="109"/>
        <w:gridCol w:w="109"/>
        <w:gridCol w:w="109"/>
        <w:gridCol w:w="211"/>
        <w:gridCol w:w="616"/>
        <w:gridCol w:w="158"/>
      </w:tblGrid>
      <w:tr>
        <w:trPr/>
        <w:tc>
          <w:tcPr>
            <w:tcW w:w="165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North American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 December 31, 2023</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Acquisitions, including measurement period adjustments</w:t>
            </w:r>
            <w:r>
              <w:rPr>
                <w:rFonts w:ascii="Times New Roman;serif" w:hAnsi="Times New Roman;serif"/>
                <w:b w:val="false"/>
                <w:color w:val="000000"/>
                <w:sz w:val="13"/>
              </w:rPr>
              <w:t>(1)</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 December 31, 2024</w:t>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Acquisitions, including measurement period adjustments</w:t>
            </w:r>
            <w:r>
              <w:rPr>
                <w:rFonts w:ascii="Times New Roman;serif" w:hAnsi="Times New Roman;serif"/>
                <w:b w:val="false"/>
                <w:color w:val="000000"/>
                <w:sz w:val="13"/>
              </w:rPr>
              <w:t>(2)</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 December 31, 2025 prior to reallocation</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00"/>
              <w:jc w:val="left"/>
              <w:rPr/>
            </w:pPr>
            <w:r>
              <w:rPr/>
            </w:r>
          </w:p>
        </w:tc>
        <w:tc>
          <w:tcPr>
            <w:tcW w:w="2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Residential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Goodwill, December 31, 2025 after reallocation</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North America goodwill generated during the year ended December 31, 2024 from the Visual Lease Acquisition was $150 million.</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North America goodwill generated during the year ended December 31, 2025 from the Matterport Acquisition was $1.1 billion.</w:t>
      </w:r>
      <w:r>
        <w:rPr>
          <w:color w:val="000000"/>
        </w:rPr>
        <w:t xml:space="preserve"> </w:t>
      </w:r>
      <w:r>
        <w:rPr>
          <w:rFonts w:ascii="Times New Roman;serif" w:hAnsi="Times New Roman;serif"/>
          <w:b w:val="false"/>
          <w:color w:val="000000"/>
          <w:sz w:val="16"/>
        </w:rPr>
        <w:t>International goodwill generated during the year ended December 31, 2025 from the Domain Acquisition was $1.2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$133 million of goodwill generated from acquisitions completed in 2024 to be deductible for tax purposes. Goodwill generated from acquisitions completed in 2025 and 2023 were not deductible for tax purposes.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impairments of the Company's goodwill were recognized during each of the years ended December 31, 2025, 2024, and 2023.</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9.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 except amortization period data):</w:t>
      </w:r>
    </w:p>
    <w:tbl>
      <w:tblPr>
        <w:tblW w:w="10205" w:type="dxa"/>
        <w:jc w:val="left"/>
        <w:tblInd w:w="0" w:type="dxa"/>
        <w:tblLayout w:type="fixed"/>
        <w:tblCellMar>
          <w:top w:w="28" w:type="dxa"/>
          <w:left w:w="28" w:type="dxa"/>
          <w:bottom w:w="28" w:type="dxa"/>
          <w:right w:w="28" w:type="dxa"/>
        </w:tblCellMar>
      </w:tblPr>
      <w:tblGrid>
        <w:gridCol w:w="1435"/>
        <w:gridCol w:w="1233"/>
        <w:gridCol w:w="1240"/>
        <w:gridCol w:w="211"/>
        <w:gridCol w:w="616"/>
        <w:gridCol w:w="109"/>
        <w:gridCol w:w="109"/>
        <w:gridCol w:w="109"/>
        <w:gridCol w:w="109"/>
        <w:gridCol w:w="211"/>
        <w:gridCol w:w="466"/>
        <w:gridCol w:w="109"/>
        <w:gridCol w:w="109"/>
        <w:gridCol w:w="109"/>
        <w:gridCol w:w="109"/>
        <w:gridCol w:w="1147"/>
        <w:gridCol w:w="1147"/>
        <w:gridCol w:w="1627"/>
      </w:tblGrid>
      <w:tr>
        <w:trPr/>
        <w:tc>
          <w:tcPr>
            <w:tcW w:w="143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3908"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customer base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customer base,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above-market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above-market leases,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in-place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Acquired in-place leases,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approximately $199 million, $90 million, and $74 million for the years ended December 31, 2025, 2024, and 2023, respectively. For the years ended December 31, 2025, 2024, and 2023, the Company removed $62 million, $92 million, and $7 million, respectively, of intangible assets that were fully amortized from the acquired intangible assets and accumulated amortization, which had no impact on the Company's financial results.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aggregate, the Company expects the future amortization expense for intangible assets existing as of December 31, 2025 to be approximately $252 million, $219 million, $193 million, $179 million, and $147 million for the years ending December 31, 2026, 2027, 2028, 2029, and 2030, respectively.</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reviewed for impairment whenever events or changes in circumstances indicate that the carrying value of such assets may not be recoverable. No impairments of the Company's intangible assets were recognized during each of the years ended December 31, 2025,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outstanding debt (in millions):</w:t>
      </w:r>
    </w:p>
    <w:tbl>
      <w:tblPr>
        <w:tblW w:w="6743" w:type="dxa"/>
        <w:jc w:val="left"/>
        <w:tblInd w:w="0" w:type="dxa"/>
        <w:tblLayout w:type="fixed"/>
        <w:tblCellMar>
          <w:top w:w="28" w:type="dxa"/>
          <w:left w:w="28" w:type="dxa"/>
          <w:bottom w:w="28" w:type="dxa"/>
          <w:right w:w="28" w:type="dxa"/>
        </w:tblCellMar>
      </w:tblPr>
      <w:tblGrid>
        <w:gridCol w:w="1630"/>
        <w:gridCol w:w="1432"/>
        <w:gridCol w:w="1437"/>
        <w:gridCol w:w="211"/>
        <w:gridCol w:w="616"/>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2.800% Senior Notes due July 15, 2030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2024 Credit Agreement, due May 24, 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face amount of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Senior Notes unamortized discount and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December 31, 2025.</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 The 2024 Credit Agreement replaces the Company's 2020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The Company was in compliance with the covenants in the 2024 Credit Agreement as of December 31, 2025. As of December 31, 2025, the Company had no amounts drawn under this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$3 million and $4 million of deferred debt issuance costs related to the revolving credit facility as of December 31, 2025 and 2024, respectively. These amounts are included in deposits and other assets on the Company's consolidated balance sheets.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interest expense as follows (in millions):</w:t>
      </w:r>
    </w:p>
    <w:tbl>
      <w:tblPr>
        <w:tblW w:w="7512" w:type="dxa"/>
        <w:jc w:val="left"/>
        <w:tblInd w:w="0" w:type="dxa"/>
        <w:tblLayout w:type="fixed"/>
        <w:tblCellMar>
          <w:top w:w="28" w:type="dxa"/>
          <w:left w:w="28" w:type="dxa"/>
          <w:bottom w:w="28" w:type="dxa"/>
          <w:right w:w="28" w:type="dxa"/>
        </w:tblCellMar>
      </w:tblPr>
      <w:tblGrid>
        <w:gridCol w:w="1728"/>
        <w:gridCol w:w="1519"/>
        <w:gridCol w:w="1523"/>
        <w:gridCol w:w="211"/>
        <w:gridCol w:w="361"/>
        <w:gridCol w:w="109"/>
        <w:gridCol w:w="109"/>
        <w:gridCol w:w="109"/>
        <w:gridCol w:w="109"/>
        <w:gridCol w:w="211"/>
        <w:gridCol w:w="361"/>
        <w:gridCol w:w="109"/>
        <w:gridCol w:w="109"/>
        <w:gridCol w:w="109"/>
        <w:gridCol w:w="109"/>
        <w:gridCol w:w="211"/>
        <w:gridCol w:w="36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on outstanding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of Senior Notes discount and issuance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capitalized for construction in progress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Commitment fees and other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11.    INCOME TAXES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attributable to operations consist of the following (in millions):</w:t>
      </w:r>
    </w:p>
    <w:tbl>
      <w:tblPr>
        <w:tblW w:w="5682" w:type="dxa"/>
        <w:jc w:val="left"/>
        <w:tblInd w:w="0" w:type="dxa"/>
        <w:tblLayout w:type="fixed"/>
        <w:tblCellMar>
          <w:top w:w="28" w:type="dxa"/>
          <w:left w:w="28" w:type="dxa"/>
          <w:bottom w:w="28" w:type="dxa"/>
          <w:right w:w="28" w:type="dxa"/>
        </w:tblCellMar>
      </w:tblPr>
      <w:tblGrid>
        <w:gridCol w:w="997"/>
        <w:gridCol w:w="878"/>
        <w:gridCol w:w="885"/>
        <w:gridCol w:w="211"/>
        <w:gridCol w:w="436"/>
        <w:gridCol w:w="109"/>
        <w:gridCol w:w="109"/>
        <w:gridCol w:w="109"/>
        <w:gridCol w:w="109"/>
        <w:gridCol w:w="211"/>
        <w:gridCol w:w="361"/>
        <w:gridCol w:w="109"/>
        <w:gridCol w:w="109"/>
        <w:gridCol w:w="109"/>
        <w:gridCol w:w="109"/>
        <w:gridCol w:w="211"/>
        <w:gridCol w:w="46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deferred tax assets and liabilities consist of the following (in millions):</w:t>
      </w:r>
    </w:p>
    <w:tbl>
      <w:tblPr>
        <w:tblW w:w="6368" w:type="dxa"/>
        <w:jc w:val="left"/>
        <w:tblInd w:w="0" w:type="dxa"/>
        <w:tblLayout w:type="fixed"/>
        <w:tblCellMar>
          <w:top w:w="28" w:type="dxa"/>
          <w:left w:w="28" w:type="dxa"/>
          <w:bottom w:w="28" w:type="dxa"/>
          <w:right w:w="28" w:type="dxa"/>
        </w:tblCellMar>
      </w:tblPr>
      <w:tblGrid>
        <w:gridCol w:w="1616"/>
        <w:gridCol w:w="1417"/>
        <w:gridCol w:w="1421"/>
        <w:gridCol w:w="211"/>
        <w:gridCol w:w="541"/>
        <w:gridCol w:w="109"/>
        <w:gridCol w:w="109"/>
        <w:gridCol w:w="109"/>
        <w:gridCol w:w="109"/>
        <w:gridCol w:w="211"/>
        <w:gridCol w:w="36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reserve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 tax assets, prior to valuation allowance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commission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both the years ended December 31, 2025 and 2024, the Company has not recognized deferred tax liabilities for temporary differences related to investments in foreign subsidiaries that were deemed permanently reinvested. Determination of the amount of unrecognized deferred income tax liabilities on these earnings is not practicable because such liability, if any, depends on certain circumstances existing if and when remittance occurs. A deferred tax liability will be recognized if and when the Company no longer plans to permanently reinvest these undistributed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both December 31, 2025 and 2024, a valuation allowance has been established for certain deferred tax assets due to the uncertainty of realization. The valuation allowance as of both December 31, 2025 and 2024 includes an allowance for acquired net operating losses and foreign deferred tax assets.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established the valuation allowance because it is more likely than not that a portion of the deferred tax asset for certain items will not be realized based on the weight of available evidence.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The Company established a valuation allowance for capital losses held by Domain. Capital losses can only offset capital gains in Australia. The Company has established a valuation allowance for certain acquired net operating losses where Section 382 limitations will impact the ability of the Company to utilize the net operating losses before they expire.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change in valuation allowance was an increase of approximately $16 million for the year ended December 31, 2025 and an increase of approximately $24 million for the year ended December 31, 2024. The increase for the year ended December 31, 2025 was due to capital losses acquired in the Domain Acquisition and increases in foreign net operating losses. The increase for the year ended December 31, 2024 was primarily due to increases in foreign net operating loss deferred tax assets for which a full valuation allowance has been established.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U.S. income before income taxes of approximately $122 million, $294 million, and $527 million for the years ended December 31, 2025, 2024, and 2023, respectively. The Company had foreign losses before income taxes of approximately $92 million, $84 million, and $25 million for the years ended December 31, 2025, 2024, and 2023, respectively.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updated requirements of ASU 2023-09 for 2025. See Note 2 for additional details on the adoption of ASU 2023-09.</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year ended December 31, 2025 differs from the statutory federal income tax rate as follows (in millions, except percentages):</w:t>
      </w:r>
    </w:p>
    <w:tbl>
      <w:tblPr>
        <w:tblW w:w="8908" w:type="dxa"/>
        <w:jc w:val="left"/>
        <w:tblInd w:w="0" w:type="dxa"/>
        <w:tblLayout w:type="fixed"/>
        <w:tblCellMar>
          <w:top w:w="28" w:type="dxa"/>
          <w:left w:w="28" w:type="dxa"/>
          <w:bottom w:w="28" w:type="dxa"/>
          <w:right w:w="28" w:type="dxa"/>
        </w:tblCellMar>
      </w:tblPr>
      <w:tblGrid>
        <w:gridCol w:w="2161"/>
        <w:gridCol w:w="1901"/>
        <w:gridCol w:w="1908"/>
        <w:gridCol w:w="386"/>
        <w:gridCol w:w="660"/>
        <w:gridCol w:w="199"/>
        <w:gridCol w:w="199"/>
        <w:gridCol w:w="199"/>
        <w:gridCol w:w="199"/>
        <w:gridCol w:w="223"/>
        <w:gridCol w:w="223"/>
        <w:gridCol w:w="650"/>
      </w:tblGrid>
      <w:tr>
        <w:trPr/>
        <w:tc>
          <w:tcPr>
            <w:tcW w:w="216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938"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Amount</w:t>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federal income tax provision at statutory rate</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State income taxes, net of federal benefit</w:t>
            </w:r>
            <w:r>
              <w:rPr>
                <w:rFonts w:ascii="Times New Roman;serif" w:hAnsi="Times New Roman;serif"/>
                <w:b w:val="false"/>
                <w:color w:val="000000"/>
                <w:sz w:val="13"/>
              </w:rPr>
              <w:t>(1)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United Kingdom and United States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credits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Australia and United States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Tax Credit</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credits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 net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State taxes in CA, DC, IL, NJ, NY, NYC, TX and VA made up the majority (greater than 50 percent)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for the years ended December 31, 2024 and 2023, prior to the adoption of ASU 2023-09, the Company’s provision for income taxes resulted in effective tax rates that varied from the statutory federal income tax rate as follows (in millions):</w:t>
      </w:r>
    </w:p>
    <w:tbl>
      <w:tblPr>
        <w:tblW w:w="6911" w:type="dxa"/>
        <w:jc w:val="left"/>
        <w:tblInd w:w="0" w:type="dxa"/>
        <w:tblLayout w:type="fixed"/>
        <w:tblCellMar>
          <w:top w:w="28" w:type="dxa"/>
          <w:left w:w="28" w:type="dxa"/>
          <w:bottom w:w="28" w:type="dxa"/>
          <w:right w:w="28" w:type="dxa"/>
        </w:tblCellMar>
      </w:tblPr>
      <w:tblGrid>
        <w:gridCol w:w="1650"/>
        <w:gridCol w:w="1452"/>
        <w:gridCol w:w="1457"/>
        <w:gridCol w:w="270"/>
        <w:gridCol w:w="462"/>
        <w:gridCol w:w="139"/>
        <w:gridCol w:w="139"/>
        <w:gridCol w:w="139"/>
        <w:gridCol w:w="139"/>
        <w:gridCol w:w="270"/>
        <w:gridCol w:w="597"/>
        <w:gridCol w:w="197"/>
      </w:tblGrid>
      <w:tr>
        <w:trPr/>
        <w:tc>
          <w:tcPr>
            <w:tcW w:w="165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federal income tax provision at statutory rate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(decrease) in valuation allowance</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credits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Tax reserves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tax expense, net</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disaggregation of the income taxes paid (net of refunds) consist of the following (in millions):</w:t>
      </w:r>
    </w:p>
    <w:tbl>
      <w:tblPr>
        <w:tblW w:w="4424" w:type="dxa"/>
        <w:jc w:val="left"/>
        <w:tblInd w:w="0" w:type="dxa"/>
        <w:tblLayout w:type="fixed"/>
        <w:tblCellMar>
          <w:top w:w="28" w:type="dxa"/>
          <w:left w:w="28" w:type="dxa"/>
          <w:bottom w:w="28" w:type="dxa"/>
          <w:right w:w="28" w:type="dxa"/>
        </w:tblCellMar>
      </w:tblPr>
      <w:tblGrid>
        <w:gridCol w:w="747"/>
        <w:gridCol w:w="656"/>
        <w:gridCol w:w="667"/>
        <w:gridCol w:w="683"/>
        <w:gridCol w:w="1170"/>
        <w:gridCol w:w="501"/>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exceeded 5 percent of total income taxes paid (net of refunds) in the following jurisdictions (in millions):</w:t>
      </w:r>
    </w:p>
    <w:tbl>
      <w:tblPr>
        <w:tblW w:w="3449" w:type="dxa"/>
        <w:jc w:val="left"/>
        <w:tblInd w:w="0" w:type="dxa"/>
        <w:tblLayout w:type="fixed"/>
        <w:tblCellMar>
          <w:top w:w="28" w:type="dxa"/>
          <w:left w:w="28" w:type="dxa"/>
          <w:bottom w:w="28" w:type="dxa"/>
          <w:right w:w="28" w:type="dxa"/>
        </w:tblCellMar>
      </w:tblPr>
      <w:tblGrid>
        <w:gridCol w:w="396"/>
        <w:gridCol w:w="348"/>
        <w:gridCol w:w="351"/>
        <w:gridCol w:w="683"/>
        <w:gridCol w:w="1170"/>
        <w:gridCol w:w="50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net operating loss carryforwards for international income tax purposes of approximately $173 million that do not expire. The Company has federal net operating loss carryforwards of approximately $503 million that begin to expire in 2028 and federal income tax credit carryforwards with a tax value of approximately $19 million primarily relating to federal research and development credits that begin to expire in 2032, state net operating loss carryforwards with a tax value of approximately $21 million that begin to expire in 2032 and state income tax credit carryforwards with a tax value of approximately $19 million primarily relating to state research and development credits and the D.C. qualified high technology company tax credit that began to expire in 2026. The Company realized a cash benefit relating to the use of its tax loss carryforwards of approximately $1 million, $3 million, and $6 million in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unrecognized tax benefits (in millions):</w:t>
      </w:r>
    </w:p>
    <w:tbl>
      <w:tblPr>
        <w:tblW w:w="5751" w:type="dxa"/>
        <w:jc w:val="left"/>
        <w:tblInd w:w="0" w:type="dxa"/>
        <w:tblLayout w:type="fixed"/>
        <w:tblCellMar>
          <w:top w:w="28" w:type="dxa"/>
          <w:left w:w="28" w:type="dxa"/>
          <w:bottom w:w="28" w:type="dxa"/>
          <w:right w:w="28" w:type="dxa"/>
        </w:tblCellMar>
      </w:tblPr>
      <w:tblGrid>
        <w:gridCol w:w="1821"/>
        <w:gridCol w:w="1598"/>
        <w:gridCol w:w="1606"/>
        <w:gridCol w:w="211"/>
        <w:gridCol w:w="361"/>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current year tax positions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prior year tax positions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Expiration of the statute of limitation for assessment of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2023</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current year tax positions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prior year tax positions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Expiration of the statute of limitation for assessment of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2024</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current year tax positions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for prior year tax positions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Expiration of the statute of limitation for assessment of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Unrecognized tax benefit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$30 million and $27 million of the unrecognized tax benefits as of December 31, 2025 and 2024, respectively, would favorably affect the annual effective tax rate if recognized in future periods. The increase for current year tax positions of $5 million and increase for prior year tax positions of $2 million for the year ended December 31, 2025 were primarily attributable to research credits. The decrease for expiration of the statute of limitation of $4 million for the year ended December 31, 2025 was attributable to research credits. The Company recognized $1 million, $1 million, and $1 million for interest and penalties in its consolidated statements of operations for the years ended December 31, 2025, 2024, and 2023, respectively. The Company had liabilities of $3 million, $2 million, and $1 million for interest and penalties in its consolidated balance sheets as of December 31, 2025, 2024, and 2023, respectively. The Company does not anticipate the amount of the unrecognized tax benefits will change significantly over the next 12 months.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federal jurisdiction and various states and foreign jurisdictions. The Company’s federal income tax returns for tax years 2022 through 2024 remain open to examination. Most of the Company’s state income tax returns for tax years 2022 through 2024 remain open to examination. For states that have a four-year statute of limitations, the state income tax returns for tax years 2021 through 2024 remain open to examination. The Company’s U.K. income tax return for tax year 2024 remains open to examination. The Company believes that an adequate provision has been made for any adjustments that may result from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significant contractual obligations, including related payments due by period, as of December 31, 2025 (in millions):</w:t>
      </w:r>
    </w:p>
    <w:tbl>
      <w:tblPr>
        <w:tblW w:w="10205" w:type="dxa"/>
        <w:jc w:val="left"/>
        <w:tblInd w:w="0" w:type="dxa"/>
        <w:tblLayout w:type="fixed"/>
        <w:tblCellMar>
          <w:top w:w="28" w:type="dxa"/>
          <w:left w:w="28" w:type="dxa"/>
          <w:bottom w:w="28" w:type="dxa"/>
          <w:right w:w="28" w:type="dxa"/>
        </w:tblCellMar>
      </w:tblPr>
      <w:tblGrid>
        <w:gridCol w:w="593"/>
        <w:gridCol w:w="522"/>
        <w:gridCol w:w="524"/>
        <w:gridCol w:w="109"/>
        <w:gridCol w:w="109"/>
        <w:gridCol w:w="109"/>
        <w:gridCol w:w="454"/>
        <w:gridCol w:w="1004"/>
        <w:gridCol w:w="235"/>
        <w:gridCol w:w="109"/>
        <w:gridCol w:w="109"/>
        <w:gridCol w:w="109"/>
        <w:gridCol w:w="495"/>
        <w:gridCol w:w="849"/>
        <w:gridCol w:w="257"/>
        <w:gridCol w:w="109"/>
        <w:gridCol w:w="109"/>
        <w:gridCol w:w="109"/>
        <w:gridCol w:w="448"/>
        <w:gridCol w:w="1309"/>
        <w:gridCol w:w="234"/>
        <w:gridCol w:w="109"/>
        <w:gridCol w:w="109"/>
        <w:gridCol w:w="109"/>
        <w:gridCol w:w="498"/>
        <w:gridCol w:w="1101"/>
        <w:gridCol w:w="374"/>
      </w:tblGrid>
      <w:tr>
        <w:trPr/>
        <w:tc>
          <w:tcPr>
            <w:tcW w:w="59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Long-term debt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Long-term debt interest payments</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under various non-cancelable operating leases, as well as data centers and vehicles under finance lease arrangements. The leases contain various renewal options.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6 for further discussion of the Company's lease commitments.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consolidated financial position, future results of operations, or liquidity. Legal defense costs are expensed as incurred, except as set forth below.</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Matterport-Related Matters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2021, plaintiff William J. Brown, a former employee and a stockholder of Matterport, sued Matterport, Gores Holdings VI, Inc. (now known as Matterport, Inc.), Maker Merger Sub Inc., Maker Merger Sub II, LLC, and Matterport directors R.J. Pittman, David Gausebeck, Matt Bell, Peter Hebert, Jason Krikorian, Carlos Kokron and Michael Gustafson (collectively, the “Brown Defendants”) in the Court of Chancery of the State of Delaware (the “Chancery Court ”). Brown claimed that the Brown Defendants imposed invalid transfer restrictions on his shares of Matterport stock in connection with the Gores Merger transactions (the "Gores Transaction" and the Agreement and the Plan of Merger thereunder, the "Gores Merger Agreement") between Matterport, Inc. and Legacy Matterport (the “Transfer Restrictions”), and that Matterport’s Board of Directors violated their fiduciary duties in connection with a purportedly misleading letter of transmittal. An expedited trial regarding the facial validity of the Transfer Restrictions took place in December 2021. On January 11, 2022, the court issued a ruling that the Transfer Restrictions did not apply to Brown. Separate proceedings regarding Brown's remaining claims, including the amount of any damages suffered by Brown were the subject of the second phase of the case. Legacy Matterport's position was that Brown did not suffer any damages as he would have sold his shares as soon as possible after the Gores Transaction closed had Legacy Matterport not prevented him from trading based on its application of the Transfer Restrictions. Trial was held in November 2023, and a post-trial hearing was held on February 22, 2024. On May 28, 2024, the court ruled that Matterport had a reasonable basis to deny the plaintiff’s November 2021 demand that the transfer restrictions be removed from his shares and that the plaintiff lacked standing as to whether the transfer restrictions complied with Delaware law. However, the court awarded Brown $79 million plus pre- and post-judgment interest as damages for losses caused by Matterport’s initial refusal to issue freely transferable shares (the “Brown Judgment”). On July 29, 2024, a notice of appeal to the court's ruling to the Delaware Supreme Court was filed. Brown filed a notice of cross-appeal on August 12, 2024. Oral argument on the appeal was heard on February 26, 2025. On April 22, 2025, the Delaware Supreme Court substantially affirmed the Chancery Court's $79 million damages award but reversed and remanded for additional proceedings on the manner in which post-judgment interest was calculated.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estimated a litigation accrual of $99 million as of December 31, 2025, considering the substantially-affirmed damages award and the Company's estimate of the expected interest award using the Chancery Court's previously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determined interest methodology. This estimated litigation accrual is reflected in the purchase price allocation for the Matterport Acquisition and is subject to change based on the Chancery Court's revised ruling. The Company anticipates the revised ruling will occur by the first half of 2026. The Company estimated additional interest of up to approximately $17 million could be awarded if the Chancery Court followed the methodology Brown previously argued, and which was rejected. Subsequent to the Brown Judgment, on August 14, 2024, a litigation bond was posted, and Matterport transferred $95 million in cash as collateral into a designated insured interest-bearing account, which is classified as restricted cash on the Company’s consolidated balance sheet as of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Brown judgment in May 2024, other former Legacy Matterport stockholders have filed complaints (the “Post-Brown Complaints”) in the Chancery Court alleging that they were prevented from trading their Matterport shares through invalid transfer restrictions. These complaints were filed as follows: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Legacy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Gores Transaction. On December 6, 2024, the Burdi-Dumas complaint was amended to include a second plaintiff, Janet Day, and additional claims. These cases have now been consolidated and coordinated. </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developments in these legal matters that could affect the estimate the Company may have previously accrued. As of December 31, 2025, there were no amounts accrued that the Company believes would be material to its financial position, except as noted above. Further, the range of reasonably possible losses in excess of accrued liabilities currently cannot be reasonably estimated, except as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13.    SEGMENT REPORTING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by product portfolios in two operating segments and two reportable segments, with the primary areas of measurement and decision-making being Commercial Real Estate and Residential Real Estate. Segment reporting is aligned with the internal reporting used by the CODM, which is the Company’s Chief Executive Officer. The CODM relies on a management reporting process that provides operating segment revenue, EBITDA, and Adjusted EBITDA for making decisions and assessing performance as the source of the Company’s reportable segments. EBITDA and Adjusted EBITDA are used by management internally to measure operating and management performance and to evaluate the business. The CODM does not review any information regarding total assets by operating segment.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results by segment include items that are directly attributable to each segment and shared expenses such as IT expenses, corporate infrastructure costs including facilities, finance, and legal. Shared expenses are allocated based on revenue and headcount. There are no intersegment transactions. The impact of certain items that are not normal, recurring, cash operating expenses necessary to run the operating segment are removed to determine Adjusted EBITDA and include stock based compensation, acquisition and integration costs, restructuring and related costs, and settlements and impairments.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recast certain prior period disclosures to align with our reportable segments. See Note 2 for additional information.</w:t>
      </w:r>
    </w:p>
    <w:p>
      <w:pPr>
        <w:pStyle w:val="TextBody"/>
        <w:bidi w:val="0"/>
        <w:spacing w:lineRule="auto" w:line="288" w:before="2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Summarized EBITDA and Adjusted EBITDA information by operating segment consists of the following (in millions):</w:t>
      </w:r>
    </w:p>
    <w:tbl>
      <w:tblPr>
        <w:tblW w:w="9283" w:type="dxa"/>
        <w:jc w:val="left"/>
        <w:tblInd w:w="0" w:type="dxa"/>
        <w:tblLayout w:type="fixed"/>
        <w:tblCellMar>
          <w:top w:w="28" w:type="dxa"/>
          <w:left w:w="28" w:type="dxa"/>
          <w:bottom w:w="28" w:type="dxa"/>
          <w:right w:w="28" w:type="dxa"/>
        </w:tblCellMar>
      </w:tblPr>
      <w:tblGrid>
        <w:gridCol w:w="1238"/>
        <w:gridCol w:w="1087"/>
        <w:gridCol w:w="1095"/>
        <w:gridCol w:w="488"/>
        <w:gridCol w:w="1430"/>
        <w:gridCol w:w="256"/>
        <w:gridCol w:w="109"/>
        <w:gridCol w:w="109"/>
        <w:gridCol w:w="109"/>
        <w:gridCol w:w="461"/>
        <w:gridCol w:w="1351"/>
        <w:gridCol w:w="242"/>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Revenue</w:t>
            </w:r>
            <w:r>
              <w:rPr>
                <w:rFonts w:ascii="Times New Roman;serif" w:hAnsi="Times New Roman;serif"/>
                <w:b w:val="false"/>
                <w:color w:val="000000"/>
                <w:sz w:val="13"/>
              </w:rPr>
              <w:t>(1)</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(2)</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Settlements and impairments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Revenue</w:t>
            </w:r>
            <w:r>
              <w:rPr>
                <w:rFonts w:ascii="Times New Roman;serif" w:hAnsi="Times New Roman;serif"/>
                <w:b w:val="false"/>
                <w:color w:val="000000"/>
                <w:sz w:val="13"/>
              </w:rPr>
              <w:t>(1)</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(2)</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Settlements and impairments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Revenue</w:t>
            </w:r>
            <w:r>
              <w:rPr>
                <w:rFonts w:ascii="Times New Roman;serif" w:hAnsi="Times New Roman;serif"/>
                <w:b w:val="false"/>
                <w:color w:val="000000"/>
                <w:sz w:val="13"/>
              </w:rPr>
              <w:t>(1)</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918"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tc>
        <w:tc>
          <w:tcPr>
            <w:tcW w:w="2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3" w:type="dxa"/>
            <w:gridSpan w:val="18"/>
            <w:tcBorders/>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See Note 3 for revenue by segment.</w:t>
            </w:r>
          </w:p>
        </w:tc>
      </w:tr>
      <w:tr>
        <w:trPr/>
        <w:tc>
          <w:tcPr>
            <w:tcW w:w="9283" w:type="dxa"/>
            <w:gridSpan w:val="18"/>
            <w:tcBorders/>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Excludes personnel costs.</w:t>
            </w:r>
          </w:p>
          <w:p>
            <w:pPr>
              <w:pStyle w:val="TableContents"/>
              <w:bidi w:val="0"/>
              <w:spacing w:before="0" w:after="20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Adjusted EBITDA and EBITDA to income before income tax expense consists of the following (in millions):</w:t>
      </w:r>
    </w:p>
    <w:tbl>
      <w:tblPr>
        <w:tblW w:w="10205" w:type="dxa"/>
        <w:jc w:val="left"/>
        <w:tblInd w:w="0" w:type="dxa"/>
        <w:tblLayout w:type="fixed"/>
        <w:tblCellMar>
          <w:top w:w="28" w:type="dxa"/>
          <w:left w:w="28" w:type="dxa"/>
          <w:bottom w:w="28" w:type="dxa"/>
          <w:right w:w="28" w:type="dxa"/>
        </w:tblCellMar>
      </w:tblPr>
      <w:tblGrid>
        <w:gridCol w:w="2160"/>
        <w:gridCol w:w="1847"/>
        <w:gridCol w:w="1798"/>
        <w:gridCol w:w="303"/>
        <w:gridCol w:w="670"/>
        <w:gridCol w:w="156"/>
        <w:gridCol w:w="156"/>
        <w:gridCol w:w="156"/>
        <w:gridCol w:w="156"/>
        <w:gridCol w:w="303"/>
        <w:gridCol w:w="670"/>
        <w:gridCol w:w="156"/>
        <w:gridCol w:w="156"/>
        <w:gridCol w:w="156"/>
        <w:gridCol w:w="156"/>
        <w:gridCol w:w="303"/>
        <w:gridCol w:w="670"/>
        <w:gridCol w:w="233"/>
      </w:tblGrid>
      <w:tr>
        <w:trPr/>
        <w:tc>
          <w:tcPr>
            <w:tcW w:w="216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Settlements and impairments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cost of revenue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operating expenses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(1)</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21 million and 29 million of depreciation and amortization expense, including above-market lease amortization, associated with lessor activities for the years ended December 31, 2025</w:t>
            </w:r>
            <w:r>
              <w:rPr>
                <w:color w:val="000000"/>
              </w:rPr>
              <w:t xml:space="preserve"> </w:t>
            </w:r>
            <w:r>
              <w:rPr>
                <w:rFonts w:ascii="Times New Roman;serif" w:hAnsi="Times New Roman;serif"/>
                <w:b w:val="false"/>
                <w:color w:val="000000"/>
                <w:sz w:val="16"/>
              </w:rPr>
              <w:t xml:space="preserve">and 2024, respectively.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14.    STOCKHOLDERS' EQUITY </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Prior Stock Repurchase Program and Accelerated Share Repurchase Agreement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Board of Directors approved the Prior Stock Repurchase Program which authorized the repurchase of up to $500 million of CoStar Group Shares. Prior to November 6, 2025, the Company purchased $138 million of CoStar Group Shares pursuant to a 10b5-1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 entered into an ASR agreement with a financial institution counterparty to repurchase $300 million of its outstanding common stock. The Company repurchased 4.5 million CoStar Group Shares during the term of the ASR Agreement based on the volume-weighted average price, net of discount, of $66.98 per share over the duration of the program, which was completed in November 2025. The share repurchases were recorded as a reduction to stockholders’ equity.</w:t>
      </w:r>
    </w:p>
    <w:p>
      <w:pPr>
        <w:pStyle w:val="TextBody"/>
        <w:bidi w:val="0"/>
        <w:spacing w:lineRule="auto" w:line="288" w:before="200" w:after="200"/>
        <w:ind w:left="0" w:right="0" w:firstLine="36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the year ended December 31, 2025</w:t>
      </w:r>
      <w:r>
        <w:rPr>
          <w:rFonts w:ascii="Times New Roman;serif" w:hAnsi="Times New Roman;serif"/>
          <w:b w:val="false"/>
          <w:color w:val="000000"/>
          <w:sz w:val="20"/>
          <w:shd w:fill="FFFFFF" w:val="clear"/>
        </w:rPr>
        <w:t xml:space="preserve">, the Company repurchased a total of </w:t>
      </w:r>
      <w:r>
        <w:rPr>
          <w:rFonts w:ascii="Times New Roman;serif" w:hAnsi="Times New Roman;serif"/>
          <w:b w:val="false"/>
          <w:color w:val="000000"/>
          <w:sz w:val="20"/>
        </w:rPr>
        <w:t>7.1 million</w:t>
      </w:r>
      <w:r>
        <w:rPr>
          <w:color w:val="000000"/>
          <w:shd w:fill="FFFFFF" w:val="clear"/>
        </w:rPr>
        <w:t xml:space="preserve"> </w:t>
      </w:r>
      <w:r>
        <w:rPr>
          <w:rFonts w:ascii="Times New Roman;serif" w:hAnsi="Times New Roman;serif"/>
          <w:b w:val="false"/>
          <w:color w:val="000000"/>
          <w:sz w:val="20"/>
          <w:shd w:fill="FFFFFF" w:val="clear"/>
        </w:rPr>
        <w:t xml:space="preserve">CoStar Group Shares for an aggregate cost of </w:t>
      </w:r>
      <w:r>
        <w:rPr>
          <w:rFonts w:ascii="Times New Roman;serif" w:hAnsi="Times New Roman;serif"/>
          <w:b w:val="false"/>
          <w:color w:val="000000"/>
          <w:sz w:val="20"/>
        </w:rPr>
        <w:t>$500 million under the Prior Stock Repurchase Program and ASR Agreement</w:t>
      </w:r>
      <w:r>
        <w:rPr>
          <w:rFonts w:ascii="Times New Roman;serif" w:hAnsi="Times New Roman;serif"/>
          <w:b w:val="false"/>
          <w:color w:val="000000"/>
          <w:sz w:val="20"/>
          <w:shd w:fill="FFFFFF" w:val="clear"/>
        </w:rPr>
        <w:t xml:space="preserve">. As a result, no balance remained available for repurchases under that program. The aggregate purchase price of </w:t>
      </w:r>
      <w:r>
        <w:rPr>
          <w:rFonts w:ascii="Times New Roman;serif" w:hAnsi="Times New Roman;serif"/>
          <w:b w:val="false"/>
          <w:color w:val="000000"/>
          <w:sz w:val="20"/>
        </w:rPr>
        <w:t>CoStar Group Shares</w:t>
      </w:r>
      <w:r>
        <w:rPr>
          <w:color w:val="000000"/>
          <w:shd w:fill="FFFFFF" w:val="clear"/>
        </w:rPr>
        <w:t xml:space="preserve"> </w:t>
      </w:r>
      <w:r>
        <w:rPr>
          <w:rFonts w:ascii="Times New Roman;serif" w:hAnsi="Times New Roman;serif"/>
          <w:b w:val="false"/>
          <w:color w:val="000000"/>
          <w:sz w:val="20"/>
          <w:shd w:fill="FFFFFF" w:val="clear"/>
        </w:rPr>
        <w:t>is recorded as Treasury Stock and presented as a reduction to stockholders' equity.</w:t>
      </w:r>
    </w:p>
    <w:p>
      <w:pPr>
        <w:pStyle w:val="TextBody"/>
        <w:bidi w:val="0"/>
        <w:spacing w:lineRule="auto" w:line="26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New Stock Repurchase Program</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Board of Directors approved a Stock Repurchase Program which authorizes, but does not obligate, the repurchase of up to $1.5 billion of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 </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No shares were repurchased under the Stock Repurchase Program during the year ended December 31, 2025.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remains available for repurchases under the Stock Repurchase Program.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common stock repurchased under the share repurchase program become treasury shares and are accounted for when the transaction is settled. Direct costs incurred to acquire the shares are included in the total cost of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2.0 million shares of preferred stock, $0.01 par value, authorized for issuance. The Board of Directors may issue the preferred stock from time to time as shares of one or more classes or series.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1.2 billion shares of common stock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15.    EARNINGS PER SHARE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(in millions, except per share data):</w:t>
      </w:r>
    </w:p>
    <w:tbl>
      <w:tblPr>
        <w:tblW w:w="10062" w:type="dxa"/>
        <w:jc w:val="center"/>
        <w:tblInd w:w="0" w:type="dxa"/>
        <w:tblLayout w:type="fixed"/>
        <w:tblCellMar>
          <w:top w:w="28" w:type="dxa"/>
          <w:left w:w="28" w:type="dxa"/>
          <w:bottom w:w="28" w:type="dxa"/>
          <w:right w:w="28" w:type="dxa"/>
        </w:tblCellMar>
      </w:tblPr>
      <w:tblGrid>
        <w:gridCol w:w="2476"/>
        <w:gridCol w:w="2182"/>
        <w:gridCol w:w="2212"/>
        <w:gridCol w:w="211"/>
        <w:gridCol w:w="511"/>
        <w:gridCol w:w="109"/>
        <w:gridCol w:w="109"/>
        <w:gridCol w:w="109"/>
        <w:gridCol w:w="109"/>
        <w:gridCol w:w="211"/>
        <w:gridCol w:w="511"/>
        <w:gridCol w:w="109"/>
        <w:gridCol w:w="109"/>
        <w:gridCol w:w="109"/>
        <w:gridCol w:w="109"/>
        <w:gridCol w:w="211"/>
        <w:gridCol w:w="511"/>
        <w:gridCol w:w="154"/>
      </w:tblGrid>
      <w:tr>
        <w:trPr/>
        <w:tc>
          <w:tcPr>
            <w:tcW w:w="247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weighted-average outstanding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 options, restricted stock awards and restricted stock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 — weighted-average outstanding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shares underlying the unvested performance-based restricted stock and anti-dilutive securities excluded from the basic and diluted earnings per share calculations (in millions):</w:t>
      </w:r>
    </w:p>
    <w:tbl>
      <w:tblPr>
        <w:tblW w:w="6244" w:type="dxa"/>
        <w:jc w:val="center"/>
        <w:tblInd w:w="0" w:type="dxa"/>
        <w:tblLayout w:type="fixed"/>
        <w:tblCellMar>
          <w:top w:w="28" w:type="dxa"/>
          <w:left w:w="28" w:type="dxa"/>
          <w:bottom w:w="28" w:type="dxa"/>
          <w:right w:w="28" w:type="dxa"/>
        </w:tblCellMar>
      </w:tblPr>
      <w:tblGrid>
        <w:gridCol w:w="1277"/>
        <w:gridCol w:w="1123"/>
        <w:gridCol w:w="1125"/>
        <w:gridCol w:w="203"/>
        <w:gridCol w:w="203"/>
        <w:gridCol w:w="176"/>
        <w:gridCol w:w="152"/>
        <w:gridCol w:w="152"/>
        <w:gridCol w:w="152"/>
        <w:gridCol w:w="203"/>
        <w:gridCol w:w="203"/>
        <w:gridCol w:w="176"/>
        <w:gridCol w:w="152"/>
        <w:gridCol w:w="152"/>
        <w:gridCol w:w="152"/>
        <w:gridCol w:w="203"/>
        <w:gridCol w:w="203"/>
        <w:gridCol w:w="237"/>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719"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awards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16.    EMPLOYEE BENEFIT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Incentive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2016, the Company’s Board of Directors adopted the CoStar Group 2016 Stock Incentive Plan (as amended, the “2016 Plan”), subject to stockholder approval, which was obtained on June 9, 2016. On April 28, 2025, the Board of Directors approved the CoStar Group, Inc. 2025 Stock Incentive Plan (the “2025 Plan”), subject to stockholder approval, which was obtained on June 26, 2025. All shares of common stock that were authorized for issuance under the 2016 Plan that, as of April 28, 2025, remained available for issuance under the 2016 Plan (excluding shares subject to outstanding awards) were rolled into the 2025 Plan and, following stockholder approval of the 2025 Plan, no further grants will be made under the 2016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2025 Plan provides for the grant of stock options, restricted stock, restricted stock units, and stock appreciation rights to officers, employees, and directors of the Company and its subsidiaries. Stock options granted under the 2025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2025 Plan is determined by the Board of Directors or a committee thereof and is generally three to four years, subject to minimum vesting periods of at least one year. In some cases, vesting of awards under the 2025 Plan may be based on performance conditions. The Company initially reserved approximately 13.2 million shares of common stock for issuance under the 2025 Plan, which included shares of common stock that were authorized and remained available for issuance under the 2016 Plan as of April 28, 2025. Any shares of common stock subject to (a) outstanding awards under the 2016 Plan as of April 28, 2025 or (b) outstanding awards under the 2025 Plan that cease for any reason to be subject to such awards (other than by reason of exercise or settlement of the awards to the extent they are exercised or settled in vested and nonforfeitable shares) will become authorized and unissued under the 2025 Plan. Unless terminated sooner, the 2025 Plan will terminate in June 2035, but will continue to govern unexercised and unexpired awards issued under the 2025 Plan prior to that date. Approximately 9.7 million shares were available for future grant under the 2025 Plan as of December 31, 2025.</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Matterport Acquisition, the Company assumed Matterport's 2021 Incentive Award Plan and Matterport's Amended and Restated 2011 Stock Incentive Plan, including outstanding restricted stock units and stock options originally granted by Matterport under the Assumed Matterport Plans to continuing employees. These assumed awards will vest in accordance with their original terms, generally over four years. The Company does not intend to issue further grants under these plans. Shares forfeited due to employee termination or expiration are returned to the share pool. As of December 31, 2025, approximately 2.1 million shares remained available under the Assumed Matterport Plans.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$247 million of unrecognized compensation cost related to stock incentive plans, net of estimated forfeitures, which the Company expects to recognize over a weighted-average-period of 2.5 years. The income tax benefit realized from stock-based compensation was $5 million, $2 million and $7 million for the years ended December 31, 2025, 2024 and 2023, respectively. See Notes 2 for further discussion of stock-based compensation expense.</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 activity was as follows:</w:t>
      </w:r>
    </w:p>
    <w:tbl>
      <w:tblPr>
        <w:tblW w:w="10205" w:type="dxa"/>
        <w:jc w:val="left"/>
        <w:tblInd w:w="0" w:type="dxa"/>
        <w:tblLayout w:type="fixed"/>
        <w:tblCellMar>
          <w:top w:w="28" w:type="dxa"/>
          <w:left w:w="28" w:type="dxa"/>
          <w:bottom w:w="28" w:type="dxa"/>
          <w:right w:w="28" w:type="dxa"/>
        </w:tblCellMar>
      </w:tblPr>
      <w:tblGrid>
        <w:gridCol w:w="614"/>
        <w:gridCol w:w="539"/>
        <w:gridCol w:w="541"/>
        <w:gridCol w:w="539"/>
        <w:gridCol w:w="464"/>
        <w:gridCol w:w="338"/>
        <w:gridCol w:w="109"/>
        <w:gridCol w:w="109"/>
        <w:gridCol w:w="109"/>
        <w:gridCol w:w="458"/>
        <w:gridCol w:w="1337"/>
        <w:gridCol w:w="237"/>
        <w:gridCol w:w="109"/>
        <w:gridCol w:w="109"/>
        <w:gridCol w:w="109"/>
        <w:gridCol w:w="829"/>
        <w:gridCol w:w="829"/>
        <w:gridCol w:w="831"/>
        <w:gridCol w:w="109"/>
        <w:gridCol w:w="109"/>
        <w:gridCol w:w="109"/>
        <w:gridCol w:w="422"/>
        <w:gridCol w:w="931"/>
        <w:gridCol w:w="315"/>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Remaining Contract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2,178,200 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140,800 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(419,340)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1,899,660 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152,900 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(122,736)</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Canceled or expired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(25,234)</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1,904,590 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Assumed in Matterport Acquisition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1,799,170 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212,700 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78.33 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(686,735)</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Canceled or expired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3,203,725 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2023</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1,571,105 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2024</w:t>
            </w:r>
          </w:p>
        </w:tc>
        <w:tc>
          <w:tcPr>
            <w:tcW w:w="10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1,615,687 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0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2,849,289 </w:t>
            </w:r>
          </w:p>
        </w:tc>
        <w:tc>
          <w:tcPr>
            <w:tcW w:w="3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of outstanding options is calculated as the difference between (i) the closing price of the common stock at the end of the period and (ii) the exercise price of the underlying awards, multiplied by the number of outstanding options as of the end of the period that had an exercise price less than the closing price on that date.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intrinsic value of options exercised, determined as of the exercise date, was approximately $48 million, and $4 million, and $24 million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each option granted on the date of grant using the Black-Scholes option-pricing model, using the assumptions in the following table:</w:t>
      </w:r>
    </w:p>
    <w:tbl>
      <w:tblPr>
        <w:tblW w:w="7262" w:type="dxa"/>
        <w:jc w:val="left"/>
        <w:tblInd w:w="0" w:type="dxa"/>
        <w:tblLayout w:type="fixed"/>
        <w:tblCellMar>
          <w:top w:w="28" w:type="dxa"/>
          <w:left w:w="28" w:type="dxa"/>
          <w:bottom w:w="28" w:type="dxa"/>
          <w:right w:w="28" w:type="dxa"/>
        </w:tblCellMar>
      </w:tblPr>
      <w:tblGrid>
        <w:gridCol w:w="1183"/>
        <w:gridCol w:w="1042"/>
        <w:gridCol w:w="1044"/>
        <w:gridCol w:w="211"/>
        <w:gridCol w:w="616"/>
        <w:gridCol w:w="271"/>
        <w:gridCol w:w="109"/>
        <w:gridCol w:w="109"/>
        <w:gridCol w:w="109"/>
        <w:gridCol w:w="211"/>
        <w:gridCol w:w="616"/>
        <w:gridCol w:w="271"/>
        <w:gridCol w:w="109"/>
        <w:gridCol w:w="109"/>
        <w:gridCol w:w="109"/>
        <w:gridCol w:w="211"/>
        <w:gridCol w:w="616"/>
        <w:gridCol w:w="316"/>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993"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options outstanding at December 31, 2025:</w:t>
      </w:r>
    </w:p>
    <w:tbl>
      <w:tblPr>
        <w:tblW w:w="10205" w:type="dxa"/>
        <w:jc w:val="left"/>
        <w:tblInd w:w="0" w:type="dxa"/>
        <w:tblLayout w:type="fixed"/>
        <w:tblCellMar>
          <w:top w:w="28" w:type="dxa"/>
          <w:left w:w="28" w:type="dxa"/>
          <w:bottom w:w="28" w:type="dxa"/>
          <w:right w:w="28" w:type="dxa"/>
        </w:tblCellMar>
      </w:tblPr>
      <w:tblGrid>
        <w:gridCol w:w="311"/>
        <w:gridCol w:w="273"/>
        <w:gridCol w:w="275"/>
        <w:gridCol w:w="109"/>
        <w:gridCol w:w="109"/>
        <w:gridCol w:w="109"/>
        <w:gridCol w:w="559"/>
        <w:gridCol w:w="417"/>
        <w:gridCol w:w="287"/>
        <w:gridCol w:w="109"/>
        <w:gridCol w:w="109"/>
        <w:gridCol w:w="109"/>
        <w:gridCol w:w="569"/>
        <w:gridCol w:w="569"/>
        <w:gridCol w:w="570"/>
        <w:gridCol w:w="109"/>
        <w:gridCol w:w="109"/>
        <w:gridCol w:w="109"/>
        <w:gridCol w:w="383"/>
        <w:gridCol w:w="1119"/>
        <w:gridCol w:w="198"/>
        <w:gridCol w:w="109"/>
        <w:gridCol w:w="109"/>
        <w:gridCol w:w="109"/>
        <w:gridCol w:w="539"/>
        <w:gridCol w:w="437"/>
        <w:gridCol w:w="267"/>
        <w:gridCol w:w="109"/>
        <w:gridCol w:w="109"/>
        <w:gridCol w:w="109"/>
        <w:gridCol w:w="385"/>
        <w:gridCol w:w="1124"/>
        <w:gridCol w:w="28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15"/>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color w:val="000000"/>
                <w:sz w:val="20"/>
              </w:rPr>
              <w:t>Options Exercisable</w:t>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Range of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Remaining Contractual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r>
      <w:tr>
        <w:trPr/>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$4.73 - $9.59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1,051,854 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1,051,854 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$9.60 - $27.35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406,581 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406,581 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$27.36 - $53.24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697,090 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697,090 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$53.25 - $77.56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549,600 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509,799 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$77.57 - $91.98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498,600 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183,965 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3,203,725 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2,849,289 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restricted common stock to certain executive officers, directors, and employees of the Company which vest over a specific service period. Executive officers also receive restricted common stock that vests based on the achievement of certain operating performance goals over a three-year performance period. The grant of awards with performance conditions supports the Company’s goal of aligning executive incentives with long-term stockholder value and ensuring that executive officers have a continuing stake in the long-term success of the Company.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 Company specific TSR factor relative to the S&amp;P 500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S&amp;P 500 Index over the respective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performance-based restricted stock awards with market conditions on the date of grant using a Monte-Carlo simulation valuation model. This pricing model uses multiple simulations to evaluate the probability of achieving the market condition to calculate the fair value of the awards. Expense is only recorded for awards that are expected to vest, net of estimated forfeitures. The assumptions used to estimate the fair value of performance-based restricted stock awards with market conditions were as follows:</w:t>
      </w:r>
    </w:p>
    <w:tbl>
      <w:tblPr>
        <w:tblW w:w="7916" w:type="dxa"/>
        <w:jc w:val="left"/>
        <w:tblInd w:w="0" w:type="dxa"/>
        <w:tblLayout w:type="fixed"/>
        <w:tblCellMar>
          <w:top w:w="28" w:type="dxa"/>
          <w:left w:w="28" w:type="dxa"/>
          <w:bottom w:w="28" w:type="dxa"/>
          <w:right w:w="28" w:type="dxa"/>
        </w:tblCellMar>
      </w:tblPr>
      <w:tblGrid>
        <w:gridCol w:w="1183"/>
        <w:gridCol w:w="1042"/>
        <w:gridCol w:w="104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S&amp;P 500 Index over a period consistent with the expected life of the awards. The risk-free interest rate is based on the U.S. Treasury rate with terms similar to the expected life of the awards. The expected life is consistent with the performance measurement period of the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determined that it was probable that at least the minimum performance goals associated with restricted stock awards with performance and market conditions granted during 2025, 2024, and 2023 would be met by their forfeiture dates. The Company recorded a total of approximately $10 million, $7 million, and $14 million of stock-based compensation expense related to restricted stock awards with performance and market conditions for the years ended December 31, 2025, 2024, and 2023, respectively, As of December 31, 2025, the Company expects to record an aggregate stock-based compensation expense of approximately $24 million for performance-based restricted stock awards over the periods 2026, 2027, and 2028.</w:t>
      </w:r>
    </w:p>
    <w:p>
      <w:pPr>
        <w:pStyle w:val="TextBody"/>
        <w:bidi w:val="0"/>
        <w:spacing w:lineRule="auto" w:line="26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unvested restricted stock awards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701"/>
        <w:gridCol w:w="617"/>
        <w:gridCol w:w="618"/>
        <w:gridCol w:w="540"/>
        <w:gridCol w:w="457"/>
        <w:gridCol w:w="241"/>
        <w:gridCol w:w="152"/>
        <w:gridCol w:w="152"/>
        <w:gridCol w:w="152"/>
        <w:gridCol w:w="700"/>
        <w:gridCol w:w="1394"/>
        <w:gridCol w:w="196"/>
        <w:gridCol w:w="109"/>
        <w:gridCol w:w="109"/>
        <w:gridCol w:w="109"/>
        <w:gridCol w:w="540"/>
        <w:gridCol w:w="351"/>
        <w:gridCol w:w="278"/>
        <w:gridCol w:w="148"/>
        <w:gridCol w:w="148"/>
        <w:gridCol w:w="148"/>
        <w:gridCol w:w="656"/>
        <w:gridCol w:w="1408"/>
        <w:gridCol w:w="281"/>
      </w:tblGrid>
      <w:tr>
        <w:trPr/>
        <w:tc>
          <w:tcPr>
            <w:tcW w:w="7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Restricted Stock Awards — without Market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9"/>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Restricted Stock Awards — with Market Condition</w:t>
            </w:r>
          </w:p>
        </w:tc>
      </w:tr>
      <w:tr>
        <w:trPr/>
        <w:tc>
          <w:tcPr>
            <w:tcW w:w="1936"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December 31, 2024</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2,554,989 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733,200 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2,316,296 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435,120 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(898,926)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(124,068)</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(329,149)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(48,252)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December 31, 2025</w:t>
            </w:r>
          </w:p>
        </w:tc>
        <w:tc>
          <w:tcPr>
            <w:tcW w:w="9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3,643,210 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996,000 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unvested restricted stock units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1483"/>
        <w:gridCol w:w="1303"/>
        <w:gridCol w:w="1307"/>
        <w:gridCol w:w="526"/>
        <w:gridCol w:w="517"/>
        <w:gridCol w:w="472"/>
        <w:gridCol w:w="109"/>
        <w:gridCol w:w="109"/>
        <w:gridCol w:w="109"/>
        <w:gridCol w:w="916"/>
        <w:gridCol w:w="2679"/>
        <w:gridCol w:w="675"/>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2024</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23,532 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73.88 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Assumed in Matterport Acquisition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2,256,423 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115,654 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(1,304,354)</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(376,335)</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2025</w:t>
            </w:r>
          </w:p>
        </w:tc>
        <w:tc>
          <w:tcPr>
            <w:tcW w:w="10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714,920 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9"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Management Stock Purchase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originally adopted the Company’s Management Stock Purchase Plan in December 2017 and the plan was subsequently amended and restated in December 2025. The intent of the MSPP is to provide select key employees of the Company and its subsidiaries, including the Company's executive officers, the opportunity to defer a portion of their cash incentive compensation and to align management and stockholder interests through awards of DSUs under the MSPP and awards of Matching RSUs issued under the Company's 2016 Plan and 2025 Plan. Under the MSPP, participants are permitted to elect to defer up to 90% (or such other percentage determined by the Compensation Committee of the Board of Directors) of their annual incentive bonus or commissions earned during the year by submitting an irrevocable election in accordance with Section 409A of the Internal Revenue Code, as amended. On the date the incentive bonus or commission would otherwise be paid in cash (typically during the following calendar year), the Company awards the participant DSUs representing the number of shares of common stock with an aggregate fair market value on that date equal to the amount of compensation elected to be deferred under the MSPP. On the same date the DSUs are awarded, the participant receives a grant of Matching RSUs covering the number of shares of common stock equal up to 100% of the DSUs granted. The expense related to the DSUs is recognized on a straight-line basis during the period that the related incentive bonus or commission is earned. The Company granted 95,936 and 57,498 DSUs during the years 2025 and 2024, respectively. The expense related to the Matching RSUs is recognized over the four-year vesting period following the grant date.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presents the Matching RSU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1385"/>
        <w:gridCol w:w="1217"/>
        <w:gridCol w:w="1220"/>
        <w:gridCol w:w="828"/>
        <w:gridCol w:w="762"/>
        <w:gridCol w:w="765"/>
        <w:gridCol w:w="109"/>
        <w:gridCol w:w="109"/>
        <w:gridCol w:w="109"/>
        <w:gridCol w:w="794"/>
        <w:gridCol w:w="2322"/>
        <w:gridCol w:w="585"/>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00"/>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Number of Matching 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MSPP restricted stock units at December 31, 2024</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174,730 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95,936 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22"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22"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(7,613)</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22" w:type="dxa"/>
            <w:tcBorders/>
            <w:shd w:fill="FFFF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78.84 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Unvested MSPP restricted stock units at December 31, 2025</w:t>
            </w:r>
          </w:p>
        </w:tc>
        <w:tc>
          <w:tcPr>
            <w:tcW w:w="1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240,383 </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22" w:type="dxa"/>
            <w:tcBorders/>
            <w:shd w:fill="CCEEFF" w:val="clear"/>
            <w:tcMar>
              <w:top w:w="0" w:type="dxa"/>
              <w:left w:w="0" w:type="dxa"/>
              <w:bottom w:w="0" w:type="dxa"/>
              <w:right w:w="0" w:type="dxa"/>
            </w:tcMar>
            <w:vAlign w:val="center"/>
          </w:tcPr>
          <w:p>
            <w:pPr>
              <w:pStyle w:val="TableContents"/>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73.03 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Employee 401(k)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401(k) Plan as a defined contribution retirement plan for all eligible employees. The 401(k) Plan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each of 2025, 2024, and 2023, the Company matched 100% of employee contributions up to a maximum of 4% of total compensation. Amounts contributed to the 401(k) Plan by the Company to match employee contributions for the years ended December 31, 2025, 2024, and 2023 were approximately $33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million, $26 million, and $26 million, respectively. The Company had no administrative expenses in connection with the 401(k) Plan for each of the years ended December 31, 2025, 2024, and 2023.</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Employee Pension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 GPP Plan for all eligible employees in the Company’s U.K. offices. The GPP Plan is a defined contribution plan. Employees are eligible to contribute a portion of their salaries, subject to a maximum annual amount as established by Her Majesty's Revenue and Customs. In each of 2025, 2024, and 2023, the Company's matching contribution was based on the percentage contributed by the employee, up to a maximum of 6% of total compensation. Amounts contributed to the GPP Plan by the Company to match employee contributions for the years ended December 31, 2025, 2024, and 2023, were approximately $2 million, $2 million, and $1 million, respectively.</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As of August 1, 2006, the Company introduced an ESPP, pursuant to which eligible employees participating in the plan authorize the Company to withhold specified amounts from the employees’ compensation and use the withheld amounts to purchase CoStar Group Shares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2, 2021, the Company’s stockholders approved an amendment to the ESPP to increase the number of shares available for purchase under the ESPP by 9.7 million shares. The Company registered the issuance of these additional shares under the ESPP pursuant to the registration statement filed on July 28, 2021. There were 292,559 and 544,587 shares available for purchase under the ESPP as of December 31, 2025 and 2024, respectively, and approximately 252,028 and 237,741 CoStar Group Shares were purchased under the ESPP during 2025 and 2024, respectively.</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and transactions that occurred after the balance sheet date up to the date that the consolidated financial statements were issued. Based upon this review, the Company did not identify any material subsequent events that required adjustment or disclosure in the consolidated financial statements.</w:t>
      </w:r>
    </w:p>
    <w:p>
      <w:pPr>
        <w:pStyle w:val="TextBody"/>
        <w:bidi w:val="0"/>
        <w:spacing w:before="0" w:after="0"/>
        <w:jc w:val="center"/>
        <w:rPr/>
      </w:pPr>
      <w:bookmarkStart w:id="3" w:name="ex1052025formofpsuagreem.htm"/>
      <w:bookmarkStart w:id="4" w:name="ksex1052025formofpsuagreem"/>
      <w:bookmarkEnd w:id="3"/>
      <w:bookmarkEnd w:id="4"/>
      <w:r>
        <w:rPr/>
        <w:drawing>
          <wp:inline distT="0" distB="0" distL="0" distR="0">
            <wp:extent cx="10048875" cy="13001625"/>
            <wp:effectExtent l="0" t="0" r="0" b="0"/>
            <wp:docPr id="1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jc w:val="center"/>
        <w:rPr>
          <w:color w:val="FFFFFF"/>
          <w:sz w:val="2"/>
        </w:rPr>
      </w:pPr>
      <w:r>
        <w:rPr>
          <w:color w:val="FFFFFF"/>
          <w:sz w:val="2"/>
        </w:rPr>
        <w:t xml:space="preserve">Page 2 of 8 US-DOCS\167313053.8 COSTAR GROUP, INC. PERFORMANCE STOCK UNIT AGREEMENT 2025 STOCK INCENTIVE PLAN CoStar Group, Inc. (the “Company”) has granted you an award of performance-based restricted stock units under the CoStar Group, Inc. 2025 Stock Incentive Plan, as may be amended and/or restated from time to time (the “Plan”), on the terms and conditions set forth below: 1. Grant of Performance Stock Units. On the issue date indicated above (the “Date of Grant”), the Company hereby grants to you the number of performance-based restricted stock units (the “PSUs”) indicated above. Each PSU represents a right to receive a share (each a “Share”) of common stock of the Company (the “Common Stock”), subject to the terms and conditions set forth below (the “PSU Grant”). 2. Governing Plan. This PSU Grant is subject in all respects to the applicable provisions of the Plan, a copy of the current form of which may be accessed, viewed and/or printed under the “Documents” section of the Shareworks™ website under “Guides and General Reference”. By accepting (by electronically signing) this agreement, which includes the vesting terms set forth in Exhibit A which will be provided to you separately (collectively, the “Agreement”), you acknowledge that you have received and read the Plan. This Agreement incorporates the Plan by reference and specifies other applicable terms and conditions. All capitalized terms not defined by this Agreement (including Exhibit A) have the meanings given in the Plan. Whenever a conflict may arise between the terms of this Agreement (including Exhibit A) and the terms of the Plan, the terms of the Plan shall control. 3. Vesting and Settlement of PSUs. a. Subject to this Agreement, the PSUs shall vest on the Determination Date and become non-forfeitable with respect to the applicable portion thereof in accordance with Exhibit A. “Determination Date” shall mean the date that the Compensation Committee of the Company’s Board of Directors (or other administrator of the Plan, the “Administrator”) determines the extent to which the applicable performance metrics set forth on Exhibit A have been attained, which date shall be no later than sixty (60) days after the end of the Performance Period described in Exhibit A. b. In accordance with Section 4 below, any portion of the PSUs that have not vested at your termination of employment, consultancy, directorship or other position making you an eligible participant under the Plan (a “Termination of Service”) will not thereafter vest, unless the Administrator determines otherwise in accordance with the Plan (including Section 5(e) and Section 16(d) of the Plan). c. To the extent consistent with Section 409A of the Code, the vesting and/or performance period of the PSUs may be adjusted by the Administrator to reflect the decreased level of employment during any period in which you are on an approved leave of absence or employed on a less than full time basis, provided, that the Administrator may take into consideration any accounting consequences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8 US-DOCS\167313053.8 d. The PSUs shall be settled by the delivery to you of one Share per vested PSU as soon as reasonably practicable following the vesting of such PSU pursuant to Exhibit A and this Section 3, and in all events no later than March 15 of the year following the year of vesting or, if earlier, following the year in which the Performance Period ends (unless earlier delivery is required by Section 409A of the Internal Revenue Code or delivery is deferred pursuant to a nonqualified deferred compensation plan in accordance with the requirements of Section 409A of the Internal Revenue Code). 4. Termination of Service. Notwithstanding Section 3 above, but subject to the Company’s Executive Severance Plan (as amended and/or restated, the “Severance Plan”), if you incur a Termination of Service, the PSUs shall immediately terminate and be cancelled to the extent they are not vested on the date of your Termination of Service, and any PSUs subject to this Agreement which have not vested on or before that date shall be forfeited without the payment of any additional consideration. 5. Change in Control. Upon a Change in Control (as defined in the Severance Plan), unless the Administrator determines otherwise, any unvested PSUs will fully vest at the target performance level and settle pursuant to Section 3 above unless provision is made in writing in connection with such transaction for the occurrence of one of the following events (as determined by the Administrator): (i) the assumption or continuation of the outstanding PSUs or (ii) the substitution of such PSUs with a comparable award (as determined by the Administrator), with appropriate adjustments as to the number and kind of shares of stock, in which event the PSUs (or substitute awards) will continue in the manner and under their applicable terms (subject to the terms of the Severance Plan). 6. Restriction on Sale or Other Transfer. You shall not sell, pledge, assign, transfer, hypothecate or otherwise dispose of the PSUs, and such PSUs shall not be subject to execution, attachment or similar legal process. Any attempt to sell, pledge, assign, transfer, hypothecate or otherwise dispose of the PSUs, or to subject the PSUs to execution, attachment or similar legal process, shall be null and void. 7. Procedure for Issuance of Shares. Following each applicable vesting date, the Company will issue stock certificates in your name for the Shares issued in settlement of the PSUs, provided that a. you have complied with any requests for representations under the Plan; b. the Company has received proof satisfactory to the Company that a person seeking to receive the Shares after your death or disability is authorized and entitled to receive the Shares; and c. you have satisfied any federal, state, or local tax withholding obligations. The Company will round down any fractional Shares to be issued in settlement of the PSUs but will not make any cash or other payments in settlement of fractional shares eliminated by rounding. Notwithstanding the foregoing, the Company, in its sole discretion, may also use alternatives to issuing physical stock certificates, such as “book entry only” recordation.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8 US-DOCS\167313053.8 8. Compliance with Securities Laws. Upon the issuance of any Shares pursuant to this Agreement in connection with the vesting of the PSUs, you shall enter into such written representations, warranties and agreements as the Company may reasonably request in order to comply with applicable securities laws or this Agreement. Nothing herein obligates the Company to register or qualify the Shares pursuant to any federal or state securities laws. 9. Compliance with Laws. Notwithstanding any of the other provisions hereof, you agree that the Company will not be obligated to issue any Shares pursuant to this Agreement, if issuing the Shares would violate any provision of any law or regulation of any governmental authority. Notwithstanding anything to the contrary in Section 7, the certificates representing the Shares of Common Stock issued in connection with the settlement of PSUs pursuant to this Agreement will be stamped or otherwise imprinted with legends in such form as the Company may require with respect to any applicable restrictions on sale or transfer. 10. Voting and Other Rights. The PSUs do not include any powers, preferences, and rights of a holder of Common Stock with respect to the Shares until, and unless, such times as Shares are issued in settlement of the PSUs. 11. Restrictions on Resales. The Company may impose such restrictions, conditions or limitations as it determines appropriate as to the timing and manner of any resales by you or other subsequent transfers by you of any shares of Common Stock issued as a result of the vesting of the PSUs, including without limitation (a) restrictions under an insider trading policy and (b) restrictions as to the use of a specified brokerage firm for such resales or other transfers. 12. Not an Employment or Service Contract. Nothing in this Agreement restricts the right of the Company or any of its affiliates to terminate your employment or service at any time, with or without cause. The termination of employment or service, whether by the Company or any of its affiliates or otherwise, and regardless of the reason therefor, has the consequences provided for hereunder, under the Plan and under any applicable employment, service or severance agreement. 13. Non-Transferability of PSUs. You may not assign or transfer the PSUs to anyone other than by will or the laws of descent and distribution until Shares are issued in settlement of the PSUs pursuant hereto. The Company may cancel the PSUs if you attempt to assign or transfer them in a manner inconsistent with this Section 13. 14. Withholding of Tax. a. You understand and agree that the Company has not advised you regarding your income tax liability in connection with the grant or vesting of the PSUs. You understand that you (and not the Company) shall be solely responsible for your own tax liability that may arise as a result of the transactions contemplated by this Agreement. The grant, vesting and settlement of the PSUs shall be subject to all applicable income and employment tax withholdings. The Company may refuse to issue Shares or other amounts in settlement of the PSUs to you until you satisfy all applicable tax withholding obligations. You acknowledge that the Company has the right, in its discretion, to deduct and retain without notice from shares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8 US-DOCS\167313053.8 cash (if applicable) issuable upon vesting of the PSUs (or any portion thereof) or, unless otherwise determined by the Administrator, from salary or other amounts payable to you, shares or cash having a value sufficient to satisfy the tax withholding obligations. b. To the extent required by applicable federal, state, local or foreign law, you shall make arrangements satisfactory to the Company in its sole discretion for the satisfaction of any withholding tax obligations that arise by reason of vesting or settlement of the PSUs or disposition of shares issued as a result of such settlement. By accepting the PSU Grant, you agree that, unless and to the extent you have otherwise satisfied your tax withholding obligations in a manner permitted or required by the Administrator pursuant to the Plan, the Company is authorized (but not required) to deduct and retain without notice from the Shares in respect of settlement of the PSUs the whole number of shares (rounding down) having a Fair Market Value on the vesting date or, if not a trading day, the first trading day before the vesting date (as determined by the Company consistent with any applicable tax requirements) sufficient to satisfy the applicable Tax Withholding Obligation. If the withheld shares are not sufficient to satisfy your Tax Withholding Obligation, you agree to pay to the Company as soon as practicable, by cash or check or, unless otherwise determined by the Administrator, deducted from salary or other amounts payable to you, any amount of the Tax Withholding Obligation that is not satisfied by the withholding of shares of Common Stock described above. If any portion of the PSU Grant is settled in cash, you agree that the Company is authorized (but not required) to deduct and retain, without notice, from any such cash payment, an amount sufficient to satisfy your Tax Withholding Obligation. Furthermore, the Company shall have the right to deduct and withhold any such applicable taxes from, or in respect of, any dividends or other distributions paid on or in respect of the Common Stock comprising the Shares following settlement of the PSUs. c. You are ultimately liable and responsible for all taxes owed by you in connection with the PSUs, regardless of any action the Company takes or any transaction pursuant to this Section 14 with respect to any tax withholding obligations that arise in connection with the PSUs. The Company makes no representation or undertaking regarding the treatment of any tax withholding in connection with the grant, issuance, vesting or settlement of the PSUs or the subsequent sale of any of the shares of Common Stock issued in settlement of the PSUs. The Company does not commit and is under no obligation to structure the PSUs to reduce or eliminate your tax liability. 15. Extraordinary Corporate Transactions. You understand and agree that the existence of the PSUs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issuance of bonds, debentures, preferred or other stock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of 8 US-DOCS\167313053.8 16. Resolution of Disputes. As a condition of this grant of PSUs, you, on behalf of yourself, your heirs, successors and personal representatives (“you and your successors”), agree that any dispute or disagreement which may arise hereunder shall be decided by the Administrator. You and your successors agree to accept as binding, conclusive and final all decisions or interpretations of the Administrator concerning any questions arising under the Plan with respect to the PSUs, and you and your successors hereby explicitly waive any right to judicial review. 17. Payment of Purchase Price. If permitted by law, as a condition of this grant of PSUs, you hereby authorize the Company to set-off from any salary, wages, bonus or other monies owed to you by the Company or any of its affiliates, any purchase price required to be collected by the Company or to deem continued service with the Company or its affiliates (and such other good and valuable consideration) to satisfy the obligation to pay any such purchase price. 18. General. a. This Agreement (including Exhibit A) and the Plan constitute the entire understanding between you and the Company regarding the PSUs. Any prior agreements, commitments or negotiations concerning the PSUs are superseded. Additionally, the PSUs (including any proceeds, gains or other economic benefit you actually or constructively receive upon receipt or settlement of your PSUs or the receipt or resale of any Shares underlying your PSUs) will be subject to any Company claw-back policy as in effect from time to time, including any claw- back policy adopted to comply with applicable laws (including the Dodd-Frank Wall Street Reform and Consumer Protection Act and any rules or regulations promulgated thereunder). b. The laws of the State of Delaware will govern all matters relating to this Agreement, without regard to the principles of conflict of laws. c. Any notice you give to the Company must be in writing and either hand-delivered or mailed to the Corporate Secretary of the Company (or to the Chief Financial Officer if either you would receive the notice or the position is vacant). If mailed, it should be sent by certified mail and be addressed to the foregoing executive at the Company’s then corporate headquarters. Any notice given to you will be addressed to you at your address as reflected on the personnel records of the Company. You may change the address for notice by like notice to the Company. Notice will be deemed to have been duly delivered when hand-delivered, or, if mailed, two business days after such notice is postmarked. d. 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the terms hereunder shall not be affected except to the extent necessary to reform or delete such illegal, invalid or unenforceable provision.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of 8 US-DOCS\167313053.8 e. This Agreement shall inure to the benefit of and be binding upon the parties hereto and their respective permitted heirs, beneficiaries, successors and assigns. f. The headings preceding the text of the sections hereof are inserted solely for convenience of reference, and shall not constitute a part of this Agreement, nor shall they affect its meaning, construction or effect. g. All questions arising under the Plan or under this Agreement shall be decided by the Administrator in its total and absolute discretion. COSTAR GROUP, INC. Gene Boxer, General Counsel &amp;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US-DOCS\167313053.8 ACKNOWLEDGMENT Please confirm your acceptance of the terms and conditions of this grant of PSUs and the terms and conditions of the Plan within 60 days of issuance of this Agreement. By confirming acceptance, you (a) acknowledge receipt of a copy of the Plan; (b) represent that you have read and are familiar with the Plan’s terms; (c) accept the grant of PSUs subject to all of the terms and provisions of this Agreement and of the Plan under which it is granted, as the Plan may be amended in accordance with its terms; and (d) agree to accept as binding, conclusive, and final all decisions or interpretations of the Administrator concerning any questions arising under the Plan with respect to the PSUs. NO ONE MAY SELL, TRANSFER, OR DISTRIBUTE THE PSUS OR THE SECURITIES THAT MAY BE ISSUED IN SETTLEMENT OF THE PSUS WITHOUT AN EFFECTIVE REGISTRATION STATEMENT RELATING THERETO OR AN OPINION OF COUNSEL SATISFACTORY TO THE COMPANY OR OTHER INFORMATION AND REPRESENTATIONS SATISFACTORY TO THE COMPANY THAT SUCH REGISTRATION IS NOT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US-DOCS\167313053.8 EXHIBIT A Vesting Provisions [Provided Separately]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ex1016costar-2026annualc.htm"/>
      <w:bookmarkStart w:id="6" w:name="ksex1016costar2026annualc"/>
      <w:bookmarkEnd w:id="5"/>
      <w:bookmarkEnd w:id="6"/>
      <w:r>
        <w:rPr/>
        <w:drawing>
          <wp:inline distT="0" distB="0" distL="0" distR="0">
            <wp:extent cx="10048875" cy="13001625"/>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US-DOCS\168320290.5 COSTAR GROUP, INC. 2026 CASH INCENTIVE PLAN 1. Purpose. The purpose of this Plan is to provide certain employees of CoStar Group, Inc. and its Affiliates with incentive compensation based upon the level of achievement of financial, business and/or other performance criteria. 2. Definitions. (a) “Affiliate” means (i) any entity that, directly or indirectly, is controlled by the Company and (ii) any entity in which the Company has a significant equity interest. (b) “Board” means the Board of Directors of the Company. (c) “Cash Incentive” means a cash payment made pursuant to this Plan with respect to a particular Performance Period, determined pursuant to Section 8 below. (d) “Cash Incentive Formula” means as to any Performance Period, the formula established by the Committee pursuant to Section 6 in order to determine the Cash Incentive amounts, if any, to be paid to Participants based upon the level of achievement of targeted goals for the selected Performance Measures. The formula may differ from Participant to Participant or business group to business group. (e) “Code” means the Internal Revenue Code of 1986, as amended. (f) “Committee” means the Compensation Committee of the Board or any subcommittee thereof formed by the Compensation Committee for the purpose of acting as the Committee hereunder. (g) “Company” means CoStar Group, Inc., a Delaware corporation. (h) “Fiscal Year” means the calendar year. (i) “Officer” means an officer of the Company as defined in Rule 3b-7 under the Securities Exchange Act of 1934, as amended. (j) “Participant” means an Officer or such other individuals selected by the Committee. (k) “Performance Measure” means any one or more performance criteria, selected by the Committee which may be, either individually, alternatively 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US-DOCS\168320290.5 any combination, applied to either the Company as a whole or to a region, business unit, Affiliate or business segment, either individually, alternatively or in any combination, and measured either on an absolute basis or relative to a pre- established target, to a previous period’s results or to a designated comparison group, in each case as specified by the Committee. Performance Measures may include: (i) cash flow (before or after dividends), (ii) earnings or earnings per share (including earnings before interest, taxes, depreciation and amortization (“EBITDA”) or EBITDA, as adjusted), (iii) stock price, (iv) return on equity, (v) total stockholder return, (vi) return on capital or investment (including return on total capital, return on invested capital, or return on investment), (vii) return on assets or net assets, (viii) market capitalization, (ix) economic value added, (x) debt leverage (debt to capital), (xi) revenue or organic revenue, (xii) income or net income, (xiii) operating income, (xiv) operating profit or net operating profit, (xv) operating margin or profit margin, (xvi) return on operating revenue, (xvii) cash from operations, (xviii) operating ratio, (xix) operating revenue, (xx) customer service, (xxi) sales, or (xxii) cost savings. (l) “Performance Period” means any Fiscal Year or such other period as determined by the Committee. (m) “Plan” means this CoStar Group, Inc. 2026 Cash Incentive Plan, as may be amended and/or restated from time to time. 3. Eligibility. The individuals eligible to participate in this Plan for a given Performance Period shall be Officers or such other individuals selected by the Committee. 4. Plan Administration. (a) The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Participants to whom Cash Incentives may from time to time be paid hereunder; (ii) determine the terms and conditions, not inconsistent with the provisions of the Plan, of each Cash Incentive; (iii) determine the time when Cash Incentives will be granted and paid and the Performance Period to which they relate; (iv) certify the achievement of Performance Measures and the maximum amount of the Cash Incentive payable for each Participant in respect of Performance Periods; (v) determine whether payment of Cash Incentives may be deferred by Participants as provided in Section 8(b); (vi) interpret and administer the Plan and any instrument or agreement entered into in connection with the Plan; (vii)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US-DOCS\168320290.5 correct any defect, supply any omission or reconcile any inconsistency in the Plan or any Cash Incentive award in the manner and to the extent that the Committee shall deem desirable to carry it into effect; (viii) establish such rules and regulations and appoint such agents as it shall deem appropriate for the proper administration of the Plan; and (ix) make any other determination and take any other action that the Committee deems necessary or desirable for administration of the Plan. (b) Decisions of the Committee shall be final, conclusive and binding on all persons or entities, including the Company, any Affiliate, any Participant and any person claiming any benefit or right under an award or under the Plan. (c) Notwithstanding the foregoing, the Committee may delegate the responsibility for administering the Plan, subject to such limitations as the Committee deems appropriate. All references in the Plan to the “Committee” shall be, as applicable, to the Committee or any other committee or officer to whom the Board or the Committee has delegated authority to administer the Plan. 5. Term. This Plan shall be effective upon its approval by the Committee. Once approved by the Committee, this Plan shall continue until a termination under Section 10 of this Plan (provided that, for the avoidance of doubt, payments may continue to be made under the Plan with respect to Performance Periods commencing before the date of Plan termination). 6. Cash Incentives. The Committee shall designate or approve in writing, the following: (a) Performance Period; (b) Positions or names of employees who will be Participants for the Performance Period; (c) Targeted goals for selected Performance Measures during the Performance Period; and (d) Applicable Cash Incentive Formula for each Participant, which may be for an individual Participant or a group of Participants. 7. Determination of Amount of Cash Incentive. (a) Calculation. After the end of each Performance Period, the Committee shall determine the extent to which the targeted goals for the Performance Measures applicable to each Participant for the Performance Period were achieved or exceeded. The Cash Incentive for each Participant shall be determined by applying the Cash Incentive Formula to the level of actual performance that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US-DOCS\168320290.5 been certified by the Committee. Notwithstanding any contrary provision of this Plan, the Committee, in its sole discretion, may eliminate or reduce the Cash Incentive payable to any Participant below that which otherwise would be payable under the Cash Incentive Formula, and may increase Cash Incentive payable to any Participant above that which otherwise would be payable under the Cash Incentive Formula. The Committee (A) may appropriately adjust any evaluation of performance under the Performance Measure to eliminate the effects of charges for restructurings, discontinued operations, and all items of gain, loss or expense determined to be unusual in nature or infrequently occurring or related to the acquisition or disposal of a segment of a business or related to a change in accounting principle all as determined in accordance with standards established by Accounting Standards Codification (“ASC”) Topic 225, “Unusual or Infrequently Occurring Items,”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 Performance Measure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 or any Affiliate. (b) Right to Receive Payment. Each Cash Incentive under this Plan shall be paid solely from general assets of the Company and its Affiliates. This Plan is unfunded and unsecured; nothing in this Plan shall be construed to create a trust or to establish or evidence any Participant’s claim of any right to payment of a Cash Incentive other than as an unsecured general creditor with respect to any payment to which he or she may be entitled. 8. Payment of Cash Incentives. (a) Timing of Distributions. The Company and its Affiliates shall distribute amounts payable to Participants as soon as is administratively practicable following the determination of the Committee for a Performance Period, but in no event later than March 15 after the end of the calendar year in which the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US-DOCS\168320290.5 Period ends, except to the extent a Participant has made a timely election to defer the payment of all or any portion of such Cash Incentive under a Company- approved deferred compensation plan or arrangement. (b) Payment. The payment of a Cash Incentive, if any (as determined by the Committee at the end of the Performance Period), with respect to a specific Performance Period requires that the employee be an active employee on the Company’s or its Affiliate’s payroll on the last day of each applicable Performance Period, subject to the terms of any employment or other written agreements or arrangements in effect from time to time and subject to the following: (i) Leave of Absence or Non-Pay Status. A Participant may receive a Cash Incentive while on an approved leave of absence or non-pay status. Such Cash Incentive shall be prorated in a manner that the Committee determines in its sole discretion. (ii) Disability, Workforce Restructuring, Voluntary Severance Incentive Program, Divestiture or Retirement. A Participant who terminates due to disability, participation in a workforce restructuring or voluntary severance incentive program, divestiture or retirement under the Company’s retirement policies may receive a prorated Cash Incentive to the extent the Cash Incentive would have been paid had the Participant remained actively employed. The method in which a Cash Incentive is prorated shall be determined by the Committee in its sole discretion. Such prorated Cash Incentive will be paid no later than March 15 after the end of the calendar year in which the Performance Period ends (unless the Participant has made a timely election to defer such payment under a Company-approved deferred compensation plan or arrangement). (iii) Death. The estate of a Participant who dies prior to the end of a Performance Period or after the end of a Performance Period but prior to payment may receive a Cash Incentive or prorated Cash Incentive. The method in which a Cash Incentive is prorated shall be determined by the Company in its sole discretion. Such Cash Incentive will be paid no later than March 15 after the end of the calendar year in which the Performance Period ends (unless the Participant has made a timely election to defer such payment under a Company-approved deferred compensation plan or arrangement). (c) Change in Status. A Participant who has a change in status that results in being ineligible to participate in this Plan or eligible in more than one variable pay plan, including this Plan, in a Performance Period may receive a prorated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US-DOCS\168320290.5 Incentive, if any (as determined by the Committee at the end of the Performance Period), under this Plan. The method in which a Cash Incentive is prorated shall be determined by the Company in its sole discretion. (d) Code Section 409A. The Cash Incentives payable under the Plan are intended to comply with or be excluded from coverage under Code Section 409A and, accordingly, to the maximum extent permitted, the Plan shall be interpreted to be in compliance therewith (and the terms hereof may be modified, replaced or terminated at the discretion of the Committee is necessary to be exempt from or compliance with Code Section 409A). Each payment and benefit payable under the Plan is intended to constitute separate payments for purposes of Code Section 409A. 9. Clawback Policy. All Cash Incentives shall be subject to the provisions of any Company claw-back policy as in effect from time to time, including any claw-back policy adopted to comply with applicable laws (including the Dodd-Frank Wall Street Reform and Consumer Protection Act and any rules or regulations promulgated thereunder). 10. Amendment and Termination. The Committee may amend, modify, suspend or terminate this Plan or any Cash Incentive granted hereunder, in whole or in part, at any time, including the adoption of amendments deemed necessary or desirable to correct any defect or to supply omitted data or to reconcile any inconsistency in this Plan or in any Cash Incentive granted hereunder. 11. Withholding. Distributions pursuant to this Plan shall be subject to all applicable taxes and contributions required by law to be withheld in accordance with procedures established by the Company. 12. No Additional Participant Rights. (a) No individual or Participant shall have any claim to be granted any Cash Incentive under the Plan, and the Company has no obligation for uniformity of treatment of Participants under the Plan. (b) Furthermore, nothing in the Plan or any Cash Incentive granted under the Plan shall be deemed to constitute an employment contract or confer or be deemed to confer on any Participant any right to continue in the employ of, or to continue any other relationship with, the Company or any Affiliate or limit in any way the right of the Company or any Affiliate to terminate a Participant’s employment or other relationship at any time, with or without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US-DOCS\168320290.5 13. Successors. All obligations of the Company or its Affiliates under the Plan with respect to Cash Incentives shall be binding on any successor to the Company, whether the existence of such successor is the result of a direct or indirect purchase, merger, consolidation, or otherwise, of all or substantially all the business and/or assets of the Company. 14. Nonassignment. The rights of a Participant under this Plan shall not be assignable or transferable by the Participant except by will or the laws of descent and distribution, except to the extent a Participant designates one or more beneficiaries on a Company-approved form who may receive payment under the Plan after the Participant’s death. 15. Severability. If any provision of the Plan or any Cash Incentive is determined to be invalid, illegal or unenforceable in any jurisdiction, or as to any person, or would disqualify the Plan or any Cash Incentive under any law deemed applicable by the Committee, such provision shall be construed or deemed amended to conform to applicable laws, or, if it cannot be so construed or deemed amended without, in the Committee’s determination, materially altering the intent of the Plan or the Cash Incentive, such provision shall be stricken as to such jurisdiction, person or Cash Incentive, and the remainder of the Plan and any such Cash Incentive shall remain in full force and effect. 16. Governing Law. The Plan, all Cash Incentives granted hereunder and all determinations made and actions taken pursuant hereto, to the extent not otherwise governed by the laws of the United States, shall be governed by the laws of the State of Delaware without giving effect to principles of conflicts of law.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p>
    <w:p>
      <w:pPr>
        <w:pStyle w:val="TextBody"/>
        <w:bidi w:val="0"/>
        <w:spacing w:before="0" w:after="0"/>
        <w:jc w:val="right"/>
        <w:rPr/>
      </w:pPr>
      <w:r>
        <w:rPr/>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AMENDED AND RESTATED</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COSTAR GROUP, INC. MANAGEMENT STOCK PURCHASE PLAN</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(As amended and restated on December 3, 2025)</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 xml:space="preserve">1.ESTABLISHMENT OF PLAN; PURPOSE. </w:t>
      </w:r>
    </w:p>
    <w:p>
      <w:pPr>
        <w:pStyle w:val="TextBody"/>
        <w:bidi w:val="0"/>
        <w:spacing w:lineRule="auto" w:line="288" w:before="0" w:after="220"/>
        <w:ind w:left="0" w:right="0" w:hanging="14"/>
        <w:jc w:val="both"/>
        <w:rPr/>
      </w:pPr>
      <w:r>
        <w:rPr>
          <w:rFonts w:ascii="Times New Roman;serif" w:hAnsi="Times New Roman;serif"/>
          <w:b w:val="false"/>
          <w:color w:val="000000"/>
          <w:sz w:val="22"/>
        </w:rPr>
        <w:t>This Amended and Restated CoStar Group, Inc. Management Stock Purchase Plan (as it may be further amended and/or restated from time to time, this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was adopted by the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of CoStar Group,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on December 3, 2025 (the “</w:t>
      </w:r>
      <w:r>
        <w:rPr>
          <w:rFonts w:ascii="Times New Roman;serif" w:hAnsi="Times New Roman;serif"/>
          <w:b/>
          <w:color w:val="000000"/>
          <w:sz w:val="22"/>
        </w:rPr>
        <w:t>Restatement Effective Date</w:t>
      </w:r>
      <w:r>
        <w:rPr>
          <w:color w:val="000000"/>
        </w:rPr>
        <w:t>”</w:t>
      </w:r>
      <w:r>
        <w:rPr>
          <w:rFonts w:ascii="Times New Roman;serif" w:hAnsi="Times New Roman;serif"/>
          <w:b w:val="false"/>
          <w:color w:val="000000"/>
          <w:sz w:val="22"/>
        </w:rPr>
        <w:t>) and constitutes an amendment and restatement of the CoStar Group, Inc. Management Stock Purchase Plan originally adopted by the Board on December 7, 2017. This Plan is intended to provide selected key employees of the Company and its subsidiaries the opportunity to defer a portion of their bonus and commission compensation and to align management and shareholder interests through awards of Deferred Stock Units (“</w:t>
      </w:r>
      <w:r>
        <w:rPr>
          <w:rFonts w:ascii="Times New Roman;serif" w:hAnsi="Times New Roman;serif"/>
          <w:b/>
          <w:color w:val="000000"/>
          <w:sz w:val="22"/>
        </w:rPr>
        <w:t>DSUs</w:t>
      </w:r>
      <w:r>
        <w:rPr>
          <w:color w:val="000000"/>
        </w:rPr>
        <w:t>”</w:t>
      </w:r>
      <w:r>
        <w:rPr>
          <w:rFonts w:ascii="Times New Roman;serif" w:hAnsi="Times New Roman;serif"/>
          <w:b w:val="false"/>
          <w:color w:val="000000"/>
          <w:sz w:val="22"/>
        </w:rPr>
        <w:t>) under this Plan and awards of matching Restricted Stock Units under Section 8 of the CoStar Group, Inc. 2025 Stock Incentive Plan or its successor plan(s) (the “</w:t>
      </w:r>
      <w:r>
        <w:rPr>
          <w:rFonts w:ascii="Times New Roman;serif" w:hAnsi="Times New Roman;serif"/>
          <w:b/>
          <w:color w:val="000000"/>
          <w:sz w:val="22"/>
        </w:rPr>
        <w:t>2025 SIP</w:t>
      </w:r>
      <w:r>
        <w:rPr>
          <w:color w:val="000000"/>
        </w:rPr>
        <w:t>”</w:t>
      </w:r>
      <w:r>
        <w:rPr>
          <w:rFonts w:ascii="Times New Roman;serif" w:hAnsi="Times New Roman;serif"/>
          <w:b w:val="false"/>
          <w:color w:val="000000"/>
          <w:sz w:val="22"/>
        </w:rPr>
        <w:t xml:space="preserve">). Defined terms not otherwise defined in this Plan shall have the meanings set forth in the 2025 SIP. </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 xml:space="preserve">2.TAX COMPLIANCE. </w:t>
      </w:r>
    </w:p>
    <w:p>
      <w:pPr>
        <w:pStyle w:val="TextBody"/>
        <w:bidi w:val="0"/>
        <w:spacing w:lineRule="auto" w:line="288" w:before="0" w:after="220"/>
        <w:jc w:val="both"/>
        <w:rPr/>
      </w:pPr>
      <w:r>
        <w:rPr>
          <w:rFonts w:ascii="Times New Roman;serif" w:hAnsi="Times New Roman;serif"/>
          <w:b w:val="false"/>
          <w:color w:val="000000"/>
          <w:sz w:val="22"/>
        </w:rPr>
        <w:t>Notwithstanding anything in this Plan to the contrary, this Plan is intended, and shall be construed to, provide that all elections, awards issued hereunder, distributions, and other aspects of this Plan shall comply with Section 409A of the Internal Revenue Code of 1986, as amended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and any regulations and other guidance thereunder to the extent applicable.</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3.ELIGIBILITY, PARTICIPATION AND ADMINISTRATION.</w:t>
      </w:r>
    </w:p>
    <w:p>
      <w:pPr>
        <w:pStyle w:val="TextBody"/>
        <w:bidi w:val="0"/>
        <w:spacing w:lineRule="auto" w:line="240" w:before="0" w:after="220"/>
        <w:ind w:left="0" w:right="0" w:hanging="709"/>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Eligibility</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An employee of the Company or a Subsidiary shall be eligible to participate in this Plan if the employee (a) is (i) an “executive officer” as defined in Section 16 of the Securities Exchange Act of 1934, as amended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including without limitation the Chief Executive Officer of the Company, or (ii) is designated from time to time by the Chief Executive Officer of the Company, who is also a director of the Company, acting as a committee of one, to participate in the Plan, and (b) is a member of a select group of management or highly compensated employees within the meaning of the Employee Retirement Income Security Act of 1974, as amended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(each such employee who elects to defer bonus and/or commission compensation pursuant to this Plan is referred to herein as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w:t>
      </w:r>
    </w:p>
    <w:p>
      <w:pPr>
        <w:pStyle w:val="TextBody"/>
        <w:bidi w:val="0"/>
        <w:spacing w:lineRule="auto" w:line="240" w:before="0" w:after="220"/>
        <w:ind w:left="0" w:right="0" w:hanging="709"/>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Participation</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An eligible employee may elect to participate in this Plan with respect to any Plan Year by submitting a participation agreement in the form determined by the Company (a “</w:t>
      </w:r>
      <w:r>
        <w:rPr>
          <w:rFonts w:ascii="Times New Roman;serif" w:hAnsi="Times New Roman;serif"/>
          <w:b/>
          <w:color w:val="000000"/>
          <w:sz w:val="22"/>
        </w:rPr>
        <w:t>Participation Agreement</w:t>
      </w:r>
      <w:r>
        <w:rPr>
          <w:color w:val="000000"/>
        </w:rPr>
        <w:t>”</w:t>
      </w:r>
      <w:r>
        <w:rPr>
          <w:rFonts w:ascii="Times New Roman;serif" w:hAnsi="Times New Roman;serif"/>
          <w:b w:val="false"/>
          <w:color w:val="000000"/>
          <w:sz w:val="22"/>
        </w:rPr>
        <w:t>) to the Company, on or before the date established by the Company. The “</w:t>
      </w:r>
      <w:r>
        <w:rPr>
          <w:rFonts w:ascii="Times New Roman;serif" w:hAnsi="Times New Roman;serif"/>
          <w:b/>
          <w:color w:val="000000"/>
          <w:sz w:val="22"/>
        </w:rPr>
        <w:t>Plan Year</w:t>
      </w:r>
      <w:r>
        <w:rPr>
          <w:color w:val="000000"/>
        </w:rPr>
        <w:t xml:space="preserve">” </w:t>
      </w:r>
      <w:r>
        <w:rPr>
          <w:rFonts w:ascii="Times New Roman;serif" w:hAnsi="Times New Roman;serif"/>
          <w:b w:val="false"/>
          <w:color w:val="000000"/>
          <w:sz w:val="22"/>
        </w:rPr>
        <w:t xml:space="preserve">shall be the calendar year. Such election shall be made no later than December 31 of the year immediately-preceding the year to which the applicable bonus or commission relates (or, for an eligible employee who was not previously eligible to participate in this Plan or any plan that must be aggregated with the Plan for purposes of Section 409A of the Code, no later than 30 days following the date such employee becomes eligible to participate in the Plan and only with respect to services to be performed subsequent to the election (in accordance with Section 409A of the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7" name="Frame1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pPr>
      <w:r>
        <w:rPr>
          <w:rFonts w:ascii="Times New Roman;serif" w:hAnsi="Times New Roman;serif"/>
          <w:b w:val="false"/>
          <w:color w:val="000000"/>
          <w:sz w:val="22"/>
        </w:rPr>
        <w:t>Code)) or, if permitted by the Compensation Committee of the Company’s Board (the “</w:t>
      </w:r>
      <w:r>
        <w:rPr>
          <w:rFonts w:ascii="Times New Roman;serif" w:hAnsi="Times New Roman;serif"/>
          <w:b/>
          <w:color w:val="000000"/>
          <w:sz w:val="22"/>
        </w:rPr>
        <w:t>Committee</w:t>
      </w:r>
      <w:r>
        <w:rPr>
          <w:color w:val="000000"/>
        </w:rPr>
        <w:t>”</w:t>
      </w:r>
      <w:r>
        <w:rPr>
          <w:rFonts w:ascii="Times New Roman;serif" w:hAnsi="Times New Roman;serif"/>
          <w:b w:val="false"/>
          <w:color w:val="000000"/>
          <w:sz w:val="22"/>
        </w:rPr>
        <w:t>), any later date permitted by Section 409A of the Code.</w:t>
      </w:r>
    </w:p>
    <w:p>
      <w:pPr>
        <w:pStyle w:val="TextBody"/>
        <w:bidi w:val="0"/>
        <w:spacing w:lineRule="auto" w:line="240" w:before="0" w:after="220"/>
        <w:ind w:left="0" w:right="0" w:hanging="709"/>
        <w:jc w:val="both"/>
        <w:rPr/>
      </w:pPr>
      <w:r>
        <w:rPr>
          <w:rFonts w:ascii="Times New Roman;serif" w:hAnsi="Times New Roman;serif"/>
          <w:b w:val="false"/>
          <w:color w:val="000000"/>
          <w:sz w:val="22"/>
        </w:rPr>
        <w:t>3.3</w:t>
      </w:r>
      <w:r>
        <w:rPr>
          <w:rFonts w:ascii="Times New Roman;serif" w:hAnsi="Times New Roman;serif"/>
          <w:b w:val="false"/>
          <w:color w:val="000000"/>
          <w:sz w:val="22"/>
          <w:u w:val="single"/>
        </w:rPr>
        <w:t>Administration</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Plan shall be administered by the Committee. Subject to the express provisions of this Plan, the Committee shall be authorized and empowered to do all 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(iii) to grant awards to Participants and determine the terms and conditions thereof; (iv) to prescribe and amend the terms of the Participation Agreements or other documents evidencing awards made under this Plan (which need not be identical) and the terms of or form of any document or notice required to be delivered to the Company by Participants under this Plan; (v) to determine the extent to which adjustments are required pursuant to Section 4.1(b); (vi) to interpret and construe this Plan, any rules and regulations under this Plan and the terms and conditions of any award granted hereunder, and to make exceptions to any such provisions in good faith and for the benefit of the Company; and (vii) to make all other determinations deemed necessary or advisable for the administration of this Plan. In addition, the Compensation Committee may delegate any or all aspects of the day-to-day administration of the Plan to one or more officers or employees of the Company or any Subsidiary, and/or to one or more agents.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4.DEFERRED STOCK UNIT AND RESTRICTED STOCK UNIT AWARDS.</w:t>
      </w:r>
    </w:p>
    <w:p>
      <w:pPr>
        <w:pStyle w:val="TextBody"/>
        <w:bidi w:val="0"/>
        <w:spacing w:lineRule="auto" w:line="240" w:before="0" w:after="220"/>
        <w:ind w:left="0" w:right="0" w:hanging="709"/>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Shares Subject to this Plan</w:t>
      </w:r>
      <w:r>
        <w:rPr>
          <w:rFonts w:ascii="Times New Roman;serif" w:hAnsi="Times New Roman;serif"/>
          <w:b w:val="false"/>
          <w:color w:val="000000"/>
          <w:sz w:val="22"/>
        </w:rPr>
        <w:t>.</w:t>
      </w:r>
    </w:p>
    <w:p>
      <w:pPr>
        <w:pStyle w:val="TextBody"/>
        <w:bidi w:val="0"/>
        <w:spacing w:lineRule="auto" w:line="240" w:before="0" w:after="220"/>
        <w:ind w:left="0" w:right="0" w:hanging="70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Shares Available</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The total number of shares of common stock of the Company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reserved and available for issuance pursuant to DSUs under this Plan shall be 1,500,0000 (inclusive of awards made prior to the Restatement Effective Date). For the avoidance of doubt, Common Shares issued pursuant to awards of Matching RSUs under this Plan shall not reduce the share pool set forth in the preceding sentence, but instead shall be issued from the share pool under the 2025 SIP. The Common Shares issued pursuant to this Plan may be Common Shares that are authorized and unissued or Shares that were acquired by the Company, including Common Shares purchased on the open market.</w:t>
      </w:r>
    </w:p>
    <w:p>
      <w:pPr>
        <w:pStyle w:val="TextBody"/>
        <w:bidi w:val="0"/>
        <w:spacing w:lineRule="auto" w:line="240" w:before="0" w:after="220"/>
        <w:ind w:left="0" w:right="0" w:hanging="70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Adjustments for Certain Corporate Transactions</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The number and kind of Common Shares available for issuance under this Plan (including under any awards then outstanding) shall be equitably adjusted by the Committee to reflect any reorganization, reclassification, combination of shares, stock split, reverse stock split, spin-off, dividend or distribution of securities, property or cash (other than regular, quarterly cash dividends), or any other equity restructuring transaction, as that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6415"/>
                <wp:effectExtent l="0" t="0" r="0" b="0"/>
                <wp:wrapNone/>
                <wp:docPr id="128" name="Frame1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term is defined in Accounting Standards Codification (“ASC”) 718 Stock Compensation. Such adjustment may be designed to treat the Common Shares available under the Plan and subject to DSUs as if they were all outstanding on the record date for such event or transaction or to increase the number of such Common Shares to reflect a deemed reinvestment in Common Shares of the amount distributed to the Company’s security holders. In the event there shall be any other change in the number or kind of outstanding Common Shares, or any stock or other securities into which such Common Shares shall have been changed, or for which it shall have been exchanged, by reason of a change of control, other merger, consolidation or otherwise in circumstances that do not involve an equity restructuring transaction, as that term is defined in ASC 718, then the Committee shall determine the appropriate adjustment, if any, to be effected. No right to purchase fractional shares shall result from any adjustment in DSUs pursuant to this Section 4.1(b). In case of any such adjustment, the Common Shares subject to the DSUs shall be rounded down to the nearest whole share. The Company shall notify Participants holding awards subject to any adjustments pursuant to this Section 4.1(b) of such adjustment, but (whether or not notice is given) such adjustment shall be effective and binding for all purposes of the Plan.</w:t>
      </w:r>
    </w:p>
    <w:p>
      <w:pPr>
        <w:pStyle w:val="TextBody"/>
        <w:bidi w:val="0"/>
        <w:spacing w:lineRule="auto" w:line="240" w:before="0" w:after="220"/>
        <w:ind w:left="0" w:right="0" w:hanging="709"/>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Bonus Deferral Commitment</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A Participant may elect to defer up to 90% (or such other percentage as determined by the Committee) of (i) his or her incentive award (in increments of 1% or as otherwise determined by the Committee), paid under the Company’s 2016 Cash Incentive Plan or any other Company- or Company subsidiary-sponsored bonus or cash incentive plans (or any successor incentive plan), and/or (ii) to the extent permitted by the Committee, commission compensation (collectively, “</w:t>
      </w:r>
      <w:r>
        <w:rPr>
          <w:rFonts w:ascii="Times New Roman;serif" w:hAnsi="Times New Roman;serif"/>
          <w:b/>
          <w:color w:val="000000"/>
          <w:sz w:val="22"/>
        </w:rPr>
        <w:t>Bonus Compensation</w:t>
      </w:r>
      <w:r>
        <w:rPr>
          <w:color w:val="000000"/>
        </w:rPr>
        <w:t>”</w:t>
      </w:r>
      <w:r>
        <w:rPr>
          <w:rFonts w:ascii="Times New Roman;serif" w:hAnsi="Times New Roman;serif"/>
          <w:b w:val="false"/>
          <w:color w:val="000000"/>
          <w:sz w:val="22"/>
        </w:rPr>
        <w:t>), in a Participation Agreement for a period of four (4) years, or such longer period as may be permitted by the Committee (the “</w:t>
      </w:r>
      <w:r>
        <w:rPr>
          <w:rFonts w:ascii="Times New Roman;serif" w:hAnsi="Times New Roman;serif"/>
          <w:b/>
          <w:color w:val="000000"/>
          <w:sz w:val="22"/>
        </w:rPr>
        <w:t>Deferral Period</w:t>
      </w:r>
      <w:r>
        <w:rPr>
          <w:color w:val="000000"/>
        </w:rPr>
        <w:t>”</w:t>
      </w:r>
      <w:r>
        <w:rPr>
          <w:rFonts w:ascii="Times New Roman;serif" w:hAnsi="Times New Roman;serif"/>
          <w:b w:val="false"/>
          <w:color w:val="000000"/>
          <w:sz w:val="22"/>
        </w:rPr>
        <w:t>) from the date that amounts subject to such election would otherwise become payable (the “</w:t>
      </w:r>
      <w:r>
        <w:rPr>
          <w:rFonts w:ascii="Times New Roman;serif" w:hAnsi="Times New Roman;serif"/>
          <w:b/>
          <w:color w:val="000000"/>
          <w:sz w:val="22"/>
        </w:rPr>
        <w:t>Deferral Date</w:t>
      </w:r>
      <w:r>
        <w:rPr>
          <w:color w:val="000000"/>
        </w:rPr>
        <w:t>”</w:t>
      </w:r>
      <w:r>
        <w:rPr>
          <w:rFonts w:ascii="Times New Roman;serif" w:hAnsi="Times New Roman;serif"/>
          <w:b w:val="false"/>
          <w:color w:val="000000"/>
          <w:sz w:val="22"/>
        </w:rPr>
        <w:t>) (any amount so elected to be deferred pursuant to this Plan is referred to herein as a “</w:t>
      </w:r>
      <w:r>
        <w:rPr>
          <w:rFonts w:ascii="Times New Roman;serif" w:hAnsi="Times New Roman;serif"/>
          <w:b/>
          <w:color w:val="000000"/>
          <w:sz w:val="22"/>
        </w:rPr>
        <w:t>Bonus Deferral Commitment</w:t>
      </w:r>
      <w:r>
        <w:rPr>
          <w:color w:val="000000"/>
        </w:rPr>
        <w:t>”</w:t>
      </w:r>
      <w:r>
        <w:rPr>
          <w:rFonts w:ascii="Times New Roman;serif" w:hAnsi="Times New Roman;serif"/>
          <w:b w:val="false"/>
          <w:color w:val="000000"/>
          <w:sz w:val="22"/>
        </w:rPr>
        <w:t>). To the extent applicable, Bonus Deferral Commitments under this Plan are intended to conform to the requirements of Section 409A of the Code. The amount to be deferred shall be stated as a percentage of any Bonus Compensation payable during the Plan Year with respect to which the deferral applies, or in such other form as allowed by the Committee consistent with the applicable requirements of Section 409A of the Code. Each Bonus Deferral Commitment shall be obtained from a Participant in a time and manner that complies with Section 409A of the Code and any regulatory or other guidance issued thereunder to the extent applicable.</w:t>
      </w:r>
    </w:p>
    <w:p>
      <w:pPr>
        <w:pStyle w:val="TextBody"/>
        <w:bidi w:val="0"/>
        <w:spacing w:lineRule="auto" w:line="240" w:before="0" w:after="220"/>
        <w:ind w:left="0" w:right="0" w:hanging="709"/>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Awards of Deferred and Restricted Stock Units</w:t>
      </w:r>
      <w:r>
        <w:rPr>
          <w:rFonts w:ascii="Times New Roman;serif" w:hAnsi="Times New Roman;serif"/>
          <w:b w:val="false"/>
          <w:color w:val="000000"/>
          <w:sz w:val="22"/>
        </w:rPr>
        <w:t>.</w:t>
      </w:r>
    </w:p>
    <w:p>
      <w:pPr>
        <w:pStyle w:val="TextBody"/>
        <w:bidi w:val="0"/>
        <w:spacing w:lineRule="auto" w:line="240" w:before="0" w:after="220"/>
        <w:ind w:left="0" w:right="0" w:hanging="70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Deferred Stock Unit Awards</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A DSU shall be a bookkeeping unit equivalent to one Common Share. DSUs shall not constitute actual stock and shall have no voting rights. On the Deferral Date, the Company shall award to the Participant DSUs covering a number of Common Shares having an aggregate Fair Market Value on the Deferral Date equal to the amount of the Bonus Compensation elected to be deferred (rounded down to the nearest whole Common Share) and withhold from the Bonus Compensation otherwise payable an amount equal to the Fair Market Value of such DSUs on the Deferral Date. For these purposes, the “</w:t>
      </w:r>
      <w:r>
        <w:rPr>
          <w:rFonts w:ascii="Times New Roman;serif" w:hAnsi="Times New Roman;serif"/>
          <w:b/>
          <w:color w:val="000000"/>
          <w:sz w:val="22"/>
        </w:rPr>
        <w:t>Fair Market Value</w:t>
      </w:r>
      <w:r>
        <w:rPr>
          <w:color w:val="000000"/>
        </w:rPr>
        <w:t xml:space="preserve">” </w:t>
      </w:r>
      <w:r>
        <w:rPr>
          <w:rFonts w:ascii="Times New Roman;serif" w:hAnsi="Times New Roman;serif"/>
          <w:b w:val="false"/>
          <w:color w:val="000000"/>
          <w:sz w:val="22"/>
        </w:rPr>
        <w:t xml:space="preserve">means, as of any given date, the higher of (i) the closing sales price and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6415"/>
                <wp:effectExtent l="0" t="0" r="0" b="0"/>
                <wp:wrapNone/>
                <wp:docPr id="129" name="Frame1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(ii) the consolidated closing bid price on such date during normal trading hours (or, if there are no reported sales on such date, on the last date prior to such date on which there were sales) of the Common Shares on NASDAQ, or if not listed on NASDAQ on the New York Stock Exchange Composite Tape or, if not listed on any such exchanges, on any other national securities exchange on which the Common Shares are listed, in any case, as reporting in such source as the Committee shall select. If there is no regular public trading market for such Common Shares, the Fair Market Value of the Common Shares shall be determined by the Committee in good faith. Any DSU granted to a Participant under this Plan shall be credited to a Deferred Stock Unit bookkeeping account maintained by the Company for such Participant.</w:t>
      </w:r>
    </w:p>
    <w:p>
      <w:pPr>
        <w:pStyle w:val="TextBody"/>
        <w:bidi w:val="0"/>
        <w:spacing w:lineRule="auto" w:line="240" w:before="0" w:after="220"/>
        <w:ind w:left="0" w:right="0" w:hanging="70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Matching Restricted Stock Unit Awards</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In addition to the DSUs, on the Deferral Date the Company shall also award to the Participant pursuant to the terms of the 2025 SIP, Restricted Stock Units (“</w:t>
      </w:r>
      <w:r>
        <w:rPr>
          <w:rFonts w:ascii="Times New Roman;serif" w:hAnsi="Times New Roman;serif"/>
          <w:b/>
          <w:color w:val="000000"/>
          <w:sz w:val="22"/>
        </w:rPr>
        <w:t>Matching RSUs</w:t>
      </w:r>
      <w:r>
        <w:rPr>
          <w:color w:val="000000"/>
        </w:rPr>
        <w:t>”</w:t>
      </w:r>
      <w:r>
        <w:rPr>
          <w:rFonts w:ascii="Times New Roman;serif" w:hAnsi="Times New Roman;serif"/>
          <w:b w:val="false"/>
          <w:color w:val="000000"/>
          <w:sz w:val="22"/>
        </w:rPr>
        <w:t>) covering a number of Common Shares equal to 100% (or such other percentage as determined by the Committee) of the number of Common Shares subject to the DSUs awarded to the Participant on the Deferral Date pursuant to Section 4.3(a) (rounded down to the nearest whole Common Share), subject to the Participant’s continued employment on the Deferral Date. Additional Matching RSUs may be granted as determined by the Committee, and such additional Matching RSUs may be subject to such performance goals as determined by the Committee and permitted under the 2025 SIP. Matching RSUs shall not constitute actual stock and shall have no voting rights. Any Matching RSU granted to a Participant under this Plan shall be credited to a Restricted Stock Unit bookkeeping account maintained by the Company for such Participant.</w:t>
      </w:r>
    </w:p>
    <w:p>
      <w:pPr>
        <w:pStyle w:val="TextBody"/>
        <w:bidi w:val="0"/>
        <w:spacing w:lineRule="auto" w:line="240" w:before="0" w:after="220"/>
        <w:ind w:left="0" w:right="0" w:hanging="70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Vesting</w:t>
      </w:r>
      <w:r>
        <w:rPr>
          <w:rFonts w:ascii="Times New Roman;serif" w:hAnsi="Times New Roman;serif"/>
          <w:b w:val="false"/>
          <w:color w:val="000000"/>
          <w:sz w:val="22"/>
        </w:rPr>
        <w:t xml:space="preserve">. </w:t>
      </w:r>
    </w:p>
    <w:p>
      <w:pPr>
        <w:pStyle w:val="TextBody"/>
        <w:bidi w:val="0"/>
        <w:spacing w:lineRule="auto" w:line="288" w:before="0" w:after="220"/>
        <w:jc w:val="both"/>
        <w:rPr/>
      </w:pPr>
      <w:r>
        <w:rPr>
          <w:rFonts w:ascii="Times New Roman;serif" w:hAnsi="Times New Roman;serif"/>
          <w:b w:val="false"/>
          <w:color w:val="000000"/>
          <w:sz w:val="22"/>
        </w:rPr>
        <w:t>Unless otherwise provided for in the terms of a Participation Agreement, all DSUs shall be fully vested as of the applicable Deferral Date. Matching RSUs shall vest on the fourth (4th) anniversary of the Deferral Date, subject to the Participant’s continued employment with the Company through such anniversary. Notwithstanding the foregoing, if a Change in Control occurs in which the Matching RSU is assumed, continued or substituted pursuant to Section 4.3(d) and you experience a termination of employment, consultancy, directorship or other position (“Termination of Service”) from the Company or a Subsidiary without Cause within twelve (12) months following the Change in Control, any unvested portion of the Matching RSU shall automatically become 100% vested on the date of such Termination of Service. For purposes hereof, a “</w:t>
      </w:r>
      <w:r>
        <w:rPr>
          <w:rFonts w:ascii="Times New Roman;serif" w:hAnsi="Times New Roman;serif"/>
          <w:b/>
          <w:color w:val="000000"/>
          <w:sz w:val="22"/>
        </w:rPr>
        <w:t>Change in Control</w:t>
      </w:r>
      <w:r>
        <w:rPr>
          <w:color w:val="000000"/>
        </w:rPr>
        <w:t xml:space="preserve">” </w:t>
      </w:r>
      <w:r>
        <w:rPr>
          <w:rFonts w:ascii="Times New Roman;serif" w:hAnsi="Times New Roman;serif"/>
          <w:b w:val="false"/>
          <w:color w:val="000000"/>
          <w:sz w:val="22"/>
        </w:rPr>
        <w:t>means the occurrence of any one or more of the following events: (i) a Person (as the term person is used for purposes of Section 13(d) or 14(d) of the Exchange Act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w:t>
      </w:r>
      <w:r>
        <w:rPr>
          <w:rFonts w:ascii="Times New Roman;serif" w:hAnsi="Times New Roman;serif"/>
          <w:b/>
          <w:color w:val="000000"/>
          <w:sz w:val="22"/>
        </w:rPr>
        <w:t>Company Voting Securities</w:t>
      </w:r>
      <w:r>
        <w:rPr>
          <w:color w:val="000000"/>
        </w:rPr>
        <w:t>”</w:t>
      </w:r>
      <w:r>
        <w:rPr>
          <w:rFonts w:ascii="Times New Roman;serif" w:hAnsi="Times New Roman;serif"/>
          <w:b w:val="false"/>
          <w:color w:val="000000"/>
          <w:sz w:val="22"/>
        </w:rPr>
        <w:t xml:space="preserve">); (ii) 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6415"/>
                <wp:effectExtent l="0" t="0" r="0" b="0"/>
                <wp:wrapNone/>
                <wp:docPr id="130" name="Frame1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surviving entity or its parent; or (iii) the stockholders of the Company approve (A) a plan of complete liquidation or dissolution of the Company or (B) an agreement for the Company’s sale or disposition of all or substantially all of the Company’s assets, and such liquidation, dissolution, sale or disposition is consummated. Even if other tests are met, a Change in Control shall not have occurred under any circumstances in which the Company files for bankruptcy protection or is reorganized following a bankruptcy filing.</w:t>
      </w:r>
    </w:p>
    <w:p>
      <w:pPr>
        <w:pStyle w:val="TextBody"/>
        <w:bidi w:val="0"/>
        <w:spacing w:lineRule="auto" w:line="288" w:before="0" w:after="220"/>
        <w:jc w:val="both"/>
        <w:rPr/>
      </w:pPr>
      <w:r>
        <w:rPr>
          <w:rFonts w:ascii="Times New Roman;serif" w:hAnsi="Times New Roman;serif"/>
          <w:b w:val="false"/>
          <w:color w:val="000000"/>
          <w:sz w:val="22"/>
        </w:rPr>
        <w:t>For purposes of this Plan, “Cause” means: (i) if you are party to a written employment, consulting or similar agreement with the Company or any of its Subsidiaries in which the term “cause” is defined, “Cause” as defined in such agreement, and (ii) if no such agreement exists, (A) the Compensation Committee of the Company’s Board of Directors (or other administrator of the Plan, the “</w:t>
      </w:r>
      <w:r>
        <w:rPr>
          <w:rFonts w:ascii="Times New Roman;serif" w:hAnsi="Times New Roman;serif"/>
          <w:b w:val="false"/>
          <w:i/>
          <w:color w:val="000000"/>
          <w:sz w:val="22"/>
        </w:rPr>
        <w:t>Administrator</w:t>
      </w:r>
      <w:r>
        <w:rPr>
          <w:color w:val="000000"/>
        </w:rPr>
        <w:t>”</w:t>
      </w:r>
      <w:r>
        <w:rPr>
          <w:rFonts w:ascii="Times New Roman;serif" w:hAnsi="Times New Roman;serif"/>
          <w:b w:val="false"/>
          <w:color w:val="000000"/>
          <w:sz w:val="22"/>
        </w:rPr>
        <w:t>) makes a determination that you failed to substantially perform your duties (other than a failure resulting from your permanent and total disability (as determined under Section 22(e)(3) of the Code); (B) the Administrator’s determination that you failed to carry out, or comply with any lawful and reasonable directive of the Company’s Board of Directors or your immediate supervisor; (C) the occurrence of any act or omission by you that could reasonably be expected to result in (or has resulted in) your conviction, plea of no contest, plea of nolo contendere, or imposition of unadjudicated probation for any felony or indictable offense or crime involving moral turpitude; (D) your unlawful use (including being under the influence) or possession of illegal drugs on the premises of the Company or any of its Subsidiaries or while performing your duties and responsibilities for the Company or any of its Subsidiaries; or (E) your commission of an act of fraud, embezzlement, misappropriation, misconduct, or breach of fiduciary duty against the Company or any of its Subsidiaries.</w:t>
      </w:r>
    </w:p>
    <w:p>
      <w:pPr>
        <w:pStyle w:val="TextBody"/>
        <w:bidi w:val="0"/>
        <w:spacing w:lineRule="auto" w:line="240"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(d)Change in Control. Upon a Change in Control, unless the Administrator determines otherwise, any unvested portion of the Matching RSUs will fully vest pursuant to Section 4.3(c) above unless provision is made in writing in connection with such transaction for the occurrence of one of the following events (as determined by the Administrator): (i) the assumption or continuation of the outstanding Matching RSUs or (ii) the substitution of such Matching RSUs with a comparable award (as determined by the Administrator), with appropriate adjustments as to the number and kind of shares of stock, in which event the Matching RSUs (or substitute awards) will continue in the manner and under their applicable terms (as modified by Section 4.3(c)). </w:t>
      </w:r>
    </w:p>
    <w:p>
      <w:pPr>
        <w:pStyle w:val="TextBody"/>
        <w:bidi w:val="0"/>
        <w:spacing w:lineRule="auto" w:line="240" w:before="0" w:after="220"/>
        <w:ind w:left="0" w:right="0" w:hanging="709"/>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Employment Required</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a Participant must be employed by the Company or a Subsidiary on the Deferral Date in order to receive an award of DSUs or Matching RSUs under this Plan with respect to a Bonus Deferral Commitment; provided, however, that if a Participant is not employed on the Deferral Date with respect to a Bonus Deferral Commitment, any such Bonus Deferral Commitment that is earned by a Participant shall be paid in cash (rather than in an award of DSUs) in accordance with Section 5 of this Plan (and for the avoidance of doubt, any such cash amount shall be paid at the same time as Common Shares would have otherwise been issued in accordance with Section 5 of this Plan and will be subject to Section 5.2 of this Plan).</w:t>
      </w:r>
    </w:p>
    <w:p>
      <w:pPr>
        <w:pStyle w:val="TextBody"/>
        <w:bidi w:val="0"/>
        <w:spacing w:lineRule="auto" w:line="240" w:before="0" w:after="220"/>
        <w:ind w:left="0" w:right="0" w:hanging="709"/>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Award Agreements</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Each award of DSUs or Matching RSUs under this Plan may be evidenced by an Award Agreement between the Company and the Participant memorializing the terms and conditions thereof.</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6415"/>
                <wp:effectExtent l="0" t="0" r="0" b="0"/>
                <wp:wrapNone/>
                <wp:docPr id="131" name="Frame1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ind w:left="0" w:right="0" w:hanging="709"/>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Dividend Equivalent Rights</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Unless otherwise provided by the Committee, any awards of DSUs or Matching RSUs under this Plan shall earn dividend equivalents. Unless otherwise provided by the Committee, such dividend equivalents shall be made (by regularly scheduled payroll or otherwise) at the same time the underlying DSUs or Matching RSUs are settled.</w:t>
      </w:r>
    </w:p>
    <w:p>
      <w:pPr>
        <w:pStyle w:val="TextBody"/>
        <w:bidi w:val="0"/>
        <w:spacing w:lineRule="auto" w:line="240" w:before="0" w:after="220"/>
        <w:ind w:left="0" w:right="0" w:hanging="709"/>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Modification of Bonus Deferral Commitment</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 Bonus Deferral Commitment shall be irrevocable except that the Committee may, in its sole and absolute discretion, permit a Participant to reduce the amount to be deferred, or waive the remainder of the Bonus Deferral Commitment upon a finding that the Participant has suffered an Unforeseeable Emergency (as defined below). The dollar amount associated with such a reduction or waiver shall not exceed the amount required (including anticipated taxes on the distribution) to meet the emergency financial need and not reasonably available from other resources of the Participant (including reimbursement or compensation by insurance, cessation of deferrals under this Plan, and liquidation of the Participant’s assets, to the extent liquidation itself would not cause severe financial hardship). If the Committee grants a reduction or waiver request pursuant to this Section 4.5, the Participant will forfeit any unvested Matching RSUs associated with the reduction or waiver and will not be allowed to enter into a new Bonus Deferral Commitment for the remainder of the Plan Year in which the reduction or waiver of the Bonus Deferral Commitment occurs and the following Plan Year. Any resumption of the Participant’s deferrals under this Plan shall be made only at the election of the Participant in accordance with this Section 4.</w:t>
      </w:r>
    </w:p>
    <w:p>
      <w:pPr>
        <w:pStyle w:val="TextBody"/>
        <w:bidi w:val="0"/>
        <w:spacing w:lineRule="auto" w:line="288" w:before="0" w:after="220"/>
        <w:jc w:val="both"/>
        <w:rPr/>
      </w:pPr>
      <w:r>
        <w:rPr>
          <w:rFonts w:ascii="Times New Roman;serif" w:hAnsi="Times New Roman;serif"/>
          <w:b w:val="false"/>
          <w:color w:val="000000"/>
          <w:sz w:val="22"/>
        </w:rPr>
        <w:t>For purposes hereof, an “</w:t>
      </w:r>
      <w:r>
        <w:rPr>
          <w:rFonts w:ascii="Times New Roman;serif" w:hAnsi="Times New Roman;serif"/>
          <w:b/>
          <w:color w:val="000000"/>
          <w:sz w:val="22"/>
        </w:rPr>
        <w:t>Unforeseeable Emergency</w:t>
      </w:r>
      <w:r>
        <w:rPr>
          <w:color w:val="000000"/>
        </w:rPr>
        <w:t xml:space="preserve">” </w:t>
      </w:r>
      <w:r>
        <w:rPr>
          <w:rFonts w:ascii="Times New Roman;serif" w:hAnsi="Times New Roman;serif"/>
          <w:b w:val="false"/>
          <w:color w:val="000000"/>
          <w:sz w:val="22"/>
        </w:rPr>
        <w:t>is a severe financial hardship to the Participant resulting from: (a) medical expenses resulting from a sudden unexpected illness or accident incurred by the Participant, his spouse, his beneficiary, or his dependents (as defined in Code Section 152(a) without regard to section 152(b)(1), (b)(2), and (d)(1)(B) for employees of the Company); (b) uninsured casualty loss pertaining to property owned by the Participant; or (c) other similar extraordinary and unforeseeable circumstances involving an uninsured loss arising from an event beyond the control of the Participant.</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Any DSUs subject to such waiver or reduction request shall be distributed to the Participant in the form of Common Shares as soon as practicable following the grant of such waiver or reduction request.</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5.TIME AND FORM OF PAYMENT.</w:t>
      </w:r>
    </w:p>
    <w:p>
      <w:pPr>
        <w:pStyle w:val="TextBody"/>
        <w:bidi w:val="0"/>
        <w:spacing w:lineRule="auto" w:line="240" w:before="0" w:after="220"/>
        <w:ind w:left="0" w:right="0" w:hanging="706"/>
        <w:jc w:val="both"/>
        <w:rPr/>
      </w:pPr>
      <w:r>
        <w:rPr>
          <w:rFonts w:ascii="Times New Roman;serif" w:hAnsi="Times New Roman;serif"/>
          <w:b w:val="false"/>
          <w:color w:val="000000"/>
          <w:sz w:val="22"/>
        </w:rPr>
        <w:t>5.1</w:t>
      </w:r>
      <w:r>
        <w:rPr>
          <w:rFonts w:ascii="Times New Roman;serif" w:hAnsi="Times New Roman;serif"/>
          <w:b w:val="false"/>
          <w:color w:val="000000"/>
          <w:sz w:val="22"/>
          <w:u w:val="single"/>
        </w:rPr>
        <w:t>Time and Form of Payment</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DSUs shall be settled with the Participant (or his or her beneficiary) in the form of Common Shares as soon as practicable after the date on which the earliest of the following occurs: (a) the Deferral Period expires, (b) the Participant dies, (c) the Participant becomes disabled (as defined in the terms of the Company’s or the Company subsidiary’s Long-Term Disability Plan, as the case may be, or, if such definition does not comply with the requirements of Treas. Reg. 1.409A-3(i)(4), the Participant will be considered disabled if the Participant meets the requirements of Treas. Reg. 1.409A-3(i)(4)(i)), (d) the Participant experiences a separation from service (within the meaning of Section 409A of the Code and the regulations, notices and other guidance thereunder), or (e) there is a Change in Control that qualifies as a change in the ownership or effective control of the Company within the meaning of Section 409A of the Code.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6415"/>
                <wp:effectExtent l="0" t="0" r="0" b="0"/>
                <wp:wrapNone/>
                <wp:docPr id="132"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Vested Matching RSUs shall be settled with the Participant (or his or her beneficiary) in Common Shares as soon as practicable after the date on which the Matching RSUs vest in accordance with the terms of this Plan, and in all events no later than March 15th of the year following the year in which such Matching RSUs vest.</w:t>
      </w:r>
    </w:p>
    <w:p>
      <w:pPr>
        <w:pStyle w:val="TextBody"/>
        <w:bidi w:val="0"/>
        <w:spacing w:lineRule="auto" w:line="240" w:before="0" w:after="220"/>
        <w:ind w:left="0" w:right="0" w:hanging="709"/>
        <w:jc w:val="both"/>
        <w:rPr/>
      </w:pPr>
      <w:r>
        <w:rPr>
          <w:rFonts w:ascii="Times New Roman;serif" w:hAnsi="Times New Roman;serif"/>
          <w:b w:val="false"/>
          <w:color w:val="000000"/>
          <w:sz w:val="22"/>
        </w:rPr>
        <w:t>5.2</w:t>
      </w:r>
      <w:r>
        <w:rPr>
          <w:rFonts w:ascii="Times New Roman;serif" w:hAnsi="Times New Roman;serif"/>
          <w:b w:val="false"/>
          <w:color w:val="000000"/>
          <w:sz w:val="22"/>
          <w:u w:val="single"/>
        </w:rPr>
        <w:t>Specified Employees</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herein to the contrary, and subject to Code Section 409A, to the extent Code Section 409A(2)(B)(i) is applicable, payment under this Section 5 shall not be made to any Participant who is a specified employee (within the meaning of Section 409A of the Code and the regulations, notices and other guidance thereunder, which, as of the Restatement Effective Date, includes each Participant in the Plan) before the earlier of (i) the date that is not less than six months after the date of the Participant’s separation from service (within the meaning of Section 409A of the Code and the regulations, notices and other guidance thereunder) and (ii) the date of the Participant’s death.  As soon as practicable following the expiration of the applicable Code Section 409A period, all payments deferred pursuant to the preceding sentence shall be paid in a lump sum to the Participant (or the Participant’s estate or beneficiaries), and any remaining payments due to Participant under the Plan shall be paid as otherwise provided herein. </w:t>
      </w:r>
    </w:p>
    <w:p>
      <w:pPr>
        <w:pStyle w:val="TextBody"/>
        <w:bidi w:val="0"/>
        <w:spacing w:lineRule="auto" w:line="240" w:before="0" w:after="220"/>
        <w:ind w:left="0" w:right="0" w:hanging="706"/>
        <w:jc w:val="both"/>
        <w:rPr/>
      </w:pPr>
      <w:r>
        <w:rPr>
          <w:rFonts w:ascii="Times New Roman;serif" w:hAnsi="Times New Roman;serif"/>
          <w:b w:val="false"/>
          <w:color w:val="000000"/>
          <w:sz w:val="22"/>
        </w:rPr>
        <w:t>5.3</w:t>
      </w:r>
      <w:r>
        <w:rPr>
          <w:rFonts w:ascii="Times New Roman;serif" w:hAnsi="Times New Roman;serif"/>
          <w:b w:val="false"/>
          <w:color w:val="000000"/>
          <w:sz w:val="22"/>
          <w:u w:val="single"/>
        </w:rPr>
        <w:t>Beneficiary Designation</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 the event of a Participant’s death, the Company will issue the Common Shares underlying the applicable DSUs or Matching RSUs to the Participant’s designated beneficiaries. If the Participant fails to complete a valid beneficiary designation (as determined by the Company), the Participant’s beneficiary will be his or her estate.</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 xml:space="preserve">6.AMENDMENT AND TERMINATION.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Board may amend, alter or discontinue this Plan and the Committee may amend, or alter any agreement or other document evidencing an award made under this Plan. No amendment or alteration to the Plan or an award or a Participation Agreement shall be made which would impair the rights of the Participant without such Participant’s consent, provided that no such consent shall be required if the Committee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 or any violation of Section 409A of the Code.</w:t>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7.MISCELLANEOUS.</w:t>
      </w:r>
    </w:p>
    <w:p>
      <w:pPr>
        <w:pStyle w:val="TextBody"/>
        <w:bidi w:val="0"/>
        <w:spacing w:lineRule="auto" w:line="240" w:before="0" w:after="220"/>
        <w:ind w:left="0" w:right="0" w:hanging="709"/>
        <w:jc w:val="both"/>
        <w:rPr/>
      </w:pPr>
      <w:r>
        <w:rPr>
          <w:rFonts w:ascii="Times New Roman;serif" w:hAnsi="Times New Roman;serif"/>
          <w:b w:val="false"/>
          <w:color w:val="000000"/>
          <w:sz w:val="22"/>
        </w:rPr>
        <w:t>7.1</w:t>
      </w:r>
      <w:r>
        <w:rPr>
          <w:rFonts w:ascii="Times New Roman;serif" w:hAnsi="Times New Roman;serif"/>
          <w:b w:val="false"/>
          <w:color w:val="000000"/>
          <w:sz w:val="22"/>
          <w:u w:val="single"/>
        </w:rPr>
        <w:t>No Liability of Company</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Company and any Subsidiary or affiliate which is in existence or hereafter comes into existence shall not be liable to a Participant or any other person as to: (i) the non-issuance or sale of Common Shares as to which the Company has been unable to obtain from any regulatory body having jurisdiction the authority deemed by the Company’s counsel to be necessary to the lawful issuance and sale of any Common Shares hereunder; and (ii) any tax consequence expected, but not realized, by any Participant or other person due to the receipt or settlement of any award granted hereunder.</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6415"/>
                <wp:effectExtent l="0" t="0" r="0" b="0"/>
                <wp:wrapNone/>
                <wp:docPr id="133"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ind w:left="0" w:right="0" w:hanging="706"/>
        <w:jc w:val="both"/>
        <w:rPr/>
      </w:pPr>
      <w:r>
        <w:rPr>
          <w:rFonts w:ascii="Times New Roman;serif" w:hAnsi="Times New Roman;serif"/>
          <w:b w:val="false"/>
          <w:color w:val="000000"/>
          <w:sz w:val="22"/>
        </w:rPr>
        <w:t>7.2</w:t>
      </w:r>
      <w:r>
        <w:rPr>
          <w:rFonts w:ascii="Times New Roman;serif" w:hAnsi="Times New Roman;serif"/>
          <w:b w:val="false"/>
          <w:color w:val="000000"/>
          <w:sz w:val="22"/>
          <w:u w:val="single"/>
        </w:rPr>
        <w:t>Unfunded Plan</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pStyle w:val="TextBody"/>
        <w:bidi w:val="0"/>
        <w:spacing w:lineRule="auto" w:line="240" w:before="0" w:after="220"/>
        <w:ind w:left="0" w:right="0" w:hanging="709"/>
        <w:jc w:val="both"/>
        <w:rPr/>
      </w:pPr>
      <w:r>
        <w:rPr>
          <w:rFonts w:ascii="Times New Roman;serif" w:hAnsi="Times New Roman;serif"/>
          <w:b w:val="false"/>
          <w:color w:val="000000"/>
          <w:sz w:val="22"/>
        </w:rPr>
        <w:t>7.3</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Except as provided in the applicable Participation Agreement or otherwise required by law, awards shall not be transferable or assignable other than by will or the laws of descent and distribution. In no event may any award be transferred in exchange for consideration.</w:t>
      </w:r>
    </w:p>
    <w:p>
      <w:pPr>
        <w:pStyle w:val="TextBody"/>
        <w:bidi w:val="0"/>
        <w:spacing w:lineRule="auto" w:line="240" w:before="0" w:after="220"/>
        <w:ind w:left="0" w:right="0" w:hanging="709"/>
        <w:jc w:val="both"/>
        <w:rPr/>
      </w:pPr>
      <w:r>
        <w:rPr>
          <w:rFonts w:ascii="Times New Roman;serif" w:hAnsi="Times New Roman;serif"/>
          <w:b w:val="false"/>
          <w:color w:val="000000"/>
          <w:sz w:val="22"/>
        </w:rPr>
        <w:t>7.4</w:t>
      </w:r>
      <w:r>
        <w:rPr>
          <w:rFonts w:ascii="Times New Roman;serif" w:hAnsi="Times New Roman;serif"/>
          <w:b w:val="false"/>
          <w:color w:val="000000"/>
          <w:sz w:val="22"/>
          <w:u w:val="single"/>
        </w:rPr>
        <w:t>No Right to Employment, Re-Election or Continued Service</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Nothing in this Plan or a Participation Agreement shall interfere with or limit in any way the right of the Company, its Subsidiaries and/or its affiliates to terminate any Participant’s employment at any time or for any reason not prohibited by law, nor shall this Plan or an award itself confer upon any Participant any right to continue his or her employment or service for any specified period of time or re-election to any office. Neither an award nor any benefits arising under this Plan shall constitute an employment contract with the Company, any Subsidiary and/or its affiliates.</w:t>
      </w:r>
    </w:p>
    <w:p>
      <w:pPr>
        <w:pStyle w:val="TextBody"/>
        <w:bidi w:val="0"/>
        <w:spacing w:lineRule="auto" w:line="240" w:before="0" w:after="220"/>
        <w:ind w:left="0" w:right="0" w:hanging="709"/>
        <w:jc w:val="both"/>
        <w:rPr/>
      </w:pPr>
      <w:r>
        <w:rPr>
          <w:rFonts w:ascii="Times New Roman;serif" w:hAnsi="Times New Roman;serif"/>
          <w:b w:val="false"/>
          <w:color w:val="000000"/>
          <w:sz w:val="22"/>
        </w:rPr>
        <w:t>7.5</w:t>
      </w:r>
      <w:r>
        <w:rPr>
          <w:rFonts w:ascii="Times New Roman;serif" w:hAnsi="Times New Roman;serif"/>
          <w:b w:val="false"/>
          <w:color w:val="000000"/>
          <w:sz w:val="22"/>
          <w:u w:val="single"/>
        </w:rPr>
        <w:t>Non-Exclusivity of Plan</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Neither the adoption of this Plan by the Board nor the submission of this Plan to the stockholders of the Company for approval, if applicable, shall be construed as creating any limitations on the power of the Board or the Committee to adopt such other incentive arrangements as either may deem desirable.</w:t>
      </w:r>
    </w:p>
    <w:p>
      <w:pPr>
        <w:pStyle w:val="TextBody"/>
        <w:bidi w:val="0"/>
        <w:spacing w:lineRule="auto" w:line="240" w:before="0" w:after="220"/>
        <w:ind w:left="0" w:right="0" w:hanging="709"/>
        <w:jc w:val="both"/>
        <w:rPr/>
      </w:pPr>
      <w:r>
        <w:rPr>
          <w:rFonts w:ascii="Times New Roman;serif" w:hAnsi="Times New Roman;serif"/>
          <w:b w:val="false"/>
          <w:color w:val="000000"/>
          <w:sz w:val="22"/>
        </w:rPr>
        <w:t>7.6</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88" w:before="0" w:after="220"/>
        <w:jc w:val="both"/>
        <w:rPr/>
      </w:pPr>
      <w:r>
        <w:rPr>
          <w:color w:val="000000"/>
        </w:rPr>
        <w:t>    </w:t>
      </w:r>
      <w:r>
        <w:rPr>
          <w:rFonts w:ascii="Times New Roman;serif" w:hAnsi="Times New Roman;serif"/>
          <w:b w:val="false"/>
          <w:color w:val="000000"/>
          <w:sz w:val="22"/>
        </w:rPr>
        <w:t>To the extent required by applicable federal, state, local or foreign law, a Participant shall be required to satisfy, in a manner satisfactory to the Company, any withholding tax obligations that arise under this Plan or by reason of the grant, vesting or settlement of an award hereunder. The Company and its Subsidiaries shall not be required to issue Common Shares, make any payment or recognize the transfer or disposition of Common Shares until such obligations are satisfied. The Company may provide for or permit the statutory withholding obligations to be satisfied through (i) requiring the Participant to tender a cash payment, (ii) deducting from payments of any kind otherwise due to a Participant, (iii) the mandatory or elective sale of Common Shares and/or (iv) having the Company withhold a portion of the Common Shares that otherwise would be issued to him or her upon the vesting or settlement of DSUs or Matching RSUs, or by tendering Common Shares previously acquired. Notwithstanding anything to the contrary in this Plan, in the event that a Participant’s Bonus Deferral Commitment results in insufficient non-deferred compensation from which the Company may withhold applicable tax obligations, the Company may, to the extent permitted by Code Section 409A, reduce a Participant’s Bonus Deferral Commitment or other payments under this Plan (i) to the extent required to pay the Federal Insurance Contributions Act taxes imposed under Code Sections 3101, 3121(a) and 3121(v)(2) with respect to such Bonus Deferral Commitment (the “</w:t>
      </w:r>
      <w:r>
        <w:rPr>
          <w:rFonts w:ascii="Times New Roman;serif" w:hAnsi="Times New Roman;serif"/>
          <w:b/>
          <w:color w:val="000000"/>
          <w:sz w:val="22"/>
        </w:rPr>
        <w:t>FICA Amount</w:t>
      </w:r>
      <w:r>
        <w:rPr>
          <w:color w:val="000000"/>
        </w:rPr>
        <w:t>”</w:t>
      </w:r>
      <w:r>
        <w:rPr>
          <w:rFonts w:ascii="Times New Roman;serif" w:hAnsi="Times New Roman;serif"/>
          <w:b w:val="false"/>
          <w:color w:val="000000"/>
          <w:sz w:val="22"/>
        </w:rPr>
        <w:t>) or state, local, or foreign tax obligations arising from such Bonus Deferral Commitment (together, the “</w:t>
      </w:r>
      <w:r>
        <w:rPr>
          <w:rFonts w:ascii="Times New Roman;serif" w:hAnsi="Times New Roman;serif"/>
          <w:b/>
          <w:color w:val="000000"/>
          <w:sz w:val="22"/>
        </w:rPr>
        <w:t>Other Taxes</w:t>
      </w:r>
      <w:r>
        <w:rPr>
          <w:color w:val="000000"/>
        </w:rPr>
        <w:t>”</w:t>
      </w:r>
      <w:r>
        <w:rPr>
          <w:rFonts w:ascii="Times New Roman;serif" w:hAnsi="Times New Roman;serif"/>
          <w:b w:val="false"/>
          <w:color w:val="000000"/>
          <w:sz w:val="22"/>
        </w:rPr>
        <w:t xml:space="preserve">) and (ii) to pay the additional income tax at source on wages under Code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6415"/>
                <wp:effectExtent l="0" t="0" r="0" b="0"/>
                <wp:wrapNone/>
                <wp:docPr id="134"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20"/>
        <w:jc w:val="both"/>
        <w:rPr/>
      </w:pPr>
      <w:r>
        <w:rPr>
          <w:rFonts w:ascii="Times New Roman;serif" w:hAnsi="Times New Roman;serif"/>
          <w:b w:val="false"/>
          <w:color w:val="000000"/>
          <w:sz w:val="22"/>
        </w:rPr>
        <w:t>Section 3401 (or the corresponding withholding provisions of applicable state, local, or foreign tax laws) as a result of the payment of the FICA Amount or Other Taxes or attributable to the “pyramiding” of Code Section 3401 wages and taxes (or the corresponding withholding provisions of applicable state, local, or foreign tax laws) (together, the “</w:t>
      </w:r>
      <w:r>
        <w:rPr>
          <w:rFonts w:ascii="Times New Roman;serif" w:hAnsi="Times New Roman;serif"/>
          <w:b/>
          <w:color w:val="000000"/>
          <w:sz w:val="22"/>
        </w:rPr>
        <w:t>Additional Taxes</w:t>
      </w:r>
      <w:r>
        <w:rPr>
          <w:color w:val="000000"/>
        </w:rPr>
        <w:t>”</w:t>
      </w:r>
      <w:r>
        <w:rPr>
          <w:rFonts w:ascii="Times New Roman;serif" w:hAnsi="Times New Roman;serif"/>
          <w:b w:val="false"/>
          <w:color w:val="000000"/>
          <w:sz w:val="22"/>
        </w:rPr>
        <w:t>). The total amount reduced and withheld from the Bonus Deferral Commitment shall not exceed the aggregate of the FICA Amount, the Other Taxes, and the Additional Taxes, as applicable.</w:t>
      </w:r>
    </w:p>
    <w:p>
      <w:pPr>
        <w:pStyle w:val="TextBody"/>
        <w:bidi w:val="0"/>
        <w:spacing w:lineRule="auto" w:line="240" w:before="0" w:after="220"/>
        <w:ind w:left="0" w:right="0" w:hanging="709"/>
        <w:jc w:val="both"/>
        <w:rPr/>
      </w:pPr>
      <w:r>
        <w:rPr>
          <w:rFonts w:ascii="Times New Roman;serif" w:hAnsi="Times New Roman;serif"/>
          <w:b w:val="false"/>
          <w:color w:val="000000"/>
          <w:sz w:val="22"/>
        </w:rPr>
        <w:t>7.7</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Plan and any agreements or other documents hereunder shall be interpreted and construed in accordance with the laws of the Delaware and applicable federal law.</w:t>
      </w:r>
    </w:p>
    <w:p>
      <w:pPr>
        <w:pStyle w:val="TextBody"/>
        <w:bidi w:val="0"/>
        <w:spacing w:lineRule="auto" w:line="240" w:before="0" w:after="220"/>
        <w:ind w:left="0" w:right="0" w:hanging="706"/>
        <w:jc w:val="both"/>
        <w:rPr/>
      </w:pPr>
      <w:r>
        <w:rPr>
          <w:rFonts w:ascii="Times New Roman;serif" w:hAnsi="Times New Roman;serif"/>
          <w:b w:val="false"/>
          <w:color w:val="000000"/>
          <w:sz w:val="22"/>
        </w:rPr>
        <w:t>7.8</w:t>
      </w:r>
      <w:r>
        <w:rPr>
          <w:rFonts w:ascii="Times New Roman;serif" w:hAnsi="Times New Roman;serif"/>
          <w:b w:val="false"/>
          <w:color w:val="000000"/>
          <w:sz w:val="22"/>
          <w:u w:val="single"/>
        </w:rPr>
        <w:t>Compliance with Law</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This Plan, the grant, issuance, vesting and settlement of awards hereunder, and the obligation of the Company to sell, issue or deliver Common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Common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Common Shares hereunder, the Company and its Subsidiaries shall be relieved of any liability with respect to the failure to issue or sell such Common Shares as to which such requisite authority shall not have been obtained. No Common Shares shall be issued and/or transferable under any other award unless a registration statement with respect to the Common Shares is effective and current or the Company has determined that such registration is unnecessary</w:t>
      </w:r>
    </w:p>
    <w:p>
      <w:pPr>
        <w:pStyle w:val="TextBody"/>
        <w:bidi w:val="0"/>
        <w:spacing w:lineRule="auto" w:line="240" w:before="0" w:after="220"/>
        <w:ind w:left="0" w:right="0" w:hanging="709"/>
        <w:jc w:val="both"/>
        <w:rPr/>
      </w:pPr>
      <w:r>
        <w:rPr>
          <w:rFonts w:ascii="Times New Roman;serif" w:hAnsi="Times New Roman;serif"/>
          <w:b w:val="false"/>
          <w:color w:val="000000"/>
          <w:sz w:val="22"/>
        </w:rPr>
        <w:t>7.9</w:t>
      </w:r>
      <w:r>
        <w:rPr>
          <w:rFonts w:ascii="Times New Roman;serif" w:hAnsi="Times New Roman;serif"/>
          <w:b w:val="false"/>
          <w:color w:val="000000"/>
          <w:sz w:val="22"/>
          <w:u w:val="single"/>
        </w:rPr>
        <w:t>Successors</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equity and/or assets of the Company.</w:t>
      </w:r>
    </w:p>
    <w:p>
      <w:pPr>
        <w:pStyle w:val="TextBody"/>
        <w:bidi w:val="0"/>
        <w:spacing w:lineRule="auto" w:line="240" w:before="0" w:after="220"/>
        <w:ind w:left="0" w:right="0" w:hanging="709"/>
        <w:jc w:val="both"/>
        <w:rPr/>
      </w:pPr>
      <w:r>
        <w:rPr>
          <w:rFonts w:ascii="Times New Roman;serif" w:hAnsi="Times New Roman;serif"/>
          <w:b w:val="false"/>
          <w:color w:val="000000"/>
          <w:sz w:val="22"/>
        </w:rPr>
        <w:t>7.10</w:t>
      </w:r>
      <w:r>
        <w:rPr>
          <w:rFonts w:ascii="Times New Roman;serif" w:hAnsi="Times New Roman;serif"/>
          <w:b w:val="false"/>
          <w:color w:val="000000"/>
          <w:sz w:val="22"/>
          <w:u w:val="single"/>
        </w:rPr>
        <w:t>Clawback</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Any award of DSUs or Matching RSUs granted under the Plan with respect to a Bonus Deferral Commitment will be subject to mandatory repayment by the Participant to the Company (i) to the extent set forth in this Plan or an Award Agreement or (ii) to the extent the Participant is, or in the future becomes, subject to (A) any Company or Affiliate “clawback” or recoupment policy that is adopted to comply with the requirements of any applicable law, rule, or regulation, or (B) any law, rule, or regulation that imposes mandatory recoupment, under circumstances set forth in such law, rule, or regulation.</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6415"/>
                <wp:effectExtent l="0" t="0" r="0" b="0"/>
                <wp:wrapNone/>
                <wp:docPr id="135" name="Frame1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ind w:left="0" w:right="0" w:hanging="709"/>
        <w:jc w:val="both"/>
        <w:rPr>
          <w:rFonts w:ascii="Times New Roman;serif" w:hAnsi="Times New Roman;serif"/>
          <w:b/>
          <w:color w:val="000000"/>
          <w:sz w:val="22"/>
        </w:rPr>
      </w:pPr>
      <w:r>
        <w:rPr>
          <w:rFonts w:ascii="Times New Roman;serif" w:hAnsi="Times New Roman;serif"/>
          <w:b/>
          <w:color w:val="000000"/>
          <w:sz w:val="22"/>
        </w:rPr>
        <w:t>8.CLAIMS PROCEDURES.</w:t>
      </w:r>
    </w:p>
    <w:p>
      <w:pPr>
        <w:pStyle w:val="TextBody"/>
        <w:bidi w:val="0"/>
        <w:spacing w:lineRule="auto" w:line="240" w:before="0" w:after="220"/>
        <w:ind w:left="0" w:right="0" w:hanging="706"/>
        <w:jc w:val="both"/>
        <w:rPr/>
      </w:pPr>
      <w:r>
        <w:rPr>
          <w:rFonts w:ascii="Times New Roman;serif" w:hAnsi="Times New Roman;serif"/>
          <w:b w:val="false"/>
          <w:color w:val="000000"/>
          <w:sz w:val="22"/>
        </w:rPr>
        <w:t>8.1</w:t>
      </w:r>
      <w:r>
        <w:rPr>
          <w:rFonts w:ascii="Times New Roman;serif" w:hAnsi="Times New Roman;serif"/>
          <w:b w:val="false"/>
          <w:color w:val="000000"/>
          <w:sz w:val="22"/>
          <w:u w:val="single"/>
        </w:rPr>
        <w:t>Claim</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Committee shall establish rules and procedures to be followed by Participants and their beneficiaries in (a) filing claims for benefits, and (b) for furnishing and verifying proof necessary to establish the right to benefits in accordance with this Plan, consistent with the remainder of this Section 8. Such rules and procedures shall require that claims and proof be made in writing and directed to the Committee.</w:t>
      </w:r>
    </w:p>
    <w:p>
      <w:pPr>
        <w:pStyle w:val="TextBody"/>
        <w:bidi w:val="0"/>
        <w:spacing w:lineRule="auto" w:line="240" w:before="0" w:after="220"/>
        <w:ind w:left="0" w:right="0" w:hanging="709"/>
        <w:jc w:val="both"/>
        <w:rPr/>
      </w:pPr>
      <w:r>
        <w:rPr>
          <w:rFonts w:ascii="Times New Roman;serif" w:hAnsi="Times New Roman;serif"/>
          <w:b w:val="false"/>
          <w:color w:val="000000"/>
          <w:sz w:val="22"/>
        </w:rPr>
        <w:t>8.2</w:t>
      </w:r>
      <w:r>
        <w:rPr>
          <w:rFonts w:ascii="Times New Roman;serif" w:hAnsi="Times New Roman;serif"/>
          <w:b w:val="false"/>
          <w:color w:val="000000"/>
          <w:sz w:val="22"/>
          <w:u w:val="single"/>
        </w:rPr>
        <w:t>Review of Claim</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The Committee or its designee shall review all claims for benefits. Upon receipt by the Committee of such a claim, it shall determine all facts which are necessary to establish the right of the claimant to benefits under the provisions of this Plan and the amount thereof as herein provided within ninety (90) days of receipt of such claim. If prior to the expiration of the initial ninety (90) day period, the Committee determines additional time is needed to come to a determination on the claim, the Committee shall provide written notice to the Participant, beneficiary or other claimant of the need for the extension, not to exceed a total of one hundred eighty (180) days from the date the application was received.</w:t>
      </w:r>
    </w:p>
    <w:p>
      <w:pPr>
        <w:pStyle w:val="TextBody"/>
        <w:bidi w:val="0"/>
        <w:spacing w:lineRule="auto" w:line="240" w:before="0" w:after="220"/>
        <w:ind w:left="0" w:right="0" w:hanging="709"/>
        <w:jc w:val="both"/>
        <w:rPr/>
      </w:pPr>
      <w:r>
        <w:rPr>
          <w:rFonts w:ascii="Times New Roman;serif" w:hAnsi="Times New Roman;serif"/>
          <w:b w:val="false"/>
          <w:color w:val="000000"/>
          <w:sz w:val="22"/>
        </w:rPr>
        <w:t>8.3</w:t>
      </w:r>
      <w:r>
        <w:rPr>
          <w:rFonts w:ascii="Times New Roman;serif" w:hAnsi="Times New Roman;serif"/>
          <w:b w:val="false"/>
          <w:color w:val="000000"/>
          <w:sz w:val="22"/>
          <w:u w:val="single"/>
        </w:rPr>
        <w:t>Notice of Denial of Claim</w:t>
      </w:r>
      <w:r>
        <w:rPr>
          <w:rFonts w:ascii="Times New Roman;serif" w:hAnsi="Times New Roman;serif"/>
          <w:b w:val="false"/>
          <w:color w:val="000000"/>
          <w:sz w:val="22"/>
        </w:rPr>
        <w:t xml:space="preserve">. </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In the event that any Participant, beneficiary or other claimant claims to be entitled to a benefit under this Plan, and the Committee determines that such claim should be denied, in whole or in part, the Committee shall, in writing, notify such claimant that the claim has been denied, in whole or in part, setting forth the specific reasons for such denial. Such notification shall be written in a manner reasonably expected to be understood by such claimant, shall refer to the specific sections of the Plan relied on, shall describe any additional material or information necessary for the claimant to perfect the claim, shall provide an explanation of why such material or information is necessary, and, where appropriate, shall include an explanation of how the claimant can obtain reconsideration of such denial.</w:t>
      </w:r>
    </w:p>
    <w:p>
      <w:pPr>
        <w:pStyle w:val="TextBody"/>
        <w:bidi w:val="0"/>
        <w:spacing w:lineRule="auto" w:line="240" w:before="0" w:after="220"/>
        <w:ind w:left="0" w:right="0" w:hanging="709"/>
        <w:jc w:val="both"/>
        <w:rPr/>
      </w:pPr>
      <w:r>
        <w:rPr>
          <w:rFonts w:ascii="Times New Roman;serif" w:hAnsi="Times New Roman;serif"/>
          <w:b w:val="false"/>
          <w:color w:val="000000"/>
          <w:sz w:val="22"/>
        </w:rPr>
        <w:t>8.4</w:t>
      </w:r>
      <w:r>
        <w:rPr>
          <w:rFonts w:ascii="Times New Roman;serif" w:hAnsi="Times New Roman;serif"/>
          <w:b w:val="false"/>
          <w:color w:val="000000"/>
          <w:sz w:val="22"/>
          <w:u w:val="single"/>
        </w:rPr>
        <w:t>Reconsideration of Denied Claim</w:t>
      </w:r>
      <w:r>
        <w:rPr>
          <w:rFonts w:ascii="Times New Roman;serif" w:hAnsi="Times New Roman;serif"/>
          <w:b w:val="false"/>
          <w:color w:val="000000"/>
          <w:sz w:val="22"/>
        </w:rPr>
        <w:t>.</w:t>
      </w:r>
    </w:p>
    <w:p>
      <w:pPr>
        <w:pStyle w:val="TextBody"/>
        <w:bidi w:val="0"/>
        <w:spacing w:lineRule="auto" w:line="240"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(a)Within sixty (60) days after receipt of the notice of the denial of a claim, such claimant or duly authorized representative may request, by mailing or delivery of such written notice to the Committee, a reconsideration by the Committee of the decision denying the claim. If the claimant or duly authorized representative fails to request such a reconsideration within such sixty (60) day period, it shall be conclusively determined for all purposes of this Plan that the denial of such claim by the Committee is correct. If such claimant or duly authorized representative requests a reconsideration within such sixty (60) day period, the claimant or duly authorized representative shall have thirty (30) days after filing a request for reconsideration to submit additional written material in support of the claim, review pertinent documents, and submit issues and comments in writing.</w:t>
      </w:r>
    </w:p>
    <w:p>
      <w:pPr>
        <w:pStyle w:val="TextBody"/>
        <w:bidi w:val="0"/>
        <w:spacing w:lineRule="auto" w:line="240"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(b)After such reconsideration request, the Committee shall determine within sixty (60) days of receipt of the claimant’s request for reconsideration whether such denial of the claim was correct and shall notify such claimant in writing of its determination. The written notice of the Committee’s decision shall be in writing and shall include specific reasons for the decision, shall be written in a manner reasonably calculated to be understood by the claimant, and shall identify specific references to the pertinent Plan provisions on which the decision is based. In the event of special circumstances determined by the Committee, the time for the Committee to make a decision may be extended by an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6415"/>
                <wp:effectExtent l="0" t="0" r="0" b="0"/>
                <wp:wrapNone/>
                <wp:docPr id="136" name="Frame1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additional sixty (60) days upon written notice to the claimant prior to the commencement of the extension.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10.20</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394.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COSTAR GROUP, INC.</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NON-EMPLOYEE DIRECTOR COMPENSATION PROGRAM</w:t>
      </w:r>
    </w:p>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val="false"/>
          <w:color w:val="000000"/>
          <w:sz w:val="22"/>
        </w:rPr>
        <w:t>Non-employee members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2"/>
        </w:rPr>
        <w:t>) of CoStar Group,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2"/>
        </w:rPr>
        <w:t>) shall receive cash and equity compensation as set forth in this Non-Employee Director Compensation Program (this “</w:t>
      </w:r>
      <w:r>
        <w:rPr>
          <w:rFonts w:ascii="Times New Roman;serif" w:hAnsi="Times New Roman;serif"/>
          <w:b/>
          <w:i/>
          <w:color w:val="000000"/>
          <w:sz w:val="24"/>
        </w:rPr>
        <w:t>Program</w:t>
      </w:r>
      <w:r>
        <w:rPr>
          <w:color w:val="000000"/>
        </w:rPr>
        <w:t>”</w:t>
      </w:r>
      <w:r>
        <w:rPr>
          <w:rFonts w:ascii="Times New Roman;serif" w:hAnsi="Times New Roman;serif"/>
          <w:b w:val="false"/>
          <w:color w:val="000000"/>
          <w:sz w:val="22"/>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serif" w:hAnsi="Times New Roman;serif"/>
          <w:b/>
          <w:i/>
          <w:color w:val="000000"/>
          <w:sz w:val="24"/>
        </w:rPr>
        <w:t>Non-Employee Director</w:t>
      </w:r>
      <w:r>
        <w:rPr>
          <w:color w:val="000000"/>
        </w:rPr>
        <w:t>”</w:t>
      </w:r>
      <w:r>
        <w:rPr>
          <w:rFonts w:ascii="Times New Roman;serif" w:hAnsi="Times New Roman;serif"/>
          <w:b w:val="false"/>
          <w:color w:val="000000"/>
          <w:sz w:val="22"/>
        </w:rPr>
        <w:t>) who is entitled to receive such cash or equity compensation or unless such Non-Employee Director declines the receipt of such cash or equity compensation by written notice to the Company and subject to any limits on non-employee director compensation set forth in the CoStar Group, Inc. 2025 Stock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2"/>
        </w:rPr>
        <w:t>).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This Program became effective on January 1,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CASH COMPENSATION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schedule of annual cash retainers (the “</w:t>
      </w:r>
      <w:r>
        <w:rPr>
          <w:rFonts w:ascii="Times New Roman;serif" w:hAnsi="Times New Roman;serif"/>
          <w:b/>
          <w:i/>
          <w:color w:val="000000"/>
          <w:sz w:val="24"/>
        </w:rPr>
        <w:t>Annual Retainers</w:t>
      </w:r>
      <w:r>
        <w:rPr>
          <w:color w:val="000000"/>
        </w:rPr>
        <w:t>”</w:t>
      </w:r>
      <w:r>
        <w:rPr>
          <w:rFonts w:ascii="Times New Roman;serif" w:hAnsi="Times New Roman;serif"/>
          <w:b w:val="false"/>
          <w:color w:val="000000"/>
          <w:sz w:val="22"/>
        </w:rPr>
        <w:t>) for the Non-Employee Directors is as follows:</w:t>
      </w:r>
    </w:p>
    <w:tbl>
      <w:tblPr>
        <w:tblW w:w="8070" w:type="dxa"/>
        <w:jc w:val="left"/>
        <w:tblInd w:w="0" w:type="dxa"/>
        <w:tblLayout w:type="fixed"/>
        <w:tblCellMar>
          <w:top w:w="28" w:type="dxa"/>
          <w:left w:w="28" w:type="dxa"/>
          <w:bottom w:w="28" w:type="dxa"/>
          <w:right w:w="28" w:type="dxa"/>
        </w:tblCellMar>
      </w:tblPr>
      <w:tblGrid>
        <w:gridCol w:w="2171"/>
        <w:gridCol w:w="1911"/>
        <w:gridCol w:w="1917"/>
        <w:gridCol w:w="109"/>
        <w:gridCol w:w="109"/>
        <w:gridCol w:w="109"/>
        <w:gridCol w:w="147"/>
        <w:gridCol w:w="147"/>
        <w:gridCol w:w="147"/>
        <w:gridCol w:w="306"/>
        <w:gridCol w:w="306"/>
        <w:gridCol w:w="319"/>
        <w:gridCol w:w="109"/>
        <w:gridCol w:w="109"/>
        <w:gridCol w:w="154"/>
      </w:tblGrid>
      <w:tr>
        <w:trPr/>
        <w:tc>
          <w:tcPr>
            <w:tcW w:w="217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color w:val="000000"/>
                <w:sz w:val="22"/>
              </w:rPr>
            </w:pPr>
            <w:r>
              <w:rPr>
                <w:rFonts w:ascii="Times New Roman;serif" w:hAnsi="Times New Roman;serif"/>
                <w:b/>
                <w:color w:val="000000"/>
                <w:sz w:val="22"/>
              </w:rPr>
              <w:t>Position</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color w:val="000000"/>
                <w:sz w:val="22"/>
              </w:rPr>
            </w:pPr>
            <w:r>
              <w:rPr>
                <w:rFonts w:ascii="Times New Roman;serif" w:hAnsi="Times New Roman;serif"/>
                <w:b/>
                <w:color w:val="000000"/>
                <w:sz w:val="22"/>
              </w:rPr>
              <w:t>Amount</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Annual Cash Retainer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75,000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Non-Executive Chair of the Board</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125,000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Chair of Audit Committee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30,000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Chair of Compensation Committee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25,000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Chair of Nominating and Corporate Governance Committee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25,000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Member of Audit Committee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15,000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Member of Compensation Committee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60"/>
              <w:jc w:val="left"/>
              <w:rPr>
                <w:rFonts w:ascii="sans-serif" w:hAnsi="sans-serif"/>
                <w:b w:val="false"/>
                <w:color w:val="000000"/>
                <w:sz w:val="22"/>
              </w:rPr>
            </w:pPr>
            <w:r>
              <w:rPr>
                <w:rFonts w:ascii="sans-serif" w:hAnsi="sans-serif"/>
                <w:b w:val="false"/>
                <w:color w:val="000000"/>
                <w:sz w:val="22"/>
              </w:rPr>
              <w:t>12,000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Member of Nominating and Corporate Governance Committee</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16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160"/>
              <w:jc w:val="left"/>
              <w:rPr>
                <w:rFonts w:ascii="sans-serif" w:hAnsi="sans-serif"/>
                <w:b w:val="false"/>
                <w:color w:val="000000"/>
                <w:sz w:val="22"/>
              </w:rPr>
            </w:pPr>
            <w:r>
              <w:rPr>
                <w:rFonts w:ascii="sans-serif" w:hAnsi="sans-serif"/>
                <w:b w:val="false"/>
                <w:color w:val="000000"/>
                <w:sz w:val="22"/>
              </w:rPr>
              <w:t>12,000</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10.20</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4.1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EQUITY COMPENSATION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Each Non-Employee Director shall be granted Restricted Shares (as defined in the Plan) as set forth in this Program. The Restricted Shares shall be granted under and subject to the terms and provisions of the Company’s 2025 Stock Incentive Plan or any other applicable Company equity incentive plan then-maintained by the Company and shall be subject to an award agreement, including attached exhibits, in substantially the form previously approved by the Board.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For purposes of this Program, the “</w:t>
      </w:r>
      <w:r>
        <w:rPr>
          <w:rFonts w:ascii="Times New Roman;serif" w:hAnsi="Times New Roman;serif"/>
          <w:b/>
          <w:i/>
          <w:color w:val="000000"/>
          <w:sz w:val="24"/>
        </w:rPr>
        <w:t>Grant Price</w:t>
      </w:r>
      <w:r>
        <w:rPr>
          <w:color w:val="000000"/>
        </w:rPr>
        <w:t xml:space="preserve">” </w:t>
      </w:r>
      <w:r>
        <w:rPr>
          <w:rFonts w:ascii="Times New Roman;serif" w:hAnsi="Times New Roman;serif"/>
          <w:b w:val="false"/>
          <w:color w:val="000000"/>
          <w:sz w:val="22"/>
        </w:rPr>
        <w:t>shall mean the closing price of one share of Common Stock on the date of grant.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u w:val="single"/>
        </w:rPr>
        <w:t>Restricted Share Awards</w:t>
      </w:r>
      <w:r>
        <w:rPr>
          <w:rFonts w:ascii="Times New Roman;serif" w:hAnsi="Times New Roman;serif"/>
          <w:b w:val="false"/>
          <w:color w:val="000000"/>
          <w:sz w:val="22"/>
        </w:rPr>
        <w:t>. A Non-Employee Director who (i) has been serving as a Non-Employee Director on the Board as of the date of any Annual Meeting after the Effective Date and (ii) will continue to serve as a Non-Employee Director immediately following such meeting, shall be automatically granted a “</w:t>
      </w:r>
      <w:r>
        <w:rPr>
          <w:rFonts w:ascii="Times New Roman;serif" w:hAnsi="Times New Roman;serif"/>
          <w:b/>
          <w:i/>
          <w:color w:val="000000"/>
          <w:sz w:val="24"/>
        </w:rPr>
        <w:t>Restricted Share Award</w:t>
      </w:r>
      <w:r>
        <w:rPr>
          <w:color w:val="000000"/>
        </w:rPr>
        <w:t xml:space="preserve">” </w:t>
      </w:r>
      <w:r>
        <w:rPr>
          <w:rFonts w:ascii="Times New Roman;serif" w:hAnsi="Times New Roman;serif"/>
          <w:b w:val="false"/>
          <w:color w:val="000000"/>
          <w:sz w:val="22"/>
        </w:rPr>
        <w:t>on the date of such Annual Meeting, which will consist of a number of Restricted Shares (rounded up to the nearest whole number) equal to (i) $250,000 divided by (ii) the Grant Price.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u w:val="single"/>
        </w:rPr>
        <w:t>Terms of Restricted Shares Granted to Non-Employee Directors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1. </w:t>
      </w:r>
      <w:r>
        <w:rPr>
          <w:rFonts w:ascii="Times New Roman;serif" w:hAnsi="Times New Roman;serif"/>
          <w:b w:val="false"/>
          <w:i/>
          <w:color w:val="000000"/>
          <w:sz w:val="24"/>
        </w:rPr>
        <w:t>Restricted Share Awards</w:t>
      </w:r>
      <w:r>
        <w:rPr>
          <w:rFonts w:ascii="Times New Roman;serif" w:hAnsi="Times New Roman;serif"/>
          <w:b w:val="false"/>
          <w:color w:val="000000"/>
          <w:sz w:val="22"/>
        </w:rPr>
        <w:t>. Each Restricted Share Award shall vest in a single installment on the earlier of (i) the date of the next Annual Meeting occurring after the date of grant or (ii) the first anniversary of the date of grant, subject to the Non-Employee Director continuing in service as a Non-Employee Director through such vesting date.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2. </w:t>
      </w:r>
      <w:r>
        <w:rPr>
          <w:rFonts w:ascii="Times New Roman;serif" w:hAnsi="Times New Roman;serif"/>
          <w:b w:val="false"/>
          <w:i/>
          <w:color w:val="000000"/>
          <w:sz w:val="24"/>
        </w:rPr>
        <w:t>Forfeiture of Restricted Share Award</w:t>
      </w:r>
      <w:r>
        <w:rPr>
          <w:rFonts w:ascii="Times New Roman;serif" w:hAnsi="Times New Roman;serif"/>
          <w:b w:val="false"/>
          <w:color w:val="000000"/>
          <w:sz w:val="22"/>
        </w:rPr>
        <w:t xml:space="preserve">. Unless the Board otherwise determines, any portion of an Restricted Share Award which is unvested at the time of a Non-Employee Director’s termination of service on the Board as a Non-Employee Director shall be immediately forfeited upon such termination of service and shall not thereafter become vested.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21.1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Subsidiaries of the Registrant</w:t>
      </w:r>
    </w:p>
    <w:tbl>
      <w:tblPr>
        <w:tblW w:w="8894" w:type="dxa"/>
        <w:jc w:val="left"/>
        <w:tblInd w:w="0" w:type="dxa"/>
        <w:tblLayout w:type="fixed"/>
        <w:tblCellMar>
          <w:top w:w="28" w:type="dxa"/>
          <w:left w:w="28" w:type="dxa"/>
          <w:bottom w:w="28" w:type="dxa"/>
          <w:right w:w="28" w:type="dxa"/>
        </w:tblCellMar>
      </w:tblPr>
      <w:tblGrid>
        <w:gridCol w:w="2490"/>
        <w:gridCol w:w="2185"/>
        <w:gridCol w:w="2210"/>
        <w:gridCol w:w="588"/>
        <w:gridCol w:w="588"/>
        <w:gridCol w:w="833"/>
      </w:tblGrid>
      <w:tr>
        <w:trPr/>
        <w:tc>
          <w:tcPr>
            <w:tcW w:w="249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000000" w:val="clear"/>
            <w:tcMar>
              <w:top w:w="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2"/>
              </w:rPr>
            </w:pPr>
            <w:r>
              <w:rPr>
                <w:rFonts w:ascii="sans-serif" w:hAnsi="sans-serif"/>
                <w:b/>
                <w:color w:val="FFFFFF"/>
                <w:sz w:val="22"/>
              </w:rPr>
              <w:t>Entity</w:t>
            </w:r>
          </w:p>
        </w:tc>
        <w:tc>
          <w:tcPr>
            <w:tcW w:w="2009"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300" w:before="0" w:after="160"/>
              <w:jc w:val="center"/>
              <w:rPr>
                <w:rFonts w:ascii="sans-serif" w:hAnsi="sans-serif"/>
                <w:b/>
                <w:color w:val="FFFFFF"/>
                <w:sz w:val="22"/>
              </w:rPr>
            </w:pPr>
            <w:r>
              <w:rPr>
                <w:rFonts w:ascii="sans-serif" w:hAnsi="sans-serif"/>
                <w:b/>
                <w:color w:val="FFFFFF"/>
                <w:sz w:val="22"/>
              </w:rPr>
              <w:t>Jurisdiction</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AcreValue Brokerage Services, LLC</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Ag-Analytics Technology Company, LLC</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Agents’ Mutual Limited</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United Kingdom</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All Homes Pty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Alldata Australia Pty Ltd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AM Tempco Limited</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United Kingdom</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Andromeda Australia TopCo Pty Limited</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Australian Property Monitors Pty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Bidtracker (VIC) Pty Ltd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Bidtracker Holdings Pty Ltd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BIH</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France</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Campaigntrack Pty Ltd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Commercial Real Estate Holdings Pty Limited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Commercial Real Estate Media Nominees Pty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Commercial Real Estate Media Pty Limited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Commercialview.com.au Pty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Comreal Info</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France</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Central Place HQ, LLC</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Espana, S.L.</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Spain</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Field Research, LLC</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Group, Inc.</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International, LLC</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Italy S.r.l.</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Italy</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Realty Information Canada Ltd.</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British Columbia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Realty Information, Inc.</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CoStar Realty LLC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UK Limited</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United Kingdom</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CoStar UK Limited Dubai Branch</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United Kingdom</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Cozy Insurance Services, LLC</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Florida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Cozy Services, LLC</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Domain Group Finance Pty Limited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Domain Group New Zealand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New Zealand</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Domain Group Philippines, Inc.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Philippines</w:t>
            </w:r>
          </w:p>
        </w:tc>
      </w:tr>
      <w:tr>
        <w:trPr/>
        <w:tc>
          <w:tcPr>
            <w:tcW w:w="6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Domain Holdings Australia Pty Limited </w:t>
            </w:r>
          </w:p>
        </w:tc>
        <w:tc>
          <w:tcPr>
            <w:tcW w:w="200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Domain Operations Pty Limited </w:t>
            </w:r>
          </w:p>
        </w:tc>
        <w:tc>
          <w:tcPr>
            <w:tcW w:w="2009"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8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Domain SubCo Pty Limited</w:t>
            </w:r>
          </w:p>
        </w:tc>
        <w:tc>
          <w:tcPr>
            <w:tcW w:w="2009" w:type="dxa"/>
            <w:gridSpan w:val="3"/>
            <w:tcBorders>
              <w:top w:val="single" w:sz="8" w:space="0" w:color="000000"/>
              <w:left w:val="single" w:sz="8" w:space="0" w:color="000000"/>
              <w:bottom w:val="single" w:sz="8" w:space="0" w:color="000000"/>
            </w:tcBorders>
            <w:shd w:fill="FFFFFF" w:val="clear"/>
            <w:tcMar>
              <w:top w:w="30" w:type="dxa"/>
              <w:left w:w="75" w:type="dxa"/>
              <w:bottom w:w="3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bl>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21.1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75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8670" w:type="dxa"/>
        <w:jc w:val="left"/>
        <w:tblInd w:w="0" w:type="dxa"/>
        <w:tblLayout w:type="fixed"/>
        <w:tblCellMar>
          <w:top w:w="28" w:type="dxa"/>
          <w:left w:w="28" w:type="dxa"/>
          <w:bottom w:w="28" w:type="dxa"/>
          <w:right w:w="28" w:type="dxa"/>
        </w:tblCellMar>
      </w:tblPr>
      <w:tblGrid>
        <w:gridCol w:w="2341"/>
        <w:gridCol w:w="2060"/>
        <w:gridCol w:w="2064"/>
        <w:gridCol w:w="643"/>
        <w:gridCol w:w="643"/>
        <w:gridCol w:w="919"/>
      </w:tblGrid>
      <w:tr>
        <w:trPr/>
        <w:tc>
          <w:tcPr>
            <w:tcW w:w="2341"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Homepass Australia Pty Ltd </w:t>
            </w:r>
          </w:p>
        </w:tc>
        <w:tc>
          <w:tcPr>
            <w:tcW w:w="2205"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Homepass Pty Ltd </w:t>
            </w:r>
          </w:p>
        </w:tc>
        <w:tc>
          <w:tcPr>
            <w:tcW w:w="2205"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Homes Media Solutions, LLC</w:t>
            </w:r>
          </w:p>
        </w:tc>
        <w:tc>
          <w:tcPr>
            <w:tcW w:w="2205"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Virginia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Homes.com, LLC</w:t>
            </w:r>
          </w:p>
        </w:tc>
        <w:tc>
          <w:tcPr>
            <w:tcW w:w="2205"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Homesnap, LLC</w:t>
            </w:r>
          </w:p>
        </w:tc>
        <w:tc>
          <w:tcPr>
            <w:tcW w:w="2205"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IDS Gov Services Pty. Ltd. </w:t>
            </w:r>
          </w:p>
        </w:tc>
        <w:tc>
          <w:tcPr>
            <w:tcW w:w="2205"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Insight Data Solutions Holdings Pty. Ltd. </w:t>
            </w:r>
          </w:p>
        </w:tc>
        <w:tc>
          <w:tcPr>
            <w:tcW w:w="2205"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Insight Data Solutions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MarketNow Payments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Matterport B.V.</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Netherlands</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Matterport Japan K.K.</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Japan</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Matterport Pte. Ltd</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Singapore</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Matterport Sales UK Ltd.</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United Kingdom</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Matterport, LLC</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Delaware</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Metro Media Publishing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Metro Media Services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(DVH)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(Melbourne Times)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Bayside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Eastern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Greater Geelong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Holdings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MMP Moonee Valley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National Real Estate Media Nominees Pty Limited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National Real Estate Media Pty Limited</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New South Wales Real Estate Media Pty Limited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Northern Territory Real Estate Media Pty Limited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OnTheMarket LTD</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United Kingdom</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Property Data Solutions (2) Pty Ltd</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Property Data Solutions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Queensland Real Estate Media Pty Limited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Realbase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Realhub Services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Realhub Studios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Realhub Systems Pty Ltd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Review Property Pty Ltd </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South Australia Real Estate Media Pty Limited </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Australia Pty Ltd.</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Benchmarking Indonesia</w:t>
            </w:r>
          </w:p>
        </w:tc>
        <w:tc>
          <w:tcPr>
            <w:tcW w:w="22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Indonesia</w:t>
            </w:r>
          </w:p>
        </w:tc>
      </w:tr>
      <w:tr>
        <w:trPr/>
        <w:tc>
          <w:tcPr>
            <w:tcW w:w="6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Benchmarking Solutions (Beijing) Co., Ltd</w:t>
            </w:r>
          </w:p>
        </w:tc>
        <w:tc>
          <w:tcPr>
            <w:tcW w:w="22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PRC</w:t>
            </w:r>
          </w:p>
        </w:tc>
      </w:tr>
      <w:tr>
        <w:trPr/>
        <w:tc>
          <w:tcPr>
            <w:tcW w:w="6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Colombia SAS</w:t>
            </w:r>
          </w:p>
        </w:tc>
        <w:tc>
          <w:tcPr>
            <w:tcW w:w="220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Colombia</w:t>
            </w:r>
          </w:p>
        </w:tc>
      </w:tr>
    </w:tbl>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21.1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75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845" w:type="dxa"/>
        <w:jc w:val="left"/>
        <w:tblInd w:w="0" w:type="dxa"/>
        <w:tblLayout w:type="fixed"/>
        <w:tblCellMar>
          <w:top w:w="28" w:type="dxa"/>
          <w:left w:w="28" w:type="dxa"/>
          <w:bottom w:w="28" w:type="dxa"/>
          <w:right w:w="28" w:type="dxa"/>
        </w:tblCellMar>
      </w:tblPr>
      <w:tblGrid>
        <w:gridCol w:w="2299"/>
        <w:gridCol w:w="2018"/>
        <w:gridCol w:w="2027"/>
        <w:gridCol w:w="437"/>
        <w:gridCol w:w="437"/>
        <w:gridCol w:w="627"/>
      </w:tblGrid>
      <w:tr>
        <w:trPr/>
        <w:tc>
          <w:tcPr>
            <w:tcW w:w="229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Germany GmbH</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Germany</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Global Singapore Private Limited</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Singapore</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Japan GK</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Japan</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STR, LLC</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Tasmania Real Estate Media Pty Limited </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Ten-X, Inc.</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Ten-X, Inc.</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Connecticut</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Ten-X, LLC</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The Screening Pros, LLC</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California</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Thomas Daily GmbH</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Germany</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VHT, LLC</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Virginia Property Holdings II, LLC</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Visual Lease, LLC</w:t>
            </w:r>
          </w:p>
        </w:tc>
        <w:tc>
          <w:tcPr>
            <w:tcW w:w="15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Delaware</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Western Australia Real Estate Media Pty Limited </w:t>
            </w:r>
          </w:p>
        </w:tc>
        <w:tc>
          <w:tcPr>
            <w:tcW w:w="15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r>
        <w:trPr/>
        <w:tc>
          <w:tcPr>
            <w:tcW w:w="6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2"/>
              </w:rPr>
            </w:pPr>
            <w:r>
              <w:rPr>
                <w:rFonts w:ascii="sans-serif" w:hAnsi="sans-serif"/>
                <w:b/>
                <w:color w:val="000000"/>
                <w:sz w:val="22"/>
              </w:rPr>
              <w:t xml:space="preserve">Workstream Technologies Pty Ltd </w:t>
            </w:r>
          </w:p>
        </w:tc>
        <w:tc>
          <w:tcPr>
            <w:tcW w:w="150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300" w:before="0" w:after="160"/>
              <w:jc w:val="left"/>
              <w:rPr>
                <w:rFonts w:ascii="sans-serif" w:hAnsi="sans-serif"/>
                <w:b w:val="false"/>
                <w:color w:val="000000"/>
                <w:sz w:val="22"/>
              </w:rPr>
            </w:pPr>
            <w:r>
              <w:rPr>
                <w:rFonts w:ascii="sans-serif" w:hAnsi="sans-serif"/>
                <w:b w:val="false"/>
                <w:color w:val="000000"/>
                <w:sz w:val="22"/>
              </w:rPr>
              <w:t>Australia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tbl>
      <w:tblPr>
        <w:tblW w:w="10205" w:type="dxa"/>
        <w:jc w:val="center"/>
        <w:tblInd w:w="0" w:type="dxa"/>
        <w:tblLayout w:type="fixed"/>
        <w:tblCellMar>
          <w:top w:w="28" w:type="dxa"/>
          <w:left w:w="28" w:type="dxa"/>
          <w:bottom w:w="28" w:type="dxa"/>
          <w:right w:w="28" w:type="dxa"/>
        </w:tblCellMar>
      </w:tblPr>
      <w:tblGrid>
        <w:gridCol w:w="174"/>
        <w:gridCol w:w="154"/>
        <w:gridCol w:w="109"/>
        <w:gridCol w:w="2859"/>
        <w:gridCol w:w="2859"/>
        <w:gridCol w:w="4050"/>
      </w:tblGrid>
      <w:tr>
        <w:trPr/>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Number 333-212278 on Form S-8 pertaining to the CoStar Group, Inc. 2016 Stock Incentive Plan, </w:t>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Number 333-223230 on Form S-8 pertaining to the CoStar Group, Inc. Management Stock Purchase Plan,</w:t>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Number 333-258220 on Form S-8 of CoStar Group, Inc. pertaining to the Second Amended and Restated Employee Stock Purchase Plan, </w:t>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Registration Statement Number 333-279571 on Form S-4 of CoStar Group, Inc., as well as the related Amendment, and</w:t>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Number 333-285422 on Form S-8 of CoStar Group, Inc., pertaining to the Rollover RSUs and Rollover Options</w:t>
            </w:r>
          </w:p>
        </w:tc>
      </w:tr>
      <w:tr>
        <w:trPr/>
        <w:tc>
          <w:tcPr>
            <w:tcW w:w="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Number 333-288892 on Form S-8 of CoStar Group, Inc., pertaining to the 2025 Stock Incentive Plan.</w:t>
            </w:r>
          </w:p>
        </w:tc>
      </w:tr>
    </w:tbl>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25, 2026, with respect to the consolidated financial statements of CoStar Group, Inc. and the effectiveness of internal control over financial reporting of CoStar Group, Inc. included in this Annual Report (Form 10-K) of CoStar Group, Inc. for the year ended December 31, 2025.</w:t>
      </w:r>
    </w:p>
    <w:p>
      <w:pPr>
        <w:pStyle w:val="TextBody"/>
        <w:bidi w:val="0"/>
        <w:spacing w:before="0" w:after="20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6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Andrew C. Florance,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CoStar Group,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7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1411"/>
        <w:gridCol w:w="1411"/>
        <w:gridCol w:w="20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Andrew C. Florance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Christian M. Lown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CoStar Group,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1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1393"/>
        <w:gridCol w:w="1393"/>
        <w:gridCol w:w="198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Christian M. Lown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CoStar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1331 L Street, NW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20005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20"/>
        </w:rPr>
        <w:t>Re:  </w:t>
      </w:r>
      <w:r>
        <w:rPr>
          <w:rFonts w:ascii="Times New Roman;serif" w:hAnsi="Times New Roman;serif"/>
          <w:b/>
          <w:color w:val="000000"/>
          <w:sz w:val="20"/>
        </w:rPr>
        <w:t>Certification Of Principal Executive Officer Pursuant To 18 U.S.C.</w:t>
      </w:r>
      <w:r>
        <w:rPr>
          <w:color w:val="000000"/>
        </w:rPr>
        <w:t xml:space="preserve"> </w:t>
      </w:r>
      <w:r>
        <w:rPr>
          <w:rFonts w:ascii="Times New Roman;serif" w:hAnsi="Times New Roman;serif"/>
          <w:b/>
          <w:color w:val="000000"/>
          <w:sz w:val="20"/>
        </w:rPr>
        <w:t>Sec. 1350</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on Form 10-K of CoStar Group, Inc., for the year ended December 31, 2025, I, Andrew C. Florance, Chief Executive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1)such Annual Report on Form 10-K of CoStar Group, Inc., for the year ended December 31, 2025, fully complies with the requirements of Section 13(a) or 15(d) of the Securities Exchange Act of 1934 (15 U.S.C. 78m or 78o (d)); and</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such Annual Report on Form 10-K of CoStar Group, Inc., for the year ended December 31, 2025, fairly presents, in all material respects, the financial condition and results of operations of CoStar Group, Inc.</w:t>
      </w:r>
    </w:p>
    <w:tbl>
      <w:tblPr>
        <w:tblW w:w="557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410"/>
        <w:gridCol w:w="1410"/>
        <w:gridCol w:w="20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Andrew C. Florance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CoStar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1331 L Street, NW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20005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 </w:t>
      </w:r>
      <w:r>
        <w:rPr>
          <w:rFonts w:ascii="Times New Roman;serif" w:hAnsi="Times New Roman;serif"/>
          <w:b/>
          <w:color w:val="000000"/>
          <w:sz w:val="20"/>
        </w:rPr>
        <w:t>Certification Of Principal Financial Officer Pursuant To 18 U.S.C. Sec. 1350</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on Form 10-K of CoStar Group, Inc., for the year ended December 31, 2025, I, Christian M. Lown, Chief Financial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1)such Annual Report on Form 10-K of CoStar Group, Inc., for the year ended December 31, 2025, fully complies with the requirements of Section 13(a) or 15(d) of the Securities Exchange Act of 1934 (15 U.S.C. 78m or 78o (d)); and</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such Annual Report on Form 10-K of CoStar Group, Inc., for the year ended December 31, 2025, fairly presents, in all material respects, the financial condition and results of operations of CoStar Group, Inc.</w:t>
      </w:r>
    </w:p>
    <w:tbl>
      <w:tblPr>
        <w:tblW w:w="551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393"/>
        <w:gridCol w:w="1393"/>
        <w:gridCol w:w="1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Christian M. Lown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57352/000119312524103937/d828310dex21.htm" TargetMode="External"/><Relationship Id="rId5" Type="http://schemas.openxmlformats.org/officeDocument/2006/relationships/hyperlink" Target="https://www.sec.gov/Archives/edgar/data/1057352/000105735221000074/ex31-fourtharcharter.htm" TargetMode="External"/><Relationship Id="rId6" Type="http://schemas.openxmlformats.org/officeDocument/2006/relationships/hyperlink" Target="https://www.sec.gov/Archives/edgar/data/1057352/000105735222000069/fourthamendedandrestatedby.htm" TargetMode="External"/><Relationship Id="rId7" Type="http://schemas.openxmlformats.org/officeDocument/2006/relationships/hyperlink" Target="https://www.sec.gov/Archives/edgar/data/1057352/000095012311056513/w82657a1exv4w1.htm" TargetMode="External"/><Relationship Id="rId8" Type="http://schemas.openxmlformats.org/officeDocument/2006/relationships/hyperlink" Target="https://www.sec.gov/Archives/edgar/data/1057352/000105735222000027/csgp-ex4220211231.htm" TargetMode="External"/><Relationship Id="rId9" Type="http://schemas.openxmlformats.org/officeDocument/2006/relationships/hyperlink" Target="https://www.sec.gov/Archives/edgar/data/1057352/000114036120015295/ex4_1.htm" TargetMode="External"/><Relationship Id="rId10" Type="http://schemas.openxmlformats.org/officeDocument/2006/relationships/hyperlink" Target="https://www.sec.gov/Archives/edgar/data/1057352/000105735225000120/ex102costar-formrsagrant.htm" TargetMode="External"/><Relationship Id="rId11" Type="http://schemas.openxmlformats.org/officeDocument/2006/relationships/hyperlink" Target="https://www.sec.gov/Archives/edgar/data/1057352/000105735225000120/ex103costar-formrsugrant.htm" TargetMode="External"/><Relationship Id="rId12" Type="http://schemas.openxmlformats.org/officeDocument/2006/relationships/hyperlink" Target="https://www.sec.gov/Archives/edgar/data/1057352/000105735225000120/ex104costar-formrsgranta.htm" TargetMode="External"/><Relationship Id="rId13" Type="http://schemas.openxmlformats.org/officeDocument/2006/relationships/hyperlink" Target="https://www.sec.gov/Archives/edgar/data/1057352/000105735216000138/ex44-2016stockincentivepla.htm" TargetMode="External"/><Relationship Id="rId14" Type="http://schemas.openxmlformats.org/officeDocument/2006/relationships/hyperlink" Target="https://www.sec.gov/Archives/edgar/data/1057352/000105735218000066/csgp-3312018xex101.htm" TargetMode="External"/><Relationship Id="rId15" Type="http://schemas.openxmlformats.org/officeDocument/2006/relationships/hyperlink" Target="https://www.sec.gov/Archives/edgar/data/1057352/000105735216000143/csgp-6302016xex103.htm" TargetMode="External"/><Relationship Id="rId16" Type="http://schemas.openxmlformats.org/officeDocument/2006/relationships/hyperlink" Target="https://www.sec.gov/Archives/edgar/data/1057352/000105735216000143/csgp-6302016xex104.htm" TargetMode="External"/><Relationship Id="rId17" Type="http://schemas.openxmlformats.org/officeDocument/2006/relationships/hyperlink" Target="https://www.sec.gov/Archives/edgar/data/1057352/000105735216000143/csgp-6302016xex105.htm" TargetMode="External"/><Relationship Id="rId18" Type="http://schemas.openxmlformats.org/officeDocument/2006/relationships/hyperlink" Target="https://www.sec.gov/Archives/edgar/data/1057352/000105735216000143/csgp-6302016xex106.htm" TargetMode="External"/><Relationship Id="rId19" Type="http://schemas.openxmlformats.org/officeDocument/2006/relationships/hyperlink" Target="https://www.sec.gov/Archives/edgar/data/1057352/000105735216000143/csgp-6302016xex107.htm" TargetMode="External"/><Relationship Id="rId20" Type="http://schemas.openxmlformats.org/officeDocument/2006/relationships/hyperlink" Target="https://www.sec.gov/Archives/edgar/data/1057352/000105735216000143/csgp-6302016xex108.htm" TargetMode="External"/><Relationship Id="rId21" Type="http://schemas.openxmlformats.org/officeDocument/2006/relationships/hyperlink" Target="https://www.sec.gov/Archives/edgar/data/1057352/000105735216000143/csgp-6302016xex109.htm" TargetMode="External"/><Relationship Id="rId22" Type="http://schemas.openxmlformats.org/officeDocument/2006/relationships/hyperlink" Target="https://www.sec.gov/Archives/edgar/data/1057352/000105735216000143/csgp-6302016xex102.htm" TargetMode="External"/><Relationship Id="rId23" Type="http://schemas.openxmlformats.org/officeDocument/2006/relationships/hyperlink" Target="https://www.sec.gov/Archives/edgar/data/1057352/000105735221000080/secondaresppplanasapproved.htm" TargetMode="External"/><Relationship Id="rId24" Type="http://schemas.openxmlformats.org/officeDocument/2006/relationships/hyperlink" Target="https://www.sec.gov/Archives/edgar/data/1057352/000105735225000016/csgp-ex102220241231.htm" TargetMode="External"/><Relationship Id="rId25" Type="http://schemas.openxmlformats.org/officeDocument/2006/relationships/hyperlink" Target="https://www.sec.gov/Archives/edgar/data/1057352/0001005150-98-000402.txt" TargetMode="External"/><Relationship Id="rId26" Type="http://schemas.openxmlformats.org/officeDocument/2006/relationships/hyperlink" Target="https://www.sec.gov/Archives/edgar/data/1057352/000105735209000013/firstamd-florance_empagrmt.htm" TargetMode="External"/><Relationship Id="rId27" Type="http://schemas.openxmlformats.org/officeDocument/2006/relationships/hyperlink" Target="https://www.sec.gov/Archives/edgar/data/1057352/000105735226000004/a20260106secondamendment.htm" TargetMode="External"/><Relationship Id="rId28" Type="http://schemas.openxmlformats.org/officeDocument/2006/relationships/hyperlink" Target="https://www.sec.gov/Archives/edgar/data/1057352/000095013304001856/w96989exv10w1.htm" TargetMode="External"/><Relationship Id="rId29" Type="http://schemas.openxmlformats.org/officeDocument/2006/relationships/hyperlink" Target="https://www.sec.gov/Archives/edgar/data/1057352/000105735226000008/a20260213amendedexecutiv.htm" TargetMode="External"/><Relationship Id="rId30" Type="http://schemas.openxmlformats.org/officeDocument/2006/relationships/hyperlink" Target="https://www.sec.gov/Archives/edgar/data/1057352/000105735211000072/lease.htm" TargetMode="External"/><Relationship Id="rId31" Type="http://schemas.openxmlformats.org/officeDocument/2006/relationships/hyperlink" Target="https://www.sec.gov/Archives/edgar/data/1057352/000119312524151700/d794196dex101.htm" TargetMode="External"/><Relationship Id="rId32" Type="http://schemas.openxmlformats.org/officeDocument/2006/relationships/hyperlink" Target="https://www.sec.gov/Archives/edgar/data/1057352/000119312525074119/d937923dex101.htm" TargetMode="External"/><Relationship Id="rId33" Type="http://schemas.openxmlformats.org/officeDocument/2006/relationships/hyperlink" Target="https://www.sec.gov/Archives/edgar/data/1057352/000119312525074119/d937923dex102.htm" TargetMode="External"/><Relationship Id="rId34" Type="http://schemas.openxmlformats.org/officeDocument/2006/relationships/hyperlink" Target="https://www.sec.gov/Archives/edgar/data/1057352/000119312525042496/d933213dex991.htm" TargetMode="External"/><Relationship Id="rId35" Type="http://schemas.openxmlformats.org/officeDocument/2006/relationships/hyperlink" Target="https://www.sec.gov/Archives/edgar/data/1057352/000119312525042496/d933213dex992.htm" TargetMode="External"/><Relationship Id="rId36" Type="http://schemas.openxmlformats.org/officeDocument/2006/relationships/hyperlink" Target="https://www.sec.gov/Archives/edgar/data/1057352/000119312525042496/d933213dex993.htm" TargetMode="External"/><Relationship Id="rId37" Type="http://schemas.openxmlformats.org/officeDocument/2006/relationships/hyperlink" Target="https://www.sec.gov/Archives/edgar/data/1057352/000119312525042496/d933213dex994.htm" TargetMode="External"/><Relationship Id="rId38" Type="http://schemas.openxmlformats.org/officeDocument/2006/relationships/hyperlink" Target="https://www.sec.gov/Archives/edgar/data/1057352/000119312525042496/d933213dex995.htm" TargetMode="External"/><Relationship Id="rId39" Type="http://schemas.openxmlformats.org/officeDocument/2006/relationships/hyperlink" Target="https://www.sec.gov/Archives/edgar/data/1057352/000119312525042496/d933213dex996.htm" TargetMode="External"/><Relationship Id="rId40" Type="http://schemas.openxmlformats.org/officeDocument/2006/relationships/hyperlink" Target="https://www.sec.gov/Archives/edgar/data/1057352/000105735225000069/schemeimplementationdeed.htm" TargetMode="External"/><Relationship Id="rId41" Type="http://schemas.openxmlformats.org/officeDocument/2006/relationships/hyperlink" Target="https://www.sec.gov/Archives/edgar/data/1057352/000105735225000016/csgp-ex19120241231.htm" TargetMode="External"/><Relationship Id="rId42" Type="http://schemas.openxmlformats.org/officeDocument/2006/relationships/hyperlink" Target="https://www.sec.gov/Archives/edgar/data/1057352/000105735224000013/csgp-ex9720231231.htm" TargetMode="External"/><Relationship Id="rId43" Type="http://schemas.openxmlformats.org/officeDocument/2006/relationships/image" Target="media/image3.jpeg"/><Relationship Id="rId44" Type="http://schemas.openxmlformats.org/officeDocument/2006/relationships/image" Target="media/image4.jpeg"/><Relationship Id="rId45" Type="http://schemas.openxmlformats.org/officeDocument/2006/relationships/image" Target="media/image5.jpeg"/><Relationship Id="rId46" Type="http://schemas.openxmlformats.org/officeDocument/2006/relationships/image" Target="media/image6.jpeg"/><Relationship Id="rId47" Type="http://schemas.openxmlformats.org/officeDocument/2006/relationships/image" Target="media/image7.jpeg"/><Relationship Id="rId48" Type="http://schemas.openxmlformats.org/officeDocument/2006/relationships/image" Target="media/image8.jpeg"/><Relationship Id="rId49" Type="http://schemas.openxmlformats.org/officeDocument/2006/relationships/image" Target="media/image9.jpeg"/><Relationship Id="rId50" Type="http://schemas.openxmlformats.org/officeDocument/2006/relationships/image" Target="media/image10.jpeg"/><Relationship Id="rId51" Type="http://schemas.openxmlformats.org/officeDocument/2006/relationships/image" Target="media/image11.jpeg"/><Relationship Id="rId52" Type="http://schemas.openxmlformats.org/officeDocument/2006/relationships/image" Target="media/image12.jpeg"/><Relationship Id="rId53" Type="http://schemas.openxmlformats.org/officeDocument/2006/relationships/image" Target="media/image13.jpeg"/><Relationship Id="rId54" Type="http://schemas.openxmlformats.org/officeDocument/2006/relationships/image" Target="media/image14.jpeg"/><Relationship Id="rId55" Type="http://schemas.openxmlformats.org/officeDocument/2006/relationships/image" Target="media/image15.jpeg"/><Relationship Id="rId56" Type="http://schemas.openxmlformats.org/officeDocument/2006/relationships/image" Target="media/image16.jpeg"/><Relationship Id="rId57" Type="http://schemas.openxmlformats.org/officeDocument/2006/relationships/image" Target="media/image17.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78307</Words>
  <Characters>437312</Characters>
  <CharactersWithSpaces>512603</CharactersWithSpaces>
  <Paragraphs>5512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ex1016costar-2026annualc</dc:title>
</cp:coreProperties>
</file>