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99523d8k.htm"/>
      <w:bookmarkStart w:id="1" w:name="ksd89952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February 28,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COSTAR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2285"/>
        <w:gridCol w:w="60"/>
        <w:gridCol w:w="980"/>
        <w:gridCol w:w="60"/>
        <w:gridCol w:w="188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0-24531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52-2091509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1201 Wilson Blvd., Arlington, VA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22209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(202) 346-6500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80" w:type="dxa"/>
        <w:jc w:val="left"/>
        <w:tblInd w:w="0" w:type="dxa"/>
        <w:tblLayout w:type="fixed"/>
        <w:tblCellMar>
          <w:top w:w="0" w:type="dxa"/>
          <w:left w:w="0" w:type="dxa"/>
          <w:bottom w:w="0" w:type="dxa"/>
          <w:right w:w="0" w:type="dxa"/>
        </w:tblCellMar>
      </w:tblPr>
      <w:tblGrid>
        <w:gridCol w:w="3200"/>
        <w:gridCol w:w="60"/>
        <w:gridCol w:w="635"/>
        <w:gridCol w:w="60"/>
        <w:gridCol w:w="2825"/>
      </w:tblGrid>
      <w:tr>
        <w:trPr/>
        <w:tc>
          <w:tcPr>
            <w:tcW w:w="3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0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CSGP</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2025, CoStar Group, Inc., a Delaware corporation (“CoStar Group”), completed the previously announced acquisition contemplated by the Agreement and Plan of Merger and Reorganization, dated as of April 21, 2024 (the “Merger Agreement”), by and among CoStar Group, Matterport, Inc., a Delaware corporation (“Matterport”), Matrix Merger Sub, Inc., a Delaware corporation and a wholly-owned subsidiary of CoStar Group (“Merger Sub I”), and Matrix Merger Sub II LLC, a Delaware limited liability company and a wholly-owned subsidiary of CoStar Group (“Merger Sub II”). Pursuant to the Merger Agreement, among other things, (i) Merger Sub I was merged with and into Matterport (the “First Merger”), with Matterport surviving the First Merger as a wholly-owned subsidiary of CoStar Group (the “Surviving Corporation”) and (ii) as the Threshold Percentage (as defined in the Merger Agreement) was at least 40%, immediately following the First Merger and as part of a single integrated transaction, the Surviving Corporation was merged with and into Merger Sub II (the “Second Merger” and, together with the First Merger, the “Mergers”), with Merger Sub II surviving the Second Merger as a wholly-owned subsidiary of CoStar Group.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Mergers, pursuant to the terms and conditions of the Merger Agreement, each share of Matterport Class A common stock, par value $0.0001 per share (the “Matterport Common Stock”), issued and outstanding immediately prior to the effective time of the First Merger (the “First Effective Time”) (other than any cancelled shares) was converted into (i) a number of shares of common stock of CoStar Group, par value $0.01 per share (each, a “CoStar Share”), equal to 0.03552 (the “Exchange Ratio”) and (ii) $2.75 in cash per share, without interest. The Exchange Ratio was determined based on the average of the volume-weighted average prices at which the CoStar Shares traded on Nasdaq Global Select Market for the twenty (20) consecutive Trading Days (as defined in the Merger Agreement) ending on (and including) the Trading Day that was three (3) Trading Days prior to the date of the First Effective Time (the “Average Parent Share Price”) and was subject to a symmetrical collar, pursuant to which, because the Average Parent Share Price was less than or equal to $77.42, the Exchange Ratio was set at 0.03552. Holders of Matterport Common Stock received cash in lieu of fractional CoStar Shares.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Merger Agreement is not complete and is qualified in its entirety by reference to the full text of the Merger Agreement, which is attached as Exhibit 2.1 to this Current Report on Form 8-K (this “Current Report”) and is incorporated by reference in its entirety.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consummation of the Mergers, on February 28, 2025, CoStar Group issued a press release announcing the completion of the Mergers. A copy of the press release is hereby furnished as Exhibit 99.1 to this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and in Exhibit 99.1 of this Current Report shall not be deemed “filed” for purposes of Section 18 of the Securities Exchange Act of 1934, as amended (the “Exchange Act”), or otherwise subject to the liabilities of that section, nor shall it be incorporated by reference into any filing under the Securities Act of 1933, as amended, or the Exchange Act, except as expressly set forth by specific reference in such filing.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filed herewith as exhibits to this Current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3"/>
        <w:gridCol w:w="120"/>
        <w:gridCol w:w="9532"/>
      </w:tblGrid>
      <w:tr>
        <w:trPr/>
        <w:tc>
          <w:tcPr>
            <w:tcW w:w="5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2"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32"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32" w:type="dxa"/>
            <w:tcBorders/>
            <w:vAlign w:val="center"/>
          </w:tcPr>
          <w:p>
            <w:pPr>
              <w:pStyle w:val="TableContents"/>
              <w:bidi w:val="0"/>
              <w:spacing w:before="0" w:after="283"/>
              <w:jc w:val="left"/>
              <w:rPr/>
            </w:pPr>
            <w:hyperlink r:id="rId2">
              <w:r>
                <w:rPr>
                  <w:rStyle w:val="InternetLink"/>
                </w:rPr>
                <w:t xml:space="preserve">Agreement and Plan of Merger and Reorganization, dated April 21, 2024, by and among CoStar Group, Inc., Matterport, Inc., Matrix Merger Sub, Inc. and Matrix Merger Sub II LLC (incorporated by reference to Exhibit 2.1 to the Company’s Current Report on Form 8-K filed on April 22, 2024). </w:t>
              </w:r>
            </w:hyperlink>
          </w:p>
        </w:tc>
      </w:tr>
      <w:tr>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32" w:type="dxa"/>
            <w:tcBorders/>
            <w:vAlign w:val="center"/>
          </w:tcPr>
          <w:p>
            <w:pPr>
              <w:pStyle w:val="TableContents"/>
              <w:bidi w:val="0"/>
              <w:spacing w:before="0" w:after="283"/>
              <w:jc w:val="left"/>
              <w:rPr/>
            </w:pPr>
            <w:hyperlink w:anchor="d899523dex991.htm">
              <w:r>
                <w:rPr>
                  <w:rStyle w:val="InternetLink"/>
                </w:rPr>
                <w:t xml:space="preserve">Press Release, dated February 28, 2025. </w:t>
              </w:r>
            </w:hyperlink>
          </w:p>
        </w:tc>
      </w:tr>
      <w:tr>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32"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38" w:type="dxa"/>
        <w:jc w:val="left"/>
        <w:tblInd w:w="0" w:type="dxa"/>
        <w:tblLayout w:type="fixed"/>
        <w:tblCellMar>
          <w:top w:w="0" w:type="dxa"/>
          <w:left w:w="0" w:type="dxa"/>
          <w:bottom w:w="0" w:type="dxa"/>
          <w:right w:w="0" w:type="dxa"/>
        </w:tblCellMar>
      </w:tblPr>
      <w:tblGrid>
        <w:gridCol w:w="2360"/>
        <w:gridCol w:w="60"/>
        <w:gridCol w:w="23"/>
        <w:gridCol w:w="60"/>
        <w:gridCol w:w="650"/>
        <w:gridCol w:w="60"/>
        <w:gridCol w:w="2225"/>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COSTAR GROUP,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28,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M. Lown</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Christian M. Lown</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99523dex991.htm"/>
      <w:bookmarkStart w:id="3" w:name="ksd89952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CoStar Group Completes Acquisition of Matterport, Ushering in a New Era of 3D Digital Twins and AI-Powered Real Estate Innovation </w:t>
      </w:r>
    </w:p>
    <w:p>
      <w:pPr>
        <w:pStyle w:val="TextBody"/>
        <w:bidi w:val="0"/>
        <w:spacing w:before="240" w:after="0"/>
        <w:jc w:val="center"/>
        <w:rPr>
          <w:rFonts w:ascii="Times New Roman" w:hAnsi="Times New Roman"/>
          <w:i/>
          <w:sz w:val="20"/>
        </w:rPr>
      </w:pPr>
      <w:r>
        <w:rPr>
          <w:rFonts w:ascii="Times New Roman" w:hAnsi="Times New Roman"/>
          <w:i/>
          <w:sz w:val="20"/>
        </w:rPr>
        <w:t xml:space="preserve">CoStar Group and Matterport to deepen their focus in AI, computer vision, and machine learning, advancing property insights and driving the growth of digital twin technology across the global commercial and residential real estate sector </w:t>
      </w:r>
    </w:p>
    <w:p>
      <w:pPr>
        <w:pStyle w:val="TextBody"/>
        <w:bidi w:val="0"/>
        <w:spacing w:before="240" w:after="0"/>
        <w:jc w:val="left"/>
        <w:rPr>
          <w:rFonts w:ascii="Times New Roman" w:hAnsi="Times New Roman"/>
          <w:sz w:val="20"/>
        </w:rPr>
      </w:pPr>
      <w:r>
        <w:rPr>
          <w:rFonts w:ascii="Times New Roman" w:hAnsi="Times New Roman"/>
          <w:b/>
          <w:sz w:val="20"/>
        </w:rPr>
        <w:t>Arlington, Virginia (February 28, 2025) </w:t>
      </w:r>
      <w:r>
        <w:rPr>
          <w:rFonts w:ascii="Times New Roman" w:hAnsi="Times New Roman"/>
          <w:sz w:val="20"/>
        </w:rPr>
        <w:t xml:space="preserve"> CoStar Group, Inc. (NASDAQ: CSGP), a leading provider of online real estate marketplaces, information, and analytics in the property markets, announced today the successful completion of its previously announced acquisition of Matterport, Inc. (NASDAQ: MTTR), the global leader in 3D digital twin technology. This powerful combination brings together two industry pioneers to accelerate the adoption of AI-driven digital twin technology across the global real estate landscape. </w:t>
      </w:r>
    </w:p>
    <w:p>
      <w:pPr>
        <w:pStyle w:val="TextBody"/>
        <w:bidi w:val="0"/>
        <w:spacing w:before="240" w:after="0"/>
        <w:jc w:val="left"/>
        <w:rPr>
          <w:rFonts w:ascii="Times New Roman" w:hAnsi="Times New Roman"/>
          <w:sz w:val="20"/>
        </w:rPr>
      </w:pPr>
      <w:r>
        <w:rPr>
          <w:rFonts w:ascii="Times New Roman" w:hAnsi="Times New Roman"/>
          <w:sz w:val="20"/>
        </w:rPr>
        <w:t xml:space="preserve">CoStar Group and Matterport have long shared a vision of digitizing the real estate industry, and today, we officially unite to realize that future together, said </w:t>
      </w:r>
      <w:r>
        <w:rPr>
          <w:rFonts w:ascii="Times New Roman" w:hAnsi="Times New Roman"/>
          <w:b/>
          <w:sz w:val="20"/>
        </w:rPr>
        <w:t>Andy Florance, Founder and Chief Executive Officer of CoStar Group</w:t>
      </w:r>
      <w:r>
        <w:rPr>
          <w:rFonts w:ascii="Times New Roman" w:hAnsi="Times New Roman"/>
          <w:sz w:val="20"/>
        </w:rPr>
        <w:t xml:space="preserve">. Matterports cutting-edge 3D capture and AI-powered property insights have already transformed how residential and commercial properties are marketed and experienced. By integrating Matterports groundbreaking digital twin technology with our vast property data and online marketplaces, we are creating an unparalleled solution for buyers, sellers, and renters to explore properties with greater depth and insight than ever before. </w:t>
      </w:r>
    </w:p>
    <w:p>
      <w:pPr>
        <w:pStyle w:val="TextBody"/>
        <w:bidi w:val="0"/>
        <w:spacing w:before="240" w:after="0"/>
        <w:jc w:val="left"/>
        <w:rPr>
          <w:rFonts w:ascii="Times New Roman" w:hAnsi="Times New Roman"/>
          <w:sz w:val="20"/>
        </w:rPr>
      </w:pPr>
      <w:r>
        <w:rPr>
          <w:rFonts w:ascii="Times New Roman" w:hAnsi="Times New Roman"/>
          <w:sz w:val="20"/>
        </w:rPr>
        <w:t xml:space="preserve">Matterport pioneered 3D digital twins, enabling property owners, buyers, and renters to experience properties with immersive accuracy from anywhere in the world. With over 14 million spaces and 50 billion square feet digitized across 177 countries, Matterport has built the worlds largest and most precise spatial data library, empowering real estate professionals with powerful insights and visualization tools. </w:t>
      </w:r>
    </w:p>
    <w:p>
      <w:pPr>
        <w:pStyle w:val="TextBody"/>
        <w:bidi w:val="0"/>
        <w:spacing w:before="240" w:after="0"/>
        <w:jc w:val="left"/>
        <w:rPr>
          <w:rFonts w:ascii="Times New Roman" w:hAnsi="Times New Roman"/>
          <w:sz w:val="20"/>
        </w:rPr>
      </w:pPr>
      <w:r>
        <w:rPr>
          <w:rFonts w:ascii="Times New Roman" w:hAnsi="Times New Roman"/>
          <w:sz w:val="20"/>
        </w:rPr>
        <w:t xml:space="preserve">This is an exciting milestone for Matterport, as we join forces with CoStar Group to accelerate our impact on the global real estate industry, said </w:t>
      </w:r>
      <w:r>
        <w:rPr>
          <w:rFonts w:ascii="Times New Roman" w:hAnsi="Times New Roman"/>
          <w:b/>
          <w:sz w:val="20"/>
        </w:rPr>
        <w:t>RJ Pittman, Chairman and CEO of Matterport</w:t>
      </w:r>
      <w:r>
        <w:rPr>
          <w:rFonts w:ascii="Times New Roman" w:hAnsi="Times New Roman"/>
          <w:sz w:val="20"/>
        </w:rPr>
        <w:t xml:space="preserve">. From residential to commercial, our technology is redefining how residential and commercial spaces are discovered, marketed, and transacted. With CoStar Groups scale and resources, we can fast-track innovation, deepen AI-driven analytics, and deliver even greater value to our customers worldwide. </w:t>
      </w:r>
    </w:p>
    <w:p>
      <w:pPr>
        <w:pStyle w:val="TextBody"/>
        <w:bidi w:val="0"/>
        <w:spacing w:before="240" w:after="0"/>
        <w:jc w:val="left"/>
        <w:rPr>
          <w:rFonts w:ascii="Times New Roman" w:hAnsi="Times New Roman"/>
          <w:sz w:val="20"/>
        </w:rPr>
      </w:pPr>
      <w:r>
        <w:rPr>
          <w:rFonts w:ascii="Times New Roman" w:hAnsi="Times New Roman"/>
          <w:sz w:val="20"/>
        </w:rPr>
        <w:t xml:space="preserve">CoStar Group and Matterport are committed to further investing in AI, computer vision, and machine learning to improve property analytics, optimize operational efficiency, and broaden the use of digital twin technologies throughout the real estate industry. As the demand for remote property exploration and data-driven decision-making continues to grow, this merger positions the combined company at the forefront of the next generation of real estate technology.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opportunity ahead is vastthere are more than four billion residential and commercial buildings on the planet, roughly twice as many as there are websites on the internet today. Yet, the vast majority of these spaces remain largely undigitized. With the property sector representing a $327 trillion asset classthe largest in the world by several timesthe need for accurate, data-driven insights has never been greater. Together, CoStar Group and Matterport are poised to lead this digital transformation, bringing AI-powered intelligence, 3D digital twins, and next-generation property insights to every corner of the built world. This is just the beginning.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CoStar Group, Inc. </w:t>
      </w:r>
    </w:p>
    <w:p>
      <w:pPr>
        <w:pStyle w:val="TextBody"/>
        <w:bidi w:val="0"/>
        <w:spacing w:before="120" w:after="0"/>
        <w:jc w:val="left"/>
        <w:rPr>
          <w:rFonts w:ascii="Times New Roman" w:hAnsi="Times New Roman"/>
          <w:sz w:val="20"/>
        </w:rPr>
      </w:pPr>
      <w:r>
        <w:rPr>
          <w:rFonts w:ascii="Times New Roman" w:hAnsi="Times New Roman"/>
          <w:sz w:val="20"/>
        </w:rPr>
        <w:t xml:space="preserve">CoStar Group (NASDAQ: CSGP) is the global leader in commercial real estate information, analytics, and online marketplaces. Founded in 1986, CoStar Group is dedicated to digitizing the worlds real estate, empowering all people to discover properties, insights, and connections that improve their businesses and lives. </w:t>
      </w:r>
    </w:p>
    <w:p>
      <w:pPr>
        <w:pStyle w:val="TextBody"/>
        <w:bidi w:val="0"/>
        <w:spacing w:before="240" w:after="0"/>
        <w:jc w:val="left"/>
        <w:rPr>
          <w:rFonts w:ascii="Times New Roman" w:hAnsi="Times New Roman"/>
          <w:sz w:val="20"/>
        </w:rPr>
      </w:pPr>
      <w:r>
        <w:rPr>
          <w:rFonts w:ascii="Times New Roman" w:hAnsi="Times New Roman"/>
          <w:sz w:val="20"/>
        </w:rPr>
        <w:t xml:space="preserve">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include STR, a global leader in hospitality data and benchmarking, Ten-X, an online platform for commercial real estate auctions and negotiated bids and OnTheMarket, a leading residential property portal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CoStar Groups websites attracted over 134 million average monthly unique visitors in the fourth quarter of 2024,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press release contains forward-looking statements regarding the anticipated benefits of the merger, investment in Matterports technology, and expansion of digital twin applications. These statements involve risks and uncertainties, including but not limited to market conditions, competitive pressures, and regulatory factors. Actual results may differ materially. CoStar Group and Matterport disclaim any obligation to update forward-looking statements,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J.P. Morgan Securities is serving as financial advisor and Latham &amp; Watkins LLP is serving as legal advisor to CoStar Group. </w:t>
      </w:r>
    </w:p>
    <w:p>
      <w:pPr>
        <w:pStyle w:val="TextBody"/>
        <w:bidi w:val="0"/>
        <w:spacing w:before="240" w:after="0"/>
        <w:jc w:val="left"/>
        <w:rPr>
          <w:rFonts w:ascii="Times New Roman" w:hAnsi="Times New Roman"/>
          <w:sz w:val="20"/>
        </w:rPr>
      </w:pPr>
      <w:r>
        <w:rPr>
          <w:rFonts w:ascii="Times New Roman" w:hAnsi="Times New Roman"/>
          <w:sz w:val="20"/>
        </w:rPr>
        <w:t xml:space="preserve">Qatalyst Partners is serving as financial advisor and Foley &amp; Lardner LLP is serving as legal advisor to Matterport.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News Media: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Matthew Blocher</w:t>
      </w:r>
    </w:p>
    <w:p>
      <w:pPr>
        <w:pStyle w:val="TextBody"/>
        <w:bidi w:val="0"/>
        <w:spacing w:before="0" w:after="0"/>
        <w:jc w:val="left"/>
        <w:rPr>
          <w:rFonts w:ascii="Times New Roman" w:hAnsi="Times New Roman"/>
          <w:sz w:val="20"/>
        </w:rPr>
      </w:pPr>
      <w:r>
        <w:rPr>
          <w:rFonts w:ascii="Times New Roman" w:hAnsi="Times New Roman"/>
          <w:sz w:val="20"/>
        </w:rPr>
        <w:t>Vice President</w:t>
      </w:r>
    </w:p>
    <w:p>
      <w:pPr>
        <w:pStyle w:val="TextBody"/>
        <w:bidi w:val="0"/>
        <w:spacing w:before="0" w:after="0"/>
        <w:jc w:val="left"/>
        <w:rPr>
          <w:rFonts w:ascii="Times New Roman" w:hAnsi="Times New Roman"/>
          <w:sz w:val="20"/>
        </w:rPr>
      </w:pPr>
      <w:r>
        <w:rPr>
          <w:rFonts w:ascii="Times New Roman" w:hAnsi="Times New Roman"/>
          <w:sz w:val="20"/>
        </w:rPr>
        <w:t>CoStar Group Corporate Marketing &amp; Communications</w:t>
      </w:r>
    </w:p>
    <w:p>
      <w:pPr>
        <w:pStyle w:val="TextBody"/>
        <w:bidi w:val="0"/>
        <w:spacing w:before="0" w:after="0"/>
        <w:jc w:val="left"/>
        <w:rPr>
          <w:rFonts w:ascii="Times New Roman" w:hAnsi="Times New Roman"/>
          <w:sz w:val="20"/>
        </w:rPr>
      </w:pPr>
      <w:r>
        <w:rPr>
          <w:rFonts w:ascii="Times New Roman" w:hAnsi="Times New Roman"/>
          <w:sz w:val="20"/>
        </w:rPr>
        <w:t>(202) 346-6775</w:t>
      </w:r>
    </w:p>
    <w:p>
      <w:pPr>
        <w:pStyle w:val="TextBody"/>
        <w:bidi w:val="0"/>
        <w:spacing w:before="0" w:after="0"/>
        <w:jc w:val="left"/>
        <w:rPr>
          <w:rFonts w:ascii="Times New Roman" w:hAnsi="Times New Roman"/>
          <w:sz w:val="20"/>
        </w:rPr>
      </w:pPr>
      <w:r>
        <w:rPr>
          <w:rFonts w:ascii="Times New Roman" w:hAnsi="Times New Roman"/>
          <w:sz w:val="20"/>
          <w:u w:val="single"/>
        </w:rPr>
        <w:t>mblocher@costar.com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Rich Simonelli</w:t>
      </w:r>
    </w:p>
    <w:p>
      <w:pPr>
        <w:pStyle w:val="TextBody"/>
        <w:bidi w:val="0"/>
        <w:spacing w:before="0" w:after="0"/>
        <w:jc w:val="left"/>
        <w:rPr>
          <w:rFonts w:ascii="Times New Roman" w:hAnsi="Times New Roman"/>
          <w:sz w:val="20"/>
        </w:rPr>
      </w:pPr>
      <w:r>
        <w:rPr>
          <w:rFonts w:ascii="Times New Roman" w:hAnsi="Times New Roman"/>
          <w:sz w:val="20"/>
        </w:rPr>
        <w:t>Head of Investor Relations</w:t>
      </w:r>
    </w:p>
    <w:p>
      <w:pPr>
        <w:pStyle w:val="TextBody"/>
        <w:bidi w:val="0"/>
        <w:spacing w:before="0" w:after="0"/>
        <w:jc w:val="left"/>
        <w:rPr>
          <w:rFonts w:ascii="Times New Roman" w:hAnsi="Times New Roman"/>
          <w:sz w:val="20"/>
        </w:rPr>
      </w:pPr>
      <w:r>
        <w:rPr>
          <w:rFonts w:ascii="Times New Roman" w:hAnsi="Times New Roman"/>
          <w:sz w:val="20"/>
        </w:rPr>
        <w:t>CoStar Group Investor Relations</w:t>
      </w:r>
    </w:p>
    <w:p>
      <w:pPr>
        <w:pStyle w:val="TextBody"/>
        <w:bidi w:val="0"/>
        <w:spacing w:before="0" w:after="0"/>
        <w:jc w:val="left"/>
        <w:rPr>
          <w:rFonts w:ascii="Times New Roman" w:hAnsi="Times New Roman"/>
          <w:sz w:val="20"/>
        </w:rPr>
      </w:pPr>
      <w:r>
        <w:rPr>
          <w:rFonts w:ascii="Times New Roman" w:hAnsi="Times New Roman"/>
          <w:sz w:val="20"/>
        </w:rPr>
        <w:t>(202) 346-5649</w:t>
      </w:r>
    </w:p>
    <w:p>
      <w:pPr>
        <w:pStyle w:val="TextBody"/>
        <w:bidi w:val="0"/>
        <w:spacing w:before="0" w:after="0"/>
        <w:jc w:val="left"/>
        <w:rPr>
          <w:rFonts w:ascii="Times New Roman" w:hAnsi="Times New Roman"/>
          <w:sz w:val="20"/>
        </w:rPr>
      </w:pPr>
      <w:r>
        <w:rPr>
          <w:rFonts w:ascii="Times New Roman" w:hAnsi="Times New Roman"/>
          <w:sz w:val="20"/>
          <w:u w:val="single"/>
        </w:rPr>
        <w:t>getrich@costar.com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57352/000119312524103937/d828310d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1904</Words>
  <Characters>10681</Characters>
  <CharactersWithSpaces>12540</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