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0" w:lineRule="exact"/>
        <w:rPr>
          <w:sz w:val="24"/>
          <w:szCs w:val="24"/>
          <w:color w:val="auto"/>
        </w:rPr>
      </w:pPr>
    </w:p>
    <w:p>
      <w:pPr>
        <w:jc w:val="center"/>
        <w:ind w:left="4520" w:right="3560" w:hanging="1253"/>
        <w:spacing w:after="0" w:line="284" w:lineRule="auto"/>
        <w:tabs>
          <w:tab w:leader="none" w:pos="39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2025</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5" w:lineRule="exact"/>
        <w:rPr>
          <w:sz w:val="24"/>
          <w:szCs w:val="24"/>
          <w:color w:val="auto"/>
        </w:rPr>
      </w:pPr>
    </w:p>
    <w:p>
      <w:pPr>
        <w:jc w:val="center"/>
        <w:ind w:left="4520" w:right="3540" w:hanging="1247"/>
        <w:spacing w:after="0" w:line="267" w:lineRule="auto"/>
        <w:tabs>
          <w:tab w:leader="none" w:pos="3915"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3"/>
          <w:szCs w:val="13"/>
          <w:color w:val="auto"/>
        </w:rPr>
        <w:t>For the transition period from ______ to 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2071370</wp:posOffset>
            </wp:positionH>
            <wp:positionV relativeFrom="paragraph">
              <wp:posOffset>43180</wp:posOffset>
            </wp:positionV>
            <wp:extent cx="3031490"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31490" cy="518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CoStar Group,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85" w:lineRule="exact"/>
        <w:rPr>
          <w:sz w:val="24"/>
          <w:szCs w:val="24"/>
          <w:color w:val="auto"/>
        </w:rPr>
      </w:pPr>
    </w:p>
    <w:tbl>
      <w:tblPr>
        <w:tblLayout w:type="fixed"/>
        <w:tblInd w:w="226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560" w:type="dxa"/>
            <w:vAlign w:val="bottom"/>
          </w:tcPr>
          <w:p>
            <w:pPr>
              <w:spacing w:after="0"/>
              <w:rPr>
                <w:sz w:val="12"/>
                <w:szCs w:val="12"/>
                <w:color w:val="auto"/>
              </w:rPr>
            </w:pPr>
          </w:p>
        </w:tc>
        <w:tc>
          <w:tcPr>
            <w:tcW w:w="286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52-2091509</w:t>
            </w:r>
          </w:p>
        </w:tc>
      </w:tr>
      <w:tr>
        <w:trPr>
          <w:trHeight w:val="220"/>
        </w:trPr>
        <w:tc>
          <w:tcPr>
            <w:tcW w:w="3360" w:type="dxa"/>
            <w:vAlign w:val="bottom"/>
            <w:gridSpan w:val="3"/>
          </w:tcPr>
          <w:p>
            <w:pPr>
              <w:jc w:val="center"/>
              <w:ind w:right="196"/>
              <w:spacing w:after="0"/>
              <w:rPr>
                <w:sz w:val="20"/>
                <w:szCs w:val="20"/>
                <w:color w:val="auto"/>
              </w:rPr>
            </w:pPr>
            <w:r>
              <w:rPr>
                <w:rFonts w:ascii="Times New Roman" w:cs="Times New Roman" w:eastAsia="Times New Roman" w:hAnsi="Times New Roman"/>
                <w:sz w:val="13"/>
                <w:szCs w:val="13"/>
                <w:i w:val="1"/>
                <w:iCs w:val="1"/>
                <w:color w:val="auto"/>
                <w:w w:val="97"/>
              </w:rPr>
              <w:t>(State or other jurisdiction of incorporation or organization)</w:t>
            </w:r>
          </w:p>
        </w:tc>
        <w:tc>
          <w:tcPr>
            <w:tcW w:w="2860" w:type="dxa"/>
            <w:vAlign w:val="bottom"/>
          </w:tcPr>
          <w:p>
            <w:pPr>
              <w:jc w:val="center"/>
              <w:ind w:left="976"/>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329"/>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1201 Wilson Blvd</w:t>
            </w:r>
          </w:p>
        </w:tc>
      </w:tr>
      <w:tr>
        <w:trPr>
          <w:trHeight w:val="191"/>
        </w:trPr>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Arlington</w:t>
            </w:r>
          </w:p>
        </w:tc>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VA  22209</w:t>
            </w:r>
          </w:p>
        </w:tc>
      </w:tr>
    </w:tbl>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w:t>
      </w:r>
      <w:r>
        <w:rPr>
          <w:rFonts w:ascii="Times New Roman" w:cs="Times New Roman" w:eastAsia="Times New Roman" w:hAnsi="Times New Roman"/>
          <w:sz w:val="12"/>
          <w:szCs w:val="12"/>
          <w:i w:val="1"/>
          <w:iCs w:val="1"/>
          <w:color w:val="auto"/>
        </w:rPr>
        <w:t>dress of principal executive offices) (Zip Code)</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 346-6500</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4"/>
        </w:trPr>
        <w:tc>
          <w:tcPr>
            <w:tcW w:w="3100" w:type="dxa"/>
            <w:vAlign w:val="bottom"/>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3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09"/>
        </w:trPr>
        <w:tc>
          <w:tcPr>
            <w:tcW w:w="4860" w:type="dxa"/>
            <w:vAlign w:val="bottom"/>
            <w:gridSpan w:val="3"/>
          </w:tcPr>
          <w:p>
            <w:pPr>
              <w:jc w:val="center"/>
              <w:ind w:left="2256"/>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4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8"/>
              </w:rPr>
              <w:t>CSGP</w:t>
            </w: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bl>
    <w:p>
      <w:pPr>
        <w:spacing w:after="0" w:line="163"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96"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8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3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680" w:type="dxa"/>
            <w:vAlign w:val="bottom"/>
          </w:tcPr>
          <w:p>
            <w:pPr>
              <w:ind w:left="920"/>
              <w:spacing w:after="0"/>
              <w:rPr>
                <w:sz w:val="20"/>
                <w:szCs w:val="20"/>
                <w:color w:val="auto"/>
              </w:rPr>
            </w:pPr>
            <w:r>
              <w:rPr>
                <w:rFonts w:ascii="Wingdings" w:cs="Wingdings" w:eastAsia="Wingdings" w:hAnsi="Wingdings"/>
                <w:sz w:val="13"/>
                <w:szCs w:val="13"/>
                <w:b w:val="1"/>
                <w:bCs w:val="1"/>
                <w:color w:val="auto"/>
              </w:rPr>
              <w:t>x</w:t>
            </w: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68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5" w:lineRule="exact"/>
        <w:rPr>
          <w:sz w:val="24"/>
          <w:szCs w:val="24"/>
          <w:color w:val="auto"/>
        </w:rPr>
      </w:pPr>
    </w:p>
    <w:p>
      <w:pPr>
        <w:ind w:right="24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7" w:lineRule="exact"/>
        <w:rPr>
          <w:sz w:val="24"/>
          <w:szCs w:val="24"/>
          <w:color w:val="auto"/>
        </w:rPr>
      </w:pPr>
    </w:p>
    <w:p>
      <w:pPr>
        <w:ind w:right="4780"/>
        <w:spacing w:after="0" w:line="24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As of </w:t>
      </w:r>
      <w:r>
        <w:rPr>
          <w:rFonts w:ascii="Times New Roman" w:cs="Times New Roman" w:eastAsia="Times New Roman" w:hAnsi="Times New Roman"/>
          <w:sz w:val="14"/>
          <w:szCs w:val="14"/>
          <w:color w:val="auto"/>
        </w:rPr>
        <w:t>October 27, 2025</w:t>
      </w:r>
      <w:r>
        <w:rPr>
          <w:rFonts w:ascii="Times New Roman" w:cs="Times New Roman" w:eastAsia="Times New Roman" w:hAnsi="Times New Roman"/>
          <w:sz w:val="13"/>
          <w:szCs w:val="13"/>
          <w:color w:val="auto"/>
        </w:rPr>
        <w:t>, there were 423,822,791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Glossary of Terms</w:t>
            </w:r>
          </w:p>
        </w:tc>
        <w:tc>
          <w:tcPr>
            <w:tcW w:w="8520" w:type="dxa"/>
            <w:vAlign w:val="bottom"/>
            <w:gridSpan w:val="12"/>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200" w:type="dxa"/>
            <w:vAlign w:val="bottom"/>
          </w:tcPr>
          <w:p>
            <w:pPr>
              <w:spacing w:after="0"/>
              <w:rPr>
                <w:sz w:val="13"/>
                <w:szCs w:val="13"/>
                <w:color w:val="auto"/>
              </w:rPr>
            </w:pPr>
          </w:p>
        </w:tc>
      </w:tr>
      <w:tr>
        <w:trPr>
          <w:trHeight w:val="266"/>
        </w:trPr>
        <w:tc>
          <w:tcPr>
            <w:tcW w:w="2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w:t>
            </w:r>
          </w:p>
        </w:tc>
        <w:tc>
          <w:tcPr>
            <w:tcW w:w="1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8360" w:type="dxa"/>
            <w:vAlign w:val="bottom"/>
            <w:gridSpan w:val="11"/>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w:t>
            </w:r>
          </w:p>
        </w:tc>
        <w:tc>
          <w:tcPr>
            <w:tcW w:w="5940" w:type="dxa"/>
            <w:vAlign w:val="bottom"/>
            <w:gridSpan w:val="3"/>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7</w:t>
            </w: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Condensed Consolidated Balance Sheets</w:t>
            </w:r>
          </w:p>
        </w:tc>
        <w:tc>
          <w:tcPr>
            <w:tcW w:w="7240" w:type="dxa"/>
            <w:vAlign w:val="bottom"/>
            <w:gridSpan w:val="8"/>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8</w:t>
            </w: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542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9</w:t>
            </w: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11</w:t>
            </w:r>
          </w:p>
        </w:tc>
        <w:tc>
          <w:tcPr>
            <w:tcW w:w="2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12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46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660" w:type="dxa"/>
            <w:vAlign w:val="bottom"/>
            <w:tcBorders>
              <w:left w:val="single" w:sz="8" w:color="0000FF"/>
            </w:tcBorders>
            <w:gridSpan w:val="3"/>
            <w:shd w:val="clear" w:color="auto" w:fill="0000FF"/>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3.</w:t>
            </w:r>
          </w:p>
        </w:tc>
        <w:tc>
          <w:tcPr>
            <w:tcW w:w="34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60" w:type="dxa"/>
            <w:vAlign w:val="bottom"/>
            <w:gridSpan w:val="3"/>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4.</w:t>
            </w: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Controls and Procedures</w:t>
            </w:r>
          </w:p>
        </w:tc>
        <w:tc>
          <w:tcPr>
            <w:tcW w:w="2020" w:type="dxa"/>
            <w:vAlign w:val="bottom"/>
            <w:gridSpan w:val="6"/>
          </w:tcPr>
          <w:p>
            <w:pPr>
              <w:spacing w:after="0"/>
              <w:rPr>
                <w:sz w:val="20"/>
                <w:szCs w:val="20"/>
                <w:color w:val="auto"/>
              </w:rPr>
            </w:pPr>
          </w:p>
        </w:tc>
        <w:tc>
          <w:tcPr>
            <w:tcW w:w="6140" w:type="dxa"/>
            <w:vAlign w:val="bottom"/>
            <w:gridSpan w:val="4"/>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140" w:type="dxa"/>
            <w:vAlign w:val="bottom"/>
            <w:tcBorders>
              <w:right w:val="single" w:sz="8" w:color="0000FF"/>
            </w:tcBorders>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Legal Proceedings</w:t>
            </w:r>
          </w:p>
        </w:tc>
        <w:tc>
          <w:tcPr>
            <w:tcW w:w="8520" w:type="dxa"/>
            <w:vAlign w:val="bottom"/>
            <w:gridSpan w:val="12"/>
          </w:tcPr>
          <w:p>
            <w:pPr>
              <w:spacing w:after="0"/>
              <w:rPr>
                <w:sz w:val="19"/>
                <w:szCs w:val="19"/>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1A.</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8520" w:type="dxa"/>
            <w:vAlign w:val="bottom"/>
            <w:gridSpan w:val="12"/>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140" w:type="dxa"/>
            <w:vAlign w:val="bottom"/>
            <w:tcBorders>
              <w:right w:val="single" w:sz="8" w:color="0000FF"/>
            </w:tcBorders>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gridSpan w:val="5"/>
          </w:tcPr>
          <w:p>
            <w:pPr>
              <w:spacing w:after="0"/>
              <w:rPr>
                <w:sz w:val="20"/>
                <w:szCs w:val="20"/>
                <w:color w:val="auto"/>
              </w:rPr>
            </w:pPr>
          </w:p>
        </w:tc>
        <w:tc>
          <w:tcPr>
            <w:tcW w:w="6140" w:type="dxa"/>
            <w:vAlign w:val="bottom"/>
            <w:gridSpan w:val="4"/>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20" w:type="dxa"/>
            <w:vAlign w:val="bottom"/>
            <w:tcBorders>
              <w:right w:val="single" w:sz="8" w:color="0000FF"/>
            </w:tcBorders>
            <w:gridSpan w:val="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4.</w:t>
            </w: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720" w:type="dxa"/>
            <w:vAlign w:val="bottom"/>
            <w:gridSpan w:val="9"/>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160" w:type="dxa"/>
            <w:vAlign w:val="bottom"/>
            <w:tcBorders>
              <w:right w:val="single" w:sz="8" w:color="0000FF"/>
            </w:tcBorders>
            <w:gridSpan w:val="1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160" w:type="dxa"/>
            <w:vAlign w:val="bottom"/>
            <w:gridSpan w:val="10"/>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520" w:type="dxa"/>
            <w:vAlign w:val="bottom"/>
            <w:tcBorders>
              <w:right w:val="single" w:sz="8" w:color="0000FF"/>
            </w:tcBorders>
            <w:gridSpan w:val="1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Exhibits</w:t>
            </w:r>
          </w:p>
        </w:tc>
        <w:tc>
          <w:tcPr>
            <w:tcW w:w="8520" w:type="dxa"/>
            <w:vAlign w:val="bottom"/>
            <w:gridSpan w:val="12"/>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67</w:t>
            </w:r>
          </w:p>
        </w:tc>
      </w:tr>
      <w:tr>
        <w:trPr>
          <w:trHeight w:val="563"/>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5060" w:type="dxa"/>
            <w:vAlign w:val="bottom"/>
            <w:gridSpan w:val="14"/>
          </w:tcPr>
          <w:p>
            <w:pPr>
              <w:ind w:left="4280"/>
              <w:spacing w:after="0"/>
              <w:rPr>
                <w:sz w:val="20"/>
                <w:szCs w:val="20"/>
                <w:color w:val="auto"/>
              </w:rPr>
            </w:pPr>
            <w:r>
              <w:rPr>
                <w:rFonts w:ascii="Times New Roman" w:cs="Times New Roman" w:eastAsia="Times New Roman" w:hAnsi="Times New Roman"/>
                <w:sz w:val="14"/>
                <w:szCs w:val="14"/>
                <w:color w:val="auto"/>
              </w:rPr>
              <w:t>2</w:t>
            </w:r>
          </w:p>
        </w:tc>
        <w:tc>
          <w:tcPr>
            <w:tcW w:w="4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224"/>
        </w:trPr>
        <w:tc>
          <w:tcPr>
            <w:tcW w:w="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4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Glossary of Terms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following abbreviations or acronyms used in this Quarterly Report on Form 10-Q (this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Report</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are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460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 or Acronym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Credit Agreement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credit agreement the Company entered into on May 24, 2024</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Form 10-K</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CoStar Group's Annual Report on Form 10-K for the year ended December 31, 2024 filed with</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SEC on February 19, 2025</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Australian dollars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Artificial Intelligence</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AOMs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Structured equity vehicles operating under Domain's Agent Ownership Model. The AOMs</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function as strategic partnership tools that provide residential and commercial real estate agencies</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 economic stake in Domain-affiliated entities, creating a mechanism to reward long-term</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engagement and performance through profit-sharing rather than traditional commissions or</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rebates.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Assumed Matterport Plans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Matterport 2021 Incentive Award Plan and Matterport, Inc. Amended and Restated 2011</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Incentive Plan assumed by CoStar Group in connection with the Matterport Acquisition</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0" w:type="dxa"/>
            <w:vAlign w:val="bottom"/>
          </w:tcPr>
          <w:p>
            <w:pPr>
              <w:spacing w:after="0"/>
              <w:rPr>
                <w:sz w:val="1"/>
                <w:szCs w:val="1"/>
                <w:color w:val="auto"/>
              </w:rPr>
            </w:pPr>
          </w:p>
        </w:tc>
      </w:tr>
      <w:tr>
        <w:trPr>
          <w:trHeight w:val="212"/>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BizBuySell Network</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BizBuySell.com and its network of business for-sale websites</w:t>
            </w:r>
          </w:p>
        </w:tc>
        <w:tc>
          <w:tcPr>
            <w:tcW w:w="0" w:type="dxa"/>
            <w:vAlign w:val="bottom"/>
          </w:tcPr>
          <w:p>
            <w:pPr>
              <w:spacing w:after="0"/>
              <w:rPr>
                <w:sz w:val="1"/>
                <w:szCs w:val="1"/>
                <w:color w:val="auto"/>
              </w:rPr>
            </w:pPr>
          </w:p>
        </w:tc>
      </w:tr>
      <w:tr>
        <w:trPr>
          <w:trHeight w:val="138"/>
        </w:trPr>
        <w:tc>
          <w:tcPr>
            <w:tcW w:w="1620" w:type="dxa"/>
            <w:vAlign w:val="bottom"/>
            <w:vMerge w:val="continue"/>
          </w:tcPr>
          <w:p>
            <w:pPr>
              <w:spacing w:after="0"/>
              <w:rPr>
                <w:sz w:val="11"/>
                <w:szCs w:val="11"/>
                <w:color w:val="auto"/>
              </w:rPr>
            </w:pPr>
          </w:p>
        </w:tc>
        <w:tc>
          <w:tcPr>
            <w:tcW w:w="9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Directors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CoStar Group Board of Directors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expected credit losses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Chief Operating Decision Maker</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(also the</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CoStar Group, Inc., a Delaware corporation, one or more of its consolidated</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“we,” “us,” or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or operating segments, or the entirety of CoStar Group, Inc. and its consolidated</w:t>
            </w:r>
          </w:p>
        </w:tc>
        <w:tc>
          <w:tcPr>
            <w:tcW w:w="0" w:type="dxa"/>
            <w:vAlign w:val="bottom"/>
          </w:tcPr>
          <w:p>
            <w:pPr>
              <w:spacing w:after="0"/>
              <w:rPr>
                <w:sz w:val="1"/>
                <w:szCs w:val="1"/>
                <w:color w:val="auto"/>
              </w:rPr>
            </w:pPr>
          </w:p>
        </w:tc>
      </w:tr>
      <w:tr>
        <w:trPr>
          <w:trHeight w:val="184"/>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Share</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 share of the common stock of the Company, par value $0.01 per share</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CRI</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CoStar Realty Information, Inc., a Delaware corporation and wholly owned</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subsidiary (and primary operating entity in the United States) of CoStar Group, Inc.</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Domain Holdings Australia Limited</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 Acquisition</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CoStar's acquisition of Domain completed on August 27, 2025, pursuant to the Scheme</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Implementation Deed</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 Proposal</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Company’s non-binding indicative proposal to acquire 100% of the issued capital of Domain</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by way of scheme of arrangement for a cash consideration of A$4.43 per ordinary share of</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Domain</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 SID</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Company's binding Scheme Implementation Deed to acquire 100% of the issued capital of</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Domain for a cash consideration of A$4.43 per ordinary share of Domain</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Domain Transaction</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transactions entered into by the Company to acquire Domain pursuant to the Domain SID.</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DSUs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Stock Units</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 before interest income or expense, net; other income or expense, net; loss on</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debt extinguishment; income taxes; depreciation; and amortization</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EURIBOR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Euro Interbank Offered Rate</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GILTI</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Global intangible low taxed income inclusion</w:t>
            </w:r>
          </w:p>
        </w:tc>
        <w:tc>
          <w:tcPr>
            <w:tcW w:w="0" w:type="dxa"/>
            <w:vAlign w:val="bottom"/>
          </w:tcPr>
          <w:p>
            <w:pPr>
              <w:spacing w:after="0"/>
              <w:rPr>
                <w:sz w:val="1"/>
                <w:szCs w:val="1"/>
                <w:color w:val="auto"/>
              </w:rPr>
            </w:pPr>
          </w:p>
        </w:tc>
      </w:tr>
      <w:tr>
        <w:trPr>
          <w:trHeight w:val="552"/>
        </w:trPr>
        <w:tc>
          <w:tcPr>
            <w:tcW w:w="1620" w:type="dxa"/>
            <w:vAlign w:val="bottom"/>
          </w:tcPr>
          <w:p>
            <w:pPr>
              <w:spacing w:after="0"/>
              <w:rPr>
                <w:sz w:val="24"/>
                <w:szCs w:val="24"/>
                <w:color w:val="auto"/>
              </w:rPr>
            </w:pPr>
          </w:p>
        </w:tc>
        <w:tc>
          <w:tcPr>
            <w:tcW w:w="9660" w:type="dxa"/>
            <w:vAlign w:val="bottom"/>
          </w:tcPr>
          <w:p>
            <w:pPr>
              <w:ind w:left="4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5"/>
        </w:trPr>
        <w:tc>
          <w:tcPr>
            <w:tcW w:w="1620" w:type="dxa"/>
            <w:vAlign w:val="bottom"/>
            <w:tcBorders>
              <w:bottom w:val="single" w:sz="8" w:color="9A9A9A"/>
            </w:tcBorders>
          </w:tcPr>
          <w:p>
            <w:pPr>
              <w:spacing w:after="0"/>
              <w:rPr>
                <w:sz w:val="20"/>
                <w:szCs w:val="20"/>
                <w:color w:val="auto"/>
              </w:rPr>
            </w:pPr>
          </w:p>
        </w:tc>
        <w:tc>
          <w:tcPr>
            <w:tcW w:w="96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 or Acronym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Homes.com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flagship brand of our North American residential products and a homes for-sale listings site,</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which manages workflow and marketing for residential real estate agents and brokers and allows</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homebuyers to view residential property listings, research communities, and connect with real</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estate agents and brokers</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Land.com Network</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Our network of sites featuring rural lands for sale including Land.com, LandsofAmerica,</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LandAndFarm, and LandWatch</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Matching RSUs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Awards of matching restricted stock units awarded under the Company's Management Stock</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Purchase Plan</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Matterport, LLC, formerly known as Matterport Inc., a Delaware corporation and</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provider of a technology platform that uses spatial data to transform physical buildings and spaces</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into dimensionally accurate, digital images</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 Acquisition</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CoStar's acquisition of Matterport completed on February 28, 2025, pursuant to the Matterport</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Merger Agreement</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 Common Stock</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Matterport Class A common stock, par value $0.0001 per share</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 Merger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 ratio of 0.03552 which was determined by the Matterport Merger Agreement and was set on the</w:t>
            </w: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Ratio</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collar floor as the volume-weighted average price at which the CoStar Group Shares traded on the</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Nasdaq Global Select Market for the 20 consecutive Trading Days was below the Floor Price of a</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symmetrical collar of $77.42</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 Merger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April 21, 2024, CoStar entered into an Agreement and Plan of Merger and Reorganization</w:t>
            </w:r>
          </w:p>
        </w:tc>
      </w:tr>
      <w:tr>
        <w:trPr>
          <w:trHeight w:val="184"/>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with Matterport, Matrix Merger Sub I LLC, and Matrix Merger Sub II LLC.</w:t>
            </w:r>
          </w:p>
        </w:tc>
      </w:tr>
      <w:tr>
        <w:trPr>
          <w:trHeight w:val="594"/>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MLSs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Multiple listing services</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MSPP</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 Stock Purchase Plan</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NCI</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Noncontrolling interest</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OBBBA</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H.R. 1 “A bill to provide for reconciliation pursuant to Title II of H. Con. Res. 14,” commonly</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referred to as the One Big Beautiful Bill Act, signed into law on July 4, 2025</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OnTheMarket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OnTheMarket Limited, the operator of onthemarket.com, a U.K. residential</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property portal</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ROU</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Right-of-use</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U.S. Securities and Exchange Commission</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Securities Act of 1933, as amended</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2.800% notes issued by CoStar Group, Inc. due July 15, 2030</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SONIA</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Sterling Overnight Index Average</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stock repurchase program the Board of Directors approved in February 2025 that authorizes</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repurchase of up to $500 million CoStar Group Shares</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STR LLC, together with STR Global Ltd, is a global data and analytics company</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that specializes in benchmarking hotel performance and providing market insights to the industry</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Ten-X</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Ten-X Holding Company, Inc. and its directly and indirectly owned subsidiaries</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SOFR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forward-looking SOFR term rates administered by CME Group Benchmark Administration</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Limited</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shareholder return</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United Kingdom of Great Britain and Northern Ireland</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United States of America</w:t>
            </w: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Visual Lease</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legal entity Visual Lease, LLC, a Delaware limited liability company and operator of Visual</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Lease, a SaaS platform for integrated lease management and lease accounting</w:t>
            </w:r>
          </w:p>
        </w:tc>
      </w:tr>
      <w:tr>
        <w:trPr>
          <w:trHeight w:val="562"/>
        </w:trPr>
        <w:tc>
          <w:tcPr>
            <w:tcW w:w="1620" w:type="dxa"/>
            <w:vAlign w:val="bottom"/>
          </w:tcPr>
          <w:p>
            <w:pPr>
              <w:spacing w:after="0"/>
              <w:rPr>
                <w:sz w:val="24"/>
                <w:szCs w:val="24"/>
                <w:color w:val="auto"/>
              </w:rPr>
            </w:pPr>
          </w:p>
        </w:tc>
        <w:tc>
          <w:tcPr>
            <w:tcW w:w="9660" w:type="dxa"/>
            <w:vAlign w:val="bottom"/>
          </w:tcPr>
          <w:p>
            <w:pPr>
              <w:ind w:left="4120"/>
              <w:spacing w:after="0"/>
              <w:rPr>
                <w:sz w:val="20"/>
                <w:szCs w:val="20"/>
                <w:color w:val="auto"/>
              </w:rPr>
            </w:pPr>
            <w:r>
              <w:rPr>
                <w:rFonts w:ascii="Times New Roman" w:cs="Times New Roman" w:eastAsia="Times New Roman" w:hAnsi="Times New Roman"/>
                <w:sz w:val="14"/>
                <w:szCs w:val="14"/>
                <w:color w:val="auto"/>
              </w:rPr>
              <w:t>4</w:t>
            </w:r>
          </w:p>
        </w:tc>
      </w:tr>
      <w:tr>
        <w:trPr>
          <w:trHeight w:val="224"/>
        </w:trPr>
        <w:tc>
          <w:tcPr>
            <w:tcW w:w="1620" w:type="dxa"/>
            <w:vAlign w:val="bottom"/>
            <w:tcBorders>
              <w:bottom w:val="single" w:sz="8" w:color="9A9A9A"/>
            </w:tcBorders>
          </w:tcPr>
          <w:p>
            <w:pPr>
              <w:spacing w:after="0"/>
              <w:rPr>
                <w:sz w:val="19"/>
                <w:szCs w:val="19"/>
                <w:color w:val="auto"/>
              </w:rPr>
            </w:pPr>
          </w:p>
        </w:tc>
        <w:tc>
          <w:tcPr>
            <w:tcW w:w="96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460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6985"/>
                    </a:xfrm>
                    <a:prstGeom prst="rect">
                      <a:avLst/>
                    </a:prstGeom>
                    <a:noFill/>
                  </pic:spPr>
                </pic:pic>
              </a:graphicData>
            </a:graphic>
          </wp:anchor>
        </w:drawing>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 or Acronym</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Visual Lease Acquisition</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CoStar's acquisition of all of the outstanding equity interest in Visual Lease completed on</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 2024, pursuant to the Visual Lease Merger Agreement</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Visual Lease Merger</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Agreement and Plan of Merger dated as of October 18, 2024, between CRI; Neptune Merger</w:t>
            </w: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  Visual  Lease,  LLC;  and  Shareholder  Representative  Services  LLC  as  the  Holder</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Representative, pursuant to which, among other things, and subject to its terms, Neptune Merger</w:t>
            </w:r>
          </w:p>
        </w:tc>
      </w:tr>
      <w:tr>
        <w:trPr>
          <w:trHeight w:val="170"/>
        </w:trPr>
        <w:tc>
          <w:tcPr>
            <w:tcW w:w="1620" w:type="dxa"/>
            <w:vAlign w:val="bottom"/>
          </w:tcPr>
          <w:p>
            <w:pPr>
              <w:spacing w:after="0"/>
              <w:rPr>
                <w:sz w:val="14"/>
                <w:szCs w:val="14"/>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 merged with and into Visual Lease with Visual Lease surviving the merger as a wholly-</w:t>
            </w:r>
          </w:p>
        </w:tc>
      </w:tr>
      <w:tr>
        <w:trPr>
          <w:trHeight w:val="184"/>
        </w:trPr>
        <w:tc>
          <w:tcPr>
            <w:tcW w:w="1620" w:type="dxa"/>
            <w:vAlign w:val="bottom"/>
          </w:tcPr>
          <w:p>
            <w:pPr>
              <w:spacing w:after="0"/>
              <w:rPr>
                <w:sz w:val="16"/>
                <w:szCs w:val="16"/>
                <w:color w:val="auto"/>
              </w:rPr>
            </w:pPr>
          </w:p>
        </w:tc>
        <w:tc>
          <w:tcPr>
            <w:tcW w:w="9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owned subsidiary of CRI</w:t>
            </w:r>
          </w:p>
        </w:tc>
      </w:tr>
      <w:tr>
        <w:trPr>
          <w:trHeight w:val="562"/>
        </w:trPr>
        <w:tc>
          <w:tcPr>
            <w:tcW w:w="1620" w:type="dxa"/>
            <w:vAlign w:val="bottom"/>
          </w:tcPr>
          <w:p>
            <w:pPr>
              <w:spacing w:after="0"/>
              <w:rPr>
                <w:sz w:val="24"/>
                <w:szCs w:val="24"/>
                <w:color w:val="auto"/>
              </w:rPr>
            </w:pPr>
          </w:p>
        </w:tc>
        <w:tc>
          <w:tcPr>
            <w:tcW w:w="9660" w:type="dxa"/>
            <w:vAlign w:val="bottom"/>
          </w:tcPr>
          <w:p>
            <w:pPr>
              <w:ind w:left="4120"/>
              <w:spacing w:after="0"/>
              <w:rPr>
                <w:sz w:val="20"/>
                <w:szCs w:val="20"/>
                <w:color w:val="auto"/>
              </w:rPr>
            </w:pPr>
            <w:r>
              <w:rPr>
                <w:rFonts w:ascii="Times New Roman" w:cs="Times New Roman" w:eastAsia="Times New Roman" w:hAnsi="Times New Roman"/>
                <w:sz w:val="14"/>
                <w:szCs w:val="14"/>
                <w:color w:val="auto"/>
              </w:rPr>
              <w:t>5</w:t>
            </w:r>
          </w:p>
        </w:tc>
      </w:tr>
      <w:tr>
        <w:trPr>
          <w:trHeight w:val="224"/>
        </w:trPr>
        <w:tc>
          <w:tcPr>
            <w:tcW w:w="1620" w:type="dxa"/>
            <w:vAlign w:val="bottom"/>
            <w:tcBorders>
              <w:bottom w:val="single" w:sz="8" w:color="9A9A9A"/>
            </w:tcBorders>
          </w:tcPr>
          <w:p>
            <w:pPr>
              <w:spacing w:after="0"/>
              <w:rPr>
                <w:sz w:val="19"/>
                <w:szCs w:val="19"/>
                <w:color w:val="auto"/>
              </w:rPr>
            </w:pPr>
          </w:p>
        </w:tc>
        <w:tc>
          <w:tcPr>
            <w:tcW w:w="96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4608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08195" cy="6985"/>
                    </a:xfrm>
                    <a:prstGeom prst="rect">
                      <a:avLst/>
                    </a:prstGeom>
                    <a:noFill/>
                  </pic:spPr>
                </pic:pic>
              </a:graphicData>
            </a:graphic>
          </wp:anchor>
        </w:drawing>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2,026.8</w:t>
            </w:r>
          </w:p>
        </w:tc>
        <w:tc>
          <w:tcPr>
            <w:tcW w:w="0" w:type="dxa"/>
            <w:vAlign w:val="bottom"/>
          </w:tcPr>
          <w:p>
            <w:pPr>
              <w:spacing w:after="0"/>
              <w:rPr>
                <w:sz w:val="1"/>
                <w:szCs w:val="1"/>
                <w:color w:val="auto"/>
              </w:rPr>
            </w:pP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1,609.2</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91"/>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1,974.9</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91"/>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 net</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 net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8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outstanding shares - basic</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outstanding shares - diluted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419.9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408.0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416.7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2"/>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82.5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7"/>
              </w:rPr>
              <w:t>82.5</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43.0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4,681.0</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191"/>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4,950.2</w:t>
            </w:r>
          </w:p>
        </w:tc>
        <w:tc>
          <w:tcPr>
            <w:tcW w:w="0" w:type="dxa"/>
            <w:vAlign w:val="bottom"/>
          </w:tcPr>
          <w:p>
            <w:pPr>
              <w:spacing w:after="0"/>
              <w:rPr>
                <w:sz w:val="1"/>
                <w:szCs w:val="1"/>
                <w:color w:val="auto"/>
              </w:rPr>
            </w:pPr>
          </w:p>
        </w:tc>
      </w:tr>
      <w:tr>
        <w:trPr>
          <w:trHeight w:val="212"/>
        </w:trPr>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2,527.6</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commission costs, net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10,819.9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9,256.8</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tcBorders>
              <w:bottom w:val="single" w:sz="8" w:color="CCEEFF"/>
            </w:tcBorders>
            <w:shd w:val="clear" w:color="auto" w:fill="CCEEFF"/>
          </w:tcPr>
          <w:p>
            <w:pPr>
              <w:ind w:left="25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wages and commissions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Litigation accrual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0" w:type="dxa"/>
            <w:vAlign w:val="bottom"/>
          </w:tcPr>
          <w:p>
            <w:pPr>
              <w:spacing w:after="0"/>
              <w:rPr>
                <w:sz w:val="1"/>
                <w:szCs w:val="1"/>
                <w:color w:val="auto"/>
              </w:rPr>
            </w:pPr>
          </w:p>
        </w:tc>
      </w:tr>
      <w:tr>
        <w:trPr>
          <w:trHeight w:val="212"/>
        </w:trPr>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 net</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1"/>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1,703.3</w:t>
            </w:r>
          </w:p>
        </w:tc>
        <w:tc>
          <w:tcPr>
            <w:tcW w:w="0" w:type="dxa"/>
            <w:vAlign w:val="bottom"/>
          </w:tcPr>
          <w:p>
            <w:pPr>
              <w:spacing w:after="0"/>
              <w:rPr>
                <w:sz w:val="1"/>
                <w:szCs w:val="1"/>
                <w:color w:val="auto"/>
              </w:rPr>
            </w:pPr>
          </w:p>
        </w:tc>
      </w:tr>
      <w:tr>
        <w:trPr>
          <w:trHeight w:val="18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Stockholders' equity attributable to CoStar Group</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8,615.8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7,553.5</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attributable to NCI</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8,623.9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7,553.5</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4940"/>
              <w:spacing w:after="0"/>
              <w:rPr>
                <w:sz w:val="20"/>
                <w:szCs w:val="20"/>
                <w:color w:val="auto"/>
              </w:rPr>
            </w:pPr>
            <w:r>
              <w:rPr>
                <w:rFonts w:ascii="Times New Roman" w:cs="Times New Roman" w:eastAsia="Times New Roman" w:hAnsi="Times New Roman"/>
                <w:sz w:val="14"/>
                <w:szCs w:val="14"/>
                <w:i w:val="1"/>
                <w:iCs w:val="1"/>
                <w:color w:val="auto"/>
              </w:rPr>
              <w:t>See accompanying notes.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8140" w:type="dxa"/>
            <w:vAlign w:val="bottom"/>
          </w:tcPr>
          <w:p>
            <w:pPr>
              <w:ind w:left="574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14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1"/>
                <w:szCs w:val="11"/>
                <w:color w:val="auto"/>
              </w:rPr>
            </w:pPr>
          </w:p>
        </w:tc>
        <w:tc>
          <w:tcPr>
            <w:tcW w:w="14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80" w:type="dxa"/>
            <w:vAlign w:val="bottom"/>
          </w:tcPr>
          <w:p>
            <w:pPr>
              <w:spacing w:after="0"/>
              <w:rPr>
                <w:sz w:val="11"/>
                <w:szCs w:val="1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4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6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 CoStar</w:t>
            </w: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Group</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8"/>
              </w:rPr>
              <w:t>NCI</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409.5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5,231.9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2,343.0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7,553.5</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7,553.5</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Restricted stock grants</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Employee stock purchase plan</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Management stock purchase plan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142"/>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repurchases under stock repurchase programs (0.2</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million shares)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issued for Matterport Acquisition</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1,025.0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1,025.0</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423.4</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6,259.0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2,328.2</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8,556.2</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8,556.2</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stock grants</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Employee stock purchase plan</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Management stock purchase plan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1"/>
        </w:trPr>
        <w:tc>
          <w:tcPr>
            <w:tcW w:w="2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repurchases under stock repurchase programs (0.6</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million shares)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424.1</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6,306.4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20.2</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2,334.4</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8,601.4</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8,601.4</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0" w:type="dxa"/>
            <w:vAlign w:val="bottom"/>
          </w:tcPr>
          <w:p>
            <w:pPr>
              <w:spacing w:after="0"/>
              <w:rPr>
                <w:sz w:val="1"/>
                <w:szCs w:val="1"/>
                <w:color w:val="auto"/>
              </w:rPr>
            </w:pPr>
          </w:p>
        </w:tc>
      </w:tr>
      <w:tr>
        <w:trPr>
          <w:trHeight w:val="15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Domain acquisition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0" w:type="dxa"/>
            <w:vAlign w:val="bottom"/>
          </w:tcPr>
          <w:p>
            <w:pPr>
              <w:spacing w:after="0"/>
              <w:rPr>
                <w:sz w:val="1"/>
                <w:szCs w:val="1"/>
                <w:color w:val="auto"/>
              </w:rPr>
            </w:pPr>
          </w:p>
        </w:tc>
      </w:tr>
      <w:tr>
        <w:trPr>
          <w:trHeight w:val="15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NCI</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5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0" w:type="dxa"/>
            <w:vAlign w:val="bottom"/>
          </w:tcPr>
          <w:p>
            <w:pPr>
              <w:spacing w:after="0"/>
              <w:rPr>
                <w:sz w:val="1"/>
                <w:szCs w:val="1"/>
                <w:color w:val="auto"/>
              </w:rPr>
            </w:pPr>
          </w:p>
        </w:tc>
      </w:tr>
      <w:tr>
        <w:trPr>
          <w:trHeight w:val="15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Employee stock purchase plan</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Management stock purchase plan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 (0.6</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million shares)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424.9</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6,366.1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(115.0)</w:t>
            </w:r>
          </w:p>
        </w:tc>
        <w:tc>
          <w:tcPr>
            <w:tcW w:w="6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57.0</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2,303.5</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8,615.8</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8.1</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8,623.9</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188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Additional Paid-</w:t>
            </w: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8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111"/>
        </w:trPr>
        <w:tc>
          <w:tcPr>
            <w:tcW w:w="4060" w:type="dxa"/>
            <w:vAlign w:val="bottom"/>
          </w:tcPr>
          <w:p>
            <w:pPr>
              <w:spacing w:after="0"/>
              <w:rPr>
                <w:sz w:val="9"/>
                <w:szCs w:val="9"/>
                <w:color w:val="auto"/>
              </w:rPr>
            </w:pPr>
          </w:p>
        </w:tc>
        <w:tc>
          <w:tcPr>
            <w:tcW w:w="18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 Income</w:t>
            </w: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6"/>
                <w:szCs w:val="16"/>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408.1</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5,147.8</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2,204.3</w:t>
            </w: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7,338.6</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stock grants surrendered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Management stock purchase plan</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5,149.4</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2,211.0</w:t>
            </w: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7,342.6</w:t>
            </w:r>
          </w:p>
        </w:tc>
        <w:tc>
          <w:tcPr>
            <w:tcW w:w="0" w:type="dxa"/>
            <w:vAlign w:val="bottom"/>
          </w:tcPr>
          <w:p>
            <w:pPr>
              <w:spacing w:after="0"/>
              <w:rPr>
                <w:sz w:val="1"/>
                <w:szCs w:val="1"/>
                <w:color w:val="auto"/>
              </w:rPr>
            </w:pPr>
          </w:p>
        </w:tc>
      </w:tr>
      <w:tr>
        <w:trPr>
          <w:trHeight w:val="174"/>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stock grants surrendered</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Management stock purchase plan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409.3</w:t>
            </w: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5,183.5</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2,230.2</w:t>
            </w:r>
          </w:p>
        </w:tc>
        <w:tc>
          <w:tcPr>
            <w:tcW w:w="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7,395.7</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183"/>
        </w:trPr>
        <w:tc>
          <w:tcPr>
            <w:tcW w:w="4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stock grants surrendered</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7,491.1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22"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9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Operating activities:</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98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deferred commissions costs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Non-cash lease expense</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income taxes, net</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Credit loss expense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operating activities, net</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1"/>
        </w:trPr>
        <w:tc>
          <w:tcPr>
            <w:tcW w:w="8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Changes in operating assets and liabilities, net of acquisitions: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Prepaid expenses, other current assets and other assets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commissions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Accounts payable and other liabilities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Lease liabilities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Income taxes payable, net</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revenue</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4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298.0</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sale and settlement of investments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sale of property, equipment, and other assets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Purchases of property, equipment, and other assets for new campuses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(509.6)</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Purchases of property, equipment, and other assets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Purchases of equity securities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Cash paid for acquisitions, net of cash acquired</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(2,749.8)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(562.8)</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Payments of debt issuance costs</w:t>
            </w:r>
          </w:p>
        </w:tc>
        <w:tc>
          <w:tcPr>
            <w:tcW w:w="9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Repurchase of restricted stock to satisfy tax withholding obligations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Stock repurchase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exercise of stock options and employee stock purchase plan</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151"/>
        </w:trPr>
        <w:tc>
          <w:tcPr>
            <w:tcW w:w="81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Principal repayments of financing lease obligations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currency exchange rates on cash, cash equivalents, and restricted cash</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4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(2,646.2)</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(278.3)</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the beginning of period</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4,681.0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5,215.9</w:t>
            </w:r>
          </w:p>
        </w:tc>
        <w:tc>
          <w:tcPr>
            <w:tcW w:w="0" w:type="dxa"/>
            <w:vAlign w:val="bottom"/>
          </w:tcPr>
          <w:p>
            <w:pPr>
              <w:spacing w:after="0"/>
              <w:rPr>
                <w:sz w:val="1"/>
                <w:szCs w:val="1"/>
                <w:color w:val="auto"/>
              </w:rPr>
            </w:pPr>
          </w:p>
        </w:tc>
      </w:tr>
      <w:tr>
        <w:trPr>
          <w:trHeight w:val="14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the end of period</w:t>
            </w:r>
          </w:p>
        </w:tc>
        <w:tc>
          <w:tcPr>
            <w:tcW w:w="980" w:type="dxa"/>
            <w:vAlign w:val="bottom"/>
            <w:tcBorders>
              <w:top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2,034.8</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4,937.6</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cash flow disclosures: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Interest paid</w:t>
            </w:r>
          </w:p>
        </w:tc>
        <w:tc>
          <w:tcPr>
            <w:tcW w:w="98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0" w:type="dxa"/>
            <w:vAlign w:val="bottom"/>
          </w:tcPr>
          <w:p>
            <w:pPr>
              <w:spacing w:after="0"/>
              <w:rPr>
                <w:sz w:val="1"/>
                <w:szCs w:val="1"/>
                <w:color w:val="auto"/>
              </w:rPr>
            </w:pPr>
          </w:p>
        </w:tc>
      </w:tr>
      <w:tr>
        <w:trPr>
          <w:trHeight w:val="151"/>
        </w:trPr>
        <w:tc>
          <w:tcPr>
            <w:tcW w:w="81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Income taxes paid</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10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non-cash investing and financing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capital expenditures and non-cash landlord incentives</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0" w:type="dxa"/>
            <w:vAlign w:val="bottom"/>
          </w:tcPr>
          <w:p>
            <w:pPr>
              <w:spacing w:after="0"/>
              <w:rPr>
                <w:sz w:val="1"/>
                <w:szCs w:val="1"/>
                <w:color w:val="auto"/>
              </w:rPr>
            </w:pPr>
          </w:p>
        </w:tc>
      </w:tr>
      <w:tr>
        <w:trPr>
          <w:trHeight w:val="30"/>
        </w:trPr>
        <w:tc>
          <w:tcPr>
            <w:tcW w:w="8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14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ORGANIZATION</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CoStar Group is a leading global provider of real estate information, analytics, online marketplaces, and 3D digital twin technology. The Company has created and compiled a standardized platform of real estate information and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North America, which includes the U.S. and Canada, and International, which primarily includes Asia-Pacific, Europe, and Latin America.</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completed the Visual Lease Acquisition, Matterport Acquisition, and Domain Acquisition in November 2024, February 2025, and August 2025, respectively. See Note 5 for further discussion of these acquisitions.</w:t>
      </w:r>
    </w:p>
    <w:p>
      <w:pPr>
        <w:spacing w:after="0" w:line="101" w:lineRule="exact"/>
        <w:rPr>
          <w:sz w:val="20"/>
          <w:szCs w:val="20"/>
          <w:color w:val="auto"/>
        </w:rPr>
      </w:pPr>
    </w:p>
    <w:p>
      <w:pPr>
        <w:ind w:right="7340" w:firstLine="5"/>
        <w:spacing w:after="0" w:line="460" w:lineRule="auto"/>
        <w:tabs>
          <w:tab w:leader="none" w:pos="24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wholly-owned subsidiaries. All intercompany balances and transactions have been eliminated in consolidation. Accounting policies are consistent for each operating segment.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CoStar Group, Inc. and all entities in which we have a controlling financial interest. To determine whether such an interest exists, we assess whether the entity qualifies as a VIE.</w:t>
      </w:r>
    </w:p>
    <w:p>
      <w:pPr>
        <w:spacing w:after="0" w:line="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consolidate VIEs when we are the primary beneficiary. We are deemed the primary beneficiary of a VIE when we have both (a) the power to direct the activities of the VIE that most significantly impact its economic performance, and (b) the obligation to absorb losses or the right to receive benefits that could potentially be significant to the VIE.</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determining whether we are the primary beneficiary, we consider various factors regarding the nature of our involvement with the VIE, including our economic interests, voting rights, authority to appoint or remove directors, and ability to authorize key decisions. We also analyze the VIE’s design, including its capital structure, cash flows, and classes of shares.</w:t>
      </w:r>
    </w:p>
    <w:p>
      <w:pPr>
        <w:spacing w:after="0" w:line="9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part of the Domain Acquisition, the Company obtained ownership interests in the AOMs, which are considered VIEs for which the Company is the primary beneficiary. Domain introduced the AOMs to incentivize real estate agencies to utilize Domain's services through a revenue sharing model. The assets of these VIEs are not available to us, and the creditors of the VIEs do not have recourse to CoStar. Domain provides corporate services to the VIEs under services agreements. In addition, Domain has issued letters of support to the VIEs, committing to provide financial support in the event that the VIEs are unable to meet their liabilities independently.</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5 for additional details regarding the Domain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14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September 30, 2025 and December 31, 2024, the results of its operations for the three and nine months ended September 30, 2025 and 2024, its comprehensive income for the three and nine months ended September 30, 2025 and 2024, its changes in stockholders' equity for the three and nine months ended September 30, 2025 and 2024, and its cash flows for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2" w:name="page13"/>
    <w:bookmarkEnd w:id="12"/>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notes and other information have been condensed or omitted from the interim financial statements presented in this Report. Therefore, these financial statements should be read in conjunction with the Company’s 2024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impairment assessment, income taxes, accounting for business combinations, stock-based compensation, estimating the Company's incremental borrowing rate for its leases, the estimate of net realizable value of inventory, the determination of stand-alone selling prices of various performance obligations,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derives revenues primarily by (i) providing access to its proprietary database of commercial real estate information, including benchmarking and analytics for the hospitality industry and analytics for lenders, and (ii) providing online marketplaces for professional property management companies, property owners, real estate agents and brokers, and landlords, in each case, typically through a fixed monthly fee for its subscription-based advertising services. Other subscription-based services include (i) real estate and lease management solutions to commercial customers and real estate investors, (ii) access to applications to manage workflow for residential real estate agents, and (iii) access to its AI-powered spatial data platform to create high-fidelity and high-accuracy digital twins of physical spaces.</w:t>
      </w:r>
    </w:p>
    <w:p>
      <w:pPr>
        <w:spacing w:after="0" w:line="11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digital twins hosted, the number of transactions and average transaction size a broker or agent has closed, and the prominence and placement of a customer's advertised properties in the search results. The Company’s subscription-based license, advertising packages, and membership agreements generally renew automatically, and a majority have a term of at least one year. Revenues from subscription-based contracts were approximately 92% and 96% of total revenues for the three months ended September 30, 2025 and 2024, respectively, and approximately 94% and 96% of total revenues for the nine months ended September 30, 2025 and 2024, respectively.</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also derives revenues from transaction-based services including: (i) providing premium listings for individual properties on our marketplaces, (ii) providing data capture services to create digital twins, (iii) the sale of Matterport cameras and capture equipment, (iv) an online auction platform for commercial real estate through Ten-X, and (v) ancillary products and services that are sold on an ad hoc basis.</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0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 Revenues from premium listings sold on a transactional basis are recognized over the period the advertisements are placed. Revenues from all other transaction-based services are recognized when the promised product or services are delivered, which, in the case of Ten-X auctions, is at the time of a successful closing for the sale of a property. Revenues from product sales are recognized upon control transferring to the customers, which is generally upon shipment. Revenue for sales of Matterport cameras are recorded net of estimates of returns, as buyers are entitled to return the camera within 30 days from the date of purchase for a full refund. These rights are accounted for as variable consideration and recognized as a reduction to the revenue recognized.</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3" w:name="page14"/>
    <w:bookmarkEnd w:id="13"/>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limited circumstances, the Company's contracts with customers include promises to transfer multiple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9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Certain sales commissions are considered incremental and recoverable costs of obtaining a contract with a customer. Sales commissions incurred for obtaining new contracts are deferred and then amortized as selling and marketing expenses (excluding customer base amortization) over the period of benefit that the Company has determined to be two years for our residential products and three years for all other products. The amortization periods were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3 for further discussion of the Company's revenue recognition.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Revenues</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revenues principally consists of salaries, benefits, bonuses, stock-based compensation expenses, and other indirect costs for the Company's researchers who collect and analyze the real estate data that is the basis for the Company's information, analytic, and online marketplace services and for employees that support these products. Additionally, cost of revenues includes amortization of acquired trade names, technology, and certain other intangible assets; product hosting costs; credit card and other transaction fees relating to processing customer transactions; cost of data from third-party data sources; costs of capture services; and costs of Matterport cameras sold.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4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income (loss). Currency g</w:t>
      </w:r>
      <w:r>
        <w:rPr>
          <w:rFonts w:ascii="Times New Roman" w:cs="Times New Roman" w:eastAsia="Times New Roman" w:hAnsi="Times New Roman"/>
          <w:sz w:val="14"/>
          <w:szCs w:val="14"/>
          <w:color w:val="252525"/>
        </w:rPr>
        <w:t>ains and losses on the translation of intercompany loans made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52525"/>
        </w:rPr>
        <w:t xml:space="preserve">foreign subsidiaries that are of a long-term investment nature are also included </w:t>
      </w:r>
      <w:r>
        <w:rPr>
          <w:rFonts w:ascii="Times New Roman" w:cs="Times New Roman" w:eastAsia="Times New Roman" w:hAnsi="Times New Roman"/>
          <w:sz w:val="14"/>
          <w:szCs w:val="14"/>
          <w:color w:val="000000"/>
        </w:rPr>
        <w:t>in accumulated other comprehensive income (loss). Gains and losses resulting from transactions denominated in a</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currency other than the functional currency of the entity are included in other expense, net in the condensed consolidated statements of operations using the average exchange rates in effect during the period. The Company recognized a net foreign currency loss of $0.1 million for the three months ended September 30, 2025 and a net foreign currency loss of $0.2 million for the three months ended September 30, 2024. The Company recognized a net foreign currency loss of $5.4 million for the nine months ended September 30, 2025 and a net foreign currency loss of $0.3 million for the nine months ended September 30, 2024.</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18"/>
        </w:trPr>
        <w:tc>
          <w:tcPr>
            <w:tcW w:w="8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accumulated other comprehensive income (loss) were as follows (in millions):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income (loss)</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3"/>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accumulated other comprehensive income (loss)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firstLine="255"/>
        <w:spacing w:after="0" w:line="458" w:lineRule="auto"/>
        <w:rPr>
          <w:sz w:val="20"/>
          <w:szCs w:val="20"/>
          <w:color w:val="auto"/>
        </w:rPr>
      </w:pPr>
      <w:r>
        <w:rPr>
          <w:rFonts w:ascii="Times New Roman" w:cs="Times New Roman" w:eastAsia="Times New Roman" w:hAnsi="Times New Roman"/>
          <w:sz w:val="14"/>
          <w:szCs w:val="14"/>
          <w:color w:val="auto"/>
        </w:rPr>
        <w:t xml:space="preserve">There were no amounts reclassified out of accumulated other comprehensive loss to the condensed consolidated statements of operations for the nine months ended September 30, 2025 and 2024. </w:t>
      </w:r>
      <w:r>
        <w:rPr>
          <w:rFonts w:ascii="Times New Roman" w:cs="Times New Roman" w:eastAsia="Times New Roman" w:hAnsi="Times New Roman"/>
          <w:sz w:val="14"/>
          <w:szCs w:val="14"/>
          <w:b w:val="1"/>
          <w:bCs w:val="1"/>
          <w:color w:val="auto"/>
        </w:rPr>
        <w:t>Income Taxes</w:t>
      </w:r>
    </w:p>
    <w:p>
      <w:pPr>
        <w:spacing w:after="0" w:line="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 (benefit).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elected to record the GILTI under the current-period cost method.</w:t>
      </w:r>
    </w:p>
    <w:p>
      <w:pPr>
        <w:spacing w:after="0" w:line="136"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On July 4, 2025, the U.S. enacted the OBBBA, which may impact the Company's recorded deferred tax assets and deferred tax liabilities, as well as its effective tax rate in future periods. The Company continues to evaluate the effects of the new legislation on its Condensed Consolidated Financial Statements. As a result of the enactment of the OBBBA, we anticipate an impact to our deferred tax asset and income tax payable related to the provisions for full expensing of domestic research and experimental expenditures and 100% bonus depreciation for assets placed in service after January 19, 2025. The Company does not expect any material change to our ongoing tax rate as a result of this legislation.</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 for further discussion of the Company's accounting for income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 per share is computed by dividing net income (loss) by the weighted-average number of common shares outstanding during the period on a basic and diluted basis.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net income (loss) per share (in millions,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Pr>
          <w:p>
            <w:pPr>
              <w:spacing w:after="0"/>
              <w:rPr>
                <w:sz w:val="14"/>
                <w:szCs w:val="14"/>
                <w:color w:val="auto"/>
              </w:rPr>
            </w:pPr>
          </w:p>
        </w:tc>
        <w:tc>
          <w:tcPr>
            <w:tcW w:w="212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Denominator for basic net income (loss) per share — weighted-average outstanding shares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options, restricted stock awards, and restricted stock units</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Denominator for diluted net income (loss) per share — weighted-average outstanding shares</w:t>
            </w:r>
          </w:p>
        </w:tc>
        <w:tc>
          <w:tcPr>
            <w:tcW w:w="8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Company’s potentially dilutive securities include outstanding stock options and unvested stock-based awards, which include restricted stock awards that vest over a specific service period, restricted stock awards with a performance condition, restricted stock awards with a performance condition and a market condition, restricted stock units, and Matching RSUs awarded under the MSPP. Shares underlying unvested restricted stock awards that vest based on a performance condition and those that vest based on a performance and market condition that have not been achieved as of the end of the period are not included in the computation of basic or diluted earnings per share. Diluted net income (loss) per share considers the impact of potentially dilutive securities except when the inclusion of the potentially dilutive securities would have an anti-dilutive effect.</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shares underlying the unvested performance-based restricted stock and anti-dilutive securities excluded from the basic and diluted earnings per share calculations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80" w:type="dxa"/>
            <w:vAlign w:val="bottom"/>
            <w:gridSpan w:val="4"/>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81"/>
        </w:trPr>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awards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Anti-dilutive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Equity instruments issued in exchange for services performed by officers, employees, and directors of the Company are accounted for using a fair value-based method and the fair value of such equity instruments is recognized as expense in the condensed consolidated statements of operations.</w:t>
      </w:r>
    </w:p>
    <w:p>
      <w:pPr>
        <w:spacing w:after="0" w:line="9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a performance condition or both a performance and a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color w:val="auto"/>
        </w:rPr>
        <w:t>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Stock-based compensation expense for stock options, restricted stock awards, and restricted stock units issued under equity incentive plans, stock purchases under the ESPP, and DSUs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Matching RSUs awarded under the MSPP included in the Company’s condensed consolidated statements of operations were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8"/>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Contingencies and Litigation Expense</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Deal-Contingent Foreign Currency Forward Contracts</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9, 2025, the Company entered into deal-contingent foreign currency forward contracts to manage the risk of appreciation of the Australian dollar-denominated purchase price related to the Domain Transaction. Deal-contingent foreign currency forward contracts had an aggregate notional amount of A$2.4 billion ($1.5 billion). These derivative instruments were entered into as economic hedges and do not qualify for hedge accounting. The contracts were settled on August 22, 2025. The Company recognized losses of $23.4 million and $10.4 million for the three and nine months ended September 30, 2025, respectively, related to these contracts. The losses were recorded in other expense, net, in the condensed consolidated statements of operations.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5 for further discussion regarding the Company's acquisitions.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an original maturity of three months or less to be cash equivalents. Restricted cash consists of cash deposited as collateral related to a litigation bond in a third-party insured account. See Note 12 for further discussion regarding the Company's litigation.</w:t>
      </w:r>
    </w:p>
    <w:p>
      <w:pPr>
        <w:spacing w:after="0" w:line="9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Cash, cash equivalents, and restricted cash within the condensed consolidated balance sheets and condensed consolidated statements of cash flows as of September 30, 2025 and December 31, 2024 were as follows (in millions):</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4,681.0</w:t>
            </w:r>
          </w:p>
        </w:tc>
      </w:tr>
      <w:tr>
        <w:trPr>
          <w:trHeight w:val="19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write-off trends. Based on the Company’s experience, the customer's delinquency status, which is analyzed periodically, is the strongest indicator of the credit quality of the underlying trade receivables. The Company’s policy is to write off trade receivables when they are deemed uncollectible.</w:t>
      </w:r>
    </w:p>
    <w:p>
      <w:pPr>
        <w:spacing w:after="0" w:line="11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the CECL impairment model, the Company develops and documents its allowance for credit losses on its trade receivables based on five portfolio segments. The determination of portfolio segments is based primarily on the qualitative consideration of the nature of the Company’s business operations and the characteristics of the underlying trade receivables, as follows:</w:t>
      </w:r>
    </w:p>
    <w:p>
      <w:pPr>
        <w:spacing w:after="0" w:line="9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CoStar Portfolio Segment </w:t>
      </w:r>
      <w:r>
        <w:rPr>
          <w:rFonts w:ascii="Times New Roman" w:cs="Times New Roman" w:eastAsia="Times New Roman" w:hAnsi="Times New Roman"/>
          <w:sz w:val="14"/>
          <w:szCs w:val="14"/>
          <w:color w:val="auto"/>
        </w:rPr>
        <w:t>- The CoStar portfolio segment consists of two classes of trade receivables based on geographical location: North America and International.</w:t>
      </w:r>
    </w:p>
    <w:p>
      <w:pPr>
        <w:spacing w:after="0" w:line="157"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Information Services Portfolio Segment </w:t>
      </w:r>
      <w:r>
        <w:rPr>
          <w:rFonts w:ascii="Times New Roman" w:cs="Times New Roman" w:eastAsia="Times New Roman" w:hAnsi="Times New Roman"/>
          <w:sz w:val="14"/>
          <w:szCs w:val="14"/>
          <w:color w:val="auto"/>
        </w:rPr>
        <w:t>- The Information Services portfolio segment consists of four classes of trade receivables: CoStar Real Estate Manager; Hospitality, North America;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Hospitality, International, and other Information Services.</w:t>
      </w:r>
    </w:p>
    <w:p>
      <w:pPr>
        <w:spacing w:after="0" w:line="8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Multifamily Portfolio Segment </w:t>
      </w:r>
      <w:r>
        <w:rPr>
          <w:rFonts w:ascii="Times New Roman" w:cs="Times New Roman" w:eastAsia="Times New Roman" w:hAnsi="Times New Roman"/>
          <w:sz w:val="14"/>
          <w:szCs w:val="14"/>
          <w:color w:val="auto"/>
        </w:rPr>
        <w:t>- The Multifamily portfolio segment consists of one class of trade receivables.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LoopNet Portfolio Segment </w:t>
      </w:r>
      <w:r>
        <w:rPr>
          <w:rFonts w:ascii="Times New Roman" w:cs="Times New Roman" w:eastAsia="Times New Roman" w:hAnsi="Times New Roman"/>
          <w:sz w:val="14"/>
          <w:szCs w:val="14"/>
          <w:color w:val="auto"/>
        </w:rPr>
        <w:t>- The LoopNet portfolio segment consists of one class of trade receivables.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Revenues Portfolio Segment </w:t>
      </w:r>
      <w:r>
        <w:rPr>
          <w:rFonts w:ascii="Times New Roman" w:cs="Times New Roman" w:eastAsia="Times New Roman" w:hAnsi="Times New Roman"/>
          <w:sz w:val="14"/>
          <w:szCs w:val="14"/>
          <w:color w:val="auto"/>
        </w:rPr>
        <w:t>- The Other Revenues portfolio segment consists of two classes of trade receivables: Matterport, and other marketplaces.</w:t>
      </w:r>
    </w:p>
    <w:p>
      <w:pPr>
        <w:spacing w:after="0" w:line="149" w:lineRule="exact"/>
        <w:rPr>
          <w:sz w:val="20"/>
          <w:szCs w:val="20"/>
          <w:color w:val="auto"/>
        </w:rPr>
      </w:pPr>
    </w:p>
    <w:p>
      <w:pPr>
        <w:ind w:left="260" w:firstLine="255"/>
        <w:spacing w:after="0" w:line="287" w:lineRule="auto"/>
        <w:rPr>
          <w:sz w:val="20"/>
          <w:szCs w:val="20"/>
          <w:color w:val="auto"/>
        </w:rPr>
      </w:pPr>
      <w:r>
        <w:rPr>
          <w:rFonts w:ascii="Times New Roman" w:cs="Times New Roman" w:eastAsia="Times New Roman" w:hAnsi="Times New Roman"/>
          <w:sz w:val="14"/>
          <w:szCs w:val="14"/>
          <w:color w:val="auto"/>
        </w:rPr>
        <w:t>The majority of Residential revenue in the North America segment is e-commerce based and does not result in accounts receivable. The International segment's Residential revenue results in accounts receivable and its allowance for credit losses is not material.</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4 for further discussion of the Company’s accounting for allowance for credit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 Inventories are included in prepaid expenses and other current assets on the Company's condensed consolidated balance sheets.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Inventories related to the Matterport Acquisition as of September 30, 2025 consisted of the following (in millions):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
        </w:trPr>
        <w:tc>
          <w:tcPr>
            <w:tcW w:w="9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1"/>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
        </w:trPr>
        <w:tc>
          <w:tcPr>
            <w:tcW w:w="9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parts and raw materials</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noncancellable portion of the lease term, plus any periods covered by an option to extend the lease if it is reasonably certain that the option will be exercised.</w:t>
      </w:r>
    </w:p>
    <w:p>
      <w:pPr>
        <w:spacing w:after="0" w:line="11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costs related to the Company's operating leases are generally recognized as a single ratable lease cost over the lease term.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7 for further discussion of the Company’s accounting for 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 Intangible Assets, and Goodwill</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Long-lived assets, such as property and equipment and purchased intangibles subject to amortization, are reviewed for impairment whenever events or changes in circumstances indicate that the carrying amount of an asset may not be recoverable. The Company capitalizes interest on borrowings during the active construction period of major capital projects. Capitalized interest is added to the cost of the underlying asset and amortized over the estimated useful life of the asset.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w:t>
      </w:r>
    </w:p>
    <w:p>
      <w:pPr>
        <w:spacing w:after="0" w:line="12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Leasing Operations and Other Expense, Net</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February 2024, the Company closed on the purchase of an office tower and the land on which it rests in Arlington, Virginia. In January 2025, the Company relocated its headquarters from Washington, D.C. to Arlington, VA, initially occupying approximately 30% of the building. The Company intends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spacing w:after="0" w:line="10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accounted for the purchase of this building as an asset acquisition at the cost to acquire, including transaction costs. The Company estimated the fair values of acquired tangible assets (consisting of land, buildings, improvements, and other assets), identified intangible assets and liabilities (consisting of in-place leases and above- and below-market leases), and other liabilities based on its evaluation of information and estimates available at the date of acquisition. Based on these estimates, the Company allocated the total cost to the identified assets acquired and liabilities assumed based on their relative fair value.</w:t>
      </w:r>
    </w:p>
    <w:p>
      <w:pPr>
        <w:spacing w:after="0" w:line="10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fair value of the building and building improvements consists of the physical structure containing rentable area, as well as amenities such as parking structures, and was valued as if vacant, using the cost approach, which uses replacement cost data obtained from industry recognized guides less depreciation as an input to estimate the fair value, with consideration given to its age, functionality, use classification, construction quality, replacement cost, and accumulated depreciation (effective age vs. economic life). The Company also considered the value of the building using an income approach. The income approach uses market leasing assumptions to estimate the fair value of the property as if vacant, assuming lease-up at prevailing market rental rates over a market-based lease-up period, including deductions for lost rent during lease-up and leasing costs. The cost and income approaches are reconciled to arrive at an estimated building fair value. The Company assessed the fair value of land based on market comparisons.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values of identified intangible assets and liabilities were determined based on the following:</w:t>
      </w:r>
    </w:p>
    <w:p>
      <w:pPr>
        <w:spacing w:after="0" w:line="147" w:lineRule="exact"/>
        <w:rPr>
          <w:sz w:val="20"/>
          <w:szCs w:val="20"/>
          <w:color w:val="auto"/>
        </w:rPr>
      </w:pPr>
    </w:p>
    <w:p>
      <w:pPr>
        <w:jc w:val="both"/>
        <w:ind w:left="520" w:hanging="260"/>
        <w:spacing w:after="0" w:line="26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allocable to the above- or below-market component of an acquired in-place lease is determined based upon the present value (using a discount rate that reflects the risks associated with the acquired lease) of the difference between: (i) the contractual amounts to be received pursuant to the lease over its remaining term and (ii) management's estimate of the amounts that would be received using market rates current at the time of the acquisition for the remaining term of the lease. Amounts allocated to above-market leases are recorded as above-market leases in intangible assets, net in the condensed consolidated balance sheets. These intangible assets are amortized on a straight-line basis as a component of leasing operations to other expense, net in the condensed consolidated statements of operations over the remaining terms of the respective leases.</w:t>
      </w:r>
    </w:p>
    <w:p>
      <w:pPr>
        <w:spacing w:after="0" w:line="11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considered in determining the value allocable to in-place leases during hypothetical lease-up periods related to space that is leased at the time of acquisition include: (i) lost rent and operating cost recoveries during the hypothetical lease-up period and (ii) theoretical leasing commissions required to execute similar leases. These intangible assets are recorded as in-place leases in intangible assets, net in the condensed consolidated balance sheets and are amortized to other expense, net in the condensed consolidated statements of operations over the remaining terms of the existing leases.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cost of the land and building was $343.0 million and was allocated to the following components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59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440" w:type="dxa"/>
            <w:vAlign w:val="bottom"/>
          </w:tcPr>
          <w:p>
            <w:pPr>
              <w:spacing w:after="0"/>
              <w:rPr>
                <w:sz w:val="16"/>
                <w:szCs w:val="16"/>
                <w:color w:val="auto"/>
              </w:rPr>
            </w:pPr>
          </w:p>
        </w:tc>
        <w:tc>
          <w:tcPr>
            <w:tcW w:w="168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59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w:t>
            </w:r>
          </w:p>
        </w:tc>
        <w:tc>
          <w:tcPr>
            <w:tcW w:w="59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building improvements</w:t>
            </w:r>
          </w:p>
        </w:tc>
        <w:tc>
          <w:tcPr>
            <w:tcW w:w="59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Above-market leases</w:t>
            </w:r>
          </w:p>
        </w:tc>
        <w:tc>
          <w:tcPr>
            <w:tcW w:w="592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Intangible assets, net</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In-place leases</w:t>
            </w:r>
          </w:p>
        </w:tc>
        <w:tc>
          <w:tcPr>
            <w:tcW w:w="59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Intangible assets, net</w:t>
            </w:r>
          </w:p>
        </w:tc>
        <w:tc>
          <w:tcPr>
            <w:tcW w:w="4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1"/>
        </w:trPr>
        <w:tc>
          <w:tcPr>
            <w:tcW w:w="32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592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color w:val="auto"/>
              </w:rPr>
              <w:t>20</w:t>
            </w: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92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2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40" w:type="dxa"/>
            <w:vAlign w:val="bottom"/>
            <w:tcBorders>
              <w:bottom w:val="single" w:sz="8" w:color="9A9A9A"/>
            </w:tcBorders>
          </w:tcPr>
          <w:p>
            <w:pPr>
              <w:spacing w:after="0"/>
              <w:rPr>
                <w:sz w:val="19"/>
                <w:szCs w:val="19"/>
                <w:color w:val="auto"/>
              </w:rPr>
            </w:pPr>
          </w:p>
        </w:tc>
        <w:tc>
          <w:tcPr>
            <w:tcW w:w="59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0" w:name="page21"/>
    <w:bookmarkEnd w:id="20"/>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cash paid for this asset acquisition was included in the caption purchases of property, equipment, and other assets for new campuses in the condensed consolidated statement of cash flows. The Company records the activity from this building's operations and leases, including building depreciation and operating expenses for space occupied by third parties, as other expense, net in the condensed consolidated statements of operations.</w:t>
      </w:r>
    </w:p>
    <w:p>
      <w:pPr>
        <w:spacing w:after="0" w:line="114"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In October 2024, the Company and a building tenant modified a lease agreement to reduce the leased space and extend the lease term of a portion of the remaining space. Among other provisions, the modified lease agreement requires the tenant to make a $48 million buyout payment, in two equal installments, which will be recognized prospectively over the modified lease term. The Company received the first installment of the buyout payment in the fourth quarter of 2024. The second installment of the buyout payment was received in the second quarter of 2025. The tenant surrendered certain space concurrently with the execution of the modified lease agreement and the Company began to outfit this space to host its employees.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Deferred lease income as of September 30, 2025 and December 31, 2024 was as follows (in millions):</w:t>
      </w:r>
    </w:p>
    <w:p>
      <w:pPr>
        <w:spacing w:after="0" w:line="18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7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2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57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57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1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lease income</w:t>
            </w:r>
          </w:p>
        </w:tc>
        <w:tc>
          <w:tcPr>
            <w:tcW w:w="5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4"/>
          <w:szCs w:val="14"/>
          <w:color w:val="auto"/>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incurred. Variable lease income was not material for the three months ended September 30, 2025. Components of other expense, net related to leasing operations for the three months ended September 30, 2025 and 2024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Lease income</w:t>
            </w:r>
            <w:r>
              <w:rPr>
                <w:rFonts w:ascii="Times New Roman" w:cs="Times New Roman" w:eastAsia="Times New Roman" w:hAnsi="Times New Roman"/>
                <w:sz w:val="18"/>
                <w:szCs w:val="18"/>
                <w:color w:val="auto"/>
                <w:vertAlign w:val="superscript"/>
              </w:rPr>
              <w:t>(1)</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1"/>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from leasing operations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right="100" w:hanging="1"/>
        <w:spacing w:after="0"/>
        <w:tabs>
          <w:tab w:leader="none" w:pos="124" w:val="left"/>
        </w:tabs>
        <w:numPr>
          <w:ilvl w:val="0"/>
          <w:numId w:val="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$1.0 million and $2.9 million of amortization expense of above-market leases for the three months ended September 30, 2025 and 2024, respectively, and $3.0 million and $7.8 million for the nine months ended September 30, 2025 and 2024, respectively.</w:t>
      </w:r>
    </w:p>
    <w:p>
      <w:pPr>
        <w:spacing w:after="0" w:line="362"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Building depreciation and operating expenses for space occupied by the Company are allocated between cost of revenues, selling and marketing (excluding customer base amortization), software development, and general and administrative expenses on the condensed consolidated statement of operations based on the headcount of the respective departments occupying the building. As of September 30, 2025, the Company occupied approximately 50% of the property with the remainder leased or available to be leased to third parties.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Issuance Costs</w:t>
      </w:r>
    </w:p>
    <w:p>
      <w:pPr>
        <w:spacing w:after="0" w:line="14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81" w:right="23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4"/>
          <w:szCs w:val="14"/>
          <w:color w:val="auto"/>
        </w:rPr>
        <w:t>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10 for further discussion of the Company's accounting for its outstanding debt, revolving credit facility, and related issuance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14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the amount of any NCI in the acquiree and the fair value of any previous equity interest in the acquiree over the fair values of these identifiable assets and liabilities is recorded as goodwill. In a business combination achieved in stages, the Company shall remeasure its previously held equity interest in the acquiree at its acquisition-date fair value and recognize the resulting gain or loss, if any, in results of operations.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spacing w:after="0" w:line="12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Company has elected the practical expedient provided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part of the fair value estimates of assets acquired and liabilities assumed and, if so, to determine their estimated amounts.</w:t>
      </w:r>
    </w:p>
    <w:p>
      <w:pPr>
        <w:spacing w:after="0" w:line="10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 (i) 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1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Transaction costs associated with business combinations are expensed as incurred and are included in general and administrative expenses in the condensed consolidated statements of operations.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Yet Adopted</w:t>
      </w:r>
    </w:p>
    <w:p>
      <w:pPr>
        <w:spacing w:after="0" w:line="14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(Topic 740).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0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spacing w:after="0" w:line="11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May 2025, The FASB issued ASU No. 2025-03, </w:t>
      </w:r>
      <w:r>
        <w:rPr>
          <w:rFonts w:ascii="Times New Roman" w:cs="Times New Roman" w:eastAsia="Times New Roman" w:hAnsi="Times New Roman"/>
          <w:sz w:val="14"/>
          <w:szCs w:val="14"/>
          <w:i w:val="1"/>
          <w:iCs w:val="1"/>
          <w:color w:val="auto"/>
        </w:rPr>
        <w:t>Business Combinations (Topic 805) and Consolidation (Topic 810): Determining the Accounting Acquirer in the Acquisition of a Variable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 Entity</w:t>
      </w:r>
      <w:r>
        <w:rPr>
          <w:rFonts w:ascii="Times New Roman" w:cs="Times New Roman" w:eastAsia="Times New Roman" w:hAnsi="Times New Roman"/>
          <w:sz w:val="14"/>
          <w:szCs w:val="14"/>
          <w:color w:val="auto"/>
        </w:rPr>
        <w:t>. The ASU revises current guidance for determining the accounting acquirer for a transaction effected primarily by exchanging equity interests in which the legal acquiree is a VIE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meets the definition of a business. The amendments differ from current U.S.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this ASU to determine its impact on the Company's disclosures.</w:t>
      </w:r>
    </w:p>
    <w:p>
      <w:pPr>
        <w:spacing w:after="0" w:line="11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In July 2025, the FASB issued ASU No. 2025-05, </w:t>
      </w:r>
      <w:r>
        <w:rPr>
          <w:rFonts w:ascii="Times New Roman" w:cs="Times New Roman" w:eastAsia="Times New Roman" w:hAnsi="Times New Roman"/>
          <w:sz w:val="14"/>
          <w:szCs w:val="14"/>
          <w:i w:val="1"/>
          <w:iCs w:val="1"/>
          <w:color w:val="auto"/>
        </w:rPr>
        <w:t>Financial Instruments—Credit Losses (Topic 326): Measurement of Credit Losses for Accounts Receivable and Contract Assets</w:t>
      </w:r>
      <w:r>
        <w:rPr>
          <w:rFonts w:ascii="Times New Roman" w:cs="Times New Roman" w:eastAsia="Times New Roman" w:hAnsi="Times New Roman"/>
          <w:sz w:val="14"/>
          <w:szCs w:val="14"/>
          <w:color w:val="auto"/>
        </w:rPr>
        <w:t>. The ASU provides a practical expedient for estimating expected credit losses on current accounts receivable and current contract assets arising from transactions accounted for under ASC 606. Under the expedient, entities may assume that current conditions as of the balance sheet date do not change for the remaining life of the asset when developing reasonable and supportable forecasts as part of estimating expected credit losses. The ASU is effective for annual reporting periods beginning after December 15, 2025 and interim reporting periods within those annual reporting periods. Early adoption is permitted, and the amendments should be applied prospectively. The Company is currently evaluating the impact this ASU will have on its consolidated financial statements and related disclosures.</w:t>
      </w:r>
    </w:p>
    <w:p>
      <w:pPr>
        <w:spacing w:after="0" w:line="11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Intangibles—Goodwill and Other—Internal-Use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ASU eliminates all references to prescriptive and sequential software project stages throughout Subtopic 350-40. An entity is required to begin capitalizing software costs when both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following occur: (1) management has authorized and committed to funding the software project and (2) It is probable that the project will be completed and the software will be used to perform the function intended (referred to as the “probable-to-complete recognition threshold”). The ASU is effective for annual reporting periods beginning after December 15, 2027 and interim reporting periods within those annual reporting periods. Entities may adopt the new guidance using a prospective transition approach, a modified transition approach that is based on the status of the project and whether software costs were capitalized before the date of adoption, or a retrospective transition approach. Early adoption is permitted as of the beginning of an annual reporting period. The Company is currently evaluating the impact this ASU will have on its consolidated financial statements and related disclosures.</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right="7580" w:hanging="255"/>
        <w:spacing w:after="0" w:line="468" w:lineRule="auto"/>
        <w:tabs>
          <w:tab w:leader="none" w:pos="253"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 Disaggregated Revenue</w:t>
      </w: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Revenues by operating segment and type of service consist of the following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5"/>
                <w:szCs w:val="15"/>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CoStar</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Information Services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2"/>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LoopNet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22"/>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5"/>
                <w:szCs w:val="15"/>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CoStar</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760.2</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Information Services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22"/>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LoopNet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22"/>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191"/>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2,026.8</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52525"/>
        </w:rPr>
        <w:t>Deferred revenue as of September 30, 2025 and December 31, 2024 was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4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91"/>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revenue</w:t>
            </w:r>
          </w:p>
        </w:tc>
        <w:tc>
          <w:tcPr>
            <w:tcW w:w="4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Changes in deferred revenue for the period were as follows (in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 recognized in the current period from the amounts in the beginning balance</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New deferrals, net of amounts recognized in the current period </w:t>
            </w:r>
            <w:r>
              <w:rPr>
                <w:rFonts w:ascii="Times New Roman" w:cs="Times New Roman" w:eastAsia="Times New Roman" w:hAnsi="Times New Roman"/>
                <w:sz w:val="18"/>
                <w:szCs w:val="18"/>
                <w:color w:val="auto"/>
                <w:vertAlign w:val="superscript"/>
              </w:rPr>
              <w:t>(1)</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91"/>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foreign currency</w:t>
            </w:r>
          </w:p>
        </w:tc>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4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vMerge w:val="continue"/>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balance includes $46.2 million of new deferrals from the acquisitions completed in 2025. See Note 5 for further discussion of acquisitions.</w:t>
      </w: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Contract Assets</w:t>
      </w:r>
    </w:p>
    <w:p>
      <w:pPr>
        <w:spacing w:after="0" w:line="15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September 30, 2025 and December 31, 2024 were as follows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5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2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260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554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55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1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2"/>
        </w:trPr>
        <w:tc>
          <w:tcPr>
            <w:tcW w:w="260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assets</w:t>
            </w:r>
          </w:p>
        </w:tc>
        <w:tc>
          <w:tcPr>
            <w:tcW w:w="55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Revenues were reduced by $0.1 million and $0.7 million from contract assets for the three and nine months ended September 30, 2025, respectively. Revenues were reduced by $0.6 million and $1.1 million from contract assets for the three and nine months ended September 30, 2024, respectively.</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Unsatisfied Performance Obligations</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Remaining contract consideration for which revenue has not been recognized due to unsatisfied performance obligations was approximately $537.0 million at September 30, 2025, which the Company expects to recognize over the next eight years. This amount does not include contract consideration for contracts with a duration of one year or less.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Commissions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Commissions expense is included in selling and marketing expense (excluding customer base amortization) in the Company's condensed consolidated statements of operations. Commissions expense activity for the three and nine months ended September 30, 2025 and 2024 was as follows (in millions):</w:t>
      </w:r>
    </w:p>
    <w:p>
      <w:pPr>
        <w:spacing w:after="0" w:line="14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214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r>
      <w:tr>
        <w:trPr>
          <w:trHeight w:val="22"/>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56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incurred</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59.8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40.0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capitalized in the current period</w:t>
            </w:r>
          </w:p>
        </w:tc>
        <w:tc>
          <w:tcPr>
            <w:tcW w:w="8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7"/>
              </w:rPr>
              <w:t>(115.7)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22"/>
        </w:trPr>
        <w:tc>
          <w:tcPr>
            <w:tcW w:w="5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commissions costs</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43.5</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29.8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commissions expense</w:t>
            </w:r>
          </w:p>
        </w:tc>
        <w:tc>
          <w:tcPr>
            <w:tcW w:w="80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7"/>
              </w:rPr>
              <w:t>66.1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45.3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did not recognize any impairment losses on commissions during the nine months ended September 30, 2025 and 2024.</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40" w:hanging="235"/>
        <w:spacing w:after="0"/>
        <w:tabs>
          <w:tab w:leader="none" w:pos="24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ALLOWANCE FOR CREDIT LOSSES</w:t>
      </w:r>
    </w:p>
    <w:p>
      <w:pPr>
        <w:spacing w:after="0" w:line="15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252525"/>
        </w:rPr>
        <w:t>The following tables detail the activity related to the allowance for credit losses for trade receivables by portfolio segment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3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5"/>
        </w:trPr>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6"/>
        </w:trPr>
        <w:tc>
          <w:tcPr>
            <w:tcW w:w="3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CoStar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LoopNet</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28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3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December 31, 2024</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7"/>
              </w:rPr>
              <w:t>22.8</w:t>
            </w: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Current-period provision for expected credit losses</w:t>
            </w:r>
          </w:p>
        </w:tc>
        <w:tc>
          <w:tcPr>
            <w:tcW w:w="8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w w:val="97"/>
              </w:rPr>
              <w:t>25.9</w:t>
            </w:r>
          </w:p>
        </w:tc>
      </w:tr>
      <w:tr>
        <w:trPr>
          <w:trHeight w:val="22"/>
        </w:trPr>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charged against the allowance</w:t>
            </w:r>
          </w:p>
        </w:tc>
        <w:tc>
          <w:tcPr>
            <w:tcW w:w="8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6"/>
              </w:rPr>
              <w:t>(0.3)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(18.8)</w:t>
            </w: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September 30, 2025</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7"/>
              </w:rPr>
              <w:t>29.9</w:t>
            </w:r>
          </w:p>
        </w:tc>
      </w:tr>
      <w:tr>
        <w:trPr>
          <w:trHeight w:val="20"/>
        </w:trPr>
        <w:tc>
          <w:tcPr>
            <w:tcW w:w="3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3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5"/>
        </w:trPr>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CoStar</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LoopNet</w:t>
            </w: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28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December 31, 2023</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1"/>
              </w:rPr>
              <w:t>2.5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w w:val="91"/>
              </w:rPr>
              <w:t>7.3</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1"/>
              </w:rPr>
              <w:t>2.7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23.2</w:t>
            </w:r>
          </w:p>
        </w:tc>
        <w:tc>
          <w:tcPr>
            <w:tcW w:w="80" w:type="dxa"/>
            <w:vAlign w:val="bottom"/>
          </w:tcPr>
          <w:p>
            <w:pPr>
              <w:spacing w:after="0"/>
              <w:rPr>
                <w:sz w:val="15"/>
                <w:szCs w:val="15"/>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Current-period provision for expected credit losses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1"/>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809"/>
              <w:spacing w:after="0"/>
              <w:rPr>
                <w:sz w:val="20"/>
                <w:szCs w:val="20"/>
                <w:color w:val="auto"/>
              </w:rPr>
            </w:pPr>
            <w:r>
              <w:rPr>
                <w:rFonts w:ascii="Times New Roman" w:cs="Times New Roman" w:eastAsia="Times New Roman" w:hAnsi="Times New Roman"/>
                <w:sz w:val="14"/>
                <w:szCs w:val="14"/>
                <w:color w:val="auto"/>
                <w:w w:val="91"/>
              </w:rPr>
              <w:t>8.9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w w:val="91"/>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7"/>
              </w:rPr>
              <w:t>25.8</w:t>
            </w:r>
          </w:p>
        </w:tc>
        <w:tc>
          <w:tcPr>
            <w:tcW w:w="80" w:type="dxa"/>
            <w:vAlign w:val="bottom"/>
          </w:tcPr>
          <w:p>
            <w:pPr>
              <w:spacing w:after="0"/>
              <w:rPr>
                <w:sz w:val="16"/>
                <w:szCs w:val="16"/>
                <w:color w:val="auto"/>
              </w:rPr>
            </w:pPr>
          </w:p>
        </w:tc>
      </w:tr>
      <w:tr>
        <w:trPr>
          <w:trHeight w:val="22"/>
        </w:trPr>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charged against the allowance</w:t>
            </w:r>
          </w:p>
        </w:tc>
        <w:tc>
          <w:tcPr>
            <w:tcW w:w="8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6"/>
              </w:rPr>
              <w:t>(0.8)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w w:val="96"/>
              </w:rPr>
              <w:t>(7.1)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6"/>
              </w:rPr>
              <w:t>(4.3)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8"/>
                <w:szCs w:val="18"/>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September 30, 2024</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w w:val="91"/>
              </w:rPr>
              <w:t>3.1</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w w:val="91"/>
              </w:rPr>
              <w:t>9.1</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1"/>
              </w:rPr>
              <w:t>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7"/>
              </w:rPr>
              <w:t>23.6</w:t>
            </w:r>
          </w:p>
        </w:tc>
        <w:tc>
          <w:tcPr>
            <w:tcW w:w="8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Credit loss expense is included in general and administrative expenses on the condensed consolidated statements of operations. Credit loss expense related to contract assets was not material for the three and nine months ended September 30, 2025 and 2024. The allowance for credit losses for Residential was not material for the three and nine months ended September 30, 2025 and 2024.</w:t>
      </w:r>
    </w:p>
    <w:p>
      <w:pPr>
        <w:spacing w:after="0" w:line="90" w:lineRule="exact"/>
        <w:rPr>
          <w:sz w:val="20"/>
          <w:szCs w:val="20"/>
          <w:color w:val="auto"/>
        </w:rPr>
      </w:pPr>
    </w:p>
    <w:p>
      <w:pPr>
        <w:ind w:left="260" w:right="10000" w:hanging="255"/>
        <w:spacing w:after="0" w:line="468" w:lineRule="auto"/>
        <w:tabs>
          <w:tab w:leader="none" w:pos="245"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Domain</w:t>
      </w: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February 2025, in connection with the Domain Proposal, the Company acquired approximately 17% of the ordinary shares of Domain, one of Australia's leading property marketplaces, at A$4.20 per share for a total purchase price of A$452.4 million ($284.8 million). In May 2025, the Company entered into an agreement to acquire the remaining issued capital of Domain not previously held by CoStar Group by way of Scheme of Arrangement. In August 2025, the Company completed the Domain Acquisition pursuant to which (i) the Company spent A$2.5 billion ($1.6 billion) to acquire the remaining 83% of Domain's ordinary shares; and (ii) Domain shareholders received total cash consideration of A$4.43 per Domain ordinary share, less a one time special dividend of A$0.088 per share declared and paid by Domain prior to closing. The Domain Acquisition positions the Company to leverage Domain's portfolio of property brands in Australia, including Domain and Allhomes, and CoStar's technology, scale, and innovation to improve customer experience, value, and access CoStar's brands and product offerings.</w:t>
      </w:r>
    </w:p>
    <w:p>
      <w:pPr>
        <w:spacing w:after="0" w:line="11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As of the Closing, the fair value of the Company's 17% investment was approximately A$465.2 million ($299.9 million), measured based on the fair value implied by the consideration transferred. The acquisition was completed as a step-acquisition, and the Company recognized a gain of $2.8 million and $14.3 million, inclusive of dividend income, as a result of remeasuring its previously held equity interest for the three and nine months ended September 30, 2025, respectively. The gains were recorded in other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total purchase consideration for the Domain Acquisition was $1.6 billion, which consisted of the following (in millions):</w:t>
            </w: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50"/>
        </w:trPr>
        <w:tc>
          <w:tcPr>
            <w:tcW w:w="9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1,472.5</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of existing debt</w:t>
            </w:r>
          </w:p>
        </w:tc>
        <w:tc>
          <w:tcPr>
            <w:tcW w:w="4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22"/>
        </w:trPr>
        <w:tc>
          <w:tcPr>
            <w:tcW w:w="9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cash settled equity awards related to pre-combination services</w:t>
            </w:r>
          </w:p>
        </w:tc>
        <w:tc>
          <w:tcPr>
            <w:tcW w:w="4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4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1,612.0</w:t>
            </w:r>
          </w:p>
        </w:tc>
      </w:tr>
      <w:tr>
        <w:trPr>
          <w:trHeight w:val="22"/>
        </w:trPr>
        <w:tc>
          <w:tcPr>
            <w:tcW w:w="9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previously held equity interests</w:t>
            </w:r>
          </w:p>
        </w:tc>
        <w:tc>
          <w:tcPr>
            <w:tcW w:w="4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181"/>
        </w:trPr>
        <w:tc>
          <w:tcPr>
            <w:tcW w:w="912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1,911.9</w:t>
            </w:r>
          </w:p>
        </w:tc>
      </w:tr>
      <w:tr>
        <w:trPr>
          <w:trHeight w:val="22"/>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recorded for acquired assets and assumed liabilities recorded at their fair value as of the closing date of the Domain Acquisition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Preliminary:</w:t>
            </w:r>
          </w:p>
        </w:tc>
      </w:tr>
      <w:tr>
        <w:trPr>
          <w:trHeight w:val="186"/>
        </w:trPr>
        <w:tc>
          <w:tcPr>
            <w:tcW w:w="9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August 27, 2025</w:t>
            </w:r>
          </w:p>
        </w:tc>
      </w:tr>
      <w:tr>
        <w:trPr>
          <w:trHeight w:val="22"/>
        </w:trPr>
        <w:tc>
          <w:tcPr>
            <w:tcW w:w="9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3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709.0</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2"/>
        </w:trPr>
        <w:tc>
          <w:tcPr>
            <w:tcW w:w="9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NCI in Domain’s partially-owned subsidiaries</w:t>
            </w:r>
          </w:p>
        </w:tc>
        <w:tc>
          <w:tcPr>
            <w:tcW w:w="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w:t>
            </w:r>
          </w:p>
        </w:tc>
      </w:tr>
      <w:tr>
        <w:trPr>
          <w:trHeight w:val="181"/>
        </w:trPr>
        <w:tc>
          <w:tcPr>
            <w:tcW w:w="912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1,911.9</w:t>
            </w:r>
          </w:p>
        </w:tc>
      </w:tr>
      <w:tr>
        <w:trPr>
          <w:trHeight w:val="22"/>
        </w:trPr>
        <w:tc>
          <w:tcPr>
            <w:tcW w:w="9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
        </w:trPr>
        <w:tc>
          <w:tcPr>
            <w:tcW w:w="9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Generally, the net assets of Domain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spacing w:after="0" w:line="11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The primary areas that remain subject to additional information include the Company's assessment of the fair value measurement of NCI, certain tax matters, the fair value of acquired intangibles, and contingencies.</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Domain Acquisition included in the Company's International operating segment, their related estimated useful lives (in years) and their respective amortization methods: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8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Accelerated</w:t>
            </w: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Brand and trade names</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86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Straight-line</w:t>
            </w:r>
          </w:p>
        </w:tc>
      </w:tr>
      <w:tr>
        <w:trPr>
          <w:trHeight w:val="22"/>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86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Straight-line</w:t>
            </w: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Domain Acquisition includes, but is not limited to: (i) the expected synergies and other benefits that the Company believes will result from combining Domain's operations with the Company's operations and (ii) any intangible assets that do not qualify for separate recognition, such as the assembled workforce. The $1.2 billion of goodwill recorded as part of the Domain Acquisition is associated with the Company's International operating segment, of which none is expected to be deductible for income tax purposes. Transaction costs associated with the Domain Acquisition were $19.9 million during the nine months ended September 30, 2025 and consist primarily of advisory, legal, accounting, and other professional service costs. These costs are included within general and administrative expenses on the condensed consolidated statements of operations.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Matterport</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comprised of innovative software, spatial data-driven data science, and 3D capture technology, has broken down the barriers that have kept the largest asset class in the world, buildings and physical spaces, offline and underutilized for so long. The Company intends to integrate Matterport's 3D digital twin technology with its information service products and online marketplaces to allow buyers, sellers, and renters to explore properties with greater depth and insight.</w:t>
      </w:r>
    </w:p>
    <w:p>
      <w:pPr>
        <w:spacing w:after="0" w:line="1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(the "Matterport Acquisition Consideration"), with fractional shares of CoStar Group Shares paid in cash.</w:t>
      </w:r>
    </w:p>
    <w:p>
      <w:pPr>
        <w:spacing w:after="0" w:line="10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$272.6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purchase consideration for the Matterport Acquisition was $1.9 billion, which consisted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552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w:t>
            </w:r>
          </w:p>
        </w:tc>
        <w:tc>
          <w:tcPr>
            <w:tcW w:w="0" w:type="dxa"/>
            <w:vAlign w:val="bottom"/>
          </w:tcPr>
          <w:p>
            <w:pPr>
              <w:spacing w:after="0"/>
              <w:rPr>
                <w:sz w:val="1"/>
                <w:szCs w:val="1"/>
                <w:color w:val="auto"/>
              </w:rPr>
            </w:pP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Shares (11.7 million shares)</w:t>
            </w:r>
          </w:p>
        </w:tc>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rollover awards</w:t>
            </w:r>
          </w:p>
        </w:tc>
        <w:tc>
          <w:tcPr>
            <w:tcW w:w="50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20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0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060" w:type="dxa"/>
            <w:vAlign w:val="bottom"/>
            <w:vMerge w:val="restart"/>
          </w:tcPr>
          <w:p>
            <w:pPr>
              <w:jc w:val="right"/>
              <w:ind w:right="3209"/>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6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recorded for acquired assets and assumed liabilities recorded at their fair value as of the closing date of the Matterport Acquisition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Preliminary: February</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8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Updated Preliminary:</w:t>
            </w:r>
          </w:p>
        </w:tc>
      </w:tr>
      <w:tr>
        <w:trPr>
          <w:trHeight w:val="186"/>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28, 2025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14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February 28, 2025</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 for sale investments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Litigation accrual</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spacing w:after="0" w:line="10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During the nine months ended September 30, 2025, the Company reassessed its estimates and inputs as new information about facts and circumstances that existed as of the acquisition date became known. As a result, the Company recorded a $9.5 million reduction in goodwill as a result of measurement period adjustments. The reduction to goodwill consists primarily of adjustments for uncertain tax positions and tax-related valuation allowances. The primary areas that remain subject to additional information are the Company's assessment of certain tax matters; contingencies, including those discussed in Note 12</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fair value assessment of certain acquired intangibles.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Matterport Acquisition included in the Company's North America operating segment, their related estimated useful lives (in years), and their respective amortization methods: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86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Straight-line</w:t>
            </w: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w:t>
            </w:r>
          </w:p>
        </w:tc>
      </w:tr>
      <w:tr>
        <w:trPr>
          <w:trHeight w:val="22"/>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8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Straight-line</w:t>
            </w: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is associated with the Company's North America operating segment, of which none is expected to be deductible for income tax purposes. Transaction costs associated with the</w:t>
      </w: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Matterport Acquisition were $17.6 million during the nine months ended September 30, 2025 and consist primarily of legal, accounting, and other professional service costs. These costs are included within general and administrative expenses on the condensed consolidated statements of operations.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Visual Lease</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November 2024, CoStar acquired Visual Lease for total consideration of $276.0 million, in accordance with the terms under the Visual Lease Merger Agreement. Visual Lease is the operator of a SaaS platform for integrated lease management and lease accounting.</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recorded for acquired assets and assumed liabilities recorded at their fair value as of the closing date of the acquisition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Preliminary: November</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8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Updated Preliminary:</w:t>
            </w:r>
          </w:p>
        </w:tc>
      </w:tr>
      <w:tr>
        <w:trPr>
          <w:trHeight w:val="186"/>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14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November 1, 2024</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net assets of Visual Lease were recorded at their estimated fair values. In valuing the acquired assets and assumed liabilities, fair value estimates were based primarily on future expected cash flows, market rate assumptions for contractual obligations, and appropriate discount rates. The purchase price allocation is preliminary, subject primarily to the Company's assessment of contingencies. The key assumptions used in the valuation include discount rates, projected revenue growth rates, customer attrition rates, and profit margins.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Visual Lease Acquisition included in the Company's North America operating segment, their related estimated useful lives (in years), and their respective amortization methods: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7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base</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8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Accelerated</w:t>
            </w: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Straight-line</w:t>
            </w:r>
          </w:p>
        </w:tc>
      </w:tr>
      <w:tr>
        <w:trPr>
          <w:trHeight w:val="22"/>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technology</w:t>
            </w: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6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Straight-line</w:t>
            </w: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Database technology</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7.5</w:t>
            </w:r>
          </w:p>
        </w:tc>
        <w:tc>
          <w:tcPr>
            <w:tcW w:w="100" w:type="dxa"/>
            <w:vAlign w:val="bottom"/>
          </w:tcPr>
          <w:p>
            <w:pPr>
              <w:spacing w:after="0"/>
              <w:rPr>
                <w:sz w:val="16"/>
                <w:szCs w:val="16"/>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Straight-line</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Visual Lease Acquisition includes, but is not limited to: (i) the expected synergies and other benefits that the Company believes will result from increasing anonymized leasing data in CoStar and combining its operations with CoStar Real Estate Manager's operations and (ii) any intangible assets that do not qualify for separate recognition, such as the assembled workforce. The $149.5 million of goodwill recorded as part of the acquisition is associated with the Company's North America operating segment, of which $132.7 million is expected to be deductible for income tax purposes. Transaction costs associated with the Visual Lease Acquisition were $6.8 million.</w:t>
      </w: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 Forma Financial Information (unaudited)</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Domain</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unaudited pro forma financial information presented below reflects the condensed consolidated results of operations of the Company assuming the Domain Acquisition had taken place 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 and was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6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58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876.4</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2,519.2</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2,216.6</w:t>
            </w: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bl>
    <w:p>
      <w:pPr>
        <w:spacing w:after="0" w:line="21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material pro forma adjustments primarily consist of incremental amortization expense based on the preliminary fair value of the intangible assets acquired, increased compensation expense relating to the issuance of certain equity plans in connection with the Domain Acquisition, accounting policy alignment adjustments, and the income tax impact of the aforementioned pro forma adjustments. The unaudited pro forma financial information has also been adjusted to reflect $19.9 million of acquisition-related costs incurred during the nine months ended September 30, 2025 as having occurred on January 1, 2024.</w:t>
      </w:r>
    </w:p>
    <w:p>
      <w:pPr>
        <w:spacing w:after="0" w:line="1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impact of the Domain Acquisition on the Company's revenue was $25.3 million for each of the three and nine months ended September 30, 2025. The impact of the Domain Acquisition on the Company's net income (loss) in the condensed consolidated statements of operations was a loss of $4.4 million for each of the three and nine months ended September 30, 2025.</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Matterport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unaudited pro forma financial information presented below reflects the condensed consolidated results of operations of the Company assuming the Matterport Acquisition had taken place 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 and was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6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58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833.6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2,372.6</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2,148.7</w:t>
            </w: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r>
    </w:tbl>
    <w:p>
      <w:pPr>
        <w:spacing w:after="0" w:line="21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material pro forma adjustments primarily consist of incremental amortization expense based on the preliminary fair value of the intangible assets acquired, increased compensation expense relating to the issuance of certain equity plans in connection with the Matterport Acquisition, accounting policy alignment adjustments, and the income tax impact of the aforementioned pro forma adjustments. The unaudited pro forma financial information has also been adjusted to reflect $17.6 million of acquisition-related costs incurred during the nine months ended September 30, 2025 as having occurred on January 1, 2024.</w:t>
      </w:r>
    </w:p>
    <w:p>
      <w:pPr>
        <w:spacing w:after="0" w:line="10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impact of the Matterport Acquisition on the Company's revenue was $43.9 million and $103.8 million for the three and nine months ended September 30, 2025, respectively. The impact of the Matterport Acquisition on the Company's net income (loss) in the condensed consolidated statements of operations was a loss of $47.3 million and $98.1 million for the three and nine months ended September 30, 2025, respectively.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Combined</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unaudited pro forma financial information presented below reflects the consolidated results of operations of the Company assuming both the Domain Acquisition and Matterport Acquisition had taken place on January 1, 2024. The unaudited pro forma financial information for all periods presented includes the adjustments mentioned in above. The unaudited pro forma financial information, as presented below, is for informational purposes only and is not necessarily indicative of the results of operations that would have been achieved if the acquisitions had not taken place on the dates listed above.</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1" w:name="page32"/>
    <w:bookmarkEnd w:id="31"/>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6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6"/>
                <w:szCs w:val="16"/>
                <w:color w:val="auto"/>
              </w:rPr>
            </w:pPr>
          </w:p>
        </w:tc>
      </w:tr>
      <w:tr>
        <w:trPr>
          <w:trHeight w:val="22"/>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58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876.4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r>
    </w:tbl>
    <w:p>
      <w:pPr>
        <w:spacing w:after="0" w:line="21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INVESTMENTS AND FAIR VALUE MEASUREMENTS</w:t>
      </w:r>
    </w:p>
    <w:p>
      <w:pPr>
        <w:spacing w:after="0" w:line="15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categorizes assets and liabilities recorded or disclosed at fair value on the condensed consolidated balance sheets based upon the level of judgment associated with inputs used to measure their fair value. The categories are as follows: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Observable inputs such as quoted prices in active markets for identical assets or liabilities.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other than quoted prices in active markets that are either directly or indirectly observable.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for which little or no market data exists, therefore requiring an entity to develop its own assumptions.</w:t>
      </w:r>
    </w:p>
    <w:p>
      <w:pPr>
        <w:spacing w:after="0" w:line="14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Company's financial assets comprise Level 1 cash equivalents with original maturities of three months or less in the amount of $1.7 billion and $4.5 billion as of September 30, 2025 and December 31, 2024, respectively. The Company had no Level 2 or Level 3 financial assets measured at fair value as of September 30, 2025 and December 31, 2024.</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Available-for-sale Debt Securities</w:t>
      </w:r>
    </w:p>
    <w:p>
      <w:pPr>
        <w:spacing w:after="0" w:line="15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Matterport Acquisition, the Company acquired $203.7 million of available-for-sale debt securities, inclusive of $2.0 million of accrued interest. These securities were sold for net proceeds of $203.4 million resulting in a negligible realized loss in the first quarter of 2025.</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149"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Company holds other financial instruments, including cash deposits, accounts receivable, accounts payable, accrued expenses, and Senior Notes. The carrying value for such financial instruments, other than the Senior Notes, each approximated their fair values as of both September 30, 2025 and December 31, 2024. The estimated fair value of the Company's outstanding Senior Notes using quoted prices from the over-the-counter markets, considered Level 2 inputs, was $0.9 billion as of both September 30, 2025 and December 31, 2024.</w:t>
      </w:r>
    </w:p>
    <w:p>
      <w:pPr>
        <w:spacing w:after="0" w:line="1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LEASES</w:t>
      </w:r>
    </w:p>
    <w:p>
      <w:pPr>
        <w:spacing w:after="0" w:line="149"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Company has operating and finance leases for its office facilities, data centers, and certain vehicles, as well as finance leases for office equipment. The Company's leases have remaining terms up to nine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452"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costs related to the Company's operating and finance leases included in the condensed consolidated statements of operations were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21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revenues</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1"/>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1"/>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costs</w:t>
            </w: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ROU assets</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1"/>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costs</w:t>
            </w: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800" w:type="dxa"/>
            <w:vAlign w:val="bottom"/>
            <w:tcBorders>
              <w:top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Finance lease costs primarily relate to vehicles used by the Company's research teams and the amortization of the ROU assets are recorded to cost of revenues in the condensed consolidated statements of operations. The impact of lease costs related to short-term leases was not material for the three and nine months ended September 30, 2025 and 2024.</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was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4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6"/>
                <w:szCs w:val="16"/>
                <w:color w:val="auto"/>
              </w:rPr>
            </w:pPr>
          </w:p>
        </w:tc>
        <w:tc>
          <w:tcPr>
            <w:tcW w:w="13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138.9</w:t>
            </w:r>
          </w:p>
        </w:tc>
      </w:tr>
      <w:tr>
        <w:trPr>
          <w:trHeight w:val="191"/>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18.2</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120.7</w:t>
            </w:r>
          </w:p>
        </w:tc>
      </w:tr>
      <w:tr>
        <w:trPr>
          <w:trHeight w:val="191"/>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44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6"/>
                <w:szCs w:val="16"/>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8"/>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35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4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22"/>
        </w:trPr>
        <w:tc>
          <w:tcPr>
            <w:tcW w:w="3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4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103.0</w:t>
            </w:r>
          </w:p>
        </w:tc>
      </w:tr>
      <w:tr>
        <w:trPr>
          <w:trHeight w:val="212"/>
        </w:trPr>
        <w:tc>
          <w:tcPr>
            <w:tcW w:w="3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44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16.6</w:t>
            </w:r>
          </w:p>
        </w:tc>
      </w:tr>
      <w:tr>
        <w:trPr>
          <w:trHeight w:val="191"/>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15.0</w:t>
            </w:r>
          </w:p>
        </w:tc>
      </w:tr>
      <w:tr>
        <w:trPr>
          <w:trHeight w:val="191"/>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44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6"/>
                <w:szCs w:val="16"/>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8"/>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5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4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22"/>
        </w:trPr>
        <w:tc>
          <w:tcPr>
            <w:tcW w:w="3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4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w:t>
            </w:r>
          </w:p>
        </w:tc>
      </w:tr>
      <w:tr>
        <w:trPr>
          <w:trHeight w:val="700"/>
        </w:trPr>
        <w:tc>
          <w:tcPr>
            <w:tcW w:w="3500" w:type="dxa"/>
            <w:vAlign w:val="bottom"/>
          </w:tcPr>
          <w:p>
            <w:pPr>
              <w:spacing w:after="0"/>
              <w:rPr>
                <w:sz w:val="24"/>
                <w:szCs w:val="24"/>
                <w:color w:val="auto"/>
              </w:rPr>
            </w:pPr>
          </w:p>
        </w:tc>
        <w:tc>
          <w:tcPr>
            <w:tcW w:w="444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3500" w:type="dxa"/>
            <w:vAlign w:val="bottom"/>
            <w:tcBorders>
              <w:bottom w:val="single" w:sz="8" w:color="9A9A9A"/>
            </w:tcBorders>
          </w:tcPr>
          <w:p>
            <w:pPr>
              <w:spacing w:after="0"/>
              <w:rPr>
                <w:sz w:val="20"/>
                <w:szCs w:val="20"/>
                <w:color w:val="auto"/>
              </w:rPr>
            </w:pPr>
          </w:p>
        </w:tc>
        <w:tc>
          <w:tcPr>
            <w:tcW w:w="44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millions):</w:t>
      </w:r>
    </w:p>
    <w:p>
      <w:pPr>
        <w:spacing w:after="0" w:line="134"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19050</wp:posOffset>
            </wp:positionV>
            <wp:extent cx="200088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flows used in operating leases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1"/>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cash flows used in finance leases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cash flows used in finance leases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2"/>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ROU assets obtained in exchange for lease obligations:</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2"/>
        </w:trPr>
        <w:tc>
          <w:tcPr>
            <w:tcW w:w="8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w:t>
      </w:r>
    </w:p>
    <w:p>
      <w:pPr>
        <w:spacing w:after="0" w:line="148"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changes in the carrying amount of goodwill by operating segment consist of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Pr>
          <w:p>
            <w:pPr>
              <w:spacing w:after="0"/>
              <w:rPr>
                <w:sz w:val="16"/>
                <w:szCs w:val="16"/>
                <w:color w:val="auto"/>
              </w:rPr>
            </w:pPr>
          </w:p>
        </w:tc>
        <w:tc>
          <w:tcPr>
            <w:tcW w:w="12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6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December 31, 2023</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0" w:type="dxa"/>
            <w:vAlign w:val="bottom"/>
          </w:tcPr>
          <w:p>
            <w:pPr>
              <w:spacing w:after="0"/>
              <w:rPr>
                <w:sz w:val="1"/>
                <w:szCs w:val="1"/>
                <w:color w:val="auto"/>
              </w:rPr>
            </w:pPr>
          </w:p>
        </w:tc>
      </w:tr>
      <w:tr>
        <w:trPr>
          <w:trHeight w:val="212"/>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Acquisitions, including measurement period adjustments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212"/>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Effect of foreign currency translation</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December 31, 2024</w:t>
            </w: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2,527.6</w:t>
            </w:r>
          </w:p>
        </w:tc>
        <w:tc>
          <w:tcPr>
            <w:tcW w:w="0" w:type="dxa"/>
            <w:vAlign w:val="bottom"/>
          </w:tcPr>
          <w:p>
            <w:pPr>
              <w:spacing w:after="0"/>
              <w:rPr>
                <w:sz w:val="1"/>
                <w:szCs w:val="1"/>
                <w:color w:val="auto"/>
              </w:rPr>
            </w:pPr>
          </w:p>
        </w:tc>
      </w:tr>
      <w:tr>
        <w:trPr>
          <w:trHeight w:val="22"/>
        </w:trPr>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including measurement period adjustments</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2,339.1</w:t>
            </w:r>
          </w:p>
        </w:tc>
        <w:tc>
          <w:tcPr>
            <w:tcW w:w="0" w:type="dxa"/>
            <w:vAlign w:val="bottom"/>
          </w:tcPr>
          <w:p>
            <w:pPr>
              <w:spacing w:after="0"/>
              <w:rPr>
                <w:sz w:val="1"/>
                <w:szCs w:val="1"/>
                <w:color w:val="auto"/>
              </w:rPr>
            </w:pPr>
          </w:p>
        </w:tc>
      </w:tr>
      <w:tr>
        <w:trPr>
          <w:trHeight w:val="191"/>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Effect of foreign currency translation</w:t>
            </w:r>
          </w:p>
        </w:tc>
        <w:tc>
          <w:tcPr>
            <w:tcW w:w="2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22"/>
        </w:trPr>
        <w:tc>
          <w:tcPr>
            <w:tcW w:w="6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September 30, 2025</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0" w:hanging="115"/>
        <w:spacing w:after="0"/>
        <w:tabs>
          <w:tab w:leader="none" w:pos="12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North America goodwill generated during the year ended December 31, 2024 from the Visual Lease Acquisition was $148.0 million.</w:t>
      </w:r>
    </w:p>
    <w:p>
      <w:pPr>
        <w:spacing w:after="0" w:line="20" w:lineRule="exact"/>
        <w:rPr>
          <w:rFonts w:ascii="Times New Roman" w:cs="Times New Roman" w:eastAsia="Times New Roman" w:hAnsi="Times New Roman"/>
          <w:sz w:val="7"/>
          <w:szCs w:val="7"/>
          <w:color w:val="auto"/>
        </w:rPr>
      </w:pPr>
    </w:p>
    <w:p>
      <w:pPr>
        <w:ind w:firstLine="5"/>
        <w:spacing w:after="0"/>
        <w:tabs>
          <w:tab w:leader="none" w:pos="104" w:val="left"/>
        </w:tabs>
        <w:numPr>
          <w:ilvl w:val="0"/>
          <w:numId w:val="1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North America goodwill generated during the nine months ended September 30, 2025 from the Matterport Acquisition was $1,126.9 million. International goodwill generated during the nine months ended September 30, 2025 from the Domain Acquisition was $1,210.7 million.</w:t>
      </w: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did not recognize any impairment losses on goodwill during the nine months ended September 30, 2025 or 2024.</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w:t>
      </w:r>
    </w:p>
    <w:p>
      <w:pPr>
        <w:spacing w:after="0" w:line="15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Intangible assets consist of the following (in millions, except amortization period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86"/>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 and data</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 and data,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customer base</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6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15</w:t>
            </w:r>
          </w:p>
        </w:tc>
      </w:tr>
      <w:tr>
        <w:trPr>
          <w:trHeight w:val="19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customer base,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trade names and other intangible assets</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6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14</w:t>
            </w:r>
          </w:p>
        </w:tc>
      </w:tr>
      <w:tr>
        <w:trPr>
          <w:trHeight w:val="19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trade names and other intangible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above-market leases</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above-market leases,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in-place leases</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in-place leases,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2"/>
        </w:trPr>
        <w:tc>
          <w:tcPr>
            <w:tcW w:w="65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r>
      <w:tr>
        <w:trPr>
          <w:trHeight w:val="22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Intangible assets are reviewed for impairment whenever events or changes in circumstances indicate that the carrying value of such assets may not be recoverable. The Company did not recognize any impairment losses on intangible assets during the nine months ended September 30, 2025 or 2024. During the nine months ended September 30, 2025, the Company removed $58.2 million of intangible assets that were fully amortized from the acquired intangible assets and accumulated amortization, which had no impact on the Company's financial results.</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5" w:name="page36"/>
    <w:bookmarkEnd w:id="35"/>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  LONG-TERM DEBT</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18"/>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table below presents the components of outstanding debt (in millions):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0"/>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24"/>
                <w:szCs w:val="24"/>
                <w:color w:val="auto"/>
              </w:rPr>
            </w:pP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2.800% Senior Notes due July 15, 2030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Credit Agreement, due May 24, 2029</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face amount of long-term debt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unamortized discount and issuance costs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4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w:t>
      </w:r>
    </w:p>
    <w:p>
      <w:pPr>
        <w:jc w:val="both"/>
        <w:ind w:firstLine="5"/>
        <w:spacing w:after="0" w:line="255" w:lineRule="auto"/>
        <w:tabs>
          <w:tab w:leader="none" w:pos="2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September 30, 2025.</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 The 2024 Credit Agreement replaces the Company's 2020 Credit Agreement.</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spacing w:after="0" w:line="11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The Company was in compliance with the covenants in the 2024 Credit Agreement as of September 30, 2025. As of September 30, 2025, the Company had no amounts drawn under this facility.</w:t>
      </w: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had $3.1 million and $3.8 million of deferred debt issuance costs related to the revolving credit facility as of September 30, 2025 and December 31, 2024, respectively. These amounts are included in deposits and other assets on the Company's condensed 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Company recognized interest expense as follows (in millions):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23"/>
        </w:trPr>
        <w:tc>
          <w:tcPr>
            <w:tcW w:w="6100" w:type="dxa"/>
            <w:vAlign w:val="bottom"/>
          </w:tcPr>
          <w:p>
            <w:pPr>
              <w:spacing w:after="0"/>
              <w:rPr>
                <w:sz w:val="24"/>
                <w:szCs w:val="24"/>
                <w:color w:val="auto"/>
              </w:rPr>
            </w:pPr>
          </w:p>
        </w:tc>
        <w:tc>
          <w:tcPr>
            <w:tcW w:w="21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24"/>
                <w:szCs w:val="24"/>
                <w:color w:val="auto"/>
              </w:rPr>
            </w:pPr>
          </w:p>
        </w:tc>
      </w:tr>
      <w:tr>
        <w:trPr>
          <w:trHeight w:val="186"/>
        </w:trPr>
        <w:tc>
          <w:tcPr>
            <w:tcW w:w="6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r>
      <w:tr>
        <w:trPr>
          <w:trHeight w:val="22"/>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1"/>
        </w:trPr>
        <w:tc>
          <w:tcPr>
            <w:tcW w:w="6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outstanding borrowings</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Senior Notes discount and issuance costs</w:t>
            </w:r>
          </w:p>
        </w:tc>
        <w:tc>
          <w:tcPr>
            <w:tcW w:w="800" w:type="dxa"/>
            <w:vAlign w:val="bottom"/>
          </w:tcPr>
          <w:p>
            <w:pPr>
              <w:spacing w:after="0"/>
              <w:rPr>
                <w:sz w:val="16"/>
                <w:szCs w:val="16"/>
                <w:color w:val="auto"/>
              </w:rPr>
            </w:pPr>
          </w:p>
        </w:tc>
        <w:tc>
          <w:tcPr>
            <w:tcW w:w="44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
        </w:trPr>
        <w:tc>
          <w:tcPr>
            <w:tcW w:w="6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capitalized for construction in process</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 fees and other</w:t>
            </w:r>
          </w:p>
        </w:tc>
        <w:tc>
          <w:tcPr>
            <w:tcW w:w="800" w:type="dxa"/>
            <w:vAlign w:val="bottom"/>
          </w:tcPr>
          <w:p>
            <w:pPr>
              <w:spacing w:after="0"/>
              <w:rPr>
                <w:sz w:val="16"/>
                <w:szCs w:val="16"/>
                <w:color w:val="auto"/>
              </w:rPr>
            </w:pPr>
          </w:p>
        </w:tc>
        <w:tc>
          <w:tcPr>
            <w:tcW w:w="44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6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49"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The income tax provision reflects an effective tax rate of approximately 33% and 32% for the three months ended September 30, 2025 and 2024, respectively, and (28)% and 37% for the nine months ended September 30, 2025 and 2024, respectively. The increase in the effective tax rate for the three months ended September 30, 2025 was primarily due to an increase in discrete items including disqualifying dispositions on incentive stock options for the three months ended September 30, 2025. The decrease in the effective tax rate for the nine months ended September 30, 2025 was primarily due to overall book loss position with U.S. net income that is taxable and U.K. losses with no tax benefit for the nine months ended September 30, 2025.</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COMMITMENTS AND CONTINGENCIES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the Company's significant contractual obligations, including related payments due by period, as of September 30, 2025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 debt interest</w:t>
            </w:r>
          </w:p>
        </w:tc>
      </w:tr>
      <w:tr>
        <w:trPr>
          <w:trHeight w:val="18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280" w:type="dxa"/>
            <w:vAlign w:val="bottom"/>
          </w:tcPr>
          <w:p>
            <w:pPr>
              <w:spacing w:after="0"/>
              <w:rPr>
                <w:sz w:val="16"/>
                <w:szCs w:val="16"/>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2025</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2"/>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2"/>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leases office facilities under various non-cancelable operating leases, as well as data centers and vehicles under finance lease arrangements. The leases contain various renewal options.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7 for further discussion of the Company's lease commitments.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condensed consolidated financial position, future results of operations, or liquidity. Legal defense costs are expensed as incurred, except as set forth below.</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Matterport-Related Matters</w:t>
      </w:r>
    </w:p>
    <w:p>
      <w:pPr>
        <w:spacing w:after="0" w:line="14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On July 23, 2021, plaintiff William J. Brown, a former employee and a stockholder of Matterport, sued Matterport, Gores Holdings VI, Inc. (now known as Matterport, Inc.), Maker Merger Sub Inc., Maker Merger Sub II, LLC, and Matterport directors R.J. Pittman, David Gausebeck, Matt Bell, Peter Hebert, Jason Krikorian, Carlos Kokron and Michael Gustafson (collectively, the “Brown Defendants”) in the Court of Chancery of the State of Delaware (the “Chancery Court ”). Brown claimed that the Brown Defendants imposed invalid transfer restrictions on his shares of Matterport stock in connection with the Gores Merger transactions (the "Gores Transaction" and the Agreement and the Plan of Merger thereunder, the "Gores Merger Agreement") between Matterport, Inc. and Legacy Matterport (the “Transfer Restrictions”), and that Matterport’s Board of Directors violated their fiduciary duties in connection with a purportedly misleading letter of transmittal. An expedited trial regarding the facial validity of the Transfer Restrictions took place in December 2021. On January 11, 2022, the court issued a ruling that the Transfer Restrictions did not apply to Brown. Separate proceedings regarding Brown's remaining claims, including the amount of any damages suffered by Brown were the subject of the second phase of the case. Legacy Matterport's position was that Brown did not suffer any damages as he would have sold his shares as soon as possible after the Gores Transaction closed had Legacy Matterport not prevented him from trading based on its application of the Transfer Restrictions. Trial was held in November 2023, and a post-trial hearing was held on February 22, 2024. On May 28, 2024, the court ruled that Matterport had a reasonable basis to deny the plaintiff’s November 2021 demand that the transfer restrictions be removed from his shares and that the plaintiff lacked standing as to whether the transfer restrictions complied with Delaware law. However, the court awarded Brown $79.1 million plus pre- and post-judgment interest as damages for losses caused by Matterport’s initial refusal to issue freely transferable shares (the “Brown Judgment”). On July 29, 2024, a notice of appeal to the court's ruling to the Delaware Supreme Court was filed. Brown filed a notice of cross-appeal on August 12, 2024. Oral argument on the appeal was heard on February 26, 2025. On April 22, 2025, the Delaware Supreme Court substantially affirmed the Chancery Court's $79.1 million damages award but reversed and remanded for additional proceedings on the manner in which post-judgment interest was calculated. The Chancery Court has not scheduled further proceedings on the issue of post-judgment interest.</w:t>
      </w:r>
    </w:p>
    <w:p>
      <w:pPr>
        <w:spacing w:after="0" w:line="13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has estimated a litigation accrual of $98.8 million as of September 30, 2025, considering the substantially-affirmed damages award and the Company's estimate of the expected interest award using the Chancery Court's previously determined interest methodology. This estimated litigation accrual is reflected in the purchase price allocation for the Matterport Acquisition and is subject to change based on the Chancery Court's revised ruling. The Company anticipates the revised ruling will occur by the first half of 2026. The Company estimated additional interest of up to approximately $17 million could be awarded if the Chancery Court followed the methodology Brown previously argued, and which was rejected. Subsequent to the Brown Judgment, on August 14, 2024, a litigation bond was posted, and Matterport transferred $95.0 million in cash as collateral into a designated insured interest-bearing account, which is classified as restricted cash on the Company’s condensed consolidated balance sheet as of September 30, 2025.</w:t>
      </w:r>
    </w:p>
    <w:p>
      <w:pPr>
        <w:spacing w:after="0" w:line="11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Since the Brown judgment in May 2024, other former Legacy Matterport stockholders have filed complaints (the “Post-Brown Complaints”) in the Chancery Court alleging that they were prevented from trading their Matterport shares through invalid transfer restrictions. These complaints were filed as follows: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Legacy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Gores Transaction. On December 6, 2024, the Burdi-Dumas complaint was amended to include a second plaintiff, Janet Day, and additional claims. These cases have now been consolidated and coordinated.</w:t>
      </w:r>
    </w:p>
    <w:p>
      <w:pPr>
        <w:spacing w:after="0" w:line="11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monitors developments in these legal matters that could affect the estimate the Company may have previously accrued. As of September 30, 2025, there were no amounts accrued that the Company believes would be material to its financial position, except as noted above. Further, the range of reasonably possible losses in excess of accrued liabilities currently cannot be reasonably estimated, except as noted above.</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SEGMENT REPORTING</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manages its business geographically in two operating segments and two reportable segments, with the primary areas of measurement and decision-making being North America, which includes the U.S. and Canada, and International, which primarily includes Asia-Pacific, Europe, and Latin America. Segment reporting is based on the management approach, whereby external segment reporting is aligned with the internal reporting used by the CODM, which is the Company’s Chief Executive Officer. The CODM relies on an internal management reporting process that provides revenue and operating segment EBITDA for making decisions and assessing performance as the source of the Company’s reportable segments. EBITDA is used by management internally to measure operating and management performance and to evaluate the performance of the business.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Summarized EBITDA information by operating segment consists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5"/>
                <w:szCs w:val="15"/>
                <w:color w:val="auto"/>
              </w:rPr>
            </w:pPr>
          </w:p>
        </w:tc>
        <w:tc>
          <w:tcPr>
            <w:tcW w:w="9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Revenues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0" w:type="dxa"/>
            <w:vAlign w:val="bottom"/>
          </w:tcPr>
          <w:p>
            <w:pPr>
              <w:spacing w:after="0"/>
              <w:rPr>
                <w:sz w:val="1"/>
                <w:szCs w:val="1"/>
                <w:color w:val="auto"/>
              </w:rPr>
            </w:pPr>
          </w:p>
        </w:tc>
      </w:tr>
      <w:tr>
        <w:trPr>
          <w:trHeight w:val="191"/>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Marketing</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left="749"/>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(2)</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202"/>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0" w:hanging="101"/>
        <w:spacing w:after="0"/>
        <w:tabs>
          <w:tab w:leader="none" w:pos="1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See Note 3 for details of revenue disaggregated by segment.</w:t>
      </w:r>
    </w:p>
    <w:p>
      <w:pPr>
        <w:spacing w:after="0" w:line="52" w:lineRule="exact"/>
        <w:rPr>
          <w:rFonts w:ascii="Times New Roman" w:cs="Times New Roman" w:eastAsia="Times New Roman" w:hAnsi="Times New Roman"/>
          <w:sz w:val="12"/>
          <w:szCs w:val="12"/>
          <w:color w:val="auto"/>
          <w:vertAlign w:val="superscript"/>
        </w:rPr>
      </w:pPr>
    </w:p>
    <w:p>
      <w:pPr>
        <w:ind w:left="120" w:hanging="101"/>
        <w:spacing w:after="0" w:line="237" w:lineRule="auto"/>
        <w:tabs>
          <w:tab w:leader="none" w:pos="1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Excludes personnel costs.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5"/>
                <w:szCs w:val="15"/>
                <w:color w:val="auto"/>
              </w:rPr>
            </w:pPr>
          </w:p>
        </w:tc>
        <w:tc>
          <w:tcPr>
            <w:tcW w:w="9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Revenues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2,026.8</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893.1</w:t>
            </w:r>
          </w:p>
        </w:tc>
        <w:tc>
          <w:tcPr>
            <w:tcW w:w="0" w:type="dxa"/>
            <w:vAlign w:val="bottom"/>
          </w:tcPr>
          <w:p>
            <w:pPr>
              <w:spacing w:after="0"/>
              <w:rPr>
                <w:sz w:val="1"/>
                <w:szCs w:val="1"/>
                <w:color w:val="auto"/>
              </w:rPr>
            </w:pPr>
          </w:p>
        </w:tc>
      </w:tr>
      <w:tr>
        <w:trPr>
          <w:trHeight w:val="191"/>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Marketing</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(2)</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0" w:type="dxa"/>
            <w:vAlign w:val="bottom"/>
          </w:tcPr>
          <w:p>
            <w:pPr>
              <w:spacing w:after="0"/>
              <w:rPr>
                <w:sz w:val="1"/>
                <w:szCs w:val="1"/>
                <w:color w:val="auto"/>
              </w:rPr>
            </w:pPr>
          </w:p>
        </w:tc>
      </w:tr>
      <w:tr>
        <w:trPr>
          <w:trHeight w:val="202"/>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0" w:hanging="101"/>
        <w:spacing w:after="0"/>
        <w:tabs>
          <w:tab w:leader="none" w:pos="12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See Note 3 for details of revenue disaggregated by segment.</w:t>
      </w:r>
    </w:p>
    <w:p>
      <w:pPr>
        <w:spacing w:after="0" w:line="53" w:lineRule="exact"/>
        <w:rPr>
          <w:rFonts w:ascii="Times New Roman" w:cs="Times New Roman" w:eastAsia="Times New Roman" w:hAnsi="Times New Roman"/>
          <w:sz w:val="7"/>
          <w:szCs w:val="7"/>
          <w:color w:val="auto"/>
        </w:rPr>
      </w:pPr>
    </w:p>
    <w:p>
      <w:pPr>
        <w:ind w:left="120" w:hanging="101"/>
        <w:spacing w:after="0"/>
        <w:tabs>
          <w:tab w:leader="none" w:pos="12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Excludes personnel costs.</w:t>
      </w:r>
    </w:p>
    <w:p>
      <w:pPr>
        <w:spacing w:after="0" w:line="24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is domiciled in the U.S. and revenues earned outside the U.S. were $91.2 million and $40.7 million for three months ended September 30, 2025 and 2024, respectively, and $199.8 million and $119.8 million for the nine months ended September 30, 2025 and 2024, respectively.</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stock-based compensation, which is a significant non-cash item included in the personnel costs above, by segment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4"/>
                <w:szCs w:val="14"/>
                <w:color w:val="auto"/>
              </w:rPr>
            </w:pPr>
          </w:p>
        </w:tc>
      </w:tr>
      <w:tr>
        <w:trPr>
          <w:trHeight w:val="186"/>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22"/>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49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reconciliation of EBITDA to income (loss) before income taxes consists of the following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7"/>
              </w:rPr>
              <w:t>12.7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acquired intangible assets in cost of revenues</w:t>
            </w:r>
          </w:p>
        </w:tc>
        <w:tc>
          <w:tcPr>
            <w:tcW w:w="920" w:type="dxa"/>
            <w:vAlign w:val="bottom"/>
          </w:tcPr>
          <w:p>
            <w:pPr>
              <w:spacing w:after="0"/>
              <w:rPr>
                <w:sz w:val="16"/>
                <w:szCs w:val="16"/>
                <w:color w:val="auto"/>
              </w:rPr>
            </w:pPr>
          </w:p>
        </w:tc>
        <w:tc>
          <w:tcPr>
            <w:tcW w:w="62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acquired intangible assets in operating expenses</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other amortization</w:t>
            </w:r>
          </w:p>
        </w:tc>
        <w:tc>
          <w:tcPr>
            <w:tcW w:w="920" w:type="dxa"/>
            <w:vAlign w:val="bottom"/>
          </w:tcPr>
          <w:p>
            <w:pPr>
              <w:spacing w:after="0"/>
              <w:rPr>
                <w:sz w:val="16"/>
                <w:szCs w:val="16"/>
                <w:color w:val="auto"/>
              </w:rPr>
            </w:pPr>
          </w:p>
        </w:tc>
        <w:tc>
          <w:tcPr>
            <w:tcW w:w="62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7"/>
              </w:rPr>
              <w:t>26.0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expense, net </w:t>
            </w:r>
            <w:r>
              <w:rPr>
                <w:rFonts w:ascii="Times New Roman" w:cs="Times New Roman" w:eastAsia="Times New Roman" w:hAnsi="Times New Roman"/>
                <w:sz w:val="18"/>
                <w:szCs w:val="18"/>
                <w:color w:val="auto"/>
                <w:vertAlign w:val="superscript"/>
              </w:rPr>
              <w:t>(1)</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9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right="40" w:hanging="1"/>
        <w:spacing w:after="0" w:line="282" w:lineRule="auto"/>
        <w:tabs>
          <w:tab w:leader="none" w:pos="124" w:val="left"/>
        </w:tabs>
        <w:numPr>
          <w:ilvl w:val="0"/>
          <w:numId w:val="1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$3.7 million and $8.3 million of depreciation and amortization expense including above-market lease amortization associated with lessor activities for the three months ended September 30, 2025 and 2024, respectively, and $17.2 million and $22.1 million for the nine months ended September 30, 2025 and 2024, respectively.</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Summarized information by operating segment consists of the following (in millions):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8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w:t>
            </w: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3,425.6</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203"/>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goodwill</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8,852.0</w:t>
            </w: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03"/>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STOCKHOLDERS' EQUITY</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February 2025, the Board of Directors approved the Stock Repurchase Program that authorizes the repurchase of up to $500 million of the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spacing w:after="0" w:line="10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repurchased 1.4 million CoStar Group Shares for an aggregate cost of $115.0 million. As of September 30, 2025, $385.0 million remains available for repurchases under the Stock Repurchase Program. Shares of common stock repurchased under the Stock Repurchase Program become treasury shares and are accounted for when the transaction is settled. Direct costs incurred to acquire the shares are included in the total cost of the shares.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2 million shares of preferred stock, $0.01 par value, authorized for issuance. The Board of Directors may issue the preferred stock from time to time as shares of one or more classes or series.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1.2 billion CoStar Group Shares,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EMPLOYEE BENEFIT PLANS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Incentive Plans</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April 2016, the Board of Directors adopted the CoStar Group 2016 Stock Incentive Plan (as amended, the “2016 Plan”), subject to stockholder approval, which was obtained on June 9, 2016. On April 28, 2025, the Board of Directors approved the CoStar Group, Inc. 2025 Stock Incentive Plan (the “2025 Plan”), subject to stockholder approval, which was obtained on June 26, 2025. All shares of common stock that were authorized for issuance under the 2016 Plan that, as of April 28, 2025, remained available for issuance under the 2016 Plan (excluding shares subject to outstanding awards) were rolled into the 2025 Plan and, following stockholder approval of the 2025 Plan, no further grants will be made under the 2016 Plan.</w:t>
      </w:r>
    </w:p>
    <w:p>
      <w:pPr>
        <w:spacing w:after="0" w:line="10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2025 Plan provides for the grant of stock options, restricted stock, restricted stock units, and stock appreciation rights to officers, employees, and directors of the Company and its subsidiaries. Stock options granted under the 2025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2025 Plan is determined by the Board of Directors or a committee thereof and is generally three to four years, subject to minimum vesting periods for restricted stock and restricted stock units of at least one year. In some cases, vesting of awards under the 2025 Plan may be based on performance conditions. The Company initially reserved approximately 13.2 million shares of common stock for issuance under the 2025 Plan, which included shares of common stock that were authorized and remained available for issuance under the 2016 Plan as of April 28, 2025. Any shares of common stock subject to (a) outstanding awards under the 2016 Plan as of June 26, 2025 or (b) outstanding awards under the 2025 Plan after June 26, 2025, that cease for any reason to be subject to such awards (other than by reason of exercise or settlement of the awards to the extent they are exercised or settled in vested and nonforfeitable shares) will become authorized and unissued under the 2025 Plan. Unless terminated sooner, the 2025 Plan will terminate in June 2035, but will continue to govern unexercised and unexpired awards issued under the 2025 Plan prior to that date. Approximately 9.7 million shares were available for future grant under the 2025 Plan as of September 30, 2025.</w:t>
      </w:r>
    </w:p>
    <w:p>
      <w:pPr>
        <w:spacing w:after="0" w:line="1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Matterport Acquisition, the Company assumed Matterport's 2021 Incentive Award Plan and Matterport's Amended and Restated 2011 Stock Incentive Plan, including outstanding restricted stock units and stock options originally granted by Matterport under the Assumed Matterport Plans to continuing employees. These assumed awards will vest in accordance with their original terms, generally over four years. The Company does not intend to issue further grants under these plans. Shares forfeited due to employee termination or expiration are returned to the share pool. As of September 30, 2025, approximately 1.9 million shares remained available under the Assumed Matterport Plans.</w:t>
      </w:r>
    </w:p>
    <w:p>
      <w:pPr>
        <w:spacing w:after="0" w:line="10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September 30, 2025, there was approximately $282.4 million of unrecognized compensation cost related to stock incentive plans, net of estimated forfeitures, which the Company expects to recognize over a weighted-average-period of 2.7 years. See Note 2 for further discussion of stock-based compensation expense.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8"/>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Option activity was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4"/>
        </w:trPr>
        <w:tc>
          <w:tcPr>
            <w:tcW w:w="5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0"/>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0"/>
        </w:trPr>
        <w:tc>
          <w:tcPr>
            <w:tcW w:w="53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6"/>
        </w:trPr>
        <w:tc>
          <w:tcPr>
            <w:tcW w:w="5380" w:type="dxa"/>
            <w:vAlign w:val="bottom"/>
          </w:tcPr>
          <w:p>
            <w:pPr>
              <w:spacing w:after="0"/>
              <w:rPr>
                <w:sz w:val="16"/>
                <w:szCs w:val="16"/>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2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1,904,590</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Assumed in Matterport Acquisition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1,799,170</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212,700</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(637,509)</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2"/>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Canceled or expired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0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3,252,951</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22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2,898,515</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673"/>
        </w:trPr>
        <w:tc>
          <w:tcPr>
            <w:tcW w:w="5380" w:type="dxa"/>
            <w:vAlign w:val="bottom"/>
          </w:tcPr>
          <w:p>
            <w:pPr>
              <w:spacing w:after="0"/>
              <w:rPr>
                <w:sz w:val="24"/>
                <w:szCs w:val="24"/>
                <w:color w:val="auto"/>
              </w:rPr>
            </w:pPr>
          </w:p>
        </w:tc>
        <w:tc>
          <w:tcPr>
            <w:tcW w:w="12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4"/>
        </w:trPr>
        <w:tc>
          <w:tcPr>
            <w:tcW w:w="538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estimated the fair value of each option granted on the date of grant using the Black-Scholes option-pricing model, using the assumptions in the following table:</w:t>
      </w:r>
    </w:p>
    <w:p>
      <w:pPr>
        <w:spacing w:after="0" w:line="18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19050</wp:posOffset>
            </wp:positionV>
            <wp:extent cx="18592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2"/>
        </w:trPr>
        <w:tc>
          <w:tcPr>
            <w:tcW w:w="8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8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31.57</w:t>
            </w:r>
          </w:p>
        </w:tc>
      </w:tr>
      <w:tr>
        <w:trPr>
          <w:trHeight w:val="22"/>
        </w:trPr>
        <w:tc>
          <w:tcPr>
            <w:tcW w:w="83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grants restricted common stock to certain executive officers, directors, and employees of the Company which vest over a specific service period. Executive officers also receive restricted common stock that vests based on the achievement of certain performance conditions, primarily the achievement of a three-year cumulative revenue goal established at the grant date. The CEO of the Company has approved grants of restricted common stock to other executive officers and employees of the Company that vest over a specific service period and to other executive officers that vest based on the achievement of certain performance conditions, primarily the achievement of revenue growth and profit margins established at the grant date. The grant of awards with performance conditions supports the Company’s goal of aligning executive incentives with long-term stockholder value and ensuring that executive officers have a continuing stake in the long-term success of the Company.</w:t>
      </w:r>
    </w:p>
    <w:p>
      <w:pPr>
        <w:spacing w:after="0" w:line="11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 Company specific TSR factor relative to the S&amp;P 500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S&amp;P 500 Index over the respective three-year period.</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estimates the fair value of its performance-based restricted stock awards with market conditions on the date of grant using a Monte-Carlo simulation valuation model. This pricing model uses multiple simulations to evaluate the probability of achieving the market condition to calculate the fair value of the awards. Expense is only recorded for awards that</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expected to vest, net of estimated forfeitures. The assumptions used to estimate the fair value of performance-based restricted stock awards with market conditions were as follows:</w:t>
      </w:r>
    </w:p>
    <w:p>
      <w:pPr>
        <w:spacing w:after="0" w:line="187"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19050</wp:posOffset>
            </wp:positionV>
            <wp:extent cx="18865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22"/>
        </w:trPr>
        <w:tc>
          <w:tcPr>
            <w:tcW w:w="8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8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86.96</w:t>
            </w:r>
          </w:p>
        </w:tc>
      </w:tr>
      <w:tr>
        <w:trPr>
          <w:trHeight w:val="22"/>
        </w:trPr>
        <w:tc>
          <w:tcPr>
            <w:tcW w:w="83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S&amp;P 500 Index over a period consistent with the expected life of the awards. The risk-free interest rate is based on the U.S. Treasury rate with terms similar to the expected life of the awards. The expected life is consistent with the performance measurement period of the awards.</w:t>
      </w:r>
    </w:p>
    <w:p>
      <w:pPr>
        <w:spacing w:after="0" w:line="12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2025, the Company determined that it was probable that at least the minimum performance goals associated with performance-based restricted stock awards with market conditions granted during 2023, 2024, and 2025 would be met by their forfeiture dates. As of September 30, 2025, the Company determined that it was probable that at least the minimum performance goals associated with performance-based restricted stock awards without market conditions granted during the first quarter of 2025 would be met by their forfeiture dates.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stock-based compensation expense related to performance-based restricted stock awards for the three and nine months ended September 30, 2025 and 2024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54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r>
      <w:tr>
        <w:trPr>
          <w:trHeight w:val="186"/>
        </w:trPr>
        <w:tc>
          <w:tcPr>
            <w:tcW w:w="5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53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awards without market conditions</w:t>
            </w: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awards with market conditions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02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bl>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September 30, 2025, the Company expects to record an aggregate stock-based compensation expense of approximately $43.1 million for performance-based restricted stock awards over the remainder of 2025 and in 2026, 2027, and 2028.</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The following table presents unvested restricted stock awards activity for the nine months ended September 30, 2025:</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5260" w:type="dxa"/>
            <w:vAlign w:val="bottom"/>
          </w:tcPr>
          <w:p>
            <w:pPr>
              <w:spacing w:after="0"/>
              <w:rPr>
                <w:sz w:val="24"/>
                <w:szCs w:val="24"/>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 Stock Awards — without Market</w:t>
            </w:r>
          </w:p>
        </w:tc>
        <w:tc>
          <w:tcPr>
            <w:tcW w:w="296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Restricted Stock Awards — with Market</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2960" w:type="dxa"/>
            <w:vAlign w:val="bottom"/>
            <w:gridSpan w:val="4"/>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0" w:type="dxa"/>
            <w:vAlign w:val="bottom"/>
          </w:tcPr>
          <w:p>
            <w:pPr>
              <w:spacing w:after="0"/>
              <w:rPr>
                <w:sz w:val="1"/>
                <w:szCs w:val="1"/>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at December 31,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2,554,989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0" w:type="dxa"/>
            <w:vAlign w:val="bottom"/>
          </w:tcPr>
          <w:p>
            <w:pPr>
              <w:spacing w:after="0"/>
              <w:rPr>
                <w:sz w:val="1"/>
                <w:szCs w:val="1"/>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2,293,972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79.14</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(863,118)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Canceled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(238,382)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at September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3,747,461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2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following table presents unvested restricted stock units activity for the nine months ended September 30, 2025:</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0" w:type="dxa"/>
            <w:vAlign w:val="bottom"/>
          </w:tcPr>
          <w:p>
            <w:pPr>
              <w:spacing w:after="0"/>
              <w:rPr>
                <w:sz w:val="1"/>
                <w:szCs w:val="1"/>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December 31, 2024</w:t>
            </w: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0" w:type="dxa"/>
            <w:vAlign w:val="bottom"/>
          </w:tcPr>
          <w:p>
            <w:pPr>
              <w:spacing w:after="0"/>
              <w:rPr>
                <w:sz w:val="1"/>
                <w:szCs w:val="1"/>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Assumed in Matterport Acquisition</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2,256,423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65,087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0" w:type="dxa"/>
            <w:vAlign w:val="bottom"/>
          </w:tcPr>
          <w:p>
            <w:pPr>
              <w:spacing w:after="0"/>
              <w:rPr>
                <w:sz w:val="1"/>
                <w:szCs w:val="1"/>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75.60</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Canceled</w:t>
            </w: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(226,322)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September 30, 2025</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1,122,790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SUBSEQUENT EVENTS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and transactions that occurred after the balance sheet date up to the date that the condensed consolidated financial statements were issued. Based upon this review, the Company did not identify any material subsequent events that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5" w:name="page46"/>
    <w:bookmarkEnd w:id="45"/>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2024 Form 10-K and “Risk Factors” in Item 1A of Part II of this Report, as well as those described from time to time in our filings with the SEC.</w:t>
      </w:r>
    </w:p>
    <w:p>
      <w:pPr>
        <w:spacing w:after="0" w:line="1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2024 Form 10-K, our subsequent Quarterly Reports on Form 10-Q, Current Reports on Form 8-K, other filings with the SEC, and the condensed consolidated financial statements and related notes included in this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CoStar Group is a leading provider of online real estate marketplaces, information, analytics, and 3D digital twin technology in the property markets, based on the numbers of unique visitors and site visits per month; provide more information, analytics, and marketing services than many of our competitors; offer the most comprehensive commercial real estate database available; and have the largest commercial real estate research department in the industry. We have created and compiled a standardized platform of real estate information and analytics and online marketplaces where industry professionals, consumers of commercial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land, mixed-use, and hospitality. We also offer online platforms that manage workflow and marketing for residential real estate agents and brokers and provide portals for homebuyers to view residential property listings.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manage our business geographically in two operating segments, with our primary areas of measurement and decision-making being North America, which includes the U.S. and Canada, and International, which primarily includes Asia-Pacific, Europe, and Latin America.</w:t>
      </w:r>
    </w:p>
    <w:p>
      <w:pPr>
        <w:spacing w:after="0" w:line="9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services are typically distributed to our customers under subscription-based license agreements that generally renew automatically, a majority of which have a term of at least one year. Upon renewal, many of the subscription contract rates may change in accordance with contract provisions or as a result of contract renegotiations. To encourage customers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(i) providing premium listings for individual properties on our marketplaces, (ii) providing data capture services to create digital twins, (iii) the sale of Matterport cameras and capture equipment, and (iv) an online auction platform for commercial real estate through Ten-X auction fees from our Ten-X online auction platform for commercial real estate.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149"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Our portfolio of information, analytics, online real estate marketplaces, and 3D digital twin technology is branded and marketed to our customers and marketplace end users under the primary brands of CoStar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Apartments.com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LoopNet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Homes.com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Domain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OnTheMarket, Matterport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Land.com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Ten-X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services are accessible via the internet and through our mobile applications. Our services are primarily derived from a database of building-specific information and offer customers specialized tools for accessing, analyzing, and using our information. Over time, we have enhanced and expanded, and we expect to continue to enhance and expand, our existing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w:t>
      </w: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4"/>
          <w:szCs w:val="14"/>
          <w:color w:val="auto"/>
        </w:rPr>
        <w:t>Our principal services are described in the following paragraphs: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CoStar</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and provides benchmarking for the hospitality industry, lease analytical capabilities, and risk management capabilities for lenders. CoStar's revenue growth rate for the nine months ended September 30, 2025 decreased compared to the revenue growth rate for the nine months ended September 30, 2024, due to a lack of benefit from converting legacy STR customers to our new CoStar-based benchmarking product realized in 2024. We expect CoStar's revenue growth rate for the year ending December 31, 2025 to decrease compared to the revenue growth rate for the year ended December 31, 2024, primarily due to a lack of benefit from converting legacy STR customers to our new CoStar-based benchmarking product realized in 2024.</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Information Services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provide real estate and lease management technology solutions, including lease administration, lease accounting, and transaction management through our CoStar Real Estate Manager and Visual Lease service offerings. Information Services' revenue growth rate for the nine months ended September 30, 2025 increased compared to the revenue growth rate for the nine months ended September 30, 2024, primarily as a result of the Visual Lease Acquisition. We expect the Information Services revenue growth rate for the year ending December 31, 2025 to increase compared to the revenue growth rate for the year ended December 31, 2024 as a result of the Visual Lease Acquisition.</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Multifamily</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Apartments.com is the flagship brand of our apartment marketing network of subscription-based advertising services and provides property management companies and landlords with a comprehensive advertising destination for their available rental units. In addition, it offers renters a platform for searching for available rentals. Multifamily's revenue growth rate for the nine months ended September 30, 2025 moderated compared to the revenue growth rate for the nine months ended September 30, 2024, primarily due to the impact in 2025 of pivoting the Apartments.com sales force to support the Homes.com product launch in 2024. We expect the Multifamily revenue growth rate for the year ending December 31, 2025 to moderate compared to the revenue growth rate for the year ended December 31, 2024 primarily due to the impact in 2025 of pivoting the Apartments.com sales force to support the Homes.com product launch in 2024.</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LoopNet</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LoopNet Network of commercial real estate websites offers subscription-based, online marketplace services that enable commercial property owners, landlords, and real estate agents working on their behalf to advertise properties for sale or for lease. Commercial real estate agents, buyers, and tenants use the LoopNet Network of online marketplace services to search for available property listings that meet their criteria. LoopNet's revenue growth rate for the nine months ended September 30, 2025 increased compared to the revenue growth rate for the nine months ended September 30, 2024. We expect LoopNet's revenue growth rate for the year ending December 31, 2025 to increase compared to the revenue growth rate for the year ended December 31, 2024 due to an increase in the average revenue per listing, as well as an increase in the number of listings on our sites.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Residential</w:t>
      </w:r>
    </w:p>
    <w:p>
      <w:pPr>
        <w:spacing w:after="0" w:line="1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Homes.com offers real estate agents subscription memberships promoting the agent's home listings and profile on our websites. Homebuyers and real estate agents use Homes.com to find their dream homes using our proprietary research and neighborhood content combined with listing information. Domain is an Australian property listings platform that generates revenue by promoting listings of for sale and rental properties on its portals. OnTheMarket is a property portal in the U.K., which primarily hosts agents' listings on a subscription basis. Residential's revenues for the nine months ended September 30, 2025 increased compared to the nine months ended September 30, 2024, primarily due to the Domain Acquisition and an increase in the number of Homes.com memberships, partially offset by the discontinuation of certain products that were inconsistent with our long-term business strategy. We expect Residential's revenues for the year ending December 31, 2025 to increase compared to the year ended December 31, 2024 due to the Domain Acquisition and additional sales of our Homes.com memberships.</w:t>
      </w: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i w:val="1"/>
          <w:iCs w:val="1"/>
          <w:color w:val="auto"/>
        </w:rPr>
        <w:t>Other Revenues</w:t>
      </w:r>
    </w:p>
    <w:p>
      <w:pPr>
        <w:spacing w:after="0" w:line="15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Our other revenues include revenues from the Matterport Acquisition, our Land.com Network, BizBuySell Network, and Ten-X, an online auction platform for commercial real estate. Matterport primarily provides hosting services for its 3D digital twins on a subscription basis. Matterport also provides capture services of spatial data and other add-on services to existing subscription customers and sells 3D capture cameras and third-party capture devices to customers. The Land.com Network provides online marketplaces for rural lands for sale. Our BizBuySell Network provides online marketplaces for businesses and franchises for sale. Other revenues for the nine months ended September 30, 2025 increased compared to the nine months ended September 30, 2024, primarily due to the Matterport Acquisition. We expect other revenues for the year ending December 31, 2025 to increase compared to the year ended December 31, 2024 primarily due to the Matterport Acquisition.</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Subscription-based Services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majority of our revenue is generated from service offerings that are distributed to our customers under subscription-based agreements that typically renew automatically and have a term of at least one year. We recognize subscription revenues on a straight-line basis over the life of the contract.</w:t>
      </w:r>
    </w:p>
    <w:p>
      <w:pPr>
        <w:spacing w:after="0" w:line="10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For the three months ended September 30, 2025 and 2024, our annualized net new bookings of subscription-based services on all contracts were $84 million and $44 million, 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revenues over time. Revenues from our subscription-based contracts were approximately 92% and 96% of total revenues for the three months ended September 30, 2025 and 2024, respectively. The decrease in our percentage of subscription-based revenues is primarily due to Domain, which sells listings on its platforms on a transactional basis, as well as the transactional products and services sold by Matterport.</w:t>
      </w:r>
    </w:p>
    <w:p>
      <w:pPr>
        <w:spacing w:after="0" w:line="11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For the trailing 12 months ended September 30, 2025 and 2024, our contract renewal rates for existing company-wide CoStar Group subscription-based services for contracts with a term of at least one year were approximately 89% for each year, and, therefore, our cancellation rates for those services during the same periods were approximately 11%.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Revenues from our subscription-based contracts with a term of at least one year were approximately 75% and 80% of total revenues for three months ended September 30, 2025 and 2024, respectively. The decrease in the percentage of revenues from our subscription-based contracts with a term of at least one year is primarily due to Domain, which sells listings on its platforms on a transactional basis, as well as the transactional products and services sold by Matterport.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Development, Investments, and Expansion</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plan to continue to invest in our business and our services, evaluate strategic growth opportunities, and pursue our key priorities as described below. We are committed to supporting, improving, and enhancing our information, analytics, and online marketplace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key priorities for the remainder of 2025 currently include:</w:t>
      </w:r>
    </w:p>
    <w:p>
      <w:pPr>
        <w:spacing w:after="0" w:line="147" w:lineRule="exact"/>
        <w:rPr>
          <w:sz w:val="20"/>
          <w:szCs w:val="20"/>
          <w:color w:val="auto"/>
        </w:rPr>
      </w:pPr>
    </w:p>
    <w:p>
      <w:pPr>
        <w:jc w:val="both"/>
        <w:ind w:left="520" w:hanging="260"/>
        <w:spacing w:after="0" w:line="264" w:lineRule="auto"/>
        <w:tabs>
          <w:tab w:leader="none" w:pos="51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Continuing to invest in and develop Homes.com. In 2024, we launched Homes.com memberships giving real estate agents the ability to advertise and promote their listings on our website featuring original, media rich content. We plan to continue developing our dedicated Homes.com sales force; raising unaided brand awareness of the site through targeted marketing campaigns; and focusing on attracting recurring visitors to the site. In addition, we plan to develop and market additional products and improve the site's functionality, including AI-enabled search technology. We plan</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4"/>
          <w:szCs w:val="14"/>
          <w:color w:val="auto"/>
        </w:rPr>
        <w:t>to continue integrating Domain within CoStar Group in preparation to eventually launch Homes.com in the Australian market.</w:t>
      </w:r>
    </w:p>
    <w:p>
      <w:pPr>
        <w:spacing w:after="0" w:line="157" w:lineRule="exact"/>
        <w:rPr>
          <w:sz w:val="20"/>
          <w:szCs w:val="20"/>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Matterport's existing AI, computer vision, and machine learning across our products to build features that will enhance user experience to drive better engagement with our existing products and use the capability from the Matterport Acquisition to increase development of AI, computer vision, and machine learning to improve property analytics, optimize operational efficiency, and broaden the use of digital twin technologies throughout the real estate industry. We also intend to integrate Matterport's equipment and services into new market offerings to customers.</w:t>
      </w:r>
    </w:p>
    <w:p>
      <w:pPr>
        <w:spacing w:after="0" w:line="10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expand our CoStar and LoopNet products internationally. We continue to increase our international research team to collect data in the Australian and European markets. We have launched our LoopNet branded advertising products in Spain and France and continue to expand our footprint of commercial listings in these markets. We plan to continue integrating Domain within CoStar Group and to build the technology necessary to launch CoStar and LoopNet into the Australian market.</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the aggregate and anonymized data from leases within CoStar Real Estate Manager and Visual Lease to create a trusted source of pricing and occupancy information for Commercial Real Estate. We also plan to begin the integration of the CoStar Real Estate Manager and Visual Lease products.</w:t>
      </w:r>
    </w:p>
    <w:p>
      <w:pPr>
        <w:spacing w:after="0" w:line="10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expect our investment in the sales force will increase our selling and marketing expenses (excluding customer base amortization) for the year ending December 31, 2025 compared to the year ended December 31, 2024. 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4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non-GAAP net income, and non-GAAP net income per diluted share. EBITDA is our net income (loss) before interest income or expense, net, other expense or income, net, loss on debt extinguishment, income taxes, depreciation, and amortization. We typically disclose EBITDA on a consolidated and an operating segment basis in our earnings releases, investor conference calls, and filings with the SEC. 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Adjusted EBITDA margin represents adjusted EBITDA divided by revenues for the period. Non-GAAP net income is determined by adjusting our net income (loss)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and loss on debt extinguishment, as well as amortization of acquired intangible assets and other related costs, and then subtracting an assumed provision for income taxes. Non-GAAP net income per diluted share is a non-GAAP financial measure that represents non-GAAP net income divided by the number of diluted shares outstanding for the period used in the calculation of GAAP net income per diluted share.</w:t>
      </w:r>
    </w:p>
    <w:p>
      <w:pPr>
        <w:spacing w:after="0" w:line="12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may disclose adjusted EBITDA, adjusted EBITDA margin, non-GAAP net income, and non-GAAP net income per diluted share on a consolidated basis in our earnings releases, investor conference calls, and filings with the SEC.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0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view EBITDA, adjusted EBITDA, adjusted EBITDA margin, non-GAAP net income, and non-GAAP net income per diluted share as operating performance measures. We believe that the most directly comparable GAAP financial measure to EBITDA, adjusted EBITDA, and non-GAAP net income is net income (loss). We believe the most directly comparable GAAP financial measure to non-GAAP net income per diluted share and adjusted EBITDA margin are net income (loss) per diluted share and net income (loss) divided by revenues, respectively. In calculating EBITDA, adjusted EBITDA, adjusted EBITDA</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4"/>
          <w:szCs w:val="14"/>
          <w:color w:val="auto"/>
        </w:rPr>
        <w:t>margin, non-GAAP net income, and non-GAAP net income per diluted share,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non-GAAP net income, and non-GAAP net income per diluted share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adjusted EBITDA margin, non-GAAP net income, and non-GAAP net income per diluted share as a substitute for any GAAP financial measure, including net income (loss) and net income (loss)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non-GAAP net income, and non-GAAP net income per diluted share.</w:t>
      </w:r>
    </w:p>
    <w:p>
      <w:pPr>
        <w:spacing w:after="0" w:line="125"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EBITDA, adjusted EBITDA, adjusted EBITDA margin,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30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or losses on equity investments acquired in prospective targets and related to deal-contingent financial instruments; restructuring and related costs, including certain advisory fees; and loss on debt extinguishment. Adjusted EBITDA, adjusted EBITDA margin,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and related costs, including certain advisory fees;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restructuring and related costs, including certain advisory fees;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11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Set forth below are descriptions of financial items that have been excluded from net income (loss) to calculate EBITDA and the material limitations associated with using this non-GAAP financial measure as compared to net income (loss):</w:t>
      </w:r>
    </w:p>
    <w:p>
      <w:pPr>
        <w:spacing w:after="0" w:line="92"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9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0" w:name="page51"/>
    <w:bookmarkEnd w:id="50"/>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may be useful for investors to consider because it generally represents the taxes that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Set forth below are descriptions of additional financial items that have been excluded from EBITDA to calculate adjusted EBITDA and the material limitations associated with using this non-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financial measure as compared to net income (loss):</w:t>
      </w:r>
    </w:p>
    <w:p>
      <w:pPr>
        <w:spacing w:after="0" w:line="132" w:lineRule="exact"/>
        <w:rPr>
          <w:sz w:val="20"/>
          <w:szCs w:val="20"/>
          <w:color w:val="auto"/>
        </w:rPr>
      </w:pPr>
    </w:p>
    <w:p>
      <w:pPr>
        <w:jc w:val="both"/>
        <w:ind w:left="5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1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long-lived assets. We do not believe these charges necessarily reflect the current and ongoing cash charges related to our operating cost structure.</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spacing w:after="0" w:line="11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These items are discussed above with respect to the calculation of adjusted EBITDA together with the material limitations associated with using non-GAAP financial measures as compared to net income (loss). In addition to these exclusions from net income, we subtract an assumed provision for income taxes to calculate non-GAAP net income. In both 2025 and 2024, we assume a 26.0% tax rate, which approximates our historical long-term statutory corporate tax rate, excluding the impact of discrete items.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 Compared to Three Months Ended September 30, 2024</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compares our selected condensed consolidated results of operations for the three months ended September 30, 2025 and 2024 (in millions,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12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54"/>
        </w:trPr>
        <w:tc>
          <w:tcPr>
            <w:tcW w:w="5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Information Services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Multifamily</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5"/>
                <w:szCs w:val="15"/>
                <w:color w:val="auto"/>
              </w:rPr>
            </w:pP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4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9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NM - Not meaningful</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Revenues increased $141 million, or 20%, to $834 million. The increase in our revenues included:</w:t>
      </w:r>
    </w:p>
    <w:p>
      <w:pPr>
        <w:spacing w:after="0" w:line="149"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revenues of $46 million, or 142%, primarily due to the Matterport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Multifamily revenues of $31 million, or 11%, due to an increase in the number of properties listed on our network,</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Residential revenues of $27 million, or 98%, due to the Domain Acquisition and an increase in the number of Homes.com memberships,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revenues of $20 million, or 8%, due to increased sales driven by inflation-based price increases on renewals and an increase in subscribers,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revenues of $8 million, or 12%, due to an increase in the number of listings, as well as an increase in the average price per listing,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Information Services revenues of $8 million, or 25%, primarily attributable to the Visual Lease Acquisition.</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52" w:name="page53"/>
    <w:bookmarkEnd w:id="52"/>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Revenues</w:t>
      </w:r>
      <w:r>
        <w:rPr>
          <w:rFonts w:ascii="Times New Roman" w:cs="Times New Roman" w:eastAsia="Times New Roman" w:hAnsi="Times New Roman"/>
          <w:sz w:val="14"/>
          <w:szCs w:val="14"/>
          <w:color w:val="auto"/>
        </w:rPr>
        <w:t>. Gross profit increased $109 million, or 20%, to $661 million, and the gross profit margin decreased from 80% to 79%. The increase in gross profit was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revenues, partially offset by an increase in cost of revenues. Cost of revenues increased $32 million, or 22%, to $172 million and, as a percentage of revenues, increased from 20% to 21%. The increase in cost of revenues primarily included:</w:t>
      </w:r>
    </w:p>
    <w:p>
      <w:pPr>
        <w:spacing w:after="0" w:line="114"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$13 million in amortization expense for the acquired technology and trade names from the Matterport Acquisition and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$7 million in costs related to sales of Matterport capture equipment and services,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$6 million related to additional headcount from the Matterport Acquisition and Domain Acquisition,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$4 million, primarily driven by web hosting costs.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Expenses (Excluding Customer Base Amortization)</w:t>
      </w:r>
      <w:r>
        <w:rPr>
          <w:rFonts w:ascii="Times New Roman" w:cs="Times New Roman" w:eastAsia="Times New Roman" w:hAnsi="Times New Roman"/>
          <w:sz w:val="14"/>
          <w:szCs w:val="14"/>
          <w:color w:val="auto"/>
        </w:rPr>
        <w:t>. Selling and marketing expenses increased $87 million, or 26%, to $418 million and, as a percentage of revenues,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from 48% to 50%. The increase primarily included:</w:t>
      </w:r>
    </w:p>
    <w:p>
      <w:pPr>
        <w:spacing w:after="0" w:line="90"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$45 million primarily related to sales hiring and the sales force from the Matterport Acquisition and Domain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commissions expense of $20 million related to increased sales force,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marketing expenses of $17 million for advertising of our brands.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$24 million, or 30%, to $105 million and, as a percentage of revenues, increased from 12% to 13%.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10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$21 million, primarily due to additional headcount from the Matterport and Domain acquisitions, as well as costs for our existing employees.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$51 million, or 48%, to $157 million and, as a percentage of revenues, increased from 15% to 19%.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primarily included:</w:t>
      </w:r>
    </w:p>
    <w:p>
      <w:pPr>
        <w:spacing w:after="0" w:line="90"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$40 million, primarily due to additional headcount from the Matterport and Domain Acquisitions, as well as an increase in costs for our existing employees,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services and third-party costs of $9 million primarily related to acquisition activities,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$3 million, primarily driven by the Matterport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$22 million, or 209%, to $32 million, and, as a percentage of revenues, increased from 1% to 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the Matterport Acquisition, Domain Acquisition, and Visual Lease Acquisition.</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 Net</w:t>
      </w:r>
      <w:r>
        <w:rPr>
          <w:rFonts w:ascii="Times New Roman" w:cs="Times New Roman" w:eastAsia="Times New Roman" w:hAnsi="Times New Roman"/>
          <w:sz w:val="14"/>
          <w:szCs w:val="14"/>
          <w:color w:val="auto"/>
        </w:rPr>
        <w:t>. Interest income, net decreased $30 million, or 53%, to $26 million. The decrease was primarily due to a decrease in our cash and cash equivalents.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increased $19 million to $21 million for the three months ended September 30, 2025. The increase in expense was primarily driven by:</w:t>
      </w:r>
    </w:p>
    <w:p>
      <w:pPr>
        <w:spacing w:after="0" w:line="149"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realized loss of $23 million on the deal-contingent forward U.S. dollar to Australian dollar contracts entered into in conjunction with the Domain Transaction,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of $3 million relating to the previously held equity interests in Domain, inclusive of dividend income of $6 million.</w:t>
      </w:r>
    </w:p>
    <w:p>
      <w:pPr>
        <w:spacing w:after="0" w:line="145"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Income tax expense (benefit) changed from $25 million of tax expense for the three months ended September 30, 2024 to a $15 million tax benefit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2025. The effective tax rate was 33% of loss before income taxes for the three months ended September 30, 2025, compared to 32% of income before</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income taxes for the three months ended September 30, 2024. The change in income tax expense (benefit) was primarily attributable to lower income before taxes.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Three Months Ended September 30, 2025 Compared to Three Months Ended September 30, 2024</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manage our business geographically in two operating segments, with our primary areas of measurement and decision-making being North America, which includes the U.S. and Canada, and International, which primarily includes Asia-Pacific, Europe, and Latin America. Management relies on an internal management reporting process that provides revenue and operating segment EBITDA. Management believes that operating segment EBITDA is an appropriate measure for evaluating the operational performance of our operating segments. EBITDA is used by management internally to measure our operating and management performance and to evaluate the performance of our business. However, this measure should be considered in addition to, not as a substitute for or superior to, (loss) income from operations or other measures of financial performance prepared in accordance with GAAP. See “Non-GAAP Financial Measures” for further information regarding our segment operating results.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Segment Revenues. </w:t>
      </w:r>
      <w:r>
        <w:rPr>
          <w:rFonts w:ascii="Times New Roman" w:cs="Times New Roman" w:eastAsia="Times New Roman" w:hAnsi="Times New Roman"/>
          <w:sz w:val="14"/>
          <w:szCs w:val="14"/>
          <w:color w:val="auto"/>
        </w:rPr>
        <w:t>North America revenues increased $111 million, or 17%, to $769 million and included:</w:t>
      </w:r>
    </w:p>
    <w:p>
      <w:pPr>
        <w:spacing w:after="0" w:line="159"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revenues of $46 million, primarily due to the Matterport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Multifamily revenues of $31 million, primarily due to an increase in the number of properties listed on our network,</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revenues of $15 million, primarily due to increased sales driven by inflation-based price increases on renewals and an increase in subscribers,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Information Services revenues of $9 million, primarily attributable to the Visual Lease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revenues of $7 million, due to an increase in the number of listings, as well as an increase in the average price per listing, and</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Residential revenues of $4 million, primarily due to an increase in the number of Homes.com memberships, partially offset by the discontinuation of certain products that were inconsistent with our long-term business strategy.</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$30 million, or 88%, increase in International revenues was primarily attributable to the Domain Acquisition and an increase in CoStar sales driven by inflation-based price increases on renewals and an increase in subscribers.</w:t>
      </w:r>
    </w:p>
    <w:p>
      <w:pPr>
        <w:spacing w:after="0" w:line="9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Segment EBITDA</w:t>
      </w:r>
      <w:r>
        <w:rPr>
          <w:rFonts w:ascii="Times New Roman" w:cs="Times New Roman" w:eastAsia="Times New Roman" w:hAnsi="Times New Roman"/>
          <w:sz w:val="14"/>
          <w:szCs w:val="14"/>
          <w:color w:val="auto"/>
        </w:rPr>
        <w:t>. North America EBITDA decreased $30 million, or (48)%, to $33 million. The decrease in North America EBITDA was primarily due to increases in personnel costs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and administrative costs, partially offset by increases in revenue. International EBITDA decreased $8 million to a loss of $21 million. The decrease was primarily due to additional transaction costs associated with the Domain Acquisition.</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4" w:name="page55"/>
    <w:bookmarkEnd w:id="54"/>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 Compared to Nine Months Ended September 30, 2024</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provides a comparison of our selected condensed consolidated results of operations for the nine months ended September 30, 2025 and 2024 (in millions):</w:t>
      </w:r>
    </w:p>
    <w:p>
      <w:pPr>
        <w:spacing w:after="0" w:line="134"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0" w:lineRule="exact"/>
        <w:rPr>
          <w:sz w:val="20"/>
          <w:szCs w:val="20"/>
          <w:color w:val="auto"/>
        </w:rPr>
      </w:pPr>
    </w:p>
    <w:tbl>
      <w:tblPr>
        <w:tblLayout w:type="fixed"/>
        <w:tblInd w:w="5960" w:type="dxa"/>
        <w:tblCellMar>
          <w:top w:w="0" w:type="dxa"/>
          <w:left w:w="0" w:type="dxa"/>
          <w:bottom w:w="0" w:type="dxa"/>
          <w:right w:w="0" w:type="dxa"/>
        </w:tblCellMar>
      </w:tblPr>
      <w:tr>
        <w:trPr>
          <w:trHeight w:val="174"/>
        </w:trPr>
        <w:tc>
          <w:tcPr>
            <w:tcW w:w="1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6"/>
        </w:trPr>
        <w:tc>
          <w:tcPr>
            <w:tcW w:w="12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6296660</wp:posOffset>
            </wp:positionH>
            <wp:positionV relativeFrom="paragraph">
              <wp:posOffset>13970</wp:posOffset>
            </wp:positionV>
            <wp:extent cx="8553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5345" cy="698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CoStar</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10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Information Services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Multifamily</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LoopNet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Software development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9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NM - Not meaningful</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-3113405</wp:posOffset>
            </wp:positionV>
            <wp:extent cx="716153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-2844165</wp:posOffset>
            </wp:positionV>
            <wp:extent cx="716153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-2574290</wp:posOffset>
            </wp:positionV>
            <wp:extent cx="716153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-2305050</wp:posOffset>
            </wp:positionV>
            <wp:extent cx="7161530" cy="141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-2028825</wp:posOffset>
            </wp:positionV>
            <wp:extent cx="7161530" cy="141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-1752600</wp:posOffset>
            </wp:positionV>
            <wp:extent cx="7161530" cy="134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-1482725</wp:posOffset>
            </wp:positionV>
            <wp:extent cx="716153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-1213485</wp:posOffset>
            </wp:positionV>
            <wp:extent cx="7161530" cy="141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-930275</wp:posOffset>
            </wp:positionV>
            <wp:extent cx="716153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-661035</wp:posOffset>
            </wp:positionV>
            <wp:extent cx="7161530" cy="141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-384810</wp:posOffset>
            </wp:positionV>
            <wp:extent cx="7161530" cy="154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7 %</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21</w:t>
      </w:r>
    </w:p>
    <w:p>
      <w:pPr>
        <w:spacing w:after="0" w:line="5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11</w:t>
      </w:r>
    </w:p>
    <w:p>
      <w:pPr>
        <w:spacing w:after="0" w:line="5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9</w:t>
      </w:r>
    </w:p>
    <w:p>
      <w:pPr>
        <w:spacing w:after="0" w:line="5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52</w:t>
      </w:r>
    </w:p>
    <w:p>
      <w:pPr>
        <w:spacing w:after="0" w:line="5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110</w:t>
      </w:r>
    </w:p>
    <w:p>
      <w:pPr>
        <w:spacing w:after="0" w:line="62"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16</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18</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15</w:t>
      </w:r>
    </w:p>
    <w:p>
      <w:pPr>
        <w:spacing w:after="0" w:line="26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12</w:t>
      </w:r>
    </w:p>
    <w:p>
      <w:pPr>
        <w:spacing w:after="0" w:line="5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22</w:t>
      </w:r>
    </w:p>
    <w:p>
      <w:pPr>
        <w:spacing w:after="0" w:line="5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34</w:t>
      </w:r>
    </w:p>
    <w:p>
      <w:pPr>
        <w:spacing w:after="0" w:line="5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140</w:t>
      </w:r>
    </w:p>
    <w:p>
      <w:pPr>
        <w:spacing w:after="0" w:line="62"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20</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243</w:t>
      </w:r>
    </w:p>
    <w:p>
      <w:pPr>
        <w:spacing w:after="0" w:line="5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(41)</w:t>
      </w:r>
    </w:p>
    <w:p>
      <w:pPr>
        <w:spacing w:after="0" w:line="5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color w:val="auto"/>
        </w:rPr>
        <w:t>39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(81)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w:t>
      </w:r>
    </w:p>
    <w:p>
      <w:pPr>
        <w:spacing w:after="0" w:line="607" w:lineRule="exact"/>
        <w:rPr>
          <w:sz w:val="20"/>
          <w:szCs w:val="20"/>
          <w:color w:val="auto"/>
        </w:rPr>
      </w:pPr>
    </w:p>
    <w:p>
      <w:pPr>
        <w:sectPr>
          <w:pgSz w:w="11900" w:h="16838" w:orient="portrait"/>
          <w:cols w:equalWidth="0" w:num="2">
            <w:col w:w="9820" w:space="660"/>
            <w:col w:w="780"/>
          </w:cols>
          <w:pgMar w:left="320" w:top="865" w:right="319" w:bottom="1440" w:gutter="0" w:footer="0" w:header="0"/>
          <w:type w:val="continuous"/>
        </w:sectPr>
      </w:pP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Revenues increased $320 million, or 16%, to $2.3 billion. The increase in our revenues included:</w:t>
      </w:r>
    </w:p>
    <w:p>
      <w:pPr>
        <w:spacing w:after="0" w:line="138" w:lineRule="exact"/>
        <w:rPr>
          <w:sz w:val="20"/>
          <w:szCs w:val="20"/>
          <w:color w:val="auto"/>
        </w:rPr>
      </w:pPr>
    </w:p>
    <w:p>
      <w:pPr>
        <w:ind w:left="500" w:hanging="260"/>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Revenues of $104 million, or 110%, due to the Matterport Acquisition,</w:t>
      </w:r>
    </w:p>
    <w:p>
      <w:pPr>
        <w:spacing w:after="0" w:line="136" w:lineRule="exact"/>
        <w:rPr>
          <w:rFonts w:ascii="Times New Roman" w:cs="Times New Roman" w:eastAsia="Times New Roman" w:hAnsi="Times New Roman"/>
          <w:sz w:val="14"/>
          <w:szCs w:val="14"/>
          <w:color w:val="auto"/>
        </w:rPr>
      </w:pPr>
    </w:p>
    <w:p>
      <w:pPr>
        <w:ind w:left="500" w:hanging="260"/>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Multifamily revenues of $87 million, or 11%, due to an increase in the number of properties listed on our network, as well as customers selecting higher-priced ad packages,</w:t>
      </w:r>
    </w:p>
    <w:p>
      <w:pPr>
        <w:spacing w:after="0" w:line="136" w:lineRule="exact"/>
        <w:rPr>
          <w:rFonts w:ascii="Times New Roman" w:cs="Times New Roman" w:eastAsia="Times New Roman" w:hAnsi="Times New Roman"/>
          <w:sz w:val="14"/>
          <w:szCs w:val="14"/>
          <w:color w:val="auto"/>
        </w:rPr>
      </w:pPr>
    </w:p>
    <w:p>
      <w:pPr>
        <w:ind w:left="500" w:hanging="260"/>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revenues of $53 million, or 7%, due to increased sales driven by inflation-based price increases on renewals and an increase in subscribers,</w:t>
      </w:r>
    </w:p>
    <w:p>
      <w:pPr>
        <w:spacing w:after="0" w:line="146" w:lineRule="exact"/>
        <w:rPr>
          <w:rFonts w:ascii="Times New Roman" w:cs="Times New Roman" w:eastAsia="Times New Roman" w:hAnsi="Times New Roman"/>
          <w:sz w:val="14"/>
          <w:szCs w:val="14"/>
          <w:color w:val="auto"/>
        </w:rPr>
      </w:pPr>
    </w:p>
    <w:p>
      <w:pPr>
        <w:ind w:left="500" w:hanging="260"/>
        <w:spacing w:after="0" w:line="271" w:lineRule="auto"/>
        <w:tabs>
          <w:tab w:leader="none" w:pos="4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Residential revenues of $38 million, or 52%, due to the Domain Acquisition and an increase in the number of Homes.com memberships, partially offset by the discontinuation of certain products that were inconsistent with our long-term business strategy,</w:t>
      </w:r>
    </w:p>
    <w:p>
      <w:pPr>
        <w:spacing w:after="0" w:line="92" w:lineRule="exact"/>
        <w:rPr>
          <w:rFonts w:ascii="Times New Roman" w:cs="Times New Roman" w:eastAsia="Times New Roman" w:hAnsi="Times New Roman"/>
          <w:sz w:val="14"/>
          <w:szCs w:val="14"/>
          <w:color w:val="auto"/>
        </w:rPr>
      </w:pPr>
    </w:p>
    <w:p>
      <w:pPr>
        <w:ind w:left="500" w:hanging="260"/>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Information Services revenues of $21 million, or 21%, primarily attributable to the Visual Lease Acquisition, and</w:t>
      </w:r>
    </w:p>
    <w:p>
      <w:pPr>
        <w:spacing w:after="0" w:line="136" w:lineRule="exact"/>
        <w:rPr>
          <w:rFonts w:ascii="Times New Roman" w:cs="Times New Roman" w:eastAsia="Times New Roman" w:hAnsi="Times New Roman"/>
          <w:sz w:val="14"/>
          <w:szCs w:val="14"/>
          <w:color w:val="auto"/>
        </w:rPr>
      </w:pPr>
    </w:p>
    <w:p>
      <w:pPr>
        <w:ind w:left="500" w:hanging="260"/>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revenues of $18 million, or 9%, due to an increase in the number of listings, as well as an increase in the average price per listing.</w:t>
      </w: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143510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type w:val="continuous"/>
        </w:sectPr>
      </w:pPr>
    </w:p>
    <w:bookmarkStart w:id="55" w:name="page56"/>
    <w:bookmarkEnd w:id="55"/>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Revenues</w:t>
      </w:r>
      <w:r>
        <w:rPr>
          <w:rFonts w:ascii="Times New Roman" w:cs="Times New Roman" w:eastAsia="Times New Roman" w:hAnsi="Times New Roman"/>
          <w:sz w:val="14"/>
          <w:szCs w:val="14"/>
          <w:color w:val="auto"/>
        </w:rPr>
        <w:t>. Gross profit increased $245 million, or 15%, to $1,854 million, and the gross profit percentage was consistent at 79%. The increase in gross profit was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revenues, partially offset by an increase in cost of revenues. Cost of revenues increased $76 million, or 18%, to $493 million and, as a percentage of revenues, was consistent at 21%. The increase in cost of revenues included:</w:t>
      </w:r>
    </w:p>
    <w:p>
      <w:pPr>
        <w:spacing w:after="0" w:line="114"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$25 million in amortization expense for the acquired technology and trade name from the Matterport Acquisition and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$19 million in costs related to sales of Matterport capture equipment and services,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$18 million related to additional headcount from the Matterport Acquisition and Domain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$11 million, primarily driven by web hosting costs,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$7 million driven by the increased headcount from the Matterport Acquisition and Domain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Expenses (Excluding Customer Base Amortization)</w:t>
      </w:r>
      <w:r>
        <w:rPr>
          <w:rFonts w:ascii="Times New Roman" w:cs="Times New Roman" w:eastAsia="Times New Roman" w:hAnsi="Times New Roman"/>
          <w:sz w:val="14"/>
          <w:szCs w:val="14"/>
          <w:color w:val="auto"/>
        </w:rPr>
        <w:t>. Selling and marketing expenses increased $126 million, or 12%, to $1,182 million and, as a percentage of revenues,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decreased from 52% to 50%. The increase included:</w:t>
      </w:r>
    </w:p>
    <w:p>
      <w:pPr>
        <w:spacing w:after="0" w:line="10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$93 million, primarily related to sales hiring and the sales force from the Matterport Acquisition and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commissions expense of $32 million related to increased sales force,</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$6 million in depreciation expense driven by increased headcount from the Matterport Acquisition and Domain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 million in third party photography fees driven by the Matterport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 million for conferences and development related to our sales force,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occupancy and equipment costs of $7 million related to our sales force, partially offset by</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expenses of $20 million.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$54 million, or 22% to $297 million and, as a percentage of revenues, increased from 12% to 13%.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90"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$45 million, primarily due to additional headcount from the Matterport and Domain Acquisition, as well as costs for our existing employees,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$5 million driven by the additional headcount.</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$106 million, or 34%, to $420 million and, as a percentage of revenues, increased from 16% to 18%.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primarily included:</w:t>
      </w:r>
    </w:p>
    <w:p>
      <w:pPr>
        <w:spacing w:after="0" w:line="80"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$74 million, primarily related to additional headcount from Matterport and Domain Acquisition, as well as costs for our existing employees,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 fees of $35 million, primarily related to acquisition activities and costs to defend our intellectual property,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$9 million, primarily driven by the Matterport Acquisition, partially offset by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depreciation expense of $11 million, primarily driven by headcount changes.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$44 million, or 140%, to $76 million and, as a percentage of revenues, increased from 2% to 3%.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the Matterport Acquisition, Domain Acquisition, and Visual Lease Acquisition.</w:t>
      </w: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 Net</w:t>
      </w:r>
      <w:r>
        <w:rPr>
          <w:rFonts w:ascii="Times New Roman" w:cs="Times New Roman" w:eastAsia="Times New Roman" w:hAnsi="Times New Roman"/>
          <w:sz w:val="14"/>
          <w:szCs w:val="14"/>
          <w:color w:val="auto"/>
        </w:rPr>
        <w:t>. Interest income, net decreased $68 million, or 41%, to $97 million. The decrease was primarily due to a decrease in our cash equivalents.</w:t>
      </w:r>
    </w:p>
    <w:p>
      <w:pPr>
        <w:spacing w:after="0" w:line="147"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was $7 million for the nine months ended September 30, 2025, a change of $2 million over the nine months ended September 30, 2024. The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 primarily included:</w:t>
      </w:r>
    </w:p>
    <w:p>
      <w:pPr>
        <w:spacing w:after="0" w:line="91"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realized loss of $10.4 million on the deal-contingent forward U.S. dollar to Australian dollar contracts entered into in conjunction with the Domain Transaction,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of $12 million relating to the previously held equity interests in Domain, inclusive of dividend income of $6 million .</w:t>
      </w:r>
    </w:p>
    <w:p>
      <w:pPr>
        <w:spacing w:after="0" w:line="13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Income tax expense decreased $38 million, or 81%, to $9 million and the effective tax rate was (28)% of loss before income taxes for the nine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2025 compared to 37% of income before income taxes for the nine months ended September 30, 2024. The decrease in income tax expense was primarily attributable to lower income before income taxes.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Nine Months Ended September 30, 2025 Compared to Nine Months Ended September 30, 2024</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manage our business geographically in two operating segments, with our primary areas of measurement and decision-making being North America, which includes the U.S. and Canada, and International, which primarily includes Asia-Pacific, Europe, and Latin America. Management relies on an internal management reporting process that provides revenues and operating segment EBITDA.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Segment Revenues</w:t>
      </w:r>
      <w:r>
        <w:rPr>
          <w:rFonts w:ascii="Times New Roman" w:cs="Times New Roman" w:eastAsia="Times New Roman" w:hAnsi="Times New Roman"/>
          <w:sz w:val="14"/>
          <w:szCs w:val="14"/>
          <w:color w:val="auto"/>
        </w:rPr>
        <w:t>. North America revenues increased $285 million, or 15%, to $2.2 billion and included:</w:t>
      </w:r>
    </w:p>
    <w:p>
      <w:pPr>
        <w:spacing w:after="0" w:line="149"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Revenues of $104 million, primarily due to the Matterport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Multifamily revenues of $87 million, primarily due to an increase in the number of properties listed on our network, as well as customers selecting higher-priced ad packages,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revenues of $42 million, primarily due to increased sales driven by inflation-based price increases on renewals and an increase in subscribers,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Information Services revenues of $25 million, primarily attributable to the Visual Lease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revenues of $16 million, due to an increase in the number of listings, as well as an increase in the average price per listing, and</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Residential revenues of $13 million, primarily due to an increase in the number of Homes.com memberships, partially offset by the discontinuation of certain products that were inconsistent with our long-term business strategy.</w:t>
      </w:r>
    </w:p>
    <w:p>
      <w:pPr>
        <w:spacing w:after="0" w:line="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$35 million, or 35%, increase in International revenues was primarily attributable to the Domain Acquisition and an increase in CoStar sales driven by inflation-based price increases on renewals and an increase in subscribers.</w:t>
      </w:r>
    </w:p>
    <w:p>
      <w:pPr>
        <w:spacing w:after="0" w:line="10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Segment EBITDA</w:t>
      </w:r>
      <w:r>
        <w:rPr>
          <w:rFonts w:ascii="Times New Roman" w:cs="Times New Roman" w:eastAsia="Times New Roman" w:hAnsi="Times New Roman"/>
          <w:sz w:val="14"/>
          <w:szCs w:val="14"/>
          <w:color w:val="auto"/>
        </w:rPr>
        <w:t>. North America EBITDA decreased $12 million, or 12%, to $86 million. The decrease in North America EBITDA was primarily due to increases in personnel costs and general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administrative costs described above, offset by increases in revenue. International EBITDA increased $2 million to a loss of $45 million. The increase was primarily due to an increase in revenues, partially offset by transaction costs associated with the Domain Acquisition and an increase in personnel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the balance of cash, cash equivalents, and restricted cash, which was $2.0 billion as of September 30, 2025, along with cash generated by ongoing operations and continued access to capital markets, will be sufficient to satisfy our cash</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requirements over the next 12 months and beyond. Other than the matters discussed below, our cash requirements have not changed materially from what is described in the 2024 Form 10-K.</w:t>
      </w:r>
    </w:p>
    <w:p>
      <w:pPr>
        <w:spacing w:after="0" w:line="1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Construction Commitments</w:t>
      </w:r>
      <w:r>
        <w:rPr>
          <w:rFonts w:ascii="Times New Roman" w:cs="Times New Roman" w:eastAsia="Times New Roman" w:hAnsi="Times New Roman"/>
          <w:sz w:val="14"/>
          <w:szCs w:val="14"/>
          <w:color w:val="auto"/>
        </w:rPr>
        <w:t>. We are expanding our Richmond, Virginia campus, which is expected to result in a material cash requirement in 2025 and 2026. We broke ground on the expansion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November 2022 and expect construction to be substantially completed in the first half of 2026. We have engaged a project manager, architects, and a general contractor on terms that generally require payments as services are provided or construction is performed. As of September 30, 2025, we were obligated to spend an additional $188 million as further work is performed under these contracts. We expect $73 million of these costs to be paid during the remainder of 2025 and intend to fund these expenditures with cash on hand.</w:t>
      </w:r>
    </w:p>
    <w:p>
      <w:pPr>
        <w:spacing w:after="0" w:line="10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spacing w:after="0" w:line="10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 Repurchase Program. </w:t>
      </w:r>
      <w:r>
        <w:rPr>
          <w:rFonts w:ascii="Times New Roman" w:cs="Times New Roman" w:eastAsia="Times New Roman" w:hAnsi="Times New Roman"/>
          <w:sz w:val="14"/>
          <w:szCs w:val="14"/>
          <w:color w:val="auto"/>
        </w:rPr>
        <w:t>In February 2025, our Board of Directors approved the Stock Repurchase Program that authorizes the repurchase of up to $500 million of the CoStar Group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repurchases may be effected through open market repurchases in compliance with Rule 10b-18 under the Exchange Act or through a trading plan adopted in accordance with Rule 10b5-1 under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our discretion.</w:t>
      </w:r>
    </w:p>
    <w:p>
      <w:pPr>
        <w:spacing w:after="0" w:line="1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nine months ended September 30, 2025, we repurchased 1.4 million CoStar Group Shares for an aggregate cost of $115 million. As of September 30, 2025, $385 million remains available for repurchases under the Stock Repurchase Program. We anticipate repurchasing at least $165 million of CoStar Group Shares in 2025.</w:t>
      </w:r>
    </w:p>
    <w:p>
      <w:pPr>
        <w:spacing w:after="0" w:line="9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on Hand. </w:t>
      </w:r>
      <w:r>
        <w:rPr>
          <w:rFonts w:ascii="Times New Roman" w:cs="Times New Roman" w:eastAsia="Times New Roman" w:hAnsi="Times New Roman"/>
          <w:sz w:val="14"/>
          <w:szCs w:val="14"/>
          <w:color w:val="auto"/>
        </w:rPr>
        <w:t>Cash, cash equivalents, and restricted cash decreased to $2.0 billion as of September 30, 2025, compared to cash and cash equivalents of $4.7 billion as of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decrease in cash, cash equivalents, and restricted cash for the nine months ended September 30, 2025 was primarily due to $2.7 billion of net cash used in investing activities and net cash used in financing activities of $162 million partially offset by cash provided by operating activities of $268 million.</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for the nine months ended September 30, 2025 was $268 million compared to $298 million for the nine months ended September 30, 2024. The $30 million decrease in net cash provided by operating activities was primarily driven by a decrease in working capital of $107 million and a decrease in net income partially offset by an increase in non-cash expenses.</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for the nine months ended September 30, 2025 was $2.7 billion compared to $563 million for the nine months ended September 30, 2024, primarily driven by the Matterport and Domain Acquisitions, including the initial purchase of equity securities in Domain, partially offset by proceeds from the sale of investments and a decrease in purchases of property, equipment, and other assets for new campuses.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for the nine months ended September 30, 2025 was $162 million compared to $14 million for the nine months ended September 30, 2024. The increase was primarily driven by repurchases of the Company's outstanding common stock under the Stock Repurchase Program and repurchases of restricted stock to satisfy tax withholding obligations.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8" w:name="page59"/>
    <w:bookmarkEnd w:id="58"/>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goodwill,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an in-depth discussion of each of our significant accounting policies, including the related critical accounting estimates and further information regarding estimates and assumptions involved in their application, see the 2024 Form 10-K and Note 2 of the Notes to Condensed Consolidated Financial Statements included in Part I of this Report. During the nine months ended September 30, 2025, there were no material changes to our critical accounting estimates from those described in the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 of the Notes to Condensed Consolidated Financial Statements included in Part I of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w:t>
      </w:r>
    </w:p>
    <w:p>
      <w:pPr>
        <w:spacing w:after="0" w:line="9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in Item 1A of Part I of our 2024 Form 10-K and “Risk Factors” in Item 1A of Part II of this Report and other unforeseen events or circumstances, could affect our future results and could cause those results or other outcomes to differ materially from those expressed or implied in our forward-looking statements:</w:t>
      </w:r>
    </w:p>
    <w:p>
      <w:pPr>
        <w:spacing w:after="0" w:line="316" w:lineRule="exact"/>
        <w:rPr>
          <w:sz w:val="20"/>
          <w:szCs w:val="20"/>
          <w:color w:val="auto"/>
        </w:rPr>
      </w:pPr>
    </w:p>
    <w:p>
      <w:pPr>
        <w:ind w:left="520" w:hanging="260"/>
        <w:spacing w:after="0" w:line="26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the specific timing, price, and size of repurchases under the Stock Repurchase Program, including that the Stock Repurchase Program may be suspended or discontinued at any time at the Company’s discretion;</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new clients;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develop and introduce new or updated online marketplace services, information, and analytics;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compete successfully against existing or future competitors in attracting advertisers and in general;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fluctuations and market cyclicality;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global economic uncertainties and downturns or a downturn or consolidation in the real estate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hire qualified persons for, or retain and continue to develop, our sales force, or unproductivity of our sales force;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retain and attract highly capable management and operating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downward pressure that our internal and external investments may place on our operating margins;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increase brand awareness;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new advertisers;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identify, finance, integrate, and/or manage costs related to acquisitions;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complete certain strategic transactions if a proposed transaction is subject to review or approval by regulatory authorities pursuant to applicable laws or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realize the benefits of the Matterport Acquisition;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cyberattacks and security vulnerabilities, and technical problems or disruptions;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costs associated with undertaking a large infrastructure project;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generate increased revenues from our current or future geographic expansion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acceptance of credit cards and debit cards and facilitation of other customer payments;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climate-related events and other events beyond our control;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related to attention to climate-related risk and opportunities;</w:t>
      </w: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9" w:name="page60"/>
    <w:bookmarkEnd w:id="59"/>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and maintain accurate, comprehensive, or reliable data;</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and maintain stable data feeds, or disruption of our data feeds;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enforce or defend our ownership and use of intellectual property;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use of new and evolving technologies, including AI, on our ability to protect our data and intellectual property from misappropriation by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defend against potential legal liability for collecting, displaying, or distributing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or retain listings from real estate brokers, agents, property owners, and apartment property managers;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or establish relationships with third-party listing providers;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the rules and compliance requirements of MLSs;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international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foreign currency exchange rate fluctuations;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lowering or withdrawal of the ratings assigned to our debt securities by rating agencies;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actual or perceived failure to comply with privacy or data protection laws, regulations, or standards;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changes in tax laws, regulations, or fiscal and tax policies;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third-party claims, litigation, regulatory proceedings, or government investigations;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return on investment;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third-party suppliers upon which Matterport relies to fulfill its needs;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the ability to integrate Domain and realize the benefits of the Domain Transaction;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open source software.</w:t>
      </w:r>
    </w:p>
    <w:p>
      <w:pPr>
        <w:spacing w:after="0" w:line="13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0" w:name="page61"/>
    <w:bookmarkEnd w:id="60"/>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provide information, analytics, and online marketplace services to real estate and related business communities within the regions where we operate, which primarily include, North America, Asia-Pacific, Europe, and Latin America. The functional currency for a majority of our operations is the local currency, with the exception of certain international locations for which the functional currency is the British Pound or U.S. Dollar.</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Fluctuations in the British Pound, Canadian Dollar, Australian Dollar and Euro may have an impact on our business, results of operations and financial position. For the three and nine months ended September 30, 2025, approximately 9% of our revenues were denominated in foreign currencies. For the three and nine months ended September 30, 2025, our revenues would have decreased by approximately $8 million and $16 million, respectively, if the U.S. dollar exchange rate used strengthened by 10%. For the three and nine months ended September 30, 2025, our revenues would have increased by approximately $8 million and $16 million, respectively if the U.S. dollar exchange rate used weakened by 10%. In addition, we have assets and liabilities denominated in foreign currencies. As of September 30, 2025, accumulated other comprehensive loss included a gain from foreign currency translation adjustments of approximately $57 million.</w:t>
      </w:r>
    </w:p>
    <w:p>
      <w:pPr>
        <w:spacing w:after="0" w:line="11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do not believe we have material exposure to market risks associated with changes in interest rates related to cash equivalent securities held as of September 30, 2025. As of September 30, 2025, we had $2.0 billion of cash, cash equivalents, and restricted cash.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spacing w:after="0" w:line="11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subject to interest rate market risk in connection with our revolving credit facility. On May 20, 2024, we entered into the 2024 Credit Agreement, which provides for variable rate borrowings of up to $1.1 billion.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September 30, 2025. See Note 10 of the Notes to Condensed Consolidated Financial Statements included in Part I of this Report for additional information regarding our 2024 Credit Agreement.</w:t>
      </w:r>
    </w:p>
    <w:p>
      <w:pPr>
        <w:spacing w:after="0" w:line="10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had approximately $6.8 billion of goodwill and intangible assets as of September 30, 2025. As of September 30, 2025,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1" w:name="page62"/>
    <w:bookmarkEnd w:id="61"/>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2025, we carried out an evaluation, under the supervision and with the participation of our management, including our Chief Executive Officer and our Chief Financial Officer, of the effectiveness of the design and operation of our disclosure controls and procedures. Based on this evaluation, our Chief Executive Officer and Chief Financial Officer concluded that our disclosure controls and procedures were effective as of September 30, 2025, and were operating at a reasonable assurance level.</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in the process of integrating the internal controls over financial reporting of recent acquisitions, and these integrations may require certain processes, systems, and other components of internal controls over financial reporting to be evaluated and modified. Consistent with process change that we implement, the design of the internal controls has been and will continue to be evaluated for effectiveness as part of our overall assessment of the effectiveness of our disclosure controls and procedures.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the integration activities associated with recent acquisitions, there have been no changes in our internal control over financial reporting during our most recent fiscal quarter that have materially affected, or are reasonably likely to materially affect our internal control over financial reporting.</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12 of the Notes to Condensed Consolidated Financial Statements included in Part I of this Report for further discussion.</w:t>
      </w:r>
    </w:p>
    <w:p>
      <w:pPr>
        <w:spacing w:after="0" w:line="1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disclosed in Part I, Item 1A, “Risk Factors” in our 2024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Other than the following items there have not been any material changes to the risk factors as previously disclosed in Part I, Item 1A, “Risk Factors” in our 2024 Form 10-K.</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4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If third-party suppliers upon which Matterport relies are not able to fulfill its needs, the ability to timely and cost effectively bring its hardware products to market could be affected. </w:t>
      </w:r>
      <w:r>
        <w:rPr>
          <w:rFonts w:ascii="Times New Roman" w:cs="Times New Roman" w:eastAsia="Times New Roman" w:hAnsi="Times New Roman"/>
          <w:sz w:val="14"/>
          <w:szCs w:val="14"/>
          <w:color w:val="auto"/>
        </w:rPr>
        <w:t>Matterport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relies on a limited number of suppliers to supply its hardware components for its cameras and other hardware products, including in some cases only a single supplier for some products and components. This reliance on a limited number of manufacturers increases its risks, since Matterport does not currently have proven reliable alternative or replacement manufacturers beyond these key parties. In the event of interruption, we may not be able to increase capacity from other sources or develop alternate or secondary sources, and if such sources become available, they may result in material additional costs and substantial delays.</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Unexpected changes in business conditions, materials pricing, labor issues, wars, trade policies, natural disasters, health epidemics, trade and shipping disruptions, port congestions, and other factors beyond our or our suppliers’ control could also affect these suppliers’ ability to deliver components to us or to remain solvent and operational. Such disruptions could adversely affect our business if we are not able to meet customer demands. In addition, some of our suppliers are located in China. Our access to suppliers in China may be limited or impaired as a result of tariffs, including those that have been recently introduced by the current U.S. administration, or other government restrictions in response to geopolitical factors. There is no guarantee we may be able to continually use alternative suppliers and alternative parts as we scale production to meet our growth targets. Additionally, if our suppliers do not accurately forecast and effectively allocate production or if they are not willing to allocate sufficient production to us, it may reduce our access to components and require us to search for new suppliers. The unavailability of any component or supplier could result in production delays, idle manufacturing facilities, product design changes, and loss of access to important technology and tools for producing and supporting our products, as well as impact our capacity expansion and our ability to fulfill our obligations under customer contracts. Moreover, new product launches or product design changes by us have required, and may in the future require, us to procure additional components in a short amount of time. Our suppliers may not be willing or able to sustainably meet our timelines or our cost, quality, and volume needs, or to do so may cost us more, which may require us to replace them with other sources.</w:t>
      </w:r>
    </w:p>
    <w:p>
      <w:pPr>
        <w:spacing w:after="0" w:line="11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If we face supply constraints for any of the reasons described above, it may not be possible to obtain or increase supplies on acceptable terms, which may undermine our ability to satisfy customer demands in a timely manner. For example, it may take a significant amount of time to identify a manufacturer that has the capability and resources to build and supply necessary hardware components in sufficient volume. Identifying suitable suppliers can be an extensive process that requires us to become satisfied with our suppliers’ quality control, technical capabilities, responsiveness and service, financial stability, regulatory compliance, and labor and other ethical practices. Accordingly, a loss of any significant suppliers or manufacturers would have an adverse effect on our business, financial condition, and operating results.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We may be unable to realize the benefits of the Domain Transaction, which could have an adverse effect on us.</w:t>
      </w:r>
    </w:p>
    <w:p>
      <w:pPr>
        <w:spacing w:after="0" w:line="20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May 9, 2025, we announced that we entered into the binding Domain SID to acquire 100% of the issued capital of Domain not previously acquired by CoStar Group by way of Scheme of Arrangement. We previously acquired 17% of Domain's ordinary shares in February 2025. On August 27, 2025, we acquired the remaining approximately 83% of Domain's ordinary shares not previously acquired by CoStar Group by way of Scheme of Arrangement at $4.43 AUD per Domain ordinary share, less $0.088 AUD per share paid as a special dividend declared and paid by Domain on August 19, 2025</w:t>
      </w: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3" w:name="page64"/>
    <w:bookmarkEnd w:id="63"/>
    <w:p>
      <w:pPr>
        <w:ind w:firstLine="255"/>
        <w:spacing w:after="0" w:line="287" w:lineRule="auto"/>
        <w:rPr>
          <w:sz w:val="20"/>
          <w:szCs w:val="20"/>
          <w:color w:val="auto"/>
        </w:rPr>
      </w:pPr>
      <w:r>
        <w:rPr>
          <w:rFonts w:ascii="Times New Roman" w:cs="Times New Roman" w:eastAsia="Times New Roman" w:hAnsi="Times New Roman"/>
          <w:sz w:val="14"/>
          <w:szCs w:val="14"/>
          <w:color w:val="auto"/>
        </w:rPr>
        <w:t>Following the acquisition, it is possible that there could be a loss of key employees, higher than expected costs, diversion of management attention, or the disruption of our ongoing businesses, which may adversely affect the combined company’s ability to maintain relationships with customers, suppliers, and employees or to achieve the anticipated benefits of the Domain Transaction.</w:t>
      </w:r>
    </w:p>
    <w:p>
      <w:pPr>
        <w:spacing w:after="0" w:line="135" w:lineRule="exact"/>
        <w:rPr>
          <w:sz w:val="20"/>
          <w:szCs w:val="20"/>
          <w:color w:val="auto"/>
        </w:rPr>
      </w:pPr>
    </w:p>
    <w:p>
      <w:pPr>
        <w:jc w:val="both"/>
        <w:ind w:firstLine="260"/>
        <w:spacing w:after="0" w:line="590" w:lineRule="auto"/>
        <w:tabs>
          <w:tab w:leader="none" w:pos="323"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incurred, and we will continue to incur, transaction fees, including legal, regulatory, and other costs associated with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spacing w:after="0" w:line="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The success of the Domain Transaction will depend in part on our ability to realize the anticipated business opportunities and growth prospects from combining our business with that of Domain. We may never realize these business opportunities and growth prospects. Integrating operations will require significant efforts and expenditures. If we are unable to successfully or timely integrate Domain’s business with ours, we may be unable to realize the growth, synergies, and other anticipated benefits resulting from the Domain Transaction and our business could be adversely affected.</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our data, intellectual property, and listings</w:t>
      </w:r>
    </w:p>
    <w:p>
      <w:pPr>
        <w:spacing w:after="0" w:line="15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Some of our products or services contain third-party open source software components, and failure to comply with the terms of the underlying open source software licenses could restrict our ability to deliver our products or services or subject us to litigation or other action</w:t>
      </w:r>
      <w:r>
        <w:rPr>
          <w:rFonts w:ascii="Times New Roman" w:cs="Times New Roman" w:eastAsia="Times New Roman" w:hAnsi="Times New Roman"/>
          <w:sz w:val="14"/>
          <w:szCs w:val="14"/>
          <w:b w:val="1"/>
          <w:bCs w:val="1"/>
          <w:i w:val="1"/>
          <w:iCs w:val="1"/>
          <w:color w:val="auto"/>
        </w:rPr>
        <w: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Some of our products or services contain software modules licensed to us by third-party authors under “open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source” licenses, and we expect to continue to incorporate such open source software in our products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these products.</w:t>
      </w:r>
    </w:p>
    <w:p>
      <w:pPr>
        <w:spacing w:after="0" w:line="11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For example, our Matterport platform incorporates software that is licensed under open source licenses, which could require release of proprietary code if such platform was released or distributed in any manner that would trigger such a requirement to third parties. Additionally, some open source projects have vulnerabilities and architectural instabilities and are provided without warranties or support services to actively provide us with patched versions when available, and which, if not properly addressed, could negatively affect the performance of the platform.</w:t>
      </w:r>
    </w:p>
    <w:p>
      <w:pPr>
        <w:spacing w:after="0" w:line="11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terms of many open source licenses have not been interpreted by U.S. or foreign courts, and there is a risk that these licenses could be construed in a way that could impose unanticipated conditions or restrictions on our ability to provide or distribute our products or services. From time to time, there have been claims challenging the ownership of open source software against companies that incorporate open source software into their products or services, and the licensors of such open source software provide no warranties or indemnities with respect to such claims. As a result, we could be subject to lawsuits by parties claiming ownership of what we believe to be open source software. Moreover, we cannot assure you that our processes for monitoring and managing our use of open source software in our products and services will be effective.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sale of subscriptions to certain products or services, or other liability, or could be required to seek costly licenses from third parties to continue providing our products or services on terms that, if available at all, are not economically feasible, to re-engineer our products or services, to discontinue or delay the provision of our products or services if re-engineering could not be accomplished on a timely basis, or to make generally available, in source code form, our proprietary code, any of which would adversely affect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4560" w:type="dxa"/>
            <w:vAlign w:val="bottom"/>
            <w:gridSpan w:val="3"/>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560" w:type="dxa"/>
            <w:vAlign w:val="bottom"/>
            <w:gridSpan w:val="10"/>
          </w:tcPr>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our repurchases of common stock during each of the three months ended September 30, 2025: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4"/>
                <w:szCs w:val="14"/>
                <w:b w:val="1"/>
                <w:bCs w:val="1"/>
                <w:color w:val="auto"/>
              </w:rPr>
              <w:t>Purchased Under the Program</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8"/>
        </w:trPr>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through 31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273,326</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0" w:type="dxa"/>
            <w:vAlign w:val="bottom"/>
          </w:tcPr>
          <w:p>
            <w:pPr>
              <w:spacing w:after="0"/>
              <w:rPr>
                <w:sz w:val="1"/>
                <w:szCs w:val="1"/>
                <w:color w:val="auto"/>
              </w:rPr>
            </w:pPr>
          </w:p>
        </w:tc>
      </w:tr>
      <w:tr>
        <w:trPr>
          <w:trHeight w:val="191"/>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August 1 through 31</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258,305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0" w:type="dxa"/>
            <w:vAlign w:val="bottom"/>
          </w:tcPr>
          <w:p>
            <w:pPr>
              <w:spacing w:after="0"/>
              <w:rPr>
                <w:sz w:val="1"/>
                <w:szCs w:val="1"/>
                <w:color w:val="auto"/>
              </w:rPr>
            </w:pPr>
          </w:p>
        </w:tc>
      </w:tr>
      <w:tr>
        <w:trPr>
          <w:trHeight w:val="22"/>
        </w:trPr>
        <w:tc>
          <w:tcPr>
            <w:tcW w:w="3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through 30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0" w:type="dxa"/>
            <w:vAlign w:val="bottom"/>
          </w:tcPr>
          <w:p>
            <w:pPr>
              <w:spacing w:after="0"/>
              <w:rPr>
                <w:sz w:val="1"/>
                <w:szCs w:val="1"/>
                <w:color w:val="auto"/>
              </w:rPr>
            </w:pPr>
          </w:p>
        </w:tc>
      </w:tr>
      <w:tr>
        <w:trPr>
          <w:trHeight w:val="202"/>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592,401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576,375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120" w:type="dxa"/>
            <w:vAlign w:val="bottom"/>
            <w:vMerge w:val="restart"/>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3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5"/>
        <w:spacing w:after="0" w:line="270" w:lineRule="auto"/>
        <w:tabs>
          <w:tab w:leader="none" w:pos="117" w:val="left"/>
        </w:tabs>
        <w:numPr>
          <w:ilvl w:val="0"/>
          <w:numId w:val="4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number includes CoStar Group shares tendered by employees to the Company to satisfy the employees' minimum tax withholding obligations arising as a result of vesting of restricted stock grants under the Company’s 2025 Stock Incentive Plan, for which shares were purchased by the Company based on their fair market value on the trading day immediately preceding the vesting date.</w:t>
      </w:r>
    </w:p>
    <w:p>
      <w:pPr>
        <w:ind w:firstLine="5"/>
        <w:spacing w:after="0" w:line="329" w:lineRule="auto"/>
        <w:tabs>
          <w:tab w:leader="none" w:pos="104" w:val="left"/>
        </w:tabs>
        <w:numPr>
          <w:ilvl w:val="0"/>
          <w:numId w:val="4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 February 2025, the Board of Directors approved the Stock Repurchase Program that authorizes the repurchase up to $500 million of outstanding CoStar Group Shares, with no expiration date. During the third quarter of 2025, the Company repurc</w:t>
      </w:r>
      <w:r>
        <w:rPr>
          <w:rFonts w:ascii="Times New Roman" w:cs="Times New Roman" w:eastAsia="Times New Roman" w:hAnsi="Times New Roman"/>
          <w:sz w:val="10"/>
          <w:szCs w:val="10"/>
          <w:color w:val="auto"/>
        </w:rPr>
        <w:t>hased</w:t>
      </w:r>
      <w:r>
        <w:rPr>
          <w:rFonts w:ascii="Times New Roman" w:cs="Times New Roman" w:eastAsia="Times New Roman" w:hAnsi="Times New Roman"/>
          <w:sz w:val="9"/>
          <w:szCs w:val="9"/>
          <w:color w:val="auto"/>
        </w:rPr>
        <w:t xml:space="preserve"> 576,375 </w:t>
      </w:r>
      <w:r>
        <w:rPr>
          <w:rFonts w:ascii="Times New Roman" w:cs="Times New Roman" w:eastAsia="Times New Roman" w:hAnsi="Times New Roman"/>
          <w:sz w:val="10"/>
          <w:szCs w:val="10"/>
          <w:color w:val="auto"/>
        </w:rPr>
        <w:t>C</w:t>
      </w:r>
      <w:r>
        <w:rPr>
          <w:rFonts w:ascii="Times New Roman" w:cs="Times New Roman" w:eastAsia="Times New Roman" w:hAnsi="Times New Roman"/>
          <w:sz w:val="9"/>
          <w:szCs w:val="9"/>
          <w:color w:val="auto"/>
        </w:rPr>
        <w:t>oStar Group Shares for an aggregate cost of $51.2 million. See Note 14 for further discussion regarding the Stock Repurchase Program and stock repurchase activity.</w:t>
      </w:r>
    </w:p>
    <w:p>
      <w:pPr>
        <w:spacing w:after="0" w:line="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38"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During the three months ended September 30, 2025, no director or officer of the Company adopted or terminated a “Rule 10b5-1 trading arrangement” or “non-Rule 10b5-1 trading arrangement,” as each term is defined in Item 408 of Regulation S-K.</w:t>
      </w:r>
    </w:p>
    <w:p>
      <w:pPr>
        <w:spacing w:after="0" w:line="2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Item 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9920" w:type="dxa"/>
            <w:vAlign w:val="bottom"/>
          </w:tcPr>
          <w:p>
            <w:pPr>
              <w:spacing w:after="0"/>
              <w:rPr>
                <w:sz w:val="16"/>
                <w:szCs w:val="16"/>
                <w:color w:val="auto"/>
              </w:rPr>
            </w:pPr>
          </w:p>
        </w:tc>
      </w:tr>
      <w:tr>
        <w:trPr>
          <w:trHeight w:val="170"/>
        </w:trPr>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14"/>
                <w:szCs w:val="14"/>
                <w:color w:val="auto"/>
              </w:rPr>
            </w:pPr>
          </w:p>
        </w:tc>
        <w:tc>
          <w:tcPr>
            <w:tcW w:w="9920" w:type="dxa"/>
            <w:vAlign w:val="bottom"/>
            <w:tcBorders>
              <w:bottom w:val="single" w:sz="8" w:color="auto"/>
            </w:tcBorders>
          </w:tcPr>
          <w:p>
            <w:pPr>
              <w:spacing w:after="0"/>
              <w:rPr>
                <w:sz w:val="14"/>
                <w:szCs w:val="14"/>
                <w:color w:val="auto"/>
              </w:rPr>
            </w:pPr>
          </w:p>
        </w:tc>
      </w:tr>
      <w:tr>
        <w:trPr>
          <w:trHeight w:val="181"/>
        </w:trPr>
        <w:tc>
          <w:tcPr>
            <w:tcW w:w="128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Exhibit No.</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Borders>
              <w:bottom w:val="single" w:sz="8" w:color="auto"/>
            </w:tcBorders>
          </w:tcPr>
          <w:p>
            <w:pPr>
              <w:spacing w:after="0" w:line="20" w:lineRule="exact"/>
              <w:rPr>
                <w:sz w:val="1"/>
                <w:szCs w:val="1"/>
                <w:color w:val="auto"/>
              </w:rPr>
            </w:pPr>
          </w:p>
        </w:tc>
      </w:tr>
      <w:tr>
        <w:trPr>
          <w:trHeight w:val="351"/>
        </w:trPr>
        <w:tc>
          <w:tcPr>
            <w:tcW w:w="440" w:type="dxa"/>
            <w:vAlign w:val="bottom"/>
          </w:tcPr>
          <w:p>
            <w:pPr>
              <w:spacing w:after="0"/>
              <w:rPr>
                <w:sz w:val="24"/>
                <w:szCs w:val="24"/>
                <w:color w:val="auto"/>
              </w:rPr>
            </w:pPr>
          </w:p>
        </w:tc>
        <w:tc>
          <w:tcPr>
            <w:tcW w:w="240" w:type="dxa"/>
            <w:vAlign w:val="bottom"/>
            <w:gridSpan w:val="3"/>
          </w:tcPr>
          <w:p>
            <w:pPr>
              <w:jc w:val="center"/>
              <w:ind w:left="9"/>
              <w:spacing w:after="0"/>
              <w:rPr>
                <w:rFonts w:ascii="Times New Roman" w:cs="Times New Roman" w:eastAsia="Times New Roman" w:hAnsi="Times New Roman"/>
                <w:sz w:val="14"/>
                <w:szCs w:val="14"/>
                <w:color w:val="0000FF"/>
                <w:w w:val="91"/>
              </w:rPr>
            </w:pPr>
            <w:hyperlink r:id="rId101">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Amended and Restated Certificate of Incorporation (Incorporated by reference to Exhibit 3.1 to the Registrant's Current Report on Form 8-K filed with the SEC on</w:t>
            </w:r>
          </w:p>
        </w:tc>
      </w:tr>
      <w:tr>
        <w:trPr>
          <w:trHeight w:val="181"/>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7, 2021).</w:t>
            </w:r>
          </w:p>
        </w:tc>
      </w:tr>
      <w:tr>
        <w:trPr>
          <w:trHeight w:val="181"/>
        </w:trPr>
        <w:tc>
          <w:tcPr>
            <w:tcW w:w="440" w:type="dxa"/>
            <w:vAlign w:val="bottom"/>
          </w:tcPr>
          <w:p>
            <w:pPr>
              <w:spacing w:after="0"/>
              <w:rPr>
                <w:sz w:val="15"/>
                <w:szCs w:val="15"/>
                <w:color w:val="auto"/>
              </w:rPr>
            </w:pPr>
          </w:p>
        </w:tc>
        <w:tc>
          <w:tcPr>
            <w:tcW w:w="240" w:type="dxa"/>
            <w:vAlign w:val="bottom"/>
            <w:gridSpan w:val="3"/>
          </w:tcPr>
          <w:p>
            <w:pPr>
              <w:jc w:val="center"/>
              <w:ind w:left="9"/>
              <w:spacing w:after="0"/>
              <w:rPr>
                <w:rFonts w:ascii="Times New Roman" w:cs="Times New Roman" w:eastAsia="Times New Roman" w:hAnsi="Times New Roman"/>
                <w:sz w:val="14"/>
                <w:szCs w:val="14"/>
                <w:color w:val="0000FF"/>
                <w:w w:val="91"/>
              </w:rPr>
            </w:pPr>
            <w:hyperlink r:id="rId10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Amended and Restated By-Laws (Incorporated by reference to Exhibit 3.1 to the Registrant's Current Report on Form 8-K filed with the SEC on May 9, 2022).</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760" w:type="dxa"/>
            <w:vAlign w:val="bottom"/>
            <w:gridSpan w:val="6"/>
          </w:tcPr>
          <w:p>
            <w:pPr>
              <w:jc w:val="center"/>
              <w:ind w:right="36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03">
              <w:r>
                <w:rPr>
                  <w:rFonts w:ascii="Times New Roman" w:cs="Times New Roman" w:eastAsia="Times New Roman" w:hAnsi="Times New Roman"/>
                  <w:sz w:val="14"/>
                  <w:szCs w:val="14"/>
                  <w:color w:val="0000FF"/>
                </w:rPr>
                <w:t>10.1</w:t>
              </w:r>
            </w:hyperlink>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 2025 Stock Incentive Plan (Incorporated by reference to Appendix B to Registrant’s Definitive Proxy Statement on Schedule 14A filed with the SEC on</w:t>
            </w:r>
          </w:p>
        </w:tc>
      </w:tr>
      <w:tr>
        <w:trPr>
          <w:trHeight w:val="181"/>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30, 2025, File No. 000-24531).</w:t>
            </w:r>
          </w:p>
        </w:tc>
      </w:tr>
      <w:tr>
        <w:trPr>
          <w:trHeight w:val="181"/>
        </w:trPr>
        <w:tc>
          <w:tcPr>
            <w:tcW w:w="440" w:type="dxa"/>
            <w:vAlign w:val="bottom"/>
          </w:tcPr>
          <w:p>
            <w:pPr>
              <w:spacing w:after="0"/>
              <w:rPr>
                <w:sz w:val="15"/>
                <w:szCs w:val="15"/>
                <w:color w:val="auto"/>
              </w:rPr>
            </w:pPr>
          </w:p>
        </w:tc>
        <w:tc>
          <w:tcPr>
            <w:tcW w:w="760" w:type="dxa"/>
            <w:vAlign w:val="bottom"/>
            <w:gridSpan w:val="6"/>
          </w:tcPr>
          <w:p>
            <w:pPr>
              <w:jc w:val="center"/>
              <w:ind w:right="369"/>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CoStar Group, Inc. 2025 Stock Incentive Plan Restricted Stock Grant Agreement between the Registrant and certain of its officers, directors and employees (filed</w:t>
            </w:r>
          </w:p>
        </w:tc>
      </w:tr>
      <w:tr>
        <w:trPr>
          <w:trHeight w:val="181"/>
        </w:trPr>
        <w:tc>
          <w:tcPr>
            <w:tcW w:w="4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herewith).</w:t>
            </w:r>
          </w:p>
        </w:tc>
      </w:tr>
      <w:tr>
        <w:trPr>
          <w:trHeight w:val="372"/>
        </w:trPr>
        <w:tc>
          <w:tcPr>
            <w:tcW w:w="440" w:type="dxa"/>
            <w:vAlign w:val="bottom"/>
          </w:tcPr>
          <w:p>
            <w:pPr>
              <w:spacing w:after="0"/>
              <w:rPr>
                <w:sz w:val="24"/>
                <w:szCs w:val="24"/>
                <w:color w:val="auto"/>
              </w:rPr>
            </w:pPr>
          </w:p>
        </w:tc>
        <w:tc>
          <w:tcPr>
            <w:tcW w:w="760" w:type="dxa"/>
            <w:vAlign w:val="bottom"/>
            <w:gridSpan w:val="6"/>
          </w:tcPr>
          <w:p>
            <w:pPr>
              <w:jc w:val="center"/>
              <w:ind w:right="369"/>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p>
        </w:tc>
        <w:tc>
          <w:tcPr>
            <w:tcW w:w="8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CoStar Group, Inc. 2025 Stock Incentive Plan Restricted Stock Unit Grant Agreement between the Registrant and certain of its officers, directors and employees</w:t>
            </w:r>
          </w:p>
        </w:tc>
      </w:tr>
      <w:tr>
        <w:trPr>
          <w:trHeight w:val="181"/>
        </w:trPr>
        <w:tc>
          <w:tcPr>
            <w:tcW w:w="4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72"/>
        </w:trPr>
        <w:tc>
          <w:tcPr>
            <w:tcW w:w="440" w:type="dxa"/>
            <w:vAlign w:val="bottom"/>
          </w:tcPr>
          <w:p>
            <w:pPr>
              <w:spacing w:after="0"/>
              <w:rPr>
                <w:sz w:val="24"/>
                <w:szCs w:val="24"/>
                <w:color w:val="auto"/>
              </w:rPr>
            </w:pPr>
          </w:p>
        </w:tc>
        <w:tc>
          <w:tcPr>
            <w:tcW w:w="760" w:type="dxa"/>
            <w:vAlign w:val="bottom"/>
            <w:gridSpan w:val="6"/>
          </w:tcPr>
          <w:p>
            <w:pPr>
              <w:jc w:val="center"/>
              <w:ind w:right="369"/>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p>
        </w:tc>
        <w:tc>
          <w:tcPr>
            <w:tcW w:w="8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CoStar Group, Inc. 2025 Stock Incentive Plan Restricted Stock Grant Agreement for Service Awards between the Registrant and certain of its officers, directors and</w:t>
            </w:r>
          </w:p>
        </w:tc>
      </w:tr>
      <w:tr>
        <w:trPr>
          <w:trHeight w:val="181"/>
        </w:trPr>
        <w:tc>
          <w:tcPr>
            <w:tcW w:w="4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employees (filed herewith).</w:t>
            </w:r>
          </w:p>
        </w:tc>
      </w:tr>
      <w:tr>
        <w:trPr>
          <w:trHeight w:val="372"/>
        </w:trPr>
        <w:tc>
          <w:tcPr>
            <w:tcW w:w="440" w:type="dxa"/>
            <w:vAlign w:val="bottom"/>
          </w:tcPr>
          <w:p>
            <w:pPr>
              <w:spacing w:after="0"/>
              <w:rPr>
                <w:sz w:val="24"/>
                <w:szCs w:val="24"/>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Section 302 of the Sarbanes-Oxley Act of 2002 (filed herewith).</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 Act of 2002 (filed herewith).</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1</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 1350, as adopted pursuant to Section 906 of the Sarbanes-Oxley Act of 2002 (furnished herewith).</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2</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 1350, as adopted pursuant to Section 906 of the Sarbanes-Oxley Act of 2002 (furnished herewith).</w:t>
            </w:r>
          </w:p>
        </w:tc>
      </w:tr>
      <w:tr>
        <w:trPr>
          <w:trHeight w:val="20"/>
        </w:trPr>
        <w:tc>
          <w:tcPr>
            <w:tcW w:w="48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9"/>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following financial statements from the Company’s Quarterly Report on Form 10-Q for the quarterly period ended September 30, 2025, formatted in Inline XBRL: (i)</w:t>
            </w:r>
          </w:p>
        </w:tc>
      </w:tr>
      <w:tr>
        <w:trPr>
          <w:trHeight w:val="170"/>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Condensed Consolidated Statements of Operations; (ii) Condensed Consolidated Statements of Comprehensive Income; (iii) Condensed Consolidated Balance Sheets; (iv)</w:t>
            </w:r>
          </w:p>
        </w:tc>
      </w:tr>
      <w:tr>
        <w:trPr>
          <w:trHeight w:val="170"/>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Condensed Consolidated Statements of Changes in Stockholders’ Equity; (v) Condensed Consolidated Statements of Cash Flows; and (vi) Notes to Condensed Consolidated</w:t>
            </w:r>
          </w:p>
        </w:tc>
      </w:tr>
      <w:tr>
        <w:trPr>
          <w:trHeight w:val="184"/>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Statements, tagged as blocks of text and including detailed tags.</w:t>
            </w:r>
          </w:p>
        </w:tc>
      </w:tr>
      <w:tr>
        <w:trPr>
          <w:trHeight w:val="212"/>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12"/>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12"/>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12"/>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12"/>
        </w:trPr>
        <w:tc>
          <w:tcPr>
            <w:tcW w:w="128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firstLine="493"/>
        <w:spacing w:after="0" w:line="231" w:lineRule="auto"/>
        <w:tabs>
          <w:tab w:leader="none" w:pos="129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cover page from the Registrant's Quarterly Report on Form 10-Q for the quarterly period ended September 30, 2025, formatted in Inline XBRL (included as Exhibit 101).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Management Contract or Compensatory Plan or Arrangement.</w:t>
      </w:r>
    </w:p>
    <w:p>
      <w:pPr>
        <w:spacing w:after="0" w:line="2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5" w:right="339" w:bottom="1440" w:gutter="0" w:footer="0" w:header="0"/>
        </w:sectPr>
      </w:pPr>
    </w:p>
    <w:bookmarkStart w:id="66" w:name="page67"/>
    <w:bookmarkEnd w:id="66"/>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02" w:lineRule="exact"/>
        <w:rPr>
          <w:sz w:val="20"/>
          <w:szCs w:val="20"/>
          <w:color w:val="auto"/>
        </w:rPr>
      </w:pPr>
    </w:p>
    <w:p>
      <w:pPr>
        <w:ind w:left="600"/>
        <w:spacing w:after="0"/>
        <w:tabs>
          <w:tab w:leader="none" w:pos="5740" w:val="left"/>
          <w:tab w:leader="none" w:pos="6300" w:val="left"/>
        </w:tabs>
        <w:rPr>
          <w:sz w:val="20"/>
          <w:szCs w:val="20"/>
          <w:color w:val="auto"/>
        </w:rPr>
      </w:pPr>
      <w:r>
        <w:rPr>
          <w:rFonts w:ascii="Times New Roman" w:cs="Times New Roman" w:eastAsia="Times New Roman" w:hAnsi="Times New Roman"/>
          <w:sz w:val="14"/>
          <w:szCs w:val="14"/>
          <w:color w:val="auto"/>
        </w:rPr>
        <w:t>Date: October 29,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Christian M. Lown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-4445</wp:posOffset>
            </wp:positionV>
            <wp:extent cx="9055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905510" cy="6985"/>
                    </a:xfrm>
                    <a:prstGeom prst="rect">
                      <a:avLst/>
                    </a:prstGeom>
                    <a:noFill/>
                  </pic:spPr>
                </pic:pic>
              </a:graphicData>
            </a:graphic>
          </wp:anchor>
        </w:drawing>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Christian M. Lown</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pacing w:after="0" w:line="3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320"/>
          </w:cols>
          <w:pgMar w:left="600" w:top="865" w:right="979" w:bottom="1440"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C. Florance, certify that:</w:t>
      </w:r>
    </w:p>
    <w:p>
      <w:pPr>
        <w:spacing w:after="0" w:line="94"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CoStar Group, Inc.;</w:t>
      </w:r>
    </w:p>
    <w:p>
      <w:pPr>
        <w:spacing w:after="0" w:line="93"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2180"/>
        <w:spacing w:after="0"/>
        <w:tabs>
          <w:tab w:leader="none" w:pos="4560" w:val="left"/>
        </w:tabs>
        <w:rPr>
          <w:sz w:val="20"/>
          <w:szCs w:val="20"/>
          <w:color w:val="auto"/>
        </w:rPr>
      </w:pPr>
      <w:r>
        <w:rPr>
          <w:rFonts w:ascii="Times New Roman" w:cs="Times New Roman" w:eastAsia="Times New Roman" w:hAnsi="Times New Roman"/>
          <w:sz w:val="14"/>
          <w:szCs w:val="14"/>
          <w:color w:val="auto"/>
        </w:rPr>
        <w:t>Date: October 29, 2025</w:t>
      </w:r>
      <w:r>
        <w:rPr>
          <w:sz w:val="20"/>
          <w:szCs w:val="20"/>
          <w:color w:val="auto"/>
        </w:rPr>
        <w:tab/>
      </w:r>
      <w:r>
        <w:rPr>
          <w:rFonts w:ascii="Times New Roman" w:cs="Times New Roman" w:eastAsia="Times New Roman" w:hAnsi="Times New Roman"/>
          <w:sz w:val="14"/>
          <w:szCs w:val="14"/>
          <w:color w:val="auto"/>
        </w:rPr>
        <w:t>By: /s/ Andrew C. Florance</w:t>
      </w: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Andrew C. Florance</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(Principal Executive Officer and Duly Authorized Officer)</w:t>
      </w:r>
    </w:p>
    <w:p>
      <w:pPr>
        <w:sectPr>
          <w:pgSz w:w="11900" w:h="16838" w:orient="portrait"/>
          <w:cols w:equalWidth="0" w:num="1">
            <w:col w:w="11280"/>
          </w:cols>
          <w:pgMar w:left="300" w:top="727"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Christian M. Lown, certify that:</w:t>
      </w:r>
    </w:p>
    <w:p>
      <w:pPr>
        <w:spacing w:after="0" w:line="94"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CoStar Group, Inc.;</w:t>
      </w:r>
    </w:p>
    <w:p>
      <w:pPr>
        <w:spacing w:after="0" w:line="93"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2180"/>
        <w:spacing w:after="0"/>
        <w:tabs>
          <w:tab w:leader="none" w:pos="4560" w:val="left"/>
        </w:tabs>
        <w:rPr>
          <w:sz w:val="20"/>
          <w:szCs w:val="20"/>
          <w:color w:val="auto"/>
        </w:rPr>
      </w:pPr>
      <w:r>
        <w:rPr>
          <w:rFonts w:ascii="Times New Roman" w:cs="Times New Roman" w:eastAsia="Times New Roman" w:hAnsi="Times New Roman"/>
          <w:sz w:val="14"/>
          <w:szCs w:val="14"/>
          <w:color w:val="auto"/>
        </w:rPr>
        <w:t>Date: October 29, 2025</w:t>
      </w:r>
      <w:r>
        <w:rPr>
          <w:sz w:val="20"/>
          <w:szCs w:val="20"/>
          <w:color w:val="auto"/>
        </w:rPr>
        <w:tab/>
      </w:r>
      <w:r>
        <w:rPr>
          <w:rFonts w:ascii="Times New Roman" w:cs="Times New Roman" w:eastAsia="Times New Roman" w:hAnsi="Times New Roman"/>
          <w:sz w:val="14"/>
          <w:szCs w:val="14"/>
          <w:color w:val="auto"/>
        </w:rPr>
        <w:t>By: /s/ Christian M. Lown</w:t>
      </w: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Christian M. Lown</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ectPr>
          <w:pgSz w:w="11900" w:h="16838" w:orient="portrait"/>
          <w:cols w:equalWidth="0" w:num="1">
            <w:col w:w="11280"/>
          </w:cols>
          <w:pgMar w:left="300" w:top="727"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1331 L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20005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29, 2025</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Certification Of Principal Executive Officer Pursuant To 18 U.S.C. Sec. 1350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Ladies and Gentlemen:</w:t>
      </w:r>
    </w:p>
    <w:p>
      <w:pPr>
        <w:spacing w:after="0" w:line="200"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CoStar Group, Inc., for the quarter ended September 30, 2025, I, Andrew C. Florance, Chief Executive Officer of CoStar Group, Inc., hereby certify pursuant to 18 U.S.C. Section 1350, as adopted pursuant to Section 906 of the Sarbanes-Oxley Act of 2002, that:</w:t>
      </w:r>
    </w:p>
    <w:p>
      <w:pPr>
        <w:spacing w:after="0" w:line="145" w:lineRule="exact"/>
        <w:rPr>
          <w:sz w:val="20"/>
          <w:szCs w:val="20"/>
          <w:color w:val="auto"/>
        </w:rPr>
      </w:pPr>
    </w:p>
    <w:p>
      <w:pPr>
        <w:ind w:right="280" w:firstLine="514"/>
        <w:spacing w:after="0" w:line="287" w:lineRule="auto"/>
        <w:tabs>
          <w:tab w:leader="none" w:pos="66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Quarterly Report on Form 10-Q of CoStar Group, Inc., for the quarter ended September 30, 2025, fully complies with the requirements of Section 13(a) or 15(d) of the Securities Exchange Act of 1934 (15 U.S.C. 78m or 78o(d)); and</w:t>
      </w:r>
    </w:p>
    <w:p>
      <w:pPr>
        <w:spacing w:after="0" w:line="145" w:lineRule="exact"/>
        <w:rPr>
          <w:rFonts w:ascii="Times New Roman" w:cs="Times New Roman" w:eastAsia="Times New Roman" w:hAnsi="Times New Roman"/>
          <w:sz w:val="14"/>
          <w:szCs w:val="14"/>
          <w:color w:val="auto"/>
        </w:rPr>
      </w:pPr>
    </w:p>
    <w:p>
      <w:pPr>
        <w:ind w:right="180" w:firstLine="514"/>
        <w:spacing w:after="0" w:line="287" w:lineRule="auto"/>
        <w:tabs>
          <w:tab w:leader="none" w:pos="66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Quarterly Report on Form 10-Q of CoStar Group, Inc., for the quarter ended September 30, 2025, fairly presents, in all material respects, the financial condition and results of operations of CoStar Group, Inc.</w:t>
      </w:r>
    </w:p>
    <w:p>
      <w:pPr>
        <w:spacing w:after="0" w:line="1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By: /s/ Andrew C. Florance</w:t>
      </w:r>
    </w:p>
    <w:p>
      <w:pPr>
        <w:spacing w:after="0" w:line="200" w:lineRule="exact"/>
        <w:rPr>
          <w:sz w:val="20"/>
          <w:szCs w:val="20"/>
          <w:color w:val="auto"/>
        </w:rPr>
      </w:pPr>
    </w:p>
    <w:p>
      <w:pPr>
        <w:spacing w:after="0" w:line="2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Andrew C. Florance</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(Principal Executive Officer and Duly Authorized Officer)</w:t>
      </w:r>
    </w:p>
    <w:p>
      <w:pPr>
        <w:spacing w:after="0" w:line="14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80"/>
          </w:cols>
          <w:pgMar w:left="300" w:top="727"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1331 L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20005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29, 2025</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Certification Of Principal Financial Officer Pursuant To 18 U.S.C. Sec. 1350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Ladies and Gentlemen:</w:t>
      </w:r>
    </w:p>
    <w:p>
      <w:pPr>
        <w:spacing w:after="0" w:line="200"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CoStar Group, Inc., for the quarter ended September 30, 2025, I, Christian M. Lown, Chief Financial Officer of CoStar Group, Inc., hereby certify pursuant to 18 U.S.C. Section 1350, as adopted pursuant to Section 906 of the Sarbanes-Oxley Act of 2002, that:</w:t>
      </w:r>
    </w:p>
    <w:p>
      <w:pPr>
        <w:spacing w:after="0" w:line="145" w:lineRule="exact"/>
        <w:rPr>
          <w:sz w:val="20"/>
          <w:szCs w:val="20"/>
          <w:color w:val="auto"/>
        </w:rPr>
      </w:pPr>
    </w:p>
    <w:p>
      <w:pPr>
        <w:ind w:right="280" w:firstLine="514"/>
        <w:spacing w:after="0" w:line="287" w:lineRule="auto"/>
        <w:tabs>
          <w:tab w:leader="none" w:pos="66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Quarterly Report on Form 10-Q of CoStar Group, Inc., for the quarter ended September 30, 2025, fully complies with the requirements of Section 13(a) or 15(d) of the Securities Exchange Act of 1934 (15 U.S.C. 78m or 78o(d)); and</w:t>
      </w:r>
    </w:p>
    <w:p>
      <w:pPr>
        <w:spacing w:after="0" w:line="145" w:lineRule="exact"/>
        <w:rPr>
          <w:rFonts w:ascii="Times New Roman" w:cs="Times New Roman" w:eastAsia="Times New Roman" w:hAnsi="Times New Roman"/>
          <w:sz w:val="14"/>
          <w:szCs w:val="14"/>
          <w:color w:val="auto"/>
        </w:rPr>
      </w:pPr>
    </w:p>
    <w:p>
      <w:pPr>
        <w:ind w:right="180" w:firstLine="514"/>
        <w:spacing w:after="0" w:line="287" w:lineRule="auto"/>
        <w:tabs>
          <w:tab w:leader="none" w:pos="66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Quarterly Report on Form 10-Q of CoStar Group, Inc., for the quarter ended September 30, 2025, fairly presents, in all material respects, the financial condition and results of operations of CoStar Group, Inc.</w:t>
      </w:r>
    </w:p>
    <w:p>
      <w:pPr>
        <w:spacing w:after="0" w:line="1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Christian M. Lown</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Christian M. Lown</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pacing w:after="0" w:line="175"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5"/>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0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01" Type="http://schemas.openxmlformats.org/officeDocument/2006/relationships/hyperlink" Target="https://www.sec.gov/Archives/edgar/data/0001057352/000105735221000074/ex31-fourtharcharter.htm" TargetMode="External"/><Relationship Id="rId102" Type="http://schemas.openxmlformats.org/officeDocument/2006/relationships/hyperlink" Target="https://www.sec.gov/Archives/edgar/data/1057352/000105735222000069/fourthamendedandrestatedby.htm" TargetMode="External"/><Relationship Id="rId103" Type="http://schemas.openxmlformats.org/officeDocument/2006/relationships/hyperlink" Target="https://www.sec.gov/Archives/edgar/data/1057352/000119312525107493/d821281ddef14a.htm#toc821281_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2025-10-29T16:12:44Z</dcterms:created>
  <dcterms:modified xsi:type="dcterms:W3CDTF">2025-10-29T16:12:44Z</dcterms:modified>
</cp:coreProperties>
</file>